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224" w:lineRule="exact"/>
        <w:ind w:left="233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3337262" cy="7772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337262" cy="777240"/>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line="540" w:lineRule="exact" w:before="0"/>
        <w:ind w:left="1641" w:right="2618" w:firstLine="0"/>
        <w:jc w:val="center"/>
        <w:rPr>
          <w:rFonts w:ascii="宋体" w:hAnsi="宋体" w:cs="宋体" w:eastAsia="宋体" w:hint="default"/>
          <w:sz w:val="44"/>
          <w:szCs w:val="44"/>
        </w:rPr>
      </w:pPr>
      <w:r>
        <w:rPr>
          <w:rFonts w:ascii="宋体" w:hAnsi="宋体" w:cs="宋体" w:eastAsia="宋体" w:hint="default"/>
          <w:b/>
          <w:bCs/>
          <w:sz w:val="44"/>
          <w:szCs w:val="44"/>
        </w:rPr>
        <w:t>上海美特斯邦威服饰股份有限公司</w:t>
      </w:r>
      <w:r>
        <w:rPr>
          <w:rFonts w:ascii="宋体" w:hAnsi="宋体" w:cs="宋体" w:eastAsia="宋体" w:hint="default"/>
          <w:sz w:val="44"/>
          <w:szCs w:val="44"/>
        </w:rPr>
      </w:r>
    </w:p>
    <w:p>
      <w:pPr>
        <w:spacing w:before="395"/>
        <w:ind w:left="1640" w:right="2618"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2018</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3"/>
          <w:szCs w:val="43"/>
        </w:rPr>
      </w:pPr>
    </w:p>
    <w:p>
      <w:pPr>
        <w:spacing w:before="0"/>
        <w:ind w:left="1641" w:right="261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公司负责人胡佳佳、主管会计工作负责人田芳及会计机构负责人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曾焕滨声明：保证年度报告中财务报告的真实、准确、完整。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本报告中涉及的未来计划等前瞻性陈述并不构成对投资者的实质承诺，敬</w:t>
      </w:r>
      <w:r>
        <w:rPr>
          <w:rFonts w:ascii="宋体" w:hAnsi="宋体" w:cs="宋体" w:eastAsia="宋体" w:hint="default"/>
          <w:spacing w:val="3"/>
          <w:sz w:val="28"/>
          <w:szCs w:val="28"/>
        </w:rPr>
      </w:r>
    </w:p>
    <w:p>
      <w:pPr>
        <w:spacing w:line="475" w:lineRule="auto" w:before="0"/>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本公司在日常经营中面临宏观经济波动、行业竞争及经营模式转型等潜在</w:t>
      </w:r>
      <w:r>
        <w:rPr>
          <w:rFonts w:ascii="宋体" w:hAnsi="宋体" w:cs="宋体" w:eastAsia="宋体" w:hint="default"/>
          <w:spacing w:val="3"/>
          <w:sz w:val="28"/>
          <w:szCs w:val="28"/>
        </w:rPr>
      </w:r>
    </w:p>
    <w:p>
      <w:pPr>
        <w:spacing w:line="350" w:lineRule="exact" w:before="0"/>
        <w:ind w:left="15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风险，具体详情请投资者关注报告中经营情况讨论与分析中的公司未来发展展</w:t>
      </w:r>
      <w:r>
        <w:rPr>
          <w:rFonts w:ascii="宋体" w:hAnsi="宋体" w:cs="宋体" w:eastAsia="宋体" w:hint="default"/>
          <w:spacing w:val="3"/>
          <w:sz w:val="28"/>
          <w:szCs w:val="28"/>
        </w:rPr>
      </w:r>
    </w:p>
    <w:p>
      <w:pPr>
        <w:spacing w:line="240" w:lineRule="auto" w:before="10"/>
        <w:rPr>
          <w:rFonts w:ascii="宋体" w:hAnsi="宋体" w:cs="宋体" w:eastAsia="宋体" w:hint="default"/>
          <w:b/>
          <w:bCs/>
          <w:sz w:val="19"/>
          <w:szCs w:val="19"/>
        </w:rPr>
      </w:pPr>
    </w:p>
    <w:p>
      <w:pPr>
        <w:spacing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望章节。</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641" w:right="261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25</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37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43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44</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51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56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57</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149</w:t>
            </w:r>
          </w:hyperlink>
        </w:p>
        <w:p>
          <w:pPr/>
          <w:r>
            <w:fldChar w:fldCharType="end"/>
          </w:r>
        </w:p>
      </w:sdtContent>
    </w:sdt>
    <w:p>
      <w:pPr>
        <w:spacing w:after="0"/>
        <w:sectPr>
          <w:pgSz w:w="11910" w:h="16840"/>
          <w:pgMar w:header="747" w:footer="979" w:top="1060" w:bottom="1160" w:left="980" w:right="0"/>
        </w:sectPr>
      </w:pPr>
    </w:p>
    <w:p>
      <w:pPr>
        <w:spacing w:before="946"/>
        <w:ind w:left="1641" w:right="26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美邦服饰、本公司、本集团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上海美特斯邦威企业发展有限公司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上海销售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上海美特斯邦威服饰销售有限公司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昆明美特斯邦威服饰有限责任公司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上海库升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上海库升服饰有限公司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上海模共</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上海模共实业有限公司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丹东贸邦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丹东市贸邦商贸有限公司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沈阳贸邦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沈阳贸邦服饰商贸有限公司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广州美特斯邦威服装有限公司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广西美特斯邦威服饰有限责任公司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兰州美特斯邦威服饰有限公司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深圳美特斯邦威服饰有限公司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上海米安斯迪</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上海米安斯迪服饰有限公司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上海邦购信息科技有限公司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上海霓尚服饰有限公司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上海华邦科创信息科技有限公司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上海祺格服饰有限公司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上海邦彤实业有限公司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西宁美特斯邦威服饰有限责任公司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贵阳美特斯邦威服饰有限责任公司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内蒙古美邦</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内蒙古美特斯邦威服饰有限公司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美潮贸易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上海美潮国际贸易有限公司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安永华明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88751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002269</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Shanghai Metersbonwe Fashion&amp;Accessories</w:t>
            </w:r>
            <w:r>
              <w:rPr>
                <w:rFonts w:ascii="Times New Roman"/>
                <w:spacing w:val="-9"/>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Metersbonwe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胡佳佳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http://corp.metersbonwe.com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姚琰</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021-38119999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021-38119999</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021-68183939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021-68183939</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证券时报、上海证券报、中国证券报、证券日报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913100001321787408</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号东方广场安永大楼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董彦亮、何凝</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7,677,369,050.00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6,472,359,205.00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6,519,192,145.00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40,361,571.00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-304,799,756.00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36,158,623.00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12,688,576.00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-321,080,778.00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-517,739,265.00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621,919,584.00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-319,378,836.00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327,663,511.00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7,208,952,308.00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6,615,617,344.00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6,187,199,710.00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2,877,695,239.00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2,837,339,163.00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3,141,948,914.00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2,177,946,209.00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1,760,110,091.00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1,608,822,818.00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2,130,489,932.00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50,406,670.00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2,707,755.00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-12,974,931.00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222,077.00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47,464,132.00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-6,861,013.00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-35,567,435.00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7,652,892.00</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239,016,400.00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-224,204,233.00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193,606,465.00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413,500,952.00</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-3,564,996.00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-7,754,994.00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33,106,419.00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8,451,020.00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37,704,400.00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4,159,281.00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4,831,126.00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1,349,906.00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-6,007,763.00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6,750,339.00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-23,484,880.00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处置子公司产生投资收益</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550,210,710.00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2,857,757.00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186,467.00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4,127,254.00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27,672,995.00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16,281,022.00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553,897,888.00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3"/>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09" w:lineRule="auto" w:before="25"/>
        <w:ind w:right="0" w:firstLine="290"/>
        <w:jc w:val="left"/>
      </w:pPr>
      <w:r>
        <w:rPr/>
        <w:t>公司采用产品自主设计、生产外包、直营与加盟销售相结合的经营模式，致力于品牌建设与推广、营销网络建设和供应 </w:t>
      </w:r>
      <w:r>
        <w:rPr>
          <w:spacing w:val="-2"/>
        </w:rPr>
        <w:t>链管理，组织旗下</w:t>
      </w:r>
      <w:r>
        <w:rPr>
          <w:rFonts w:ascii="Times New Roman" w:hAnsi="Times New Roman" w:cs="Times New Roman" w:eastAsia="Times New Roman" w:hint="default"/>
          <w:spacing w:val="-2"/>
        </w:rPr>
        <w:t>Metersbonwe</w:t>
      </w:r>
      <w:r>
        <w:rPr>
          <w:spacing w:val="-2"/>
        </w:rPr>
        <w:t>、</w:t>
      </w:r>
      <w:r>
        <w:rPr>
          <w:rFonts w:ascii="Times New Roman" w:hAnsi="Times New Roman" w:cs="Times New Roman" w:eastAsia="Times New Roman" w:hint="default"/>
          <w:spacing w:val="-2"/>
        </w:rPr>
        <w:t>ME&amp;CITY</w:t>
      </w:r>
      <w:r>
        <w:rPr>
          <w:spacing w:val="-2"/>
        </w:rPr>
        <w:t>、</w:t>
      </w:r>
      <w:r>
        <w:rPr>
          <w:rFonts w:ascii="Times New Roman" w:hAnsi="Times New Roman" w:cs="Times New Roman" w:eastAsia="Times New Roman" w:hint="default"/>
          <w:spacing w:val="-2"/>
        </w:rPr>
        <w:t>Moomoo</w:t>
      </w:r>
      <w:r>
        <w:rPr>
          <w:spacing w:val="-2"/>
        </w:rPr>
        <w:t>、</w:t>
      </w:r>
      <w:r>
        <w:rPr>
          <w:rFonts w:ascii="Times New Roman" w:hAnsi="Times New Roman" w:cs="Times New Roman" w:eastAsia="Times New Roman" w:hint="default"/>
          <w:spacing w:val="-2"/>
        </w:rPr>
        <w:t>ME&amp;CITY</w:t>
      </w:r>
      <w:r>
        <w:rPr>
          <w:rFonts w:ascii="Times New Roman" w:hAnsi="Times New Roman" w:cs="Times New Roman" w:eastAsia="Times New Roman" w:hint="default"/>
        </w:rPr>
        <w:t> </w:t>
      </w:r>
      <w:r>
        <w:rPr>
          <w:rFonts w:ascii="Times New Roman" w:hAnsi="Times New Roman" w:cs="Times New Roman" w:eastAsia="Times New Roman" w:hint="default"/>
          <w:spacing w:val="-1"/>
        </w:rPr>
        <w:t>KIDS</w:t>
      </w:r>
      <w:r>
        <w:rPr>
          <w:spacing w:val="-1"/>
        </w:rPr>
        <w:t>、</w:t>
      </w:r>
      <w:r>
        <w:rPr>
          <w:rFonts w:ascii="Times New Roman" w:hAnsi="Times New Roman" w:cs="Times New Roman" w:eastAsia="Times New Roman" w:hint="default"/>
          <w:spacing w:val="-1"/>
        </w:rPr>
        <w:t>CH'IN</w:t>
      </w:r>
      <w:r>
        <w:rPr>
          <w:spacing w:val="-1"/>
        </w:rPr>
        <w:t>祺等品牌时尚休闲服饰产品的设计和销售，</w:t>
      </w:r>
      <w:r>
        <w:rPr>
          <w:spacing w:val="-78"/>
        </w:rPr>
        <w:t> </w:t>
      </w:r>
      <w:r>
        <w:rPr>
          <w:spacing w:val="-78"/>
        </w:rPr>
      </w:r>
      <w:r>
        <w:rPr/>
        <w:t>并通过线下店铺渠道和互联网电子商务平台开展自有品牌的推广和相关时尚休闲商品的销售。</w:t>
      </w:r>
    </w:p>
    <w:p>
      <w:pPr>
        <w:pStyle w:val="BodyText"/>
        <w:spacing w:line="309" w:lineRule="auto" w:before="65"/>
        <w:ind w:right="1130" w:firstLine="434"/>
        <w:jc w:val="both"/>
      </w:pPr>
      <w:r>
        <w:rPr/>
        <w:t>服装行业主要分为服装设计研发、生产制造、品牌推广、终端销售等环节，公司涉及其中的设计研发、品牌推广以及 </w:t>
      </w:r>
      <w:r>
        <w:rPr>
          <w:spacing w:val="-1"/>
        </w:rPr>
        <w:t>终端销售环节。根据中国证监会颁布的《上市公司行业分类指引》（</w:t>
      </w:r>
      <w:r>
        <w:rPr>
          <w:rFonts w:ascii="Times New Roman" w:hAnsi="Times New Roman" w:cs="Times New Roman" w:eastAsia="Times New Roman" w:hint="default"/>
          <w:spacing w:val="-1"/>
        </w:rPr>
        <w:t>2012</w:t>
      </w:r>
      <w:r>
        <w:rPr>
          <w:spacing w:val="-1"/>
        </w:rPr>
        <w:t>年修订），本公司属于</w:t>
      </w:r>
      <w:r>
        <w:rPr>
          <w:rFonts w:ascii="Times New Roman" w:hAnsi="Times New Roman" w:cs="Times New Roman" w:eastAsia="Times New Roman" w:hint="default"/>
          <w:spacing w:val="-1"/>
        </w:rPr>
        <w:t>“C</w:t>
      </w:r>
      <w:r>
        <w:rPr>
          <w:spacing w:val="-1"/>
        </w:rPr>
        <w:t>制造业</w:t>
      </w:r>
      <w:r>
        <w:rPr>
          <w:rFonts w:ascii="Times New Roman" w:hAnsi="Times New Roman" w:cs="Times New Roman" w:eastAsia="Times New Roman" w:hint="default"/>
          <w:spacing w:val="-1"/>
        </w:rPr>
        <w:t>”</w:t>
      </w:r>
      <w:r>
        <w:rPr>
          <w:spacing w:val="-1"/>
        </w:rPr>
        <w:t>大类下的</w:t>
      </w:r>
      <w:r>
        <w:rPr>
          <w:rFonts w:ascii="Times New Roman" w:hAnsi="Times New Roman" w:cs="Times New Roman" w:eastAsia="Times New Roman" w:hint="default"/>
          <w:spacing w:val="-1"/>
        </w:rPr>
        <w:t>“C18</w:t>
      </w:r>
      <w:r>
        <w:rPr>
          <w:spacing w:val="-1"/>
        </w:rPr>
        <w:t>纺</w:t>
      </w:r>
      <w:r>
        <w:rPr>
          <w:spacing w:val="-57"/>
        </w:rPr>
        <w:t> </w:t>
      </w:r>
      <w:r>
        <w:rPr/>
        <w:t>织服装、服饰业</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9.48%</w:t>
            </w:r>
            <w:r>
              <w:rPr>
                <w:rFonts w:ascii="宋体" w:hAnsi="宋体" w:cs="宋体" w:eastAsia="宋体" w:hint="default"/>
                <w:sz w:val="18"/>
                <w:szCs w:val="18"/>
              </w:rPr>
              <w:t>，主要系确认联营企业华瑞银行投资收益所致。</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较年初下降</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14.96%</w:t>
            </w:r>
            <w:r>
              <w:rPr>
                <w:rFonts w:ascii="宋体" w:hAnsi="宋体" w:cs="宋体" w:eastAsia="宋体" w:hint="default"/>
                <w:spacing w:val="-3"/>
                <w:sz w:val="18"/>
                <w:szCs w:val="18"/>
              </w:rPr>
              <w:t>，主要是由于本年度公司部分自有物业对外出租，固定资产转出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至投资性房地产所致。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10.81%</w:t>
            </w:r>
            <w:r>
              <w:rPr>
                <w:rFonts w:ascii="宋体" w:hAnsi="宋体" w:cs="宋体" w:eastAsia="宋体" w:hint="default"/>
                <w:sz w:val="18"/>
                <w:szCs w:val="18"/>
              </w:rPr>
              <w:t>，主要系正常摊销所致。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34.37%</w:t>
            </w:r>
            <w:r>
              <w:rPr>
                <w:rFonts w:ascii="宋体" w:hAnsi="宋体" w:cs="宋体" w:eastAsia="宋体" w:hint="default"/>
                <w:sz w:val="18"/>
                <w:szCs w:val="18"/>
              </w:rPr>
              <w:t>，主要是由于本年度系统升级项目支出增加所致。</w:t>
            </w:r>
          </w:p>
        </w:tc>
      </w:tr>
      <w:tr>
        <w:trPr>
          <w:trHeight w:val="71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147.25%</w:t>
            </w:r>
            <w:r>
              <w:rPr>
                <w:rFonts w:ascii="宋体" w:hAnsi="宋体" w:cs="宋体" w:eastAsia="宋体" w:hint="default"/>
                <w:sz w:val="18"/>
                <w:szCs w:val="18"/>
              </w:rPr>
              <w:t>，主要是由于本年度公司部分自有物业对外出租，固定资产转 入投资性房地产所致。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Heading5"/>
        <w:spacing w:line="240" w:lineRule="auto" w:before="27"/>
        <w:ind w:left="454" w:right="0"/>
        <w:jc w:val="left"/>
        <w:rPr>
          <w:b w:val="0"/>
          <w:bCs w:val="0"/>
        </w:rPr>
      </w:pPr>
      <w:r>
        <w:rPr>
          <w:rFonts w:ascii="Times New Roman" w:hAnsi="Times New Roman" w:cs="Times New Roman" w:eastAsia="Times New Roman" w:hint="default"/>
        </w:rPr>
        <w:t>1</w:t>
      </w:r>
      <w:r>
        <w:rPr/>
        <w:t>、品牌优势</w:t>
      </w:r>
      <w:r>
        <w:rPr>
          <w:b w:val="0"/>
          <w:bCs w:val="0"/>
        </w:rPr>
      </w:r>
    </w:p>
    <w:p>
      <w:pPr>
        <w:pStyle w:val="BodyText"/>
        <w:spacing w:line="307" w:lineRule="auto" w:before="63"/>
        <w:ind w:right="1130" w:firstLine="360"/>
        <w:jc w:val="both"/>
      </w:pPr>
      <w:r>
        <w:rPr/>
        <w:t>本公司紧密地围绕</w:t>
      </w:r>
      <w:r>
        <w:rPr>
          <w:rFonts w:ascii="Times New Roman" w:hAnsi="Times New Roman" w:cs="Times New Roman" w:eastAsia="Times New Roman" w:hint="default"/>
        </w:rPr>
        <w:t>Metersbonwe</w:t>
      </w:r>
      <w:r>
        <w:rPr/>
        <w:t>、</w:t>
      </w:r>
      <w:r>
        <w:rPr>
          <w:rFonts w:ascii="Times New Roman" w:hAnsi="Times New Roman" w:cs="Times New Roman" w:eastAsia="Times New Roman" w:hint="default"/>
        </w:rPr>
        <w:t>ME&amp;CITY</w:t>
      </w:r>
      <w:r>
        <w:rPr/>
        <w:t>、</w:t>
      </w:r>
      <w:r>
        <w:rPr>
          <w:rFonts w:ascii="Times New Roman" w:hAnsi="Times New Roman" w:cs="Times New Roman" w:eastAsia="Times New Roman" w:hint="default"/>
        </w:rPr>
        <w:t>Moomoo</w:t>
      </w:r>
      <w:r>
        <w:rPr/>
        <w:t>、</w:t>
      </w:r>
      <w:r>
        <w:rPr>
          <w:rFonts w:ascii="Times New Roman" w:hAnsi="Times New Roman" w:cs="Times New Roman" w:eastAsia="Times New Roman" w:hint="default"/>
        </w:rPr>
        <w:t>ME&amp;CITY</w:t>
      </w:r>
      <w:r>
        <w:rPr>
          <w:rFonts w:ascii="Times New Roman" w:hAnsi="Times New Roman" w:cs="Times New Roman" w:eastAsia="Times New Roman" w:hint="default"/>
          <w:spacing w:val="-6"/>
        </w:rPr>
        <w:t> </w:t>
      </w:r>
      <w:r>
        <w:rPr>
          <w:rFonts w:ascii="Times New Roman" w:hAnsi="Times New Roman" w:cs="Times New Roman" w:eastAsia="Times New Roman" w:hint="default"/>
        </w:rPr>
        <w:t>KIDS</w:t>
      </w:r>
      <w:r>
        <w:rPr/>
        <w:t>、</w:t>
      </w:r>
      <w:r>
        <w:rPr>
          <w:rFonts w:ascii="Times New Roman" w:hAnsi="Times New Roman" w:cs="Times New Roman" w:eastAsia="Times New Roman" w:hint="default"/>
        </w:rPr>
        <w:t>CH'IN</w:t>
      </w:r>
      <w:r>
        <w:rPr/>
        <w:t>祺这五大品牌的定位、价值与个性， </w:t>
      </w:r>
      <w:r>
        <w:rPr>
          <w:spacing w:val="-2"/>
        </w:rPr>
        <w:t>通过产品设计、产品陈列、店铺设计、广告投放、签约代言和各类营销活动塑造品牌特性，借助目标消费群体所关注的国内</w:t>
      </w:r>
      <w:r>
        <w:rPr>
          <w:spacing w:val="-66"/>
        </w:rPr>
        <w:t> </w:t>
      </w:r>
      <w:r>
        <w:rPr>
          <w:spacing w:val="-66"/>
        </w:rPr>
      </w:r>
      <w:r>
        <w:rPr/>
        <w:t>外各类公众、时尚事件，进行高频率、多层次的整合营销活动，不断提升五大品牌的品牌形象，</w:t>
      </w:r>
      <w:r>
        <w:rPr>
          <w:rFonts w:ascii="Times New Roman" w:hAnsi="Times New Roman" w:cs="Times New Roman" w:eastAsia="Times New Roman" w:hint="default"/>
        </w:rPr>
        <w:t>Metersbonwe</w:t>
      </w:r>
      <w:r>
        <w:rPr/>
        <w:t>品牌不仅在市 </w:t>
      </w:r>
      <w:r>
        <w:rPr>
          <w:spacing w:val="-2"/>
        </w:rPr>
        <w:t>场调研结果中名列前茅，也同时获得了国内及国际各类权威机构的认可，并于</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月获得了国家商标局颁发的</w:t>
      </w:r>
      <w:r>
        <w:rPr>
          <w:rFonts w:ascii="Times New Roman" w:hAnsi="Times New Roman" w:cs="Times New Roman" w:eastAsia="Times New Roman" w:hint="default"/>
          <w:spacing w:val="-2"/>
        </w:rPr>
        <w:t>“</w:t>
      </w:r>
      <w:r>
        <w:rPr>
          <w:spacing w:val="-2"/>
        </w:rPr>
        <w:t>中国驰名</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spacing w:val="-4"/>
        </w:rPr>
        <w:t>商标</w:t>
      </w:r>
      <w:r>
        <w:rPr>
          <w:rFonts w:ascii="Times New Roman" w:hAnsi="Times New Roman" w:cs="Times New Roman" w:eastAsia="Times New Roman" w:hint="default"/>
          <w:spacing w:val="-4"/>
        </w:rPr>
        <w:t>”</w:t>
      </w:r>
      <w:r>
        <w:rPr>
          <w:spacing w:val="-4"/>
        </w:rPr>
        <w:t>称号。同时，本公司实现</w:t>
      </w:r>
      <w:r>
        <w:rPr>
          <w:rFonts w:ascii="Times New Roman" w:hAnsi="Times New Roman" w:cs="Times New Roman" w:eastAsia="Times New Roman" w:hint="default"/>
          <w:spacing w:val="-4"/>
        </w:rPr>
        <w:t>Metersbonwe</w:t>
      </w:r>
      <w:r>
        <w:rPr>
          <w:spacing w:val="-4"/>
        </w:rPr>
        <w:t>品牌升级裂变，全面向风格化及品质化推进。对此，公司推出五大系列：</w:t>
      </w:r>
      <w:r>
        <w:rPr>
          <w:rFonts w:ascii="Times New Roman" w:hAnsi="Times New Roman" w:cs="Times New Roman" w:eastAsia="Times New Roman" w:hint="default"/>
          <w:spacing w:val="-4"/>
        </w:rPr>
        <w:t>NEWear</w:t>
      </w:r>
      <w:r>
        <w:rPr>
          <w:spacing w:val="-4"/>
        </w:rPr>
        <w:t>、</w:t>
      </w:r>
    </w:p>
    <w:p>
      <w:pPr>
        <w:pStyle w:val="BodyText"/>
        <w:spacing w:line="240" w:lineRule="auto" w:before="63"/>
        <w:ind w:right="0"/>
        <w:jc w:val="left"/>
      </w:pPr>
      <w:r>
        <w:rPr>
          <w:rFonts w:ascii="Times New Roman" w:hAnsi="Times New Roman" w:cs="Times New Roman" w:eastAsia="Times New Roman" w:hint="default"/>
        </w:rPr>
        <w:t>HYSTYL</w:t>
      </w:r>
      <w:r>
        <w:rPr/>
        <w:t>、</w:t>
      </w:r>
      <w:r>
        <w:rPr>
          <w:rFonts w:ascii="Times New Roman" w:hAnsi="Times New Roman" w:cs="Times New Roman" w:eastAsia="Times New Roman" w:hint="default"/>
        </w:rPr>
        <w:t>N</w:t>
      </w:r>
      <w:r>
        <w:rPr>
          <w:rFonts w:ascii="Times New Roman" w:hAnsi="Times New Roman" w:cs="Times New Roman" w:eastAsia="Times New Roman" w:hint="default"/>
        </w:rPr>
        <w:t>ō</w:t>
      </w:r>
      <w:r>
        <w:rPr>
          <w:rFonts w:ascii="Times New Roman" w:hAnsi="Times New Roman" w:cs="Times New Roman" w:eastAsia="Times New Roman" w:hint="default"/>
        </w:rPr>
        <w:t>vachic</w:t>
      </w:r>
      <w:r>
        <w:rPr/>
        <w:t>、</w:t>
      </w:r>
      <w:r>
        <w:rPr>
          <w:rFonts w:ascii="Times New Roman" w:hAnsi="Times New Roman" w:cs="Times New Roman" w:eastAsia="Times New Roman" w:hint="default"/>
        </w:rPr>
        <w:t>MTEE</w:t>
      </w:r>
      <w:r>
        <w:rPr/>
        <w:t>和</w:t>
      </w:r>
      <w:r>
        <w:rPr>
          <w:rFonts w:ascii="Times New Roman" w:hAnsi="Times New Roman" w:cs="Times New Roman" w:eastAsia="Times New Roman" w:hint="default"/>
        </w:rPr>
        <w:t>ASELF</w:t>
      </w:r>
      <w:r>
        <w:rPr/>
        <w:t>，继承以往的匠心，为目标消费者提供全新消费体验。</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00" w:lineRule="auto"/>
        <w:ind w:left="454" w:right="0"/>
        <w:jc w:val="left"/>
      </w:pPr>
      <w:r>
        <w:rPr>
          <w:rFonts w:ascii="Times New Roman" w:hAnsi="Times New Roman" w:cs="Times New Roman" w:eastAsia="Times New Roman" w:hint="default"/>
          <w:b/>
          <w:bCs/>
        </w:rPr>
        <w:t>2</w:t>
      </w:r>
      <w:r>
        <w:rPr>
          <w:rFonts w:ascii="宋体" w:hAnsi="宋体" w:cs="宋体" w:eastAsia="宋体" w:hint="default"/>
          <w:b/>
          <w:bCs/>
        </w:rPr>
        <w:t>、产品设计开发优势</w:t>
      </w:r>
      <w:r>
        <w:rPr>
          <w:rFonts w:ascii="宋体" w:hAnsi="宋体" w:cs="宋体" w:eastAsia="宋体" w:hint="default"/>
          <w:b/>
          <w:bCs/>
          <w:w w:val="99"/>
        </w:rPr>
        <w:t> </w:t>
      </w:r>
      <w:r>
        <w:rPr>
          <w:spacing w:val="-1"/>
        </w:rPr>
        <w:t>公司的设计团队多年来始终坚持国际化与本土化相结合，以自主培养设计师为主的原则组建设计团队。设计团队自建设</w:t>
      </w:r>
    </w:p>
    <w:p>
      <w:pPr>
        <w:pStyle w:val="BodyText"/>
        <w:spacing w:line="316" w:lineRule="auto" w:before="31"/>
        <w:ind w:right="1131"/>
        <w:jc w:val="both"/>
      </w:pPr>
      <w:r>
        <w:rPr>
          <w:spacing w:val="-2"/>
        </w:rPr>
        <w:t>伊始一直保持了很好的稳定性，设计人员年龄结构分布均匀，使得设计团队在保持年轻活力的同时也令国际化资深设计师经</w:t>
      </w:r>
      <w:r>
        <w:rPr>
          <w:spacing w:val="-64"/>
        </w:rPr>
        <w:t> </w:t>
      </w:r>
      <w:r>
        <w:rPr>
          <w:spacing w:val="-64"/>
        </w:rPr>
      </w:r>
      <w:r>
        <w:rPr>
          <w:spacing w:val="-2"/>
        </w:rPr>
        <w:t>验得到了有效传承。公司产品设计的最大特点在于保持了感性与理性的平衡，不仅从国际、国内的流行时尚情况、对自有品</w:t>
      </w:r>
      <w:r>
        <w:rPr>
          <w:spacing w:val="-66"/>
        </w:rPr>
        <w:t> </w:t>
      </w:r>
      <w:r>
        <w:rPr>
          <w:spacing w:val="-66"/>
        </w:rPr>
      </w:r>
      <w:r>
        <w:rPr>
          <w:spacing w:val="-2"/>
        </w:rPr>
        <w:t>牌定位、国内不同区域消费者对服装款式的不同需求、竞争对手的产品设计和过往公司各类产品的销售情况出发，也综合考</w:t>
      </w:r>
      <w:r>
        <w:rPr>
          <w:spacing w:val="-66"/>
        </w:rPr>
        <w:t> </w:t>
      </w:r>
      <w:r>
        <w:rPr>
          <w:spacing w:val="-66"/>
        </w:rPr>
      </w:r>
      <w:r>
        <w:rPr/>
        <w:t>虑了供应链下游各加盟商所处的各地市场和其店铺情况的独特性，以及对供应链上游供应商的生产成本控制的要求。</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5"/>
        <w:spacing w:line="240" w:lineRule="auto"/>
        <w:ind w:left="531" w:right="0"/>
        <w:jc w:val="left"/>
        <w:rPr>
          <w:b w:val="0"/>
          <w:bCs w:val="0"/>
        </w:rPr>
      </w:pPr>
      <w:r>
        <w:rPr>
          <w:rFonts w:ascii="Times New Roman" w:hAnsi="Times New Roman" w:cs="Times New Roman" w:eastAsia="Times New Roman" w:hint="default"/>
        </w:rPr>
        <w:t>3</w:t>
      </w:r>
      <w:r>
        <w:rPr/>
        <w:t>、营销网络优势</w:t>
      </w:r>
      <w:r>
        <w:rPr>
          <w:b w:val="0"/>
          <w:bCs w:val="0"/>
        </w:rPr>
      </w:r>
    </w:p>
    <w:p>
      <w:pPr>
        <w:pStyle w:val="BodyText"/>
        <w:spacing w:line="338" w:lineRule="auto" w:before="103"/>
        <w:ind w:left="514" w:right="0" w:hanging="60"/>
        <w:jc w:val="left"/>
      </w:pPr>
      <w:r>
        <w:rPr/>
        <w:t>（</w:t>
      </w:r>
      <w:r>
        <w:rPr>
          <w:rFonts w:ascii="Times New Roman" w:hAnsi="Times New Roman" w:cs="Times New Roman" w:eastAsia="Times New Roman" w:hint="default"/>
        </w:rPr>
        <w:t>1</w:t>
      </w:r>
      <w:r>
        <w:rPr/>
        <w:t>）营销网络布局优势 </w:t>
      </w:r>
      <w:r>
        <w:rPr>
          <w:spacing w:val="-2"/>
        </w:rPr>
        <w:t>本公司直营店与加盟店营销网络遍布全国，其中直营店在公司营销网络布局战略中发挥着重要的作用。公司通过在重点</w:t>
      </w:r>
    </w:p>
    <w:p>
      <w:pPr>
        <w:pStyle w:val="BodyText"/>
        <w:spacing w:line="319" w:lineRule="auto" w:before="2"/>
        <w:ind w:right="1032"/>
        <w:jc w:val="left"/>
      </w:pPr>
      <w:r>
        <w:rPr>
          <w:spacing w:val="-2"/>
        </w:rPr>
        <w:t>一线城市建立销售子公司并开设直营店的方式，有效地提升品牌的影响力和知名度，并能够更加深入的推动管理创新和品牌</w:t>
      </w:r>
      <w:r>
        <w:rPr>
          <w:spacing w:val="-63"/>
        </w:rPr>
        <w:t> </w:t>
      </w:r>
      <w:r>
        <w:rPr>
          <w:spacing w:val="-63"/>
        </w:rPr>
      </w:r>
      <w:r>
        <w:rPr>
          <w:spacing w:val="-4"/>
        </w:rPr>
        <w:t>升级，从而对一线城市周边和二、三线市场产生有力的辐射作用。公司品牌和产品形象的提升吸引了更多优质加盟商的加入，</w:t>
      </w:r>
      <w:r>
        <w:rPr>
          <w:spacing w:val="-44"/>
        </w:rPr>
        <w:t> </w:t>
      </w:r>
      <w:r>
        <w:rPr>
          <w:spacing w:val="-44"/>
        </w:rPr>
      </w:r>
      <w:r>
        <w:rPr>
          <w:spacing w:val="-2"/>
        </w:rPr>
        <w:t>使得公司可以借助加盟商的人力、物力和财力进行迅速的市场拓展与渗透。通过在直营店和加盟店数量和销售面积上的合理</w:t>
      </w:r>
      <w:r>
        <w:rPr>
          <w:spacing w:val="-64"/>
        </w:rPr>
        <w:t> </w:t>
      </w:r>
      <w:r>
        <w:rPr>
          <w:spacing w:val="-64"/>
        </w:rPr>
      </w:r>
      <w:r>
        <w:rPr>
          <w:spacing w:val="-2"/>
        </w:rPr>
        <w:t>配比，满足市场消费者的差异化需求的同时达到了提升销售业绩与拓展销售渠道的有效平衡；通过直营店和加盟店在时间和</w:t>
      </w:r>
      <w:r>
        <w:rPr>
          <w:spacing w:val="-64"/>
        </w:rPr>
        <w:t> </w:t>
      </w:r>
      <w:r>
        <w:rPr>
          <w:spacing w:val="-64"/>
        </w:rPr>
      </w:r>
      <w:r>
        <w:rPr>
          <w:spacing w:val="-2"/>
        </w:rPr>
        <w:t>空间上的战略性布局，覆盖了全国大部分重点省市，并在某些地区占据了市场主导地位，为未来进一步扩大市场份额打下了</w:t>
      </w:r>
      <w:r>
        <w:rPr>
          <w:spacing w:val="-66"/>
        </w:rPr>
        <w:t> </w:t>
      </w:r>
      <w:r>
        <w:rPr>
          <w:spacing w:val="-66"/>
        </w:rPr>
      </w:r>
      <w:r>
        <w:rPr/>
        <w:t>坚实的基础。</w:t>
      </w:r>
    </w:p>
    <w:p>
      <w:pPr>
        <w:pStyle w:val="BodyText"/>
        <w:spacing w:line="300" w:lineRule="auto" w:before="55"/>
        <w:ind w:left="454" w:right="0"/>
        <w:jc w:val="left"/>
      </w:pPr>
      <w:r>
        <w:rPr/>
        <w:t>（</w:t>
      </w:r>
      <w:r>
        <w:rPr>
          <w:rFonts w:ascii="Times New Roman" w:hAnsi="Times New Roman" w:cs="Times New Roman" w:eastAsia="Times New Roman" w:hint="default"/>
        </w:rPr>
        <w:t>2</w:t>
      </w:r>
      <w:r>
        <w:rPr/>
        <w:t>）营销网络管理能力优势 </w:t>
      </w:r>
      <w:r>
        <w:rPr>
          <w:spacing w:val="2"/>
        </w:rPr>
        <w:t>借助多年来营销网络建设和管理经验，公司已发展出一套针对由直营店和加盟店所组成的混合营销网络的成熟管理方</w:t>
      </w:r>
    </w:p>
    <w:p>
      <w:pPr>
        <w:pStyle w:val="BodyText"/>
        <w:spacing w:line="316" w:lineRule="auto" w:before="32"/>
        <w:ind w:right="1032"/>
        <w:jc w:val="left"/>
      </w:pPr>
      <w:r>
        <w:rPr>
          <w:spacing w:val="-2"/>
        </w:rPr>
        <w:t>法，有力地支持了公司营销网络的拓展与维护。在终端管理方面，直营和加盟渠道开始全面实施的终端形象升级、店铺管理</w:t>
      </w:r>
      <w:r>
        <w:rPr>
          <w:spacing w:val="-66"/>
        </w:rPr>
        <w:t> </w:t>
      </w:r>
      <w:r>
        <w:rPr>
          <w:spacing w:val="-66"/>
        </w:rPr>
      </w:r>
      <w:r>
        <w:rPr>
          <w:spacing w:val="-2"/>
        </w:rPr>
        <w:t>标准化、精细化、促销管理精细化已经取得了显著成效。通过店铺形象升级、新渠道的开发、标准店铺模块化管理、授权店</w:t>
      </w:r>
      <w:r>
        <w:rPr>
          <w:spacing w:val="-68"/>
        </w:rPr>
        <w:t> </w:t>
      </w:r>
      <w:r>
        <w:rPr>
          <w:spacing w:val="-68"/>
        </w:rPr>
      </w:r>
      <w:r>
        <w:rPr/>
        <w:t>经理负责制等举措，店铺更时尚精致，店铺运作与消费者需求紧密结合。在加盟商管理方面，公司在店铺开设、日常运营、 </w:t>
      </w:r>
      <w:r>
        <w:rPr>
          <w:spacing w:val="-2"/>
        </w:rPr>
        <w:t>信息系统运用、销售培训、信用支持、物流运输等方面给予加盟商全方位的支持，着力培育有潜力的加盟商，全力激发加盟</w:t>
      </w:r>
      <w:r>
        <w:rPr>
          <w:spacing w:val="-65"/>
        </w:rPr>
        <w:t> </w:t>
      </w:r>
      <w:r>
        <w:rPr>
          <w:spacing w:val="-65"/>
        </w:rPr>
      </w:r>
      <w:r>
        <w:rPr>
          <w:spacing w:val="-2"/>
        </w:rPr>
        <w:t>商的网络拓展热情，注重长期战略伙伴关系的建立。公司通过覆盖所有直营和加盟店铺的信息管理系统及时获取并分析销售</w:t>
      </w:r>
      <w:r>
        <w:rPr>
          <w:spacing w:val="-64"/>
        </w:rPr>
        <w:t> </w:t>
      </w:r>
      <w:r>
        <w:rPr>
          <w:spacing w:val="-64"/>
        </w:rPr>
      </w:r>
      <w:r>
        <w:rPr/>
        <w:t>终端的情况，形成了公司优秀的营销网络管理能力。</w:t>
      </w:r>
    </w:p>
    <w:p>
      <w:pPr>
        <w:spacing w:line="240" w:lineRule="auto" w:before="4"/>
        <w:rPr>
          <w:rFonts w:ascii="宋体" w:hAnsi="宋体" w:cs="宋体" w:eastAsia="宋体" w:hint="default"/>
          <w:sz w:val="25"/>
          <w:szCs w:val="25"/>
        </w:rPr>
      </w:pPr>
    </w:p>
    <w:p>
      <w:pPr>
        <w:pStyle w:val="BodyText"/>
        <w:spacing w:line="300" w:lineRule="auto"/>
        <w:ind w:left="454" w:right="0"/>
        <w:jc w:val="left"/>
      </w:pPr>
      <w:r>
        <w:rPr>
          <w:rFonts w:ascii="Times New Roman" w:hAnsi="Times New Roman" w:cs="Times New Roman" w:eastAsia="Times New Roman" w:hint="default"/>
          <w:b/>
          <w:bCs/>
        </w:rPr>
        <w:t>4</w:t>
      </w:r>
      <w:r>
        <w:rPr>
          <w:rFonts w:ascii="宋体" w:hAnsi="宋体" w:cs="宋体" w:eastAsia="宋体" w:hint="default"/>
          <w:b/>
          <w:bCs/>
        </w:rPr>
        <w:t>、供应链管理能力优势</w:t>
      </w:r>
      <w:r>
        <w:rPr>
          <w:rFonts w:ascii="宋体" w:hAnsi="宋体" w:cs="宋体" w:eastAsia="宋体" w:hint="default"/>
          <w:b/>
          <w:bCs/>
          <w:w w:val="99"/>
        </w:rPr>
        <w:t> </w:t>
      </w:r>
      <w:r>
        <w:rPr>
          <w:spacing w:val="-1"/>
        </w:rPr>
        <w:t>经过近年努力，公司始终不断探索并建立一条能充分适应国内休闲服装业情况以及公司业务现状与未来发展方向的供应</w:t>
      </w:r>
    </w:p>
    <w:p>
      <w:pPr>
        <w:pStyle w:val="BodyText"/>
        <w:spacing w:line="316" w:lineRule="auto" w:before="31"/>
        <w:ind w:right="1131"/>
        <w:jc w:val="both"/>
      </w:pPr>
      <w:r>
        <w:rPr>
          <w:spacing w:val="-2"/>
        </w:rPr>
        <w:t>链和相应的供应链管理方法，构筑起强大的供应链管理能力。公司的供应链基本实现了商务流、信息流、物流和资金流的结</w:t>
      </w:r>
      <w:r>
        <w:rPr>
          <w:spacing w:val="-66"/>
        </w:rPr>
        <w:t> </w:t>
      </w:r>
      <w:r>
        <w:rPr>
          <w:spacing w:val="-66"/>
        </w:rPr>
      </w:r>
      <w:r>
        <w:rPr>
          <w:spacing w:val="-2"/>
        </w:rPr>
        <w:t>合与同步，不断把国际化管理的标准引入到我们供应链管理中去，加快整合供应链资源，建立从源头到终端一致性、标准化</w:t>
      </w:r>
      <w:r>
        <w:rPr>
          <w:spacing w:val="-66"/>
        </w:rPr>
        <w:t> </w:t>
      </w:r>
      <w:r>
        <w:rPr>
          <w:spacing w:val="-66"/>
        </w:rPr>
      </w:r>
      <w:r>
        <w:rPr>
          <w:spacing w:val="-2"/>
        </w:rPr>
        <w:t>的管理体系。通过对直营和加盟店的差异化管理，以及各方在硬件和软件上的标准化，正逐步构建起一条能适应休闲服装零</w:t>
      </w:r>
      <w:r>
        <w:rPr>
          <w:spacing w:val="-66"/>
        </w:rPr>
        <w:t> </w:t>
      </w:r>
      <w:r>
        <w:rPr>
          <w:spacing w:val="-66"/>
        </w:rPr>
      </w:r>
      <w:r>
        <w:rPr/>
        <w:t>售业特征的，具备对客户需求快速反应的敏捷型供应链。</w:t>
      </w:r>
    </w:p>
    <w:p>
      <w:pPr>
        <w:spacing w:line="240" w:lineRule="auto" w:before="4"/>
        <w:rPr>
          <w:rFonts w:ascii="宋体" w:hAnsi="宋体" w:cs="宋体" w:eastAsia="宋体" w:hint="default"/>
          <w:sz w:val="25"/>
          <w:szCs w:val="25"/>
        </w:rPr>
      </w:pPr>
    </w:p>
    <w:p>
      <w:pPr>
        <w:pStyle w:val="BodyText"/>
        <w:spacing w:line="300" w:lineRule="auto"/>
        <w:ind w:left="454" w:right="0"/>
        <w:jc w:val="left"/>
      </w:pPr>
      <w:r>
        <w:rPr>
          <w:rFonts w:ascii="Times New Roman" w:hAnsi="Times New Roman" w:cs="Times New Roman" w:eastAsia="Times New Roman" w:hint="default"/>
          <w:b/>
          <w:bCs/>
        </w:rPr>
        <w:t>5</w:t>
      </w:r>
      <w:r>
        <w:rPr>
          <w:rFonts w:ascii="宋体" w:hAnsi="宋体" w:cs="宋体" w:eastAsia="宋体" w:hint="default"/>
          <w:b/>
          <w:bCs/>
        </w:rPr>
        <w:t>、信息管理系统优势</w:t>
      </w:r>
      <w:r>
        <w:rPr>
          <w:rFonts w:ascii="宋体" w:hAnsi="宋体" w:cs="宋体" w:eastAsia="宋体" w:hint="default"/>
          <w:b/>
          <w:bCs/>
          <w:w w:val="99"/>
        </w:rPr>
        <w:t> </w:t>
      </w:r>
      <w:r>
        <w:rPr>
          <w:spacing w:val="-1"/>
        </w:rPr>
        <w:t>一直以来，本公司的信息化战略与企业的发展保持着高度的融合，信息技术的运用以及信息化战略的制定与执行均与公</w:t>
      </w:r>
    </w:p>
    <w:p>
      <w:pPr>
        <w:pStyle w:val="BodyText"/>
        <w:spacing w:line="316" w:lineRule="auto" w:before="31"/>
        <w:ind w:right="0"/>
        <w:jc w:val="left"/>
      </w:pPr>
      <w:r>
        <w:rPr>
          <w:spacing w:val="-2"/>
        </w:rPr>
        <w:t>司的业务深度结合。公司持续对信息系统进行投入和改进，紧密围绕公司核心业务，优化和完善公司在全国的营销网络；同</w:t>
      </w:r>
      <w:r>
        <w:rPr>
          <w:spacing w:val="-66"/>
        </w:rPr>
        <w:t> </w:t>
      </w:r>
      <w:r>
        <w:rPr>
          <w:spacing w:val="-66"/>
        </w:rPr>
      </w:r>
      <w:r>
        <w:rPr/>
        <w:t>时改进公司信息管理系统，对日益增长的业务起到有效支持和推进作用。</w:t>
      </w:r>
    </w:p>
    <w:p>
      <w:pPr>
        <w:pStyle w:val="BodyText"/>
        <w:spacing w:line="316" w:lineRule="auto" w:before="19"/>
        <w:ind w:right="1131" w:firstLine="300"/>
        <w:jc w:val="both"/>
      </w:pPr>
      <w:r>
        <w:rPr>
          <w:spacing w:val="-1"/>
        </w:rPr>
        <w:t>公司目前使用的同时具备标准化和针对供应链各方差异化的信息管理系统，建立在休闲服装零售业整条供应链的基础之</w:t>
      </w:r>
      <w:r>
        <w:rPr/>
        <w:t> </w:t>
      </w:r>
      <w:r>
        <w:rPr>
          <w:spacing w:val="-2"/>
        </w:rPr>
        <w:t>上，在数据库和软件应用底层完全整合；大幅度提升了公司的运营效率，增强了持续发展能力，核心竞争力亦获得到进一步</w:t>
      </w:r>
      <w:r>
        <w:rPr>
          <w:spacing w:val="-66"/>
        </w:rPr>
        <w:t> </w:t>
      </w:r>
      <w:r>
        <w:rPr>
          <w:spacing w:val="-66"/>
        </w:rPr>
      </w:r>
      <w:r>
        <w:rPr/>
        <w:t>提高。</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454" w:right="0"/>
        <w:jc w:val="left"/>
      </w:pPr>
      <w:r>
        <w:rPr>
          <w:rFonts w:ascii="Times New Roman" w:hAnsi="Times New Roman" w:cs="Times New Roman" w:eastAsia="Times New Roman" w:hint="default"/>
          <w:b/>
          <w:bCs/>
        </w:rPr>
        <w:t>6</w:t>
      </w:r>
      <w:r>
        <w:rPr>
          <w:rFonts w:ascii="宋体" w:hAnsi="宋体" w:cs="宋体" w:eastAsia="宋体" w:hint="default"/>
          <w:b/>
          <w:bCs/>
        </w:rPr>
        <w:t>、物流系统优势</w:t>
      </w:r>
      <w:r>
        <w:rPr>
          <w:rFonts w:ascii="宋体" w:hAnsi="宋体" w:cs="宋体" w:eastAsia="宋体" w:hint="default"/>
          <w:b/>
          <w:bCs/>
          <w:w w:val="99"/>
        </w:rPr>
        <w:t> </w:t>
      </w:r>
      <w:r>
        <w:rPr/>
        <w:t>公司目前拥有</w:t>
      </w:r>
      <w:r>
        <w:rPr>
          <w:rFonts w:ascii="Times New Roman" w:hAnsi="Times New Roman" w:cs="Times New Roman" w:eastAsia="Times New Roman" w:hint="default"/>
        </w:rPr>
        <w:t>8</w:t>
      </w:r>
      <w:r>
        <w:rPr/>
        <w:t>大区域物流中心：上海、温州、沈阳、东莞、西安、成都、天津和武汉，主要负责所辖区域内货物的存</w:t>
      </w:r>
    </w:p>
    <w:p>
      <w:pPr>
        <w:pStyle w:val="BodyText"/>
        <w:spacing w:line="309" w:lineRule="auto" w:before="13"/>
        <w:ind w:right="1032"/>
        <w:jc w:val="left"/>
      </w:pPr>
      <w:r>
        <w:rPr/>
        <w:t>放和配送，形成运行高效的三级配送体系：从工厂运送至区域物流中心，然后分拣配送至分公司仓库，最后配送至各店铺。 </w:t>
      </w:r>
      <w:r>
        <w:rPr>
          <w:spacing w:val="-2"/>
        </w:rPr>
        <w:t>上海六灶物流中心日均可达到</w:t>
      </w:r>
      <w:r>
        <w:rPr>
          <w:rFonts w:ascii="Times New Roman" w:hAnsi="Times New Roman" w:cs="Times New Roman" w:eastAsia="Times New Roman" w:hint="default"/>
          <w:spacing w:val="-2"/>
        </w:rPr>
        <w:t>50</w:t>
      </w:r>
      <w:r>
        <w:rPr>
          <w:spacing w:val="-2"/>
        </w:rPr>
        <w:t>万件服饰产品的物流处理能力，大大提高了交叉转运的运作能力，实摘果拣选模式和播种拣</w:t>
      </w:r>
      <w:r>
        <w:rPr>
          <w:spacing w:val="-62"/>
        </w:rPr>
        <w:t> </w:t>
      </w:r>
      <w:r>
        <w:rPr>
          <w:spacing w:val="-62"/>
        </w:rPr>
      </w:r>
      <w:r>
        <w:rPr/>
        <w:t>选模式的兼容转换，大幅度的提升了供应链物流的快速流通能力和效率，有效支持了企业的战略发展。</w:t>
      </w:r>
    </w:p>
    <w:p>
      <w:pPr>
        <w:spacing w:line="240" w:lineRule="auto" w:before="9"/>
        <w:rPr>
          <w:rFonts w:ascii="宋体" w:hAnsi="宋体" w:cs="宋体" w:eastAsia="宋体" w:hint="default"/>
          <w:sz w:val="25"/>
          <w:szCs w:val="25"/>
        </w:rPr>
      </w:pPr>
    </w:p>
    <w:p>
      <w:pPr>
        <w:pStyle w:val="BodyText"/>
        <w:spacing w:line="300" w:lineRule="auto"/>
        <w:ind w:left="454" w:right="0"/>
        <w:jc w:val="left"/>
      </w:pPr>
      <w:r>
        <w:rPr>
          <w:rFonts w:ascii="Times New Roman" w:hAnsi="Times New Roman" w:cs="Times New Roman" w:eastAsia="Times New Roman" w:hint="default"/>
          <w:b/>
          <w:bCs/>
        </w:rPr>
        <w:t>7</w:t>
      </w:r>
      <w:r>
        <w:rPr>
          <w:rFonts w:ascii="宋体" w:hAnsi="宋体" w:cs="宋体" w:eastAsia="宋体" w:hint="default"/>
          <w:b/>
          <w:bCs/>
        </w:rPr>
        <w:t>、较强的风险管控能力</w:t>
      </w:r>
      <w:r>
        <w:rPr>
          <w:rFonts w:ascii="宋体" w:hAnsi="宋体" w:cs="宋体" w:eastAsia="宋体" w:hint="default"/>
          <w:b/>
          <w:bCs/>
          <w:w w:val="99"/>
        </w:rPr>
        <w:t> </w:t>
      </w:r>
      <w:r>
        <w:rPr>
          <w:spacing w:val="-1"/>
        </w:rPr>
        <w:t>公司深刻认识到风险管控对于企业长远发展的重要意义，并能针对经营过程中面临的各种风险采取相应的应对措施，体</w:t>
      </w:r>
    </w:p>
    <w:p>
      <w:pPr>
        <w:pStyle w:val="BodyText"/>
        <w:spacing w:line="316" w:lineRule="auto" w:before="31"/>
        <w:ind w:left="454" w:right="0" w:hanging="300"/>
        <w:jc w:val="left"/>
      </w:pPr>
      <w:r>
        <w:rPr/>
        <w:t>现了较强的风险管控能力。 </w:t>
      </w:r>
      <w:r>
        <w:rPr>
          <w:spacing w:val="-1"/>
        </w:rPr>
        <w:t>公司针对可能的财务风险，一直保持稳健谨慎的财务策略，努力提升资产质量、丰富融资渠道，在银行间市场及合作的</w:t>
      </w:r>
    </w:p>
    <w:p>
      <w:pPr>
        <w:pStyle w:val="BodyText"/>
        <w:spacing w:line="316" w:lineRule="auto" w:before="19"/>
        <w:ind w:left="454" w:right="0" w:hanging="300"/>
        <w:jc w:val="left"/>
      </w:pPr>
      <w:r>
        <w:rPr/>
        <w:t>商业银行均建立良好的信誉。 </w:t>
      </w:r>
      <w:r>
        <w:rPr>
          <w:spacing w:val="10"/>
        </w:rPr>
        <w:t>经营风险方面，公司针对注重时尚活力的年轻消费者群体以大众化的价格不断挖掘该细分市场的不同需求。目前</w:t>
      </w:r>
      <w:r>
        <w:rPr/>
      </w:r>
    </w:p>
    <w:p>
      <w:pPr>
        <w:pStyle w:val="BodyText"/>
        <w:spacing w:line="312" w:lineRule="auto" w:before="19"/>
        <w:ind w:right="1131"/>
        <w:jc w:val="both"/>
      </w:pPr>
      <w:r>
        <w:rPr>
          <w:rFonts w:ascii="Times New Roman" w:hAnsi="Times New Roman" w:cs="Times New Roman" w:eastAsia="Times New Roman" w:hint="default"/>
        </w:rPr>
        <w:t>Metersbonwe</w:t>
      </w:r>
      <w:r>
        <w:rPr/>
        <w:t>、</w:t>
      </w:r>
      <w:r>
        <w:rPr>
          <w:rFonts w:ascii="Times New Roman" w:hAnsi="Times New Roman" w:cs="Times New Roman" w:eastAsia="Times New Roman" w:hint="default"/>
        </w:rPr>
        <w:t>ME&amp;CITY</w:t>
      </w:r>
      <w:r>
        <w:rPr/>
        <w:t>、</w:t>
      </w:r>
      <w:r>
        <w:rPr>
          <w:rFonts w:ascii="Times New Roman" w:hAnsi="Times New Roman" w:cs="Times New Roman" w:eastAsia="Times New Roman" w:hint="default"/>
        </w:rPr>
        <w:t>Moomoo</w:t>
      </w:r>
      <w:r>
        <w:rPr/>
        <w:t>、</w:t>
      </w:r>
      <w:r>
        <w:rPr>
          <w:rFonts w:ascii="Times New Roman" w:hAnsi="Times New Roman" w:cs="Times New Roman" w:eastAsia="Times New Roman" w:hint="default"/>
        </w:rPr>
        <w:t>ME&amp;CITY</w:t>
      </w:r>
      <w:r>
        <w:rPr>
          <w:rFonts w:ascii="Times New Roman" w:hAnsi="Times New Roman" w:cs="Times New Roman" w:eastAsia="Times New Roman" w:hint="default"/>
          <w:spacing w:val="-6"/>
        </w:rPr>
        <w:t> </w:t>
      </w:r>
      <w:r>
        <w:rPr>
          <w:rFonts w:ascii="Times New Roman" w:hAnsi="Times New Roman" w:cs="Times New Roman" w:eastAsia="Times New Roman" w:hint="default"/>
        </w:rPr>
        <w:t>KIDS</w:t>
      </w:r>
      <w:r>
        <w:rPr/>
        <w:t>、</w:t>
      </w:r>
      <w:r>
        <w:rPr>
          <w:rFonts w:ascii="Times New Roman" w:hAnsi="Times New Roman" w:cs="Times New Roman" w:eastAsia="Times New Roman" w:hint="default"/>
        </w:rPr>
        <w:t>CH'IN</w:t>
      </w:r>
      <w:r>
        <w:rPr/>
        <w:t>祺品牌清晰的市场定位使公司从产品开发、设计到生产、销 </w:t>
      </w:r>
      <w:r>
        <w:rPr>
          <w:spacing w:val="-2"/>
        </w:rPr>
        <w:t>售都紧紧围绕目标消费群的需求。同时，针对服装行业经营业绩季节性波动的风险，公司主动采取了稳健经营的策略，采取</w:t>
      </w:r>
      <w:r>
        <w:rPr>
          <w:spacing w:val="-66"/>
        </w:rPr>
        <w:t> </w:t>
      </w:r>
      <w:r>
        <w:rPr>
          <w:spacing w:val="-66"/>
        </w:rPr>
      </w:r>
      <w:r>
        <w:rPr>
          <w:spacing w:val="-2"/>
        </w:rPr>
        <w:t>深度款挖掘、精选畅销款式以及有效降低服饰成本等方式降低经营风险，并根据南北方温差情况适度灵活调配货品的货量供</w:t>
      </w:r>
      <w:r>
        <w:rPr>
          <w:spacing w:val="-64"/>
        </w:rPr>
        <w:t> </w:t>
      </w:r>
      <w:r>
        <w:rPr>
          <w:spacing w:val="-64"/>
        </w:rPr>
      </w:r>
      <w:r>
        <w:rPr/>
        <w:t>应及上市节奏。</w:t>
      </w:r>
    </w:p>
    <w:p>
      <w:pPr>
        <w:pStyle w:val="BodyText"/>
        <w:spacing w:line="316" w:lineRule="auto" w:before="63"/>
        <w:ind w:right="1131" w:firstLine="300"/>
        <w:jc w:val="both"/>
      </w:pPr>
      <w:r>
        <w:rPr>
          <w:spacing w:val="-1"/>
        </w:rPr>
        <w:t>管理风险方面，对于直营体系，由各自分属的销售子公司负责管理。为充分发挥直营店在提升公司形象和支持市场拓展</w:t>
      </w:r>
      <w:r>
        <w:rPr/>
        <w:t> </w:t>
      </w:r>
      <w:r>
        <w:rPr>
          <w:spacing w:val="-2"/>
        </w:rPr>
        <w:t>战略方面的作用，公司针对直营店制定了全方位的管理体系；对于加盟渠道，针对加盟建立与直营一样的高效管理团队，在</w:t>
      </w:r>
      <w:r>
        <w:rPr>
          <w:spacing w:val="-66"/>
        </w:rPr>
        <w:t> </w:t>
      </w:r>
      <w:r>
        <w:rPr>
          <w:spacing w:val="-66"/>
        </w:rPr>
      </w:r>
      <w:r>
        <w:rPr/>
        <w:t>充分借鉴直营管理经验的基础上，帮助加盟商与直营一样持续提高管理能力，实现可持续的发展。</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420"/>
        <w:jc w:val="both"/>
      </w:pPr>
      <w:r>
        <w:rPr/>
        <w:t>报告期内，公司回归初心，坚守品牌升级、产品升级、渠道升级、零售升级策略，不断提升产品竞争力，经营业绩不 </w:t>
      </w:r>
      <w:r>
        <w:rPr>
          <w:spacing w:val="-2"/>
        </w:rPr>
        <w:t>断改善，进一步促进企业的可持续健康发展。</w:t>
      </w:r>
      <w:r>
        <w:rPr>
          <w:rFonts w:ascii="Times New Roman" w:hAnsi="Times New Roman" w:cs="Times New Roman" w:eastAsia="Times New Roman" w:hint="default"/>
          <w:spacing w:val="-2"/>
        </w:rPr>
        <w:t>2018</w:t>
      </w:r>
      <w:r>
        <w:rPr>
          <w:spacing w:val="-2"/>
        </w:rPr>
        <w:t>年度，产品与零售能力升级效果逐步显现，公司营业收入较去年同期增长</w:t>
      </w:r>
      <w:r>
        <w:rPr>
          <w:spacing w:val="-62"/>
        </w:rPr>
        <w:t> </w:t>
      </w:r>
      <w:r>
        <w:rPr>
          <w:spacing w:val="-62"/>
        </w:rPr>
      </w:r>
      <w:r>
        <w:rPr>
          <w:rFonts w:ascii="Times New Roman" w:hAnsi="Times New Roman" w:cs="Times New Roman" w:eastAsia="Times New Roman" w:hint="default"/>
        </w:rPr>
        <w:t>18.62%</w:t>
      </w:r>
      <w:r>
        <w:rPr/>
        <w:t>，经营业绩扭亏为盈，归属于上市公司股东的净利润同比增长</w:t>
      </w:r>
      <w:r>
        <w:rPr>
          <w:rFonts w:ascii="Times New Roman" w:hAnsi="Times New Roman" w:cs="Times New Roman" w:eastAsia="Times New Roman" w:hint="default"/>
        </w:rPr>
        <w:t>113.24%</w:t>
      </w:r>
      <w:r>
        <w:rPr/>
        <w:t>。</w:t>
      </w:r>
    </w:p>
    <w:p>
      <w:pPr>
        <w:pStyle w:val="BodyText"/>
        <w:spacing w:line="338" w:lineRule="auto" w:before="44"/>
        <w:ind w:left="514" w:right="0"/>
        <w:jc w:val="left"/>
      </w:pPr>
      <w:r>
        <w:rPr>
          <w:rFonts w:ascii="Times New Roman" w:hAnsi="Times New Roman" w:cs="Times New Roman" w:eastAsia="Times New Roman" w:hint="default"/>
        </w:rPr>
        <w:t>1</w:t>
      </w:r>
      <w:r>
        <w:rPr/>
        <w:t>、持续提升五大品牌产品竞争力升级，促进经营质量持续改善 </w:t>
      </w:r>
      <w:r>
        <w:rPr>
          <w:spacing w:val="-2"/>
        </w:rPr>
        <w:t>报告期内，公司继续深化品牌及产品的转型升级，使得多元时尚的品牌风格为更多消费者所广泛接受，以工匠精神打造</w:t>
      </w:r>
    </w:p>
    <w:p>
      <w:pPr>
        <w:pStyle w:val="BodyText"/>
        <w:spacing w:line="307" w:lineRule="auto" w:before="2"/>
        <w:ind w:right="1030"/>
        <w:jc w:val="left"/>
      </w:pPr>
      <w:r>
        <w:rPr>
          <w:spacing w:val="-4"/>
        </w:rPr>
        <w:t>多元时尚产品。进一步完善公司自身能力，把握当下流行趋势，为各品牌目标消费者提供极致高性价比的时尚品质产品体验，</w:t>
      </w:r>
      <w:r>
        <w:rPr>
          <w:spacing w:val="-44"/>
        </w:rPr>
        <w:t> </w:t>
      </w:r>
      <w:r>
        <w:rPr>
          <w:spacing w:val="-44"/>
        </w:rPr>
      </w:r>
      <w:r>
        <w:rPr/>
        <w:t>以提高品牌认可度和忠诚度。随着各品牌产品竞争力的提升，报告期内实现直营可比店铺销售收入同比增长约</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spacing w:val="-53"/>
        </w:rPr>
        <w:t> </w:t>
      </w:r>
      <w:r>
        <w:rPr/>
        <w:t>度，</w:t>
      </w:r>
      <w:r>
        <w:rPr>
          <w:rFonts w:ascii="Times New Roman" w:hAnsi="Times New Roman" w:cs="Times New Roman" w:eastAsia="Times New Roman" w:hint="default"/>
        </w:rPr>
        <w:t>Metersbonwe</w:t>
      </w:r>
      <w:r>
        <w:rPr/>
        <w:t>品牌收入业绩持续改善，全年实现销售收入同比增长</w:t>
      </w:r>
      <w:r>
        <w:rPr>
          <w:rFonts w:ascii="Times New Roman" w:hAnsi="Times New Roman" w:cs="Times New Roman" w:eastAsia="Times New Roman" w:hint="default"/>
        </w:rPr>
        <w:t>13%</w:t>
      </w:r>
      <w:r>
        <w:rPr/>
        <w:t>；</w:t>
      </w:r>
      <w:r>
        <w:rPr>
          <w:rFonts w:ascii="Times New Roman" w:hAnsi="Times New Roman" w:cs="Times New Roman" w:eastAsia="Times New Roman" w:hint="default"/>
        </w:rPr>
        <w:t>ME&amp;CITY</w:t>
      </w:r>
      <w:r>
        <w:rPr/>
        <w:t>品牌继续保持店铺面积和销售规模快 </w:t>
      </w:r>
      <w:r>
        <w:rPr>
          <w:spacing w:val="-3"/>
        </w:rPr>
        <w:t>速增长，</w:t>
      </w:r>
      <w:r>
        <w:rPr>
          <w:rFonts w:ascii="Times New Roman" w:hAnsi="Times New Roman" w:cs="Times New Roman" w:eastAsia="Times New Roman" w:hint="default"/>
          <w:spacing w:val="-3"/>
        </w:rPr>
        <w:t>2018</w:t>
      </w:r>
      <w:r>
        <w:rPr>
          <w:spacing w:val="-3"/>
        </w:rPr>
        <w:t>年实现销售收入同比增长</w:t>
      </w:r>
      <w:r>
        <w:rPr>
          <w:rFonts w:ascii="Times New Roman" w:hAnsi="Times New Roman" w:cs="Times New Roman" w:eastAsia="Times New Roman" w:hint="default"/>
          <w:spacing w:val="-3"/>
        </w:rPr>
        <w:t>48%</w:t>
      </w:r>
      <w:r>
        <w:rPr>
          <w:spacing w:val="-3"/>
        </w:rPr>
        <w:t>；</w:t>
      </w:r>
      <w:r>
        <w:rPr>
          <w:rFonts w:ascii="Times New Roman" w:hAnsi="Times New Roman" w:cs="Times New Roman" w:eastAsia="Times New Roman" w:hint="default"/>
          <w:spacing w:val="-3"/>
        </w:rPr>
        <w:t>Moomoo</w:t>
      </w:r>
      <w:r>
        <w:rPr>
          <w:spacing w:val="-3"/>
        </w:rPr>
        <w:t>和</w:t>
      </w:r>
      <w:r>
        <w:rPr>
          <w:rFonts w:ascii="Times New Roman" w:hAnsi="Times New Roman" w:cs="Times New Roman" w:eastAsia="Times New Roman" w:hint="default"/>
          <w:spacing w:val="-3"/>
        </w:rPr>
        <w:t>ME&amp;CITY</w:t>
      </w:r>
      <w:r>
        <w:rPr>
          <w:rFonts w:ascii="Times New Roman" w:hAnsi="Times New Roman" w:cs="Times New Roman" w:eastAsia="Times New Roman" w:hint="default"/>
          <w:spacing w:val="18"/>
        </w:rPr>
        <w:t> </w:t>
      </w:r>
      <w:r>
        <w:rPr>
          <w:rFonts w:ascii="Times New Roman" w:hAnsi="Times New Roman" w:cs="Times New Roman" w:eastAsia="Times New Roman" w:hint="default"/>
        </w:rPr>
        <w:t>KIDS</w:t>
      </w:r>
      <w:r>
        <w:rPr/>
        <w:t>两个童装品牌全年合计实现销售收入同比增长</w:t>
      </w:r>
      <w:r>
        <w:rPr>
          <w:rFonts w:ascii="Times New Roman" w:hAnsi="Times New Roman" w:cs="Times New Roman" w:eastAsia="Times New Roman" w:hint="default"/>
        </w:rPr>
        <w:t>24%</w:t>
      </w:r>
      <w:r>
        <w:rPr/>
        <w:t>。</w:t>
      </w:r>
    </w:p>
    <w:p>
      <w:pPr>
        <w:pStyle w:val="BodyText"/>
        <w:spacing w:line="338" w:lineRule="auto" w:before="48"/>
        <w:ind w:left="514" w:right="1110"/>
        <w:jc w:val="left"/>
      </w:pPr>
      <w:r>
        <w:rPr>
          <w:rFonts w:ascii="Times New Roman" w:hAnsi="Times New Roman" w:cs="Times New Roman" w:eastAsia="Times New Roman" w:hint="default"/>
        </w:rPr>
        <w:t>2</w:t>
      </w:r>
      <w:r>
        <w:rPr/>
        <w:t>、渠道升级策略逐见成效，店铺渠道结构更加优化 报告期内，公司坚持购物中心</w:t>
      </w:r>
      <w:r>
        <w:rPr>
          <w:rFonts w:ascii="Times New Roman" w:hAnsi="Times New Roman" w:cs="Times New Roman" w:eastAsia="Times New Roman" w:hint="default"/>
        </w:rPr>
        <w:t>+</w:t>
      </w:r>
      <w:r>
        <w:rPr/>
        <w:t>传统商圈并行发展的渠道策略，继续深化与全国各大知名购物中心的全面战略合作，借</w:t>
      </w:r>
    </w:p>
    <w:p>
      <w:pPr>
        <w:pStyle w:val="BodyText"/>
        <w:spacing w:line="217" w:lineRule="exact"/>
        <w:ind w:right="0"/>
        <w:jc w:val="left"/>
      </w:pPr>
      <w:r>
        <w:rPr/>
        <w:t>力消费升级巨大商机和多层次市场的发展机遇，整合社会资源，以加盟合作共创、共赢发展。以一、二线市场打造标杆样板</w:t>
      </w:r>
    </w:p>
    <w:p>
      <w:pPr>
        <w:pStyle w:val="BodyText"/>
        <w:spacing w:line="338" w:lineRule="auto" w:before="77"/>
        <w:ind w:left="514" w:right="0" w:hanging="360"/>
        <w:jc w:val="left"/>
      </w:pPr>
      <w:r>
        <w:rPr/>
        <w:t>店铺为基础，带动三、四线市场加盟合作发展为目标，促进渠道结构更加多元化。报告期内加盟经销收入同比增长</w:t>
      </w:r>
      <w:r>
        <w:rPr>
          <w:rFonts w:ascii="Times New Roman" w:hAnsi="Times New Roman" w:cs="Times New Roman" w:eastAsia="Times New Roman" w:hint="default"/>
        </w:rPr>
        <w:t>33%</w:t>
      </w:r>
      <w:r>
        <w:rPr/>
        <w:t>。 </w:t>
      </w:r>
      <w:r>
        <w:rPr>
          <w:rFonts w:ascii="Times New Roman" w:hAnsi="Times New Roman" w:cs="Times New Roman" w:eastAsia="Times New Roman" w:hint="default"/>
        </w:rPr>
        <w:t>3</w:t>
      </w:r>
      <w:r>
        <w:rPr/>
        <w:t>、全面深化零售能力升级，积极推动标准化能力建设 </w:t>
      </w:r>
      <w:r>
        <w:rPr>
          <w:spacing w:val="-2"/>
        </w:rPr>
        <w:t>报告期内，公司致力于推动零售标准化能力建设。公司对成功案例进行了标准化梳理，从品牌态度标准化和最佳盈利模</w:t>
      </w:r>
    </w:p>
    <w:p>
      <w:pPr>
        <w:pStyle w:val="BodyText"/>
        <w:spacing w:line="240" w:lineRule="auto" w:before="4"/>
        <w:ind w:right="0"/>
        <w:jc w:val="left"/>
      </w:pPr>
      <w:r>
        <w:rPr/>
        <w:t>式标准化两个维度，在直营及加盟渠道进行高效、快速复制，使经营规模和效益取得同步提升。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00"/>
        <w:jc w:val="left"/>
      </w:pPr>
      <w:r>
        <w:rPr>
          <w:spacing w:val="13"/>
        </w:rPr>
        <w:t>报告期内，</w:t>
      </w:r>
      <w:r>
        <w:rPr>
          <w:spacing w:val="-72"/>
        </w:rPr>
        <w:t> </w:t>
      </w:r>
      <w:r>
        <w:rPr>
          <w:spacing w:val="14"/>
        </w:rPr>
        <w:t>公司实现营业收入</w:t>
      </w:r>
      <w:r>
        <w:rPr>
          <w:spacing w:val="-69"/>
        </w:rPr>
        <w:t> </w:t>
      </w:r>
      <w:r>
        <w:rPr>
          <w:rFonts w:ascii="Times New Roman" w:hAnsi="Times New Roman" w:cs="Times New Roman" w:eastAsia="Times New Roman" w:hint="default"/>
        </w:rPr>
        <w:t>7,677,369,050.00</w:t>
      </w:r>
      <w:r>
        <w:rPr>
          <w:rFonts w:ascii="Times New Roman" w:hAnsi="Times New Roman" w:cs="Times New Roman" w:eastAsia="Times New Roman" w:hint="default"/>
          <w:spacing w:val="-25"/>
        </w:rPr>
        <w:t> </w:t>
      </w:r>
      <w:r>
        <w:rPr>
          <w:spacing w:val="8"/>
        </w:rPr>
        <w:t>元，</w:t>
      </w:r>
      <w:r>
        <w:rPr>
          <w:spacing w:val="-72"/>
        </w:rPr>
        <w:t> </w:t>
      </w:r>
      <w:r>
        <w:rPr>
          <w:spacing w:val="14"/>
        </w:rPr>
        <w:t>较上年同期增长</w:t>
      </w:r>
      <w:r>
        <w:rPr>
          <w:spacing w:val="-70"/>
        </w:rPr>
        <w:t> </w:t>
      </w:r>
      <w:r>
        <w:rPr>
          <w:rFonts w:ascii="Times New Roman" w:hAnsi="Times New Roman" w:cs="Times New Roman" w:eastAsia="Times New Roman" w:hint="default"/>
          <w:spacing w:val="2"/>
        </w:rPr>
        <w:t>18.62%</w:t>
      </w:r>
      <w:r>
        <w:rPr>
          <w:spacing w:val="2"/>
        </w:rPr>
        <w:t>；</w:t>
      </w:r>
      <w:r>
        <w:rPr>
          <w:spacing w:val="-72"/>
        </w:rPr>
        <w:t> </w:t>
      </w:r>
      <w:r>
        <w:rPr>
          <w:spacing w:val="15"/>
        </w:rPr>
        <w:t>实现归属于上市公司股东的净利润</w:t>
      </w:r>
      <w:r>
        <w:rPr/>
        <w:t> </w:t>
      </w:r>
      <w:r>
        <w:rPr>
          <w:rFonts w:ascii="Times New Roman" w:hAnsi="Times New Roman" w:cs="Times New Roman" w:eastAsia="Times New Roman" w:hint="default"/>
        </w:rPr>
        <w:t>40,361,571.00</w:t>
      </w:r>
      <w:r>
        <w:rPr/>
        <w:t>元，同比增长</w:t>
      </w:r>
      <w:r>
        <w:rPr>
          <w:rFonts w:ascii="Times New Roman" w:hAnsi="Times New Roman" w:cs="Times New Roman" w:eastAsia="Times New Roman" w:hint="default"/>
        </w:rPr>
        <w:t>113.24%</w:t>
      </w:r>
      <w:r>
        <w:rPr/>
        <w:t>；实现每股收益</w:t>
      </w:r>
      <w:r>
        <w:rPr>
          <w:rFonts w:ascii="Times New Roman" w:hAnsi="Times New Roman" w:cs="Times New Roman" w:eastAsia="Times New Roman" w:hint="default"/>
        </w:rPr>
        <w:t>0.02</w:t>
      </w:r>
      <w:r>
        <w:rPr/>
        <w:t>元</w:t>
      </w:r>
      <w:r>
        <w:rPr>
          <w:rFonts w:ascii="Times New Roman" w:hAnsi="Times New Roman" w:cs="Times New Roman" w:eastAsia="Times New Roman" w:hint="default"/>
        </w:rPr>
        <w:t>/</w:t>
      </w:r>
      <w:r>
        <w:rPr/>
        <w:t>股，较上年同期增长</w:t>
      </w:r>
      <w:r>
        <w:rPr>
          <w:rFonts w:ascii="Times New Roman" w:hAnsi="Times New Roman" w:cs="Times New Roman" w:eastAsia="Times New Roman" w:hint="default"/>
        </w:rPr>
        <w:t>116.67%</w:t>
      </w:r>
      <w:r>
        <w:rPr/>
        <w:t>。</w:t>
      </w:r>
    </w:p>
    <w:p>
      <w:pPr>
        <w:pStyle w:val="BodyText"/>
        <w:spacing w:line="300" w:lineRule="auto" w:before="13"/>
        <w:ind w:right="0" w:firstLine="300"/>
        <w:jc w:val="left"/>
      </w:pPr>
      <w:r>
        <w:rPr/>
        <w:t>截至报告期末，公司总资产</w:t>
      </w:r>
      <w:r>
        <w:rPr>
          <w:rFonts w:ascii="Times New Roman" w:hAnsi="Times New Roman" w:cs="Times New Roman" w:eastAsia="Times New Roman" w:hint="default"/>
        </w:rPr>
        <w:t>7,208,952,308.00</w:t>
      </w:r>
      <w:r>
        <w:rPr/>
        <w:t>元，较年初增长</w:t>
      </w:r>
      <w:r>
        <w:rPr>
          <w:rFonts w:ascii="Times New Roman" w:hAnsi="Times New Roman" w:cs="Times New Roman" w:eastAsia="Times New Roman" w:hint="default"/>
        </w:rPr>
        <w:t>8.97%</w:t>
      </w:r>
      <w:r>
        <w:rPr/>
        <w:t>；归属于上市公司股东的所有者权益</w:t>
      </w:r>
      <w:r>
        <w:rPr>
          <w:rFonts w:ascii="Times New Roman" w:hAnsi="Times New Roman" w:cs="Times New Roman" w:eastAsia="Times New Roman" w:hint="default"/>
        </w:rPr>
        <w:t>2,877,695,239.00 </w:t>
      </w:r>
      <w:r>
        <w:rPr/>
        <w:t>元，较年初增长</w:t>
      </w:r>
      <w:r>
        <w:rPr>
          <w:rFonts w:ascii="Times New Roman" w:hAnsi="Times New Roman" w:cs="Times New Roman" w:eastAsia="Times New Roman" w:hint="default"/>
        </w:rPr>
        <w:t>1.42%</w:t>
      </w:r>
      <w:r>
        <w:rPr/>
        <w:t>。</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606"/>
        <w:gridCol w:w="1583"/>
        <w:gridCol w:w="1606"/>
        <w:gridCol w:w="1571"/>
        <w:gridCol w:w="1606"/>
      </w:tblGrid>
      <w:tr>
        <w:trPr>
          <w:trHeight w:val="205"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7,677,369,050.00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6,472,359,205.00</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18.62%</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7,619,281,049.00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6,408,904,832.00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58,088,001.00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63,454,373.00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4,211,828,068.00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3,796,097,865.00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2,802,429,593.00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2,129,808,276.00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605,023,388.00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482,998,691.00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58,088,001.00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63,454,373.00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8,810,509,602.00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7,196,171,434.00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1,114,525,831.00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911,115,026.00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1,222,917,752.00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1,036,219,140.00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1,216,758,362.00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1,034,601,286.00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-4,687,342,497.00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-3,705,747,681.00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7,619,281,049.00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4,203,709,373.00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4,211,828,068.00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2,311,858,270.00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2,802,429,593.00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1,538,027,533.00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605,023,388.00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353,823,570.00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8,669,062,164.00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6,460,079,106.00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1,091,191,995.00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657,934,589.00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1,217,303,110.00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827,142,587.00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1,211,614,004.00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787,394,417.00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-4,569,890,224.0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-4,528,841,326.0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服装批发零售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82,155,459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68,873,369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19.28%</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76,606,011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79,342,065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45,355,497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50,904,945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-10.90%</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4,203,709,373.00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3,356,827,549.00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25.23%</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44,857,432.00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44,356,682.00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1.13%</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2,311,858,270.00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1,967,751,027.00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1,538,027,533.00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1,123,434,587.00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353,823,570.00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265,641,935.00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44,857,432.00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44,356,682.00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1.13%</w:t>
            </w:r>
          </w:p>
        </w:tc>
      </w:tr>
    </w:tbl>
    <w:p>
      <w:pPr>
        <w:pStyle w:val="BodyText"/>
        <w:spacing w:line="357" w:lineRule="auto" w:before="51"/>
        <w:ind w:right="10392"/>
        <w:jc w:val="left"/>
      </w:pPr>
      <w:r>
        <w:rPr/>
        <w:t>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0" w:lineRule="auto" w:before="102"/>
        <w:ind w:right="0" w:firstLine="420"/>
        <w:jc w:val="left"/>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日设立子公司法人独资有限责任公司石家庄美特斯邦威服饰有限公司，注册资本为人民币</w:t>
      </w:r>
      <w:r>
        <w:rPr>
          <w:rFonts w:ascii="Times New Roman" w:hAnsi="Times New Roman" w:cs="Times New Roman" w:eastAsia="Times New Roman" w:hint="default"/>
        </w:rPr>
        <w:t>1,000 </w:t>
      </w:r>
      <w:r>
        <w:rPr/>
        <w:t>万元。公司自设立之后纳入本公司合并财务报表的合并范围。</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0" w:lineRule="auto" w:before="44"/>
        <w:ind w:right="0" w:firstLine="420"/>
        <w:jc w:val="left"/>
      </w:pP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日设立子公司法人独资有限责任公司太原美特斯邦威服饰有限公司，注册资本为人民币</w:t>
      </w:r>
      <w:r>
        <w:rPr>
          <w:rFonts w:ascii="Times New Roman" w:hAnsi="Times New Roman" w:cs="Times New Roman" w:eastAsia="Times New Roman" w:hint="default"/>
          <w:spacing w:val="2"/>
        </w:rPr>
        <w:t>1,000</w:t>
      </w:r>
      <w:r>
        <w:rPr>
          <w:spacing w:val="2"/>
        </w:rPr>
        <w:t>万</w:t>
      </w:r>
      <w:r>
        <w:rPr/>
        <w:t> 元。公司自设立之后纳入本公司合并财务报表的合并范围。</w:t>
      </w:r>
    </w:p>
    <w:p>
      <w:pPr>
        <w:spacing w:line="240" w:lineRule="auto" w:before="4"/>
        <w:rPr>
          <w:rFonts w:ascii="宋体" w:hAnsi="宋体" w:cs="宋体" w:eastAsia="宋体" w:hint="default"/>
          <w:sz w:val="26"/>
          <w:szCs w:val="26"/>
        </w:rPr>
      </w:pPr>
    </w:p>
    <w:p>
      <w:pPr>
        <w:pStyle w:val="BodyText"/>
        <w:spacing w:line="300" w:lineRule="auto"/>
        <w:ind w:right="0" w:firstLine="420"/>
        <w:jc w:val="left"/>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日设立子公司法人独资有限责任公司内蒙古美特斯邦威服饰有限公司，注册资本为人民币</w:t>
      </w:r>
      <w:r>
        <w:rPr>
          <w:rFonts w:ascii="Times New Roman" w:hAnsi="Times New Roman" w:cs="Times New Roman" w:eastAsia="Times New Roman" w:hint="default"/>
        </w:rPr>
        <w:t>500</w:t>
      </w:r>
      <w:r>
        <w:rPr/>
        <w:t>万 元。公司自设立之后纳入本公司合并财务报表的合并范围。</w:t>
      </w:r>
    </w:p>
    <w:p>
      <w:pPr>
        <w:spacing w:line="240" w:lineRule="auto" w:before="3"/>
        <w:rPr>
          <w:rFonts w:ascii="宋体" w:hAnsi="宋体" w:cs="宋体" w:eastAsia="宋体" w:hint="default"/>
          <w:sz w:val="26"/>
          <w:szCs w:val="26"/>
        </w:rPr>
      </w:pPr>
    </w:p>
    <w:p>
      <w:pPr>
        <w:pStyle w:val="BodyText"/>
        <w:spacing w:line="240" w:lineRule="auto"/>
        <w:ind w:left="574" w:right="0"/>
        <w:jc w:val="left"/>
      </w:pPr>
      <w:r>
        <w:rPr/>
        <w:t>除以上事项之外，合并财务报表范围与上年度一致。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314,051,567.00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166,823,415.00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46,813,840.00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37,065,662.00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35,805,868.00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27,542,782.00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314,051,567.00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w:t>
            </w:r>
          </w:p>
        </w:tc>
      </w:tr>
    </w:tbl>
    <w:p>
      <w:pPr>
        <w:pStyle w:val="BodyText"/>
        <w:spacing w:line="240" w:lineRule="auto" w:before="51"/>
        <w:ind w:right="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601,006,905.00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179,309,819.00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113,279,437.00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104,876,253.00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104,092,838.00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99,448,558.00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601,006,905.00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13.46%</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2,710,599,737.00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2,510,458,587.00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151,673,217.00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186,446,097.00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80,535,072.00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64,965,436.00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155,552,394.00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160,582,643.00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公司的研发支出主要用于信息技术研发和产品设计研发，本报告期内公司两项研发支出金额分别为</w:t>
      </w:r>
      <w:r>
        <w:rPr>
          <w:rFonts w:ascii="Times New Roman" w:hAnsi="Times New Roman" w:cs="Times New Roman" w:eastAsia="Times New Roman" w:hint="default"/>
        </w:rPr>
        <w:t>9,013.31</w:t>
      </w:r>
      <w:r>
        <w:rPr/>
        <w:t>万元、</w:t>
      </w:r>
      <w:r>
        <w:rPr>
          <w:rFonts w:ascii="Times New Roman" w:hAnsi="Times New Roman" w:cs="Times New Roman" w:eastAsia="Times New Roman" w:hint="default"/>
        </w:rPr>
        <w:t>6,541.93 </w:t>
      </w:r>
      <w:r>
        <w:rPr>
          <w:spacing w:val="-2"/>
        </w:rPr>
        <w:t>万元，总计约</w:t>
      </w:r>
      <w:r>
        <w:rPr>
          <w:rFonts w:ascii="Times New Roman" w:hAnsi="Times New Roman" w:cs="Times New Roman" w:eastAsia="Times New Roman" w:hint="default"/>
          <w:spacing w:val="-2"/>
        </w:rPr>
        <w:t>15,555.24</w:t>
      </w:r>
      <w:r>
        <w:rPr>
          <w:spacing w:val="-2"/>
        </w:rPr>
        <w:t>万元。本年度公司信息技术研发投入主要为自有电商平台开发和公司信息管理系统研发支出，产品设</w:t>
      </w:r>
    </w:p>
    <w:p>
      <w:pPr>
        <w:pStyle w:val="BodyText"/>
        <w:spacing w:line="676" w:lineRule="auto"/>
        <w:ind w:right="6972"/>
        <w:jc w:val="left"/>
      </w:pPr>
      <w:r>
        <w:rPr/>
        <w:pict>
          <v:shape style="position:absolute;margin-left:57.029999pt;margin-top:50.291691pt;width:478.6pt;height:156.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155,552,394.00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160,582,642.00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计研发主要为公司设计及工艺部门的费用支出。 公司研发投入情况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8,354,787,710.00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7,439,197,148.00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7,732,868,126.00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7,758,575,984.00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621,919,584.00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-319,378,836.00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3,286,829.00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183,530,537.00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287,163,541.00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263,811,127.00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-283,876,712.00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-80,280,590.00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-253.61%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1,859,843,371.00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2,211,747,102.00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2,083,709,290.00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-351,903,731.00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46,290,710.00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-860.20%</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-13,860,859.00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-353,368,716.00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96.08%</w:t>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3"/>
        <w:ind w:right="1197"/>
        <w:jc w:val="left"/>
      </w:pPr>
      <w:r>
        <w:rPr/>
        <w:t>（</w:t>
      </w:r>
      <w:r>
        <w:rPr>
          <w:rFonts w:ascii="Times New Roman" w:hAnsi="Times New Roman" w:cs="Times New Roman" w:eastAsia="Times New Roman" w:hint="default"/>
        </w:rPr>
        <w:t>1</w:t>
      </w:r>
      <w:r>
        <w:rPr/>
        <w:t>）经营活动产生的现金流量净额与上年同比增加</w:t>
      </w:r>
      <w:r>
        <w:rPr>
          <w:rFonts w:ascii="Times New Roman" w:hAnsi="Times New Roman" w:cs="Times New Roman" w:eastAsia="Times New Roman" w:hint="default"/>
        </w:rPr>
        <w:t>294.73%</w:t>
      </w:r>
      <w:r>
        <w:rPr/>
        <w:t>，主要是由于本年度收入增长，收到的销售货款较上一年度增 加所致。</w:t>
      </w:r>
    </w:p>
    <w:p>
      <w:pPr>
        <w:pStyle w:val="BodyText"/>
        <w:spacing w:line="240" w:lineRule="auto" w:before="31"/>
        <w:ind w:right="0"/>
        <w:jc w:val="left"/>
      </w:pPr>
      <w:r>
        <w:rPr/>
        <w:t>（</w:t>
      </w:r>
      <w:r>
        <w:rPr>
          <w:rFonts w:ascii="Times New Roman" w:hAnsi="Times New Roman" w:cs="Times New Roman" w:eastAsia="Times New Roman" w:hint="default"/>
        </w:rPr>
        <w:t>2</w:t>
      </w:r>
      <w:r>
        <w:rPr/>
        <w:t>）投资活动产生的现金流量净额比上年同比减少</w:t>
      </w:r>
      <w:r>
        <w:rPr>
          <w:rFonts w:ascii="Times New Roman" w:hAnsi="Times New Roman" w:cs="Times New Roman" w:eastAsia="Times New Roman" w:hint="default"/>
        </w:rPr>
        <w:t>253.61%</w:t>
      </w:r>
      <w:r>
        <w:rPr/>
        <w:t>，主要是由于上年同期收回大额分红款所致。</w:t>
      </w:r>
    </w:p>
    <w:p>
      <w:pPr>
        <w:pStyle w:val="BodyText"/>
        <w:spacing w:line="240" w:lineRule="auto" w:before="63"/>
        <w:ind w:right="0"/>
        <w:jc w:val="left"/>
      </w:pPr>
      <w:r>
        <w:rPr/>
        <w:t>（</w:t>
      </w:r>
      <w:r>
        <w:rPr>
          <w:rFonts w:ascii="Times New Roman" w:hAnsi="Times New Roman" w:cs="Times New Roman" w:eastAsia="Times New Roman" w:hint="default"/>
        </w:rPr>
        <w:t>3</w:t>
      </w:r>
      <w:r>
        <w:rPr/>
        <w:t>）筹资活动产生的现金流量净额比上年同期减少</w:t>
      </w:r>
      <w:r>
        <w:rPr>
          <w:rFonts w:ascii="Times New Roman" w:hAnsi="Times New Roman" w:cs="Times New Roman" w:eastAsia="Times New Roman" w:hint="default"/>
        </w:rPr>
        <w:t>860.20%</w:t>
      </w:r>
      <w:r>
        <w:rPr/>
        <w:t>，主要是由于本年度公司债券到期偿付所致。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300" w:lineRule="auto" w:before="127"/>
        <w:ind w:right="0"/>
        <w:jc w:val="left"/>
      </w:pPr>
      <w:r>
        <w:rPr>
          <w:spacing w:val="-1"/>
        </w:rPr>
        <w:t>本报告期内，经营活动产生的现金净流量</w:t>
      </w:r>
      <w:r>
        <w:rPr>
          <w:rFonts w:ascii="Times New Roman" w:hAnsi="Times New Roman" w:cs="Times New Roman" w:eastAsia="Times New Roman" w:hint="default"/>
          <w:spacing w:val="-1"/>
        </w:rPr>
        <w:t>6.22</w:t>
      </w:r>
      <w:r>
        <w:rPr>
          <w:spacing w:val="-1"/>
        </w:rPr>
        <w:t>亿元，与本年度净利润</w:t>
      </w:r>
      <w:r>
        <w:rPr>
          <w:rFonts w:ascii="Times New Roman" w:hAnsi="Times New Roman" w:cs="Times New Roman" w:eastAsia="Times New Roman" w:hint="default"/>
          <w:spacing w:val="-1"/>
        </w:rPr>
        <w:t>0.4</w:t>
      </w:r>
      <w:r>
        <w:rPr>
          <w:spacing w:val="-1"/>
        </w:rPr>
        <w:t>亿元存在差异</w:t>
      </w:r>
      <w:r>
        <w:rPr>
          <w:rFonts w:ascii="Times New Roman" w:hAnsi="Times New Roman" w:cs="Times New Roman" w:eastAsia="Times New Roman" w:hint="default"/>
          <w:spacing w:val="-1"/>
        </w:rPr>
        <w:t>5.82</w:t>
      </w:r>
      <w:r>
        <w:rPr>
          <w:spacing w:val="-1"/>
        </w:rPr>
        <w:t>亿元，主要由于本年度资产类折旧</w:t>
      </w:r>
      <w:r>
        <w:rPr>
          <w:spacing w:val="-74"/>
        </w:rPr>
        <w:t> </w:t>
      </w:r>
      <w:r>
        <w:rPr>
          <w:spacing w:val="-74"/>
        </w:rPr>
      </w:r>
      <w:r>
        <w:rPr/>
        <w:t>金额</w:t>
      </w:r>
      <w:r>
        <w:rPr>
          <w:rFonts w:ascii="Times New Roman" w:hAnsi="Times New Roman" w:cs="Times New Roman" w:eastAsia="Times New Roman" w:hint="default"/>
        </w:rPr>
        <w:t>0.87</w:t>
      </w:r>
      <w:r>
        <w:rPr/>
        <w:t>亿元，财务费用支出及其他费用摊销</w:t>
      </w:r>
      <w:r>
        <w:rPr>
          <w:rFonts w:ascii="Times New Roman" w:hAnsi="Times New Roman" w:cs="Times New Roman" w:eastAsia="Times New Roman" w:hint="default"/>
        </w:rPr>
        <w:t>2.63</w:t>
      </w:r>
      <w:r>
        <w:rPr/>
        <w:t>亿元，存货规模下降</w:t>
      </w:r>
      <w:r>
        <w:rPr>
          <w:rFonts w:ascii="Times New Roman" w:hAnsi="Times New Roman" w:cs="Times New Roman" w:eastAsia="Times New Roman" w:hint="default"/>
        </w:rPr>
        <w:t>3.44</w:t>
      </w:r>
      <w:r>
        <w:rPr/>
        <w:t>亿元，导致影响利润较大所致。</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3" w:right="0"/>
              <w:jc w:val="left"/>
              <w:rPr>
                <w:rFonts w:ascii="Times New Roman" w:hAnsi="Times New Roman" w:cs="Times New Roman" w:eastAsia="Times New Roman" w:hint="default"/>
                <w:sz w:val="18"/>
                <w:szCs w:val="18"/>
              </w:rPr>
            </w:pPr>
            <w:r>
              <w:rPr>
                <w:rFonts w:ascii="Times New Roman"/>
                <w:sz w:val="18"/>
              </w:rPr>
              <w:t>48,327,961.00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99.07%</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主要是对联营企业上海华瑞 银行确认的投资收益所致。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3"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42"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312,987,299.00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641.62%</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主要是本年度存货跌价计提 及长期资产减值、应收账款</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vMerge/>
            <w:tcBorders>
              <w:left w:val="single" w:sz="13"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42"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13"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减值所致。</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8,509,812.00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主要是本年度违约金及罚没 收入所致。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14,517,574.00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38"/>
              <w:jc w:val="left"/>
              <w:rPr>
                <w:rFonts w:ascii="宋体" w:hAnsi="宋体" w:cs="宋体" w:eastAsia="宋体" w:hint="default"/>
                <w:sz w:val="18"/>
                <w:szCs w:val="18"/>
              </w:rPr>
            </w:pPr>
            <w:r>
              <w:rPr>
                <w:rFonts w:ascii="宋体" w:hAnsi="宋体" w:cs="宋体" w:eastAsia="宋体" w:hint="default"/>
                <w:sz w:val="18"/>
                <w:szCs w:val="18"/>
              </w:rPr>
              <w:t>主要是本年度关店损失所 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381,662,965.0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5.29%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540,417,195.00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8.17%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-2.88%</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1,217,243,227.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16.89%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438,912,867.00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6.63%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10.26%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主要是由于对客户信用赊销金额增 加所致。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2,348,821,208.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32.58%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2,564,678,185.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38.77%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-6.19%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276,021,051.0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3.83%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111,636,032.00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1.69%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2.14%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3"/>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主要是由于本年度公司部分自有物 业对外出租所致。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557,811,744.0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7.74%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509,489,278.00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7.70%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1,211,586,636.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16.81%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1,424,671,241.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21.53%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-4.72%</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2,109,737.00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1,570,128.00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主要是由于本年度系统升级项目支 出增加所致。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17.72%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-2.74%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339,818,666.0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126,866,806.00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主要由于本年度公司给予部分加盟 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年以上的经营性资金支持增加所 致。</w:t>
            </w: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 w:right="75"/>
              <w:jc w:val="left"/>
              <w:rPr>
                <w:rFonts w:ascii="宋体" w:hAnsi="宋体" w:cs="宋体" w:eastAsia="宋体" w:hint="default"/>
                <w:sz w:val="18"/>
                <w:szCs w:val="18"/>
              </w:rPr>
            </w:pPr>
            <w:r>
              <w:rPr>
                <w:rFonts w:ascii="宋体" w:hAnsi="宋体" w:cs="宋体" w:eastAsia="宋体" w:hint="default"/>
                <w:sz w:val="18"/>
                <w:szCs w:val="18"/>
              </w:rPr>
              <w:t>应付票据及应付 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2,341,314,057.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1,510,265,612.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主要是由于本年度采购款支付周期 较上年度延长导致应付票据增加所 致。</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185,744,148.0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125,072,045.00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83"/>
              <w:jc w:val="left"/>
              <w:rPr>
                <w:rFonts w:ascii="宋体" w:hAnsi="宋体" w:cs="宋体" w:eastAsia="宋体" w:hint="default"/>
                <w:sz w:val="18"/>
                <w:szCs w:val="18"/>
              </w:rPr>
            </w:pPr>
            <w:r>
              <w:rPr>
                <w:rFonts w:ascii="宋体" w:hAnsi="宋体" w:cs="宋体" w:eastAsia="宋体" w:hint="default"/>
                <w:sz w:val="18"/>
                <w:szCs w:val="18"/>
              </w:rPr>
              <w:t>主要由于本年度收入增长使得应交 增值税余额较上年同期增加所致。</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一年内到期的非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256,364,928.00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主要是由于本年度公司债券完成到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71"/>
        <w:gridCol w:w="1164"/>
        <w:gridCol w:w="1063"/>
        <w:gridCol w:w="1196"/>
        <w:gridCol w:w="1063"/>
        <w:gridCol w:w="798"/>
        <w:gridCol w:w="2918"/>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期偿付所致。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4" w:firstLine="42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1,181,740</w:t>
      </w:r>
      <w:r>
        <w:rPr/>
        <w:t>元的银行存款用于银行承兑汇票授信额度、信用证授信额度及综合授 信额度保证金。</w:t>
      </w:r>
    </w:p>
    <w:p>
      <w:pPr>
        <w:pStyle w:val="BodyText"/>
        <w:spacing w:line="300" w:lineRule="auto" w:before="31"/>
        <w:ind w:right="1131" w:firstLine="42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129,514,578</w:t>
      </w:r>
      <w:r>
        <w:rPr/>
        <w:t>元固定资产用于取得中国民生银行上海分行借款抵押；账面价值为 </w:t>
      </w:r>
      <w:r>
        <w:rPr>
          <w:spacing w:val="-2"/>
        </w:rPr>
        <w:t>人民币</w:t>
      </w:r>
      <w:r>
        <w:rPr>
          <w:rFonts w:ascii="Times New Roman" w:hAnsi="Times New Roman" w:cs="Times New Roman" w:eastAsia="Times New Roman" w:hint="default"/>
          <w:spacing w:val="-2"/>
        </w:rPr>
        <w:t>271,554,102</w:t>
      </w:r>
      <w:r>
        <w:rPr>
          <w:spacing w:val="-2"/>
        </w:rPr>
        <w:t>元固定资产用于取得中国农业银行上海南汇支行借款抵押；账面价值为人民币</w:t>
      </w:r>
      <w:r>
        <w:rPr>
          <w:rFonts w:ascii="Times New Roman" w:hAnsi="Times New Roman" w:cs="Times New Roman" w:eastAsia="Times New Roman" w:hint="default"/>
          <w:spacing w:val="-2"/>
        </w:rPr>
        <w:t>313,564,706</w:t>
      </w:r>
      <w:r>
        <w:rPr>
          <w:spacing w:val="-2"/>
        </w:rPr>
        <w:t>元固定资产用于</w:t>
      </w:r>
      <w:r>
        <w:rPr>
          <w:spacing w:val="-45"/>
        </w:rPr>
        <w:t> </w:t>
      </w:r>
      <w:r>
        <w:rPr>
          <w:spacing w:val="-45"/>
        </w:rPr>
      </w:r>
      <w:r>
        <w:rPr>
          <w:spacing w:val="-2"/>
        </w:rPr>
        <w:t>取得中国建设银行上海普陀分行借款抵押。账面价值为人民币</w:t>
      </w:r>
      <w:r>
        <w:rPr>
          <w:rFonts w:ascii="Times New Roman" w:hAnsi="Times New Roman" w:cs="Times New Roman" w:eastAsia="Times New Roman" w:hint="default"/>
          <w:spacing w:val="-2"/>
        </w:rPr>
        <w:t>363,318,865</w:t>
      </w:r>
      <w:r>
        <w:rPr>
          <w:spacing w:val="-2"/>
        </w:rPr>
        <w:t>元固定资产用于取得浙商银行宁波分行借款抵押及</w:t>
      </w:r>
      <w:r>
        <w:rPr>
          <w:spacing w:val="-54"/>
        </w:rPr>
        <w:t> </w:t>
      </w:r>
      <w:r>
        <w:rPr/>
        <w:t>银行承兑汇票。</w:t>
      </w:r>
    </w:p>
    <w:p>
      <w:pPr>
        <w:pStyle w:val="BodyText"/>
        <w:spacing w:line="300" w:lineRule="auto" w:before="31"/>
        <w:ind w:right="1132" w:firstLine="420"/>
        <w:jc w:val="both"/>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日，账面价值为人民币</w:t>
      </w:r>
      <w:r>
        <w:rPr>
          <w:rFonts w:ascii="Times New Roman" w:hAnsi="Times New Roman" w:cs="Times New Roman" w:eastAsia="Times New Roman" w:hint="default"/>
          <w:spacing w:val="-1"/>
        </w:rPr>
        <w:t>16,381,803</w:t>
      </w:r>
      <w:r>
        <w:rPr>
          <w:spacing w:val="-1"/>
        </w:rPr>
        <w:t>元土地使用权用于取得中国农业银行上海南汇支行银行借款抵押；公</w:t>
      </w:r>
      <w:r>
        <w:rPr/>
        <w:t> 司用于抵押的土地使用权于</w:t>
      </w:r>
      <w:r>
        <w:rPr>
          <w:rFonts w:ascii="Times New Roman" w:hAnsi="Times New Roman" w:cs="Times New Roman" w:eastAsia="Times New Roman" w:hint="default"/>
        </w:rPr>
        <w:t>2018</w:t>
      </w:r>
      <w:r>
        <w:rPr/>
        <w:t>年的摊销额为人民币</w:t>
      </w:r>
      <w:r>
        <w:rPr>
          <w:rFonts w:ascii="Times New Roman" w:hAnsi="Times New Roman" w:cs="Times New Roman" w:eastAsia="Times New Roman" w:hint="default"/>
        </w:rPr>
        <w:t>405,664</w:t>
      </w:r>
      <w:r>
        <w:rPr/>
        <w:t>元。</w:t>
      </w:r>
    </w:p>
    <w:p>
      <w:pPr>
        <w:pStyle w:val="BodyText"/>
        <w:spacing w:line="300" w:lineRule="auto" w:before="13"/>
        <w:ind w:right="1170" w:firstLine="42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157,408,257</w:t>
      </w:r>
      <w:r>
        <w:rPr/>
        <w:t>元的投资性房地产用于取得浙商银行宁波分行借款抵押及银行承兑 汇票；账面价值为人民币</w:t>
      </w:r>
      <w:r>
        <w:rPr>
          <w:rFonts w:ascii="Times New Roman" w:hAnsi="Times New Roman" w:cs="Times New Roman" w:eastAsia="Times New Roman" w:hint="default"/>
        </w:rPr>
        <w:t>65,515,006</w:t>
      </w:r>
      <w:r>
        <w:rPr/>
        <w:t>元固定资产用于取得建设银行上海普陀分行借款抵押。</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上海美特斯 邦威服饰销 售有限公司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226,375,818.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-249,737,493</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509,497,603.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-80,885,652.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-78,621,913.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哈尔滨美特 斯邦威服饰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73,654,965.0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-12,789,933.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125,295,918.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-9,095,181.0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-11,142,949.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南昌美特斯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56,697,596.0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-5,568,835.0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83,610,719.0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-4,397,388.0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-5,023,576.0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宁波美特斯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57,738,286.0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-67,076,975.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77,721,089.0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9,507,555.00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14,305,297.0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西安美特斯 邦威服饰有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100,065,695.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-74,511,601.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158,897,462.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4,419,017.00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4,141,350.00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141,823,433.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-195,529,080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269,019,676.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18,766,854.0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18,509,383.0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重庆美特斯 邦威服饰有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203,379,414.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-76,214,264.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381,225,390.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31,566,220.0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28,203,657.0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广州美特斯 邦威服装有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135,769,272.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-119,256,667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188,609,706.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6,658,864.00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6,883,510.00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南京美特斯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107,422,234.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-41,449,426.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146,189,703.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4,777,686.00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4,978,324.00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武汉美特斯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164,212,699.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-68,952,711.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280,020,913.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-20,031,135.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-19,922,745.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长春美特斯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84,943,091.0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-23,698,157.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116,327,117.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-10,717,628.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-14,666,935.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兰州美特斯 邦威服饰有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52,223,210.0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-8,353,336.0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70,229,951.0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-8,937,123.0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-9,347,417.0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上海米安斯 迪服饰有限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494,200,870.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27,403,054.0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974,796,139.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31,285,192.0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22,106,809.0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苏州美特斯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142,759,693.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-125,276,048</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217,912,055.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-10,160,219.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-10,685,862.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合肥美特斯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81,181,648.0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-49,371,951.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123,860,016.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-3,612,375.0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-6,396,136.0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乌鲁木齐美 特斯邦威服 饰有限公司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43,809,273.0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-5,638,430.0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64,464,803.0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-7,443,121.0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-7,418,944.0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上海华邦科 创信息科技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35,298,236.0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18,190,144.0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31,582,075.0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-4,955,011.0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4,653,510.00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成都美特斯 邦威服饰有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196,963,726.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-43,340,256.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364,518,881.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29,113,911.0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39,775,294.0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贵阳美特斯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43,339,238.0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-21,409,935.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49,545,503.0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-12,828,078.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-12,849,474.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上海美潮国 际贸易有限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113,433,809.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-24,807,289.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7,494,847.00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4,288,057.00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4,288,058.00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丹东市贸邦 商贸有限公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20,790,000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25,228,232.0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9,431,547.00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1,190,678.00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-11,301,538.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-11,297,746.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沈阳美特斯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111,713,994.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-79,372,005.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105,174,364.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center"/>
              <w:rPr>
                <w:rFonts w:ascii="Times New Roman" w:hAnsi="Times New Roman" w:cs="Times New Roman" w:eastAsia="Times New Roman" w:hint="default"/>
                <w:sz w:val="18"/>
                <w:szCs w:val="18"/>
              </w:rPr>
            </w:pPr>
            <w:r>
              <w:rPr>
                <w:rFonts w:ascii="Times New Roman"/>
                <w:sz w:val="18"/>
              </w:rPr>
              <w:t>-29,004,337.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center"/>
              <w:rPr>
                <w:rFonts w:ascii="Times New Roman" w:hAnsi="Times New Roman" w:cs="Times New Roman" w:eastAsia="Times New Roman" w:hint="default"/>
                <w:sz w:val="18"/>
                <w:szCs w:val="18"/>
              </w:rPr>
            </w:pPr>
            <w:r>
              <w:rPr>
                <w:rFonts w:ascii="Times New Roman"/>
                <w:sz w:val="18"/>
              </w:rPr>
              <w:t>-29,057,504.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天津美特斯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122,902,575.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-31,652,157.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194,014,355.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-19,453,733.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-20,850,418.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济南美特斯 邦威服饰有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253,810,119.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-30,815,781.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267,631,592.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-16,824,612.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-17,044,819.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金融银行业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36,262,960,1</w:t>
            </w:r>
          </w:p>
          <w:p>
            <w:pPr>
              <w:pStyle w:val="TableParagraph"/>
              <w:spacing w:line="240" w:lineRule="auto" w:before="105"/>
              <w:ind w:left="608" w:right="0"/>
              <w:jc w:val="left"/>
              <w:rPr>
                <w:rFonts w:ascii="Times New Roman" w:hAnsi="Times New Roman" w:cs="Times New Roman" w:eastAsia="Times New Roman" w:hint="default"/>
                <w:sz w:val="18"/>
                <w:szCs w:val="18"/>
              </w:rPr>
            </w:pPr>
            <w:r>
              <w:rPr>
                <w:rFonts w:ascii="Times New Roman"/>
                <w:sz w:val="18"/>
              </w:rPr>
              <w:t>45.00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3,724,350,68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1,093,354,00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370,317,587.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326,828,964.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0"/>
        <w:jc w:val="left"/>
      </w:pPr>
      <w:r>
        <w:rPr/>
        <w:t>报告期内取得和处置子公司的情况</w:t>
      </w:r>
    </w:p>
    <w:p>
      <w:pPr>
        <w:pStyle w:val="BodyText"/>
        <w:spacing w:line="348" w:lineRule="auto" w:before="117"/>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 无</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（一）未来发展展望</w:t>
      </w:r>
    </w:p>
    <w:p>
      <w:pPr>
        <w:pStyle w:val="BodyText"/>
        <w:spacing w:line="300" w:lineRule="auto" w:before="117"/>
        <w:ind w:right="1131" w:firstLine="360"/>
        <w:jc w:val="both"/>
      </w:pPr>
      <w:r>
        <w:rPr>
          <w:rFonts w:ascii="Times New Roman" w:hAnsi="Times New Roman" w:cs="Times New Roman" w:eastAsia="Times New Roman" w:hint="default"/>
          <w:spacing w:val="-2"/>
        </w:rPr>
        <w:t>2019</w:t>
      </w:r>
      <w:r>
        <w:rPr>
          <w:spacing w:val="-2"/>
        </w:rPr>
        <w:t>年，公司将继续沿着品牌升级、产品升级、渠道升级及零售升级的路径，致力于以更好的时尚产品和购物体验来满</w:t>
      </w:r>
      <w:r>
        <w:rPr/>
        <w:t> 足不断升级的消费需求。进一步加强与多元商业伙伴的合作，推进落实购物中心</w:t>
      </w:r>
      <w:r>
        <w:rPr>
          <w:rFonts w:ascii="Times New Roman" w:hAnsi="Times New Roman" w:cs="Times New Roman" w:eastAsia="Times New Roman" w:hint="default"/>
        </w:rPr>
        <w:t>+</w:t>
      </w:r>
      <w:r>
        <w:rPr/>
        <w:t>传统商圈并行的渠道发展战略，促使终端 店铺结构进一步优化。</w:t>
      </w:r>
    </w:p>
    <w:p>
      <w:pPr>
        <w:pStyle w:val="BodyText"/>
        <w:spacing w:line="319" w:lineRule="auto" w:before="70"/>
        <w:ind w:right="1131" w:firstLine="360"/>
        <w:jc w:val="both"/>
      </w:pPr>
      <w:r>
        <w:rPr>
          <w:spacing w:val="-2"/>
        </w:rPr>
        <w:t>公司拟通过产品创新、供应链模式转型升级，以及零售终端营运能力进一步升级，探索应用互联网技术智能工具进行门</w:t>
      </w:r>
      <w:r>
        <w:rPr/>
        <w:t> </w:t>
      </w:r>
      <w:r>
        <w:rPr>
          <w:spacing w:val="-2"/>
        </w:rPr>
        <w:t>店零售场景数字化，重新构建门店和消费者的连接，创建零售新场景，实现门店智慧化消费体验。为未来业绩可持续增长做</w:t>
      </w:r>
      <w:r>
        <w:rPr>
          <w:spacing w:val="-66"/>
        </w:rPr>
        <w:t> </w:t>
      </w:r>
      <w:r>
        <w:rPr>
          <w:spacing w:val="-66"/>
        </w:rPr>
      </w:r>
      <w:r>
        <w:rPr/>
        <w:t>进一步努力。</w:t>
      </w:r>
    </w:p>
    <w:p>
      <w:pPr>
        <w:spacing w:line="240" w:lineRule="auto" w:before="0"/>
        <w:rPr>
          <w:rFonts w:ascii="宋体" w:hAnsi="宋体" w:cs="宋体" w:eastAsia="宋体" w:hint="default"/>
          <w:sz w:val="18"/>
          <w:szCs w:val="18"/>
        </w:rPr>
      </w:pPr>
    </w:p>
    <w:p>
      <w:pPr>
        <w:pStyle w:val="BodyText"/>
        <w:spacing w:line="316" w:lineRule="auto" w:before="132"/>
        <w:ind w:left="371" w:right="3155" w:hanging="218"/>
        <w:jc w:val="left"/>
      </w:pPr>
      <w:r>
        <w:rPr/>
        <w:t>（二）可能面临的风险 公司在日常经营中依然面临宏观经济波动、行业竞争及经营模式转型等潜在风险，具体如下：</w:t>
      </w:r>
    </w:p>
    <w:p>
      <w:pPr>
        <w:pStyle w:val="BodyText"/>
        <w:spacing w:line="312" w:lineRule="auto" w:before="19"/>
        <w:ind w:right="1132" w:firstLine="217"/>
        <w:jc w:val="both"/>
      </w:pPr>
      <w:r>
        <w:rPr>
          <w:rFonts w:ascii="Times New Roman" w:hAnsi="Times New Roman" w:cs="Times New Roman" w:eastAsia="Times New Roman" w:hint="default"/>
          <w:spacing w:val="-1"/>
        </w:rPr>
        <w:t>1</w:t>
      </w:r>
      <w:r>
        <w:rPr>
          <w:spacing w:val="-1"/>
        </w:rPr>
        <w:t>、宏观经济波动风险：本公司所在的休闲服饰行业受宏观经济影响较显著。近年来我国宏观经济运行平稳，</w:t>
      </w:r>
      <w:r>
        <w:rPr>
          <w:rFonts w:ascii="Times New Roman" w:hAnsi="Times New Roman" w:cs="Times New Roman" w:eastAsia="Times New Roman" w:hint="default"/>
          <w:spacing w:val="-1"/>
        </w:rPr>
        <w:t>GDP</w:t>
      </w:r>
      <w:r>
        <w:rPr>
          <w:spacing w:val="-1"/>
        </w:rPr>
        <w:t>总量和</w:t>
      </w:r>
      <w:r>
        <w:rPr/>
        <w:t> </w:t>
      </w:r>
      <w:r>
        <w:rPr>
          <w:spacing w:val="-2"/>
        </w:rPr>
        <w:t>增长率均保持稳定，居民可支配收入不断提升、以及消费升级趋势给休闲服装行业带来了前所未有的机遇和挑战；然而国际</w:t>
      </w:r>
      <w:r>
        <w:rPr>
          <w:spacing w:val="-66"/>
        </w:rPr>
        <w:t> </w:t>
      </w:r>
      <w:r>
        <w:rPr>
          <w:spacing w:val="-66"/>
        </w:rPr>
      </w:r>
      <w:r>
        <w:rPr>
          <w:spacing w:val="-2"/>
        </w:rPr>
        <w:t>政治经济环境的不确定因素仍然较多，也给国内宏观经济带来了诸多不确定性，公司的主营业务发展和盈利能力面临因国内</w:t>
      </w:r>
      <w:r>
        <w:rPr>
          <w:spacing w:val="-64"/>
        </w:rPr>
        <w:t> </w:t>
      </w:r>
      <w:r>
        <w:rPr>
          <w:spacing w:val="-64"/>
        </w:rPr>
      </w:r>
      <w:r>
        <w:rPr/>
        <w:t>宏观经济波动所带来的风险。</w:t>
      </w:r>
    </w:p>
    <w:p>
      <w:pPr>
        <w:pStyle w:val="BodyText"/>
        <w:spacing w:line="309" w:lineRule="auto" w:before="22"/>
        <w:ind w:right="1050" w:firstLine="217"/>
        <w:jc w:val="both"/>
      </w:pPr>
      <w:r>
        <w:rPr>
          <w:rFonts w:ascii="Times New Roman" w:hAnsi="Times New Roman" w:cs="Times New Roman" w:eastAsia="Times New Roman" w:hint="default"/>
        </w:rPr>
        <w:t>2</w:t>
      </w:r>
      <w:r>
        <w:rPr/>
        <w:t>、行业竞争的风险：本公司所在的休闲服行业竞争激烈，虽然本公司目前在国内休闲服零售业内拥有较强的市场地位， 但随着市场的不断细分，来自国内外竞争品牌的竞争压力仍将持续甚至加大，可能导致本公司的产品售价降低或销量减少， 从而影响本公司的财务状况和经营业绩。</w:t>
      </w:r>
    </w:p>
    <w:p>
      <w:pPr>
        <w:pStyle w:val="BodyText"/>
        <w:spacing w:line="309" w:lineRule="auto" w:before="24"/>
        <w:ind w:right="1131" w:firstLine="217"/>
        <w:jc w:val="both"/>
      </w:pPr>
      <w:r>
        <w:rPr>
          <w:rFonts w:ascii="Times New Roman" w:hAnsi="Times New Roman" w:cs="Times New Roman" w:eastAsia="Times New Roman" w:hint="default"/>
          <w:spacing w:val="-1"/>
        </w:rPr>
        <w:t>3</w:t>
      </w:r>
      <w:r>
        <w:rPr>
          <w:spacing w:val="-1"/>
        </w:rPr>
        <w:t>、经营模式转型风险：伴随电子商务的发展、网络终端的普及，人们的服装消费习惯在逐渐改变，公司大力推进业务创</w:t>
      </w:r>
      <w:r>
        <w:rPr/>
        <w:t> </w:t>
      </w:r>
      <w:r>
        <w:rPr>
          <w:spacing w:val="-2"/>
        </w:rPr>
        <w:t>新、积极探索新型业务模式，随着转型的持续进行，公司将整合供应链各端资源，品牌的筛选与供应链体系的运营等多方面</w:t>
      </w:r>
      <w:r>
        <w:rPr>
          <w:spacing w:val="-66"/>
        </w:rPr>
        <w:t> </w:t>
      </w:r>
      <w:r>
        <w:rPr>
          <w:spacing w:val="-66"/>
        </w:rPr>
      </w:r>
      <w:r>
        <w:rPr/>
        <w:t>对公司提出了更高的要求，创新的业务模式会给公司带来经营上的不确定性，存在一定的经营模式风险。</w:t>
      </w:r>
    </w:p>
    <w:p>
      <w:pPr>
        <w:spacing w:after="0" w:line="30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18"/>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上市以来，公司的分红政策一直较为稳定，每年的股利支付率基本维持在当年每股可分配利润</w:t>
      </w:r>
      <w:r>
        <w:rPr>
          <w:rFonts w:ascii="Times New Roman" w:hAnsi="Times New Roman" w:cs="Times New Roman" w:eastAsia="Times New Roman" w:hint="default"/>
        </w:rPr>
        <w:t>70%</w:t>
      </w:r>
      <w:r>
        <w:rPr/>
        <w:t>的水平。公司制定当</w:t>
      </w:r>
    </w:p>
    <w:p>
      <w:pPr>
        <w:pStyle w:val="BodyText"/>
        <w:spacing w:line="217" w:lineRule="exact"/>
        <w:ind w:right="0"/>
        <w:jc w:val="both"/>
      </w:pPr>
      <w:r>
        <w:rPr/>
        <w:t>年利润分配政策须经董事会讨论审议，在审议之前独立董事针对当年经营业绩实现情况、公司整体现金流情况对具体利润分</w:t>
      </w:r>
    </w:p>
    <w:p>
      <w:pPr>
        <w:pStyle w:val="BodyText"/>
        <w:spacing w:line="319" w:lineRule="auto" w:before="76"/>
        <w:ind w:right="1132"/>
        <w:jc w:val="both"/>
      </w:pPr>
      <w:r>
        <w:rPr>
          <w:spacing w:val="-2"/>
        </w:rPr>
        <w:t>配方案进行了认真思考并在董事会上审慎的发表意见；在年度股东大会上，公司广大中小股东能够针对此项议案充分发表意</w:t>
      </w:r>
      <w:r>
        <w:rPr>
          <w:spacing w:val="-64"/>
        </w:rPr>
        <w:t> </w:t>
      </w:r>
      <w:r>
        <w:rPr>
          <w:spacing w:val="-64"/>
        </w:rPr>
      </w:r>
      <w:r>
        <w:rPr/>
        <w:t>见，维护自身合法权益。</w:t>
      </w:r>
    </w:p>
    <w:p>
      <w:pPr>
        <w:pStyle w:val="BodyText"/>
        <w:spacing w:line="312" w:lineRule="auto" w:before="55"/>
        <w:ind w:right="1032" w:firstLine="290"/>
        <w:jc w:val="left"/>
      </w:pPr>
      <w:r>
        <w:rPr>
          <w:spacing w:val="-3"/>
        </w:rPr>
        <w:t>为进一步保障广大股东权益，公司第四届十三次董事会审议通过了《关于修订</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spacing w:val="-3"/>
        </w:rPr>
        <w:t>并办理工商变更登记的议案》，</w:t>
      </w:r>
      <w:r>
        <w:rPr/>
        <w:t> </w:t>
      </w:r>
      <w:r>
        <w:rPr>
          <w:spacing w:val="-2"/>
        </w:rPr>
        <w:t>对现行《公司章程》中涉及股利分配政策的相关条款进行了修改，包括利润分配的原则及形式、现金分红的具体条件和比例</w:t>
      </w:r>
      <w:r>
        <w:rPr>
          <w:spacing w:val="-66"/>
        </w:rPr>
        <w:t> </w:t>
      </w:r>
      <w:r>
        <w:rPr>
          <w:spacing w:val="-66"/>
        </w:rPr>
      </w:r>
      <w:r>
        <w:rPr>
          <w:spacing w:val="-2"/>
        </w:rPr>
        <w:t>等具体政策。公司实施积极的利润分配政策，重视对投资者的合理投资回报，保持利润分配政策的连续性和稳定性，并符合</w:t>
      </w:r>
      <w:r>
        <w:rPr>
          <w:spacing w:val="-66"/>
        </w:rPr>
        <w:t> </w:t>
      </w:r>
      <w:r>
        <w:rPr>
          <w:spacing w:val="-66"/>
        </w:rPr>
      </w:r>
      <w:r>
        <w:rPr/>
        <w:t>法律、法规的相关规定。公司利润分配不得超过累计可供分配利润的范围，不得损害公司持续经营能力，并坚持如下原则：</w:t>
      </w:r>
    </w:p>
    <w:p>
      <w:pPr>
        <w:pStyle w:val="BodyText"/>
        <w:spacing w:line="307" w:lineRule="auto" w:before="22"/>
        <w:ind w:right="1130"/>
        <w:jc w:val="both"/>
      </w:pPr>
      <w:r>
        <w:rPr/>
        <w:t>（</w:t>
      </w:r>
      <w:r>
        <w:rPr>
          <w:rFonts w:ascii="Times New Roman" w:hAnsi="Times New Roman" w:cs="Times New Roman" w:eastAsia="Times New Roman" w:hint="default"/>
        </w:rPr>
        <w:t>1</w:t>
      </w:r>
      <w:r>
        <w:rPr/>
        <w:t>）按法定顺序分配的原则；（</w:t>
      </w:r>
      <w:r>
        <w:rPr>
          <w:rFonts w:ascii="Times New Roman" w:hAnsi="Times New Roman" w:cs="Times New Roman" w:eastAsia="Times New Roman" w:hint="default"/>
        </w:rPr>
        <w:t>2</w:t>
      </w:r>
      <w:r>
        <w:rPr/>
        <w:t>）存在未弥补亏损、不得分配的原则；（</w:t>
      </w:r>
      <w:r>
        <w:rPr>
          <w:rFonts w:ascii="Times New Roman" w:hAnsi="Times New Roman" w:cs="Times New Roman" w:eastAsia="Times New Roman" w:hint="default"/>
        </w:rPr>
        <w:t>3</w:t>
      </w:r>
      <w:r>
        <w:rPr/>
        <w:t>）公司持有的公司股份不得分配利润的原则。</w:t>
      </w:r>
      <w:r>
        <w:rPr>
          <w:spacing w:val="-83"/>
        </w:rPr>
        <w:t> </w:t>
      </w:r>
      <w:r>
        <w:rPr>
          <w:spacing w:val="-83"/>
        </w:rPr>
      </w:r>
      <w:r>
        <w:rPr>
          <w:spacing w:val="-2"/>
        </w:rPr>
        <w:t>在满足现金分红条件、保证公司正常经营和长远发展的前提下，公司原则上每年年度股东大会召开后进行一次现金分红，公</w:t>
      </w:r>
      <w:r>
        <w:rPr>
          <w:spacing w:val="-66"/>
        </w:rPr>
        <w:t> </w:t>
      </w:r>
      <w:r>
        <w:rPr>
          <w:spacing w:val="-66"/>
        </w:rPr>
      </w:r>
      <w:r>
        <w:rPr/>
        <w:t>司董事会可以根据公司的盈利状况及资金需求状况提议公司进行中期现金分红。公司应保持利润分配政策的连续性和稳定</w:t>
      </w:r>
      <w:r>
        <w:rPr>
          <w:spacing w:val="-9"/>
        </w:rPr>
        <w:t> </w:t>
      </w:r>
      <w:r>
        <w:rPr>
          <w:spacing w:val="-9"/>
        </w:rPr>
      </w:r>
      <w:r>
        <w:rPr>
          <w:spacing w:val="-1"/>
        </w:rPr>
        <w:t>性，在满足现金分红条件时，每年以现金方式分配的利润应不低于当年实现的可分配利润的</w:t>
      </w:r>
      <w:r>
        <w:rPr>
          <w:rFonts w:ascii="Times New Roman" w:hAnsi="Times New Roman" w:cs="Times New Roman" w:eastAsia="Times New Roman" w:hint="default"/>
          <w:spacing w:val="-1"/>
        </w:rPr>
        <w:t>20%</w:t>
      </w:r>
      <w:r>
        <w:rPr>
          <w:spacing w:val="-1"/>
        </w:rPr>
        <w:t>，且任意三个连续会计年度</w:t>
      </w:r>
      <w:r>
        <w:rPr>
          <w:spacing w:val="-87"/>
        </w:rPr>
        <w:t> </w:t>
      </w:r>
      <w:r>
        <w:rPr>
          <w:spacing w:val="-87"/>
        </w:rPr>
      </w:r>
      <w:r>
        <w:rPr>
          <w:spacing w:val="-1"/>
        </w:rPr>
        <w:t>内，公司以现金方式累计分配的利润不少于该三年实现的年均可分配利润的</w:t>
      </w:r>
      <w:r>
        <w:rPr>
          <w:rFonts w:ascii="Times New Roman" w:hAnsi="Times New Roman" w:cs="Times New Roman" w:eastAsia="Times New Roman" w:hint="default"/>
          <w:spacing w:val="-1"/>
        </w:rPr>
        <w:t>30%</w:t>
      </w:r>
      <w:r>
        <w:rPr>
          <w:spacing w:val="-1"/>
        </w:rPr>
        <w:t>。在公司现金流状况良好且不存在重大投资</w:t>
      </w:r>
      <w:r>
        <w:rPr/>
        <w:t> 计划或重大现金支出等事项发生时，公司将尽量提高现金分红的比例。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38" w:lineRule="auto" w:before="51"/>
        <w:ind w:left="454" w:right="0" w:hanging="30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spacing w:val="-1"/>
        </w:rPr>
        <w:t>公司第四届董事会第二次会议审议通过</w:t>
      </w:r>
      <w:r>
        <w:rPr>
          <w:rFonts w:ascii="Times New Roman" w:hAnsi="Times New Roman" w:cs="Times New Roman" w:eastAsia="Times New Roman" w:hint="default"/>
          <w:spacing w:val="-1"/>
        </w:rPr>
        <w:t>2016</w:t>
      </w:r>
      <w:r>
        <w:rPr>
          <w:spacing w:val="-1"/>
        </w:rPr>
        <w:t>年度利润分配预案：鉴于公司刚实现扭亏为盈，公司正处于转型关键期，为</w:t>
      </w:r>
    </w:p>
    <w:p>
      <w:pPr>
        <w:pStyle w:val="BodyText"/>
        <w:spacing w:line="231" w:lineRule="exact"/>
        <w:ind w:right="0"/>
        <w:jc w:val="left"/>
      </w:pPr>
      <w:r>
        <w:rPr/>
        <w:t>保证公司的稳定发展，基于对股东长远利益的考虑，公司</w:t>
      </w:r>
      <w:r>
        <w:rPr>
          <w:rFonts w:ascii="Times New Roman" w:hAnsi="Times New Roman" w:cs="Times New Roman" w:eastAsia="Times New Roman" w:hint="default"/>
        </w:rPr>
        <w:t>2016</w:t>
      </w:r>
      <w:r>
        <w:rPr/>
        <w:t>年度拟不派发现金红利，不送红股，不以公积金转增股本。</w:t>
      </w:r>
    </w:p>
    <w:p>
      <w:pPr>
        <w:pStyle w:val="BodyText"/>
        <w:spacing w:line="302" w:lineRule="auto" w:before="101"/>
        <w:ind w:right="0" w:firstLine="300"/>
        <w:jc w:val="left"/>
      </w:pPr>
      <w:r>
        <w:rPr>
          <w:spacing w:val="-1"/>
        </w:rPr>
        <w:t>公司第四届董事会第九次会议审议通过</w:t>
      </w:r>
      <w:r>
        <w:rPr>
          <w:rFonts w:ascii="Times New Roman" w:hAnsi="Times New Roman" w:cs="Times New Roman" w:eastAsia="Times New Roman" w:hint="default"/>
          <w:spacing w:val="-1"/>
        </w:rPr>
        <w:t>2017</w:t>
      </w:r>
      <w:r>
        <w:rPr>
          <w:spacing w:val="-1"/>
        </w:rPr>
        <w:t>年度利润分配预案：鉴于公司</w:t>
      </w:r>
      <w:r>
        <w:rPr>
          <w:rFonts w:ascii="Times New Roman" w:hAnsi="Times New Roman" w:cs="Times New Roman" w:eastAsia="Times New Roman" w:hint="default"/>
          <w:spacing w:val="-1"/>
        </w:rPr>
        <w:t>2017</w:t>
      </w:r>
      <w:r>
        <w:rPr>
          <w:spacing w:val="-1"/>
        </w:rPr>
        <w:t>年度亏损，为保证公司的稳定发展，基于</w:t>
      </w:r>
      <w:r>
        <w:rPr/>
        <w:t> 对股东长远利益的考虑，公司</w:t>
      </w:r>
      <w:r>
        <w:rPr>
          <w:rFonts w:ascii="Times New Roman" w:hAnsi="Times New Roman" w:cs="Times New Roman" w:eastAsia="Times New Roman" w:hint="default"/>
        </w:rPr>
        <w:t>2017</w:t>
      </w:r>
      <w:r>
        <w:rPr/>
        <w:t>年度拟不派发现金红利，不送红股，不以公积金转增股本。</w:t>
      </w:r>
    </w:p>
    <w:p>
      <w:pPr>
        <w:pStyle w:val="BodyText"/>
        <w:spacing w:line="321" w:lineRule="auto" w:before="50"/>
        <w:ind w:right="0" w:firstLine="300"/>
        <w:jc w:val="left"/>
      </w:pPr>
      <w:r>
        <w:rPr>
          <w:spacing w:val="-1"/>
        </w:rPr>
        <w:t>公司第四届董事会第十五次会议审议通过</w:t>
      </w:r>
      <w:r>
        <w:rPr>
          <w:rFonts w:ascii="Times New Roman" w:hAnsi="Times New Roman" w:cs="Times New Roman" w:eastAsia="Times New Roman" w:hint="default"/>
          <w:spacing w:val="-1"/>
        </w:rPr>
        <w:t>2018</w:t>
      </w:r>
      <w:r>
        <w:rPr>
          <w:spacing w:val="-1"/>
        </w:rPr>
        <w:t>年度利润分配预案：鉴于公司</w:t>
      </w:r>
      <w:r>
        <w:rPr>
          <w:rFonts w:ascii="Times New Roman" w:hAnsi="Times New Roman" w:cs="Times New Roman" w:eastAsia="Times New Roman" w:hint="default"/>
          <w:spacing w:val="-1"/>
        </w:rPr>
        <w:t>2018</w:t>
      </w:r>
      <w:r>
        <w:rPr>
          <w:spacing w:val="-1"/>
        </w:rPr>
        <w:t>年度刚实现扭亏为盈，基于对股东长远</w:t>
      </w:r>
      <w:r>
        <w:rPr/>
        <w:t> 利益的考虑，为保证公司正常经营和长远发展，公司</w:t>
      </w:r>
      <w:r>
        <w:rPr>
          <w:rFonts w:ascii="Times New Roman" w:hAnsi="Times New Roman" w:cs="Times New Roman" w:eastAsia="Times New Roman" w:hint="default"/>
        </w:rPr>
        <w:t>2018</w:t>
      </w:r>
      <w:r>
        <w:rPr/>
        <w:t>年度拟不派发现金红利，不送红股，不以公积金转增股本。 公司近三年（包括本报告期）普通股现金分红情况表</w:t>
      </w:r>
    </w:p>
    <w:p>
      <w:pPr>
        <w:pStyle w:val="BodyText"/>
        <w:spacing w:line="240" w:lineRule="auto" w:before="55"/>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8"/>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40,361,571.00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-304,799,756.0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36,158,623.00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pict>
          <v:group style="position:absolute;margin-left:296.200012pt;margin-top:59.081696pt;width:238.7pt;height:78pt;mso-position-horizontal-relative:page;mso-position-vertical-relative:paragraph;z-index:-887464" coordorigin="5924,1182" coordsize="4774,1560">
            <v:shape style="position:absolute;left:5924;top:1182;width:4774;height:1560" coordorigin="5924,1182" coordsize="4774,1560" path="m5924,2742l10698,2742,10698,1182,5924,1182,5924,2742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4460"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3" w:firstLine="630"/>
              <w:jc w:val="left"/>
              <w:rPr>
                <w:rFonts w:ascii="宋体" w:hAnsi="宋体" w:cs="宋体" w:eastAsia="宋体" w:hint="default"/>
                <w:sz w:val="18"/>
                <w:szCs w:val="18"/>
              </w:rPr>
            </w:pPr>
            <w:r>
              <w:rPr>
                <w:rFonts w:ascii="宋体" w:hAnsi="宋体" w:cs="宋体" w:eastAsia="宋体" w:hint="default"/>
                <w:spacing w:val="-4"/>
                <w:sz w:val="18"/>
                <w:szCs w:val="18"/>
              </w:rPr>
              <w:t>报告期内，公司较去年同期实现扭亏为盈，</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归属于上市公司普通股股东的净利润为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40,361,571.00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元，归 属于上市公司股东的扣除非经常性损益的净利润为 </w:t>
            </w:r>
            <w:r>
              <w:rPr>
                <w:rFonts w:ascii="Times New Roman" w:hAnsi="Times New Roman" w:cs="Times New Roman" w:eastAsia="Times New Roman" w:hint="default"/>
                <w:sz w:val="18"/>
                <w:szCs w:val="18"/>
              </w:rPr>
              <w:t>12,688,576.00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元。其中母公司实现净利润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183,873,388.00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9"/>
              <w:ind w:left="22" w:right="0"/>
              <w:jc w:val="both"/>
              <w:rPr>
                <w:rFonts w:ascii="宋体" w:hAnsi="宋体" w:cs="宋体" w:eastAsia="宋体" w:hint="default"/>
                <w:sz w:val="18"/>
                <w:szCs w:val="18"/>
              </w:rPr>
            </w:pPr>
            <w:r>
              <w:rPr>
                <w:rFonts w:ascii="宋体" w:hAnsi="宋体" w:cs="宋体" w:eastAsia="宋体" w:hint="default"/>
                <w:sz w:val="18"/>
                <w:szCs w:val="18"/>
              </w:rPr>
              <w:t>截至报告期末，公司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年度累计未分配利润为</w:t>
            </w:r>
          </w:p>
          <w:p>
            <w:pPr>
              <w:pStyle w:val="TableParagraph"/>
              <w:spacing w:line="307"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-319,871,958.00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元。根据《公司章程》的相关规定：</w:t>
            </w:r>
            <w:r>
              <w:rPr>
                <w:rFonts w:ascii="Times New Roman" w:hAnsi="Times New Roman" w:cs="Times New Roman" w:eastAsia="Times New Roman" w:hint="default"/>
                <w:sz w:val="18"/>
                <w:szCs w:val="18"/>
              </w:rPr>
              <w:t>“</w:t>
            </w:r>
            <w:r>
              <w:rPr>
                <w:rFonts w:ascii="宋体" w:hAnsi="宋体" w:cs="宋体" w:eastAsia="宋体" w:hint="default"/>
                <w:sz w:val="18"/>
                <w:szCs w:val="18"/>
              </w:rPr>
              <w:t>公司实 </w:t>
            </w:r>
            <w:r>
              <w:rPr>
                <w:rFonts w:ascii="宋体" w:hAnsi="宋体" w:cs="宋体" w:eastAsia="宋体" w:hint="default"/>
                <w:spacing w:val="-4"/>
                <w:sz w:val="18"/>
                <w:szCs w:val="18"/>
              </w:rPr>
              <w:t>施现金分红时应当同时满足以下条件：（</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）公司该年度或半</w:t>
            </w:r>
            <w:r>
              <w:rPr>
                <w:rFonts w:ascii="宋体" w:hAnsi="宋体" w:cs="宋体" w:eastAsia="宋体" w:hint="default"/>
                <w:spacing w:val="-72"/>
                <w:sz w:val="18"/>
                <w:szCs w:val="18"/>
              </w:rPr>
              <w:t> </w:t>
            </w:r>
            <w:r>
              <w:rPr>
                <w:rFonts w:ascii="宋体" w:hAnsi="宋体" w:cs="宋体" w:eastAsia="宋体" w:hint="default"/>
                <w:sz w:val="18"/>
                <w:szCs w:val="18"/>
              </w:rPr>
              <w:t>年度实现的可分配利润（即公司弥补亏损、提取公积金后所 余的税后利润）为正值、且现金流充裕，实施现金分红不会 </w:t>
            </w:r>
            <w:r>
              <w:rPr>
                <w:rFonts w:ascii="宋体" w:hAnsi="宋体" w:cs="宋体" w:eastAsia="宋体" w:hint="default"/>
                <w:spacing w:val="-4"/>
                <w:sz w:val="18"/>
                <w:szCs w:val="18"/>
              </w:rPr>
              <w:t>影响公司后续持续经营；（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）公司合并报表累计可供分配利</w:t>
            </w:r>
            <w:r>
              <w:rPr>
                <w:rFonts w:ascii="宋体" w:hAnsi="宋体" w:cs="宋体" w:eastAsia="宋体" w:hint="default"/>
                <w:spacing w:val="-72"/>
                <w:sz w:val="18"/>
                <w:szCs w:val="18"/>
              </w:rPr>
              <w:t> </w:t>
            </w:r>
            <w:r>
              <w:rPr>
                <w:rFonts w:ascii="宋体" w:hAnsi="宋体" w:cs="宋体" w:eastAsia="宋体" w:hint="default"/>
                <w:sz w:val="18"/>
                <w:szCs w:val="18"/>
              </w:rPr>
              <w:t>润为正值</w:t>
            </w:r>
            <w:r>
              <w:rPr>
                <w:rFonts w:ascii="Times New Roman" w:hAnsi="Times New Roman" w:cs="Times New Roman" w:eastAsia="Times New Roman" w:hint="default"/>
                <w:sz w:val="18"/>
                <w:szCs w:val="18"/>
              </w:rPr>
              <w:t>…..”</w:t>
            </w:r>
            <w:r>
              <w:rPr>
                <w:rFonts w:ascii="宋体" w:hAnsi="宋体" w:cs="宋体" w:eastAsia="宋体" w:hint="default"/>
                <w:sz w:val="18"/>
                <w:szCs w:val="18"/>
              </w:rPr>
              <w:t>，公司现阶段暂不满足进行利润分配的条件。 且由于公司主营业务仍然处于转型的关键期，为保证公司正 常经营和长远发展，基于对股东长远利益的考虑，公司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年度拟不派发现金红利，不送红股，不以公积金转增股本。</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4"/>
              <w:ind w:left="22" w:right="22" w:firstLine="630"/>
              <w:jc w:val="both"/>
              <w:rPr>
                <w:rFonts w:ascii="宋体" w:hAnsi="宋体" w:cs="宋体" w:eastAsia="宋体" w:hint="default"/>
                <w:sz w:val="18"/>
                <w:szCs w:val="18"/>
              </w:rPr>
            </w:pPr>
            <w:r>
              <w:rPr>
                <w:rFonts w:ascii="宋体" w:hAnsi="宋体" w:cs="宋体" w:eastAsia="宋体" w:hint="default"/>
                <w:spacing w:val="-10"/>
                <w:sz w:val="18"/>
                <w:szCs w:val="18"/>
              </w:rPr>
              <w:t>今后，公司将严格按照《公司法》、《公司章程》等相</w:t>
            </w:r>
            <w:r>
              <w:rPr>
                <w:rFonts w:ascii="宋体" w:hAnsi="宋体" w:cs="宋体" w:eastAsia="宋体" w:hint="default"/>
                <w:sz w:val="18"/>
                <w:szCs w:val="18"/>
              </w:rPr>
              <w:t> 关法律法规的要求，根据生产经营情况、投资规划和长期发 展的需要，继续实行积极的利润分配政策，重视对股东的合 理投资回报并兼顾公司的可持续发展。</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1947"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华服投资、周</w:t>
            </w:r>
            <w:r>
              <w:rPr>
                <w:rFonts w:ascii="宋体" w:hAnsi="宋体" w:cs="宋体" w:eastAsia="宋体" w:hint="default"/>
                <w:sz w:val="18"/>
                <w:szCs w:val="18"/>
              </w:rPr>
              <w:t> </w:t>
            </w:r>
            <w:r>
              <w:rPr>
                <w:rFonts w:ascii="宋体" w:hAnsi="宋体" w:cs="宋体" w:eastAsia="宋体" w:hint="default"/>
                <w:spacing w:val="-2"/>
                <w:sz w:val="18"/>
                <w:szCs w:val="18"/>
              </w:rPr>
              <w:t>成建、胡佳佳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首次公开发 行关于避免 同业竞争的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公司控股股 东华服投资、 股东胡佳佳 及实际控制 人周成建于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日分别签署</w:t>
            </w:r>
          </w:p>
          <w:p>
            <w:pPr>
              <w:pStyle w:val="TableParagraph"/>
              <w:spacing w:line="316"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《避免同业 竞争承诺 </w:t>
            </w:r>
            <w:r>
              <w:rPr>
                <w:rFonts w:ascii="宋体" w:hAnsi="宋体" w:cs="宋体" w:eastAsia="宋体" w:hint="default"/>
                <w:spacing w:val="-15"/>
                <w:sz w:val="18"/>
                <w:szCs w:val="18"/>
              </w:rPr>
              <w:t>函》，承诺其</w:t>
            </w:r>
            <w:r>
              <w:rPr>
                <w:rFonts w:ascii="宋体" w:hAnsi="宋体" w:cs="宋体" w:eastAsia="宋体" w:hint="default"/>
                <w:sz w:val="18"/>
                <w:szCs w:val="18"/>
              </w:rPr>
              <w:t> 自身、以及其 参与投资的 企业截至承 诺函签署日 没有以任何 形式从事与 本公司及本 公司的控股 企业的主营 业务构成或 可能构成直 接或间接竞 争关系的业 务或活动；未 来也不以任 何形式直接 或间接从事 任何与本公 司或本公司 的控股企业 主营业务构 成或可能构 成直接或间 接竞争关系 的业务或活 动，或于该等 业务中持有 权益或利益。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告期末，该承</w:t>
            </w:r>
            <w:r>
              <w:rPr>
                <w:rFonts w:ascii="宋体" w:hAnsi="宋体" w:cs="宋体" w:eastAsia="宋体" w:hint="default"/>
                <w:sz w:val="18"/>
                <w:szCs w:val="18"/>
              </w:rPr>
              <w:t> 诺事项仍在 严格履行中</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华服投资、周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公司实际控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截止到本报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成建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行的相关承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制人周成建 和控股股东 华服投资承 </w:t>
            </w:r>
            <w:r>
              <w:rPr>
                <w:rFonts w:ascii="宋体" w:hAnsi="宋体" w:cs="宋体" w:eastAsia="宋体" w:hint="default"/>
                <w:spacing w:val="-2"/>
                <w:sz w:val="18"/>
                <w:szCs w:val="18"/>
              </w:rPr>
              <w:t>诺：若发生税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收优惠被追 </w:t>
            </w:r>
            <w:r>
              <w:rPr>
                <w:rFonts w:ascii="宋体" w:hAnsi="宋体" w:cs="宋体" w:eastAsia="宋体" w:hint="default"/>
                <w:spacing w:val="-2"/>
                <w:sz w:val="18"/>
                <w:szCs w:val="18"/>
              </w:rPr>
              <w:t>缴的情况，将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承担被追缴 的税款和因 此所产生的 所有相关费 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pacing w:val="-5"/>
                <w:sz w:val="18"/>
                <w:szCs w:val="18"/>
              </w:rPr>
              <w:t>告期末，该承</w:t>
            </w:r>
            <w:r>
              <w:rPr>
                <w:rFonts w:ascii="宋体" w:hAnsi="宋体" w:cs="宋体" w:eastAsia="宋体" w:hint="default"/>
                <w:sz w:val="18"/>
                <w:szCs w:val="18"/>
              </w:rPr>
              <w:t> 诺事项仍在 严格履行中</w:t>
            </w: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21"/>
              <w:jc w:val="left"/>
              <w:rPr>
                <w:rFonts w:ascii="宋体" w:hAnsi="宋体" w:cs="宋体" w:eastAsia="宋体" w:hint="default"/>
                <w:sz w:val="18"/>
                <w:szCs w:val="18"/>
              </w:rPr>
            </w:pPr>
            <w:r>
              <w:rPr>
                <w:rFonts w:ascii="宋体" w:hAnsi="宋体" w:cs="宋体" w:eastAsia="宋体" w:hint="default"/>
                <w:spacing w:val="-2"/>
                <w:sz w:val="18"/>
                <w:szCs w:val="18"/>
              </w:rPr>
              <w:t>华服投资、周</w:t>
            </w:r>
            <w:r>
              <w:rPr>
                <w:rFonts w:ascii="宋体" w:hAnsi="宋体" w:cs="宋体" w:eastAsia="宋体" w:hint="default"/>
                <w:sz w:val="18"/>
                <w:szCs w:val="18"/>
              </w:rPr>
              <w:t> 成建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再融资关于 填补被摊薄 即期回报措 施的承诺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司不越权干 预上市公司 经营管理活 动，不侵占上 市公司利益；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 出具日至公 司本次发行 实施完毕前， 若中国证监 会作出关于 填补回报措 施及其承诺 的其他新的 监管规定的， 且上述承诺 不能满足中 国证监会该 等规定时，本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本公司承 诺届时将按 照中国证监 会的最新规 定出具补充 承诺；</w:t>
            </w:r>
            <w:r>
              <w:rPr>
                <w:rFonts w:ascii="Times New Roman" w:hAnsi="Times New Roman" w:cs="Times New Roman" w:eastAsia="Times New Roman" w:hint="default"/>
                <w:sz w:val="18"/>
                <w:szCs w:val="18"/>
              </w:rPr>
              <w:t>3</w:t>
            </w:r>
            <w:r>
              <w:rPr>
                <w:rFonts w:ascii="宋体" w:hAnsi="宋体" w:cs="宋体" w:eastAsia="宋体" w:hint="default"/>
                <w:sz w:val="18"/>
                <w:szCs w:val="18"/>
              </w:rPr>
              <w:t>、本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 忠实履行上 述承诺，并承 担相应的法 律责任，若不 履行本承诺 所赋予的义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告期末，该承</w:t>
            </w:r>
            <w:r>
              <w:rPr>
                <w:rFonts w:ascii="宋体" w:hAnsi="宋体" w:cs="宋体" w:eastAsia="宋体" w:hint="default"/>
                <w:sz w:val="18"/>
                <w:szCs w:val="18"/>
              </w:rPr>
              <w:t> 诺事项仍在 严格履行中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199.819977pt;width:62pt;height:264.2pt;mso-position-horizontal-relative:page;mso-position-vertical-relative:page;z-index:-887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367.660004pt;margin-top:199.819977pt;width:55.85pt;height:264.2pt;mso-position-horizontal-relative:page;mso-position-vertical-relative:page;z-index:-887416" coordorigin="7353,3996" coordsize="1117,5284">
            <v:shape style="position:absolute;left:7353;top:3996;width:1117;height:5284" coordorigin="7353,3996" coordsize="1117,5284" path="m7353,9280l8470,9280,8470,3996,7353,3996,7353,92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务和责任，本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依照相关法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章及规范性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应的法律责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不无偿或以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不公平条件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向其他单位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或者个人输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送利益，也不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采用其他方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式损害公司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人承诺对职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务消费行为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进行约束；</w:t>
            </w:r>
            <w:r>
              <w:rPr>
                <w:rFonts w:ascii="Times New Roman" w:hAnsi="Times New Roman" w:cs="Times New Roman" w:eastAsia="Times New Roman" w:hint="default"/>
                <w:sz w:val="18"/>
                <w:szCs w:val="18"/>
              </w:rPr>
              <w:t>3</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本人承诺不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动用公司资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产从事与其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履行职责无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3" w:right="190"/>
              <w:jc w:val="both"/>
              <w:rPr>
                <w:rFonts w:ascii="宋体" w:hAnsi="宋体" w:cs="宋体" w:eastAsia="宋体" w:hint="default"/>
                <w:sz w:val="18"/>
                <w:szCs w:val="18"/>
              </w:rPr>
            </w:pPr>
            <w:r>
              <w:rPr>
                <w:rFonts w:ascii="宋体" w:hAnsi="宋体" w:cs="宋体" w:eastAsia="宋体" w:hint="default"/>
                <w:sz w:val="18"/>
                <w:szCs w:val="18"/>
              </w:rPr>
              <w:t>全体董事及 高级管理人 员</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both"/>
              <w:rPr>
                <w:rFonts w:ascii="宋体" w:hAnsi="宋体" w:cs="宋体" w:eastAsia="宋体" w:hint="default"/>
                <w:sz w:val="18"/>
                <w:szCs w:val="18"/>
              </w:rPr>
            </w:pPr>
            <w:r>
              <w:rPr>
                <w:rFonts w:ascii="宋体" w:hAnsi="宋体" w:cs="宋体" w:eastAsia="宋体" w:hint="default"/>
                <w:sz w:val="18"/>
                <w:szCs w:val="18"/>
              </w:rPr>
              <w:t>再融资关于 填补被摊薄 即期回报措 施的承诺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2" w:lineRule="auto" w:before="20"/>
              <w:ind w:left="22" w:right="21"/>
              <w:jc w:val="left"/>
              <w:rPr>
                <w:rFonts w:ascii="宋体" w:hAnsi="宋体" w:cs="宋体" w:eastAsia="宋体" w:hint="default"/>
                <w:sz w:val="18"/>
                <w:szCs w:val="18"/>
              </w:rPr>
            </w:pPr>
            <w:r>
              <w:rPr>
                <w:rFonts w:ascii="宋体" w:hAnsi="宋体" w:cs="宋体" w:eastAsia="宋体" w:hint="default"/>
                <w:spacing w:val="-2"/>
                <w:sz w:val="18"/>
                <w:szCs w:val="18"/>
              </w:rPr>
              <w:t>关的投资、消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 本人承诺由 董事会或薪</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5"/>
                <w:sz w:val="18"/>
                <w:szCs w:val="18"/>
              </w:rPr>
              <w:t>告期末，该承</w:t>
            </w:r>
            <w:r>
              <w:rPr>
                <w:rFonts w:ascii="宋体" w:hAnsi="宋体" w:cs="宋体" w:eastAsia="宋体" w:hint="default"/>
                <w:sz w:val="18"/>
                <w:szCs w:val="18"/>
              </w:rPr>
              <w:t> 诺事项仍在 严格履行中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酬与考核委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员会制定的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薪酬制度与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钩；</w:t>
            </w:r>
            <w:r>
              <w:rPr>
                <w:rFonts w:ascii="Times New Roman" w:hAnsi="Times New Roman" w:cs="Times New Roman" w:eastAsia="Times New Roman" w:hint="default"/>
                <w:sz w:val="18"/>
                <w:szCs w:val="18"/>
              </w:rPr>
              <w:t>5</w:t>
            </w:r>
            <w:r>
              <w:rPr>
                <w:rFonts w:ascii="宋体" w:hAnsi="宋体" w:cs="宋体" w:eastAsia="宋体" w:hint="default"/>
                <w:sz w:val="18"/>
                <w:szCs w:val="18"/>
              </w:rPr>
              <w:t>、若公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司后续推出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股权激励政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策，本人承诺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拟公布的公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司股权激励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的行权条件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与公司填补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回报措施的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执行情况相</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159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挂钩；</w:t>
            </w:r>
            <w:r>
              <w:rPr>
                <w:rFonts w:ascii="Times New Roman" w:hAnsi="Times New Roman" w:cs="Times New Roman" w:eastAsia="Times New Roman" w:hint="default"/>
                <w:sz w:val="18"/>
                <w:szCs w:val="18"/>
              </w:rPr>
              <w:t>6</w:t>
            </w:r>
            <w:r>
              <w:rPr>
                <w:rFonts w:ascii="宋体" w:hAnsi="宋体" w:cs="宋体" w:eastAsia="宋体" w:hint="default"/>
                <w:sz w:val="18"/>
                <w:szCs w:val="18"/>
              </w:rPr>
              <w:t>、自 本承诺出具 日至公司本 次发行实施 完毕前，若中 国证监会作 出关于填补 回报措施及 其承诺的其 他新的监管 规定的，且上 述承诺不能 满足中国证 监会该等规 定时，本人承 诺届时将按 照中国证监 会的最新规 定出具补充 承诺；</w:t>
            </w:r>
            <w:r>
              <w:rPr>
                <w:rFonts w:ascii="Times New Roman" w:hAnsi="Times New Roman" w:cs="Times New Roman" w:eastAsia="Times New Roman" w:hint="default"/>
                <w:sz w:val="18"/>
                <w:szCs w:val="18"/>
              </w:rPr>
              <w:t>7</w:t>
            </w:r>
            <w:r>
              <w:rPr>
                <w:rFonts w:ascii="宋体" w:hAnsi="宋体" w:cs="宋体" w:eastAsia="宋体" w:hint="default"/>
                <w:sz w:val="18"/>
                <w:szCs w:val="18"/>
              </w:rPr>
              <w:t>、本 人承诺切实 履行公司制 定的有关填 补回报措施 以及对此作 出的任何有 关填补回报 措施的承诺， 若违反该等 承诺并给公 司或者投资 者造成损失 的，本人愿意 依法承担对 公司或者投 资者的补偿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420"/>
        <w:jc w:val="both"/>
      </w:pPr>
      <w:r>
        <w:rPr>
          <w:spacing w:val="-2"/>
        </w:rPr>
        <w:t>根据《关于修订印发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[2018]15</w:t>
      </w:r>
      <w:r>
        <w:rPr>
          <w:spacing w:val="-2"/>
        </w:rPr>
        <w:t>号）要求，资产负债表中，将</w:t>
      </w:r>
      <w:r>
        <w:rPr>
          <w:rFonts w:ascii="Times New Roman" w:hAnsi="Times New Roman" w:cs="Times New Roman" w:eastAsia="Times New Roman" w:hint="default"/>
          <w:spacing w:val="-2"/>
        </w:rPr>
        <w:t>“</w:t>
      </w:r>
      <w:r>
        <w:rPr>
          <w:spacing w:val="-2"/>
        </w:rPr>
        <w:t>应收票据</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和</w:t>
      </w:r>
      <w:r>
        <w:rPr>
          <w:rFonts w:ascii="Times New Roman" w:hAnsi="Times New Roman" w:cs="Times New Roman" w:eastAsia="Times New Roman" w:hint="default"/>
          <w:spacing w:val="-2"/>
        </w:rPr>
        <w:t>“</w:t>
      </w:r>
      <w:r>
        <w:rPr>
          <w:spacing w:val="-2"/>
        </w:rPr>
        <w:t>应收账款</w:t>
      </w:r>
      <w:r>
        <w:rPr>
          <w:rFonts w:ascii="Times New Roman" w:hAnsi="Times New Roman" w:cs="Times New Roman" w:eastAsia="Times New Roman" w:hint="default"/>
          <w:spacing w:val="-2"/>
        </w:rPr>
        <w:t>”</w:t>
      </w:r>
      <w:r>
        <w:rPr>
          <w:spacing w:val="-2"/>
        </w:rPr>
        <w:t>归并至新增的</w:t>
      </w:r>
      <w:r>
        <w:rPr>
          <w:rFonts w:ascii="Times New Roman" w:hAnsi="Times New Roman" w:cs="Times New Roman" w:eastAsia="Times New Roman" w:hint="default"/>
          <w:spacing w:val="-2"/>
        </w:rPr>
        <w:t>“</w:t>
      </w:r>
      <w:r>
        <w:rPr>
          <w:spacing w:val="-2"/>
        </w:rPr>
        <w:t>应收票据及应收账款</w:t>
      </w:r>
      <w:r>
        <w:rPr>
          <w:rFonts w:ascii="Times New Roman" w:hAnsi="Times New Roman" w:cs="Times New Roman" w:eastAsia="Times New Roman" w:hint="default"/>
          <w:spacing w:val="-2"/>
        </w:rPr>
        <w:t>”</w:t>
      </w:r>
      <w:r>
        <w:rPr>
          <w:spacing w:val="-2"/>
        </w:rPr>
        <w:t>项目，将</w:t>
      </w:r>
      <w:r>
        <w:rPr>
          <w:rFonts w:ascii="Times New Roman" w:hAnsi="Times New Roman" w:cs="Times New Roman" w:eastAsia="Times New Roman" w:hint="default"/>
          <w:spacing w:val="-2"/>
        </w:rPr>
        <w:t>“</w:t>
      </w:r>
      <w:r>
        <w:rPr>
          <w:spacing w:val="-2"/>
        </w:rPr>
        <w:t>应收利息</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应收股利</w:t>
      </w:r>
      <w:r>
        <w:rPr>
          <w:rFonts w:ascii="Times New Roman" w:hAnsi="Times New Roman" w:cs="Times New Roman" w:eastAsia="Times New Roman" w:hint="default"/>
          <w:spacing w:val="-2"/>
        </w:rPr>
        <w:t>”</w:t>
      </w:r>
      <w:r>
        <w:rPr>
          <w:spacing w:val="-2"/>
        </w:rPr>
        <w:t>归并至</w:t>
      </w:r>
      <w:r>
        <w:rPr>
          <w:rFonts w:ascii="Times New Roman" w:hAnsi="Times New Roman" w:cs="Times New Roman" w:eastAsia="Times New Roman" w:hint="default"/>
          <w:spacing w:val="-2"/>
        </w:rPr>
        <w:t>“</w:t>
      </w:r>
      <w:r>
        <w:rPr>
          <w:spacing w:val="-2"/>
        </w:rPr>
        <w:t>其他应收款</w:t>
      </w:r>
      <w:r>
        <w:rPr>
          <w:rFonts w:ascii="Times New Roman" w:hAnsi="Times New Roman" w:cs="Times New Roman" w:eastAsia="Times New Roman" w:hint="default"/>
          <w:spacing w:val="-2"/>
        </w:rPr>
        <w:t>”</w:t>
      </w:r>
      <w:r>
        <w:rPr>
          <w:spacing w:val="-2"/>
        </w:rPr>
        <w:t>项目，将</w:t>
      </w:r>
      <w:r>
        <w:rPr>
          <w:rFonts w:ascii="Times New Roman" w:hAnsi="Times New Roman" w:cs="Times New Roman" w:eastAsia="Times New Roman" w:hint="default"/>
          <w:spacing w:val="-2"/>
        </w:rPr>
        <w:t>“</w:t>
      </w:r>
      <w:r>
        <w:rPr>
          <w:spacing w:val="-2"/>
        </w:rPr>
        <w:t>固定资产</w:t>
      </w:r>
      <w:r>
        <w:rPr>
          <w:spacing w:val="-38"/>
        </w:rPr>
        <w:t> </w:t>
      </w:r>
      <w:r>
        <w:rPr/>
        <w:t>清理</w:t>
      </w:r>
      <w:r>
        <w:rPr>
          <w:rFonts w:ascii="Times New Roman" w:hAnsi="Times New Roman" w:cs="Times New Roman" w:eastAsia="Times New Roman" w:hint="default"/>
        </w:rPr>
        <w:t>”</w:t>
      </w:r>
      <w:r>
        <w:rPr/>
        <w:t>归并至</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工程物资</w:t>
      </w:r>
      <w:r>
        <w:rPr>
          <w:rFonts w:ascii="Times New Roman" w:hAnsi="Times New Roman" w:cs="Times New Roman" w:eastAsia="Times New Roman" w:hint="default"/>
        </w:rPr>
        <w:t>”</w:t>
      </w:r>
      <w:r>
        <w:rPr/>
        <w:t>归并至</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归并至新增的</w:t>
      </w:r>
      <w:r>
        <w:rPr>
          <w:rFonts w:ascii="Times New Roman" w:hAnsi="Times New Roman" w:cs="Times New Roman" w:eastAsia="Times New Roman" w:hint="default"/>
        </w:rPr>
        <w:t>“</w:t>
      </w:r>
      <w:r>
        <w:rPr/>
        <w:t>应付票据及</w:t>
      </w:r>
      <w:r>
        <w:rPr>
          <w:spacing w:val="-62"/>
        </w:rPr>
        <w:t> </w:t>
      </w:r>
      <w:r>
        <w:rPr>
          <w:spacing w:val="-62"/>
        </w:rPr>
      </w:r>
      <w:r>
        <w:rPr/>
        <w:t>应付账款</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项目；在利润表中，增设</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项目列报研究与开发过程中发生</w:t>
      </w:r>
      <w:r>
        <w:rPr>
          <w:spacing w:val="-25"/>
        </w:rPr>
        <w:t> </w:t>
      </w:r>
      <w:r>
        <w:rPr>
          <w:spacing w:val="-25"/>
        </w:rPr>
      </w:r>
      <w:r>
        <w:rPr>
          <w:spacing w:val="-1"/>
        </w:rPr>
        <w:t>的费用化支出，</w:t>
      </w:r>
      <w:r>
        <w:rPr>
          <w:rFonts w:ascii="Times New Roman" w:hAnsi="Times New Roman" w:cs="Times New Roman" w:eastAsia="Times New Roman" w:hint="default"/>
          <w:spacing w:val="-1"/>
        </w:rPr>
        <w:t>“</w:t>
      </w:r>
      <w:r>
        <w:rPr>
          <w:spacing w:val="-1"/>
        </w:rPr>
        <w:t>财务费用</w:t>
      </w:r>
      <w:r>
        <w:rPr>
          <w:rFonts w:ascii="Times New Roman" w:hAnsi="Times New Roman" w:cs="Times New Roman" w:eastAsia="Times New Roman" w:hint="default"/>
          <w:spacing w:val="-1"/>
        </w:rPr>
        <w:t>”</w:t>
      </w:r>
      <w:r>
        <w:rPr>
          <w:spacing w:val="-1"/>
        </w:rPr>
        <w:t>项目下分拆</w:t>
      </w:r>
      <w:r>
        <w:rPr>
          <w:rFonts w:ascii="Times New Roman" w:hAnsi="Times New Roman" w:cs="Times New Roman" w:eastAsia="Times New Roman" w:hint="default"/>
          <w:spacing w:val="-1"/>
        </w:rPr>
        <w:t>“</w:t>
      </w:r>
      <w:r>
        <w:rPr>
          <w:spacing w:val="-1"/>
        </w:rPr>
        <w:t>利息费用</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利息收入</w:t>
      </w:r>
      <w:r>
        <w:rPr>
          <w:rFonts w:ascii="Times New Roman" w:hAnsi="Times New Roman" w:cs="Times New Roman" w:eastAsia="Times New Roman" w:hint="default"/>
          <w:spacing w:val="-1"/>
        </w:rPr>
        <w:t>”</w:t>
      </w:r>
      <w:r>
        <w:rPr>
          <w:spacing w:val="-1"/>
        </w:rPr>
        <w:t>明细项目。本集团相应追溯调整了比较数据。该会计政策变</w:t>
      </w:r>
      <w:r>
        <w:rPr>
          <w:spacing w:val="-58"/>
        </w:rPr>
        <w:t> </w:t>
      </w:r>
      <w:r>
        <w:rPr>
          <w:spacing w:val="-58"/>
        </w:rPr>
      </w:r>
      <w:r>
        <w:rPr/>
        <w:t>更对合并及公司净利润和股东权益无影响。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9" w:firstLine="420"/>
        <w:jc w:val="both"/>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日设立子公司法人独资有限责任公司石家庄美特斯邦威服饰有限公司，注册资本为人民币</w:t>
      </w:r>
      <w:r>
        <w:rPr>
          <w:rFonts w:ascii="Times New Roman" w:hAnsi="Times New Roman" w:cs="Times New Roman" w:eastAsia="Times New Roman" w:hint="default"/>
        </w:rPr>
        <w:t>1,000 </w:t>
      </w:r>
      <w:r>
        <w:rPr/>
        <w:t>万元。公司自设立之后纳入本公司合并财务报表的合并范围。</w:t>
      </w:r>
    </w:p>
    <w:p>
      <w:pPr>
        <w:spacing w:line="240" w:lineRule="auto" w:before="3"/>
        <w:rPr>
          <w:rFonts w:ascii="宋体" w:hAnsi="宋体" w:cs="宋体" w:eastAsia="宋体" w:hint="default"/>
          <w:sz w:val="26"/>
          <w:szCs w:val="26"/>
        </w:rPr>
      </w:pPr>
    </w:p>
    <w:p>
      <w:pPr>
        <w:pStyle w:val="BodyText"/>
        <w:spacing w:line="300" w:lineRule="auto"/>
        <w:ind w:right="1132" w:firstLine="420"/>
        <w:jc w:val="both"/>
      </w:pP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日设立子公司法人独资有限责任公司太原美特斯邦威服饰有限公司，注册资本为人民币</w:t>
      </w:r>
      <w:r>
        <w:rPr>
          <w:rFonts w:ascii="Times New Roman" w:hAnsi="Times New Roman" w:cs="Times New Roman" w:eastAsia="Times New Roman" w:hint="default"/>
          <w:spacing w:val="2"/>
        </w:rPr>
        <w:t>1,000</w:t>
      </w:r>
      <w:r>
        <w:rPr>
          <w:spacing w:val="2"/>
        </w:rPr>
        <w:t>万</w:t>
      </w:r>
      <w:r>
        <w:rPr/>
        <w:t> 元。公司自设立之后纳入本公司合并财务报表的合并范围。</w:t>
      </w:r>
    </w:p>
    <w:p>
      <w:pPr>
        <w:spacing w:line="240" w:lineRule="auto" w:before="3"/>
        <w:rPr>
          <w:rFonts w:ascii="宋体" w:hAnsi="宋体" w:cs="宋体" w:eastAsia="宋体" w:hint="default"/>
          <w:sz w:val="26"/>
          <w:szCs w:val="26"/>
        </w:rPr>
      </w:pPr>
    </w:p>
    <w:p>
      <w:pPr>
        <w:pStyle w:val="BodyText"/>
        <w:spacing w:line="300" w:lineRule="auto"/>
        <w:ind w:right="1130" w:firstLine="420"/>
        <w:jc w:val="both"/>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日设立子公司法人独资有限责任公司内蒙古美特斯邦威服饰有限公司，注册资本为人民币</w:t>
      </w:r>
      <w:r>
        <w:rPr>
          <w:rFonts w:ascii="Times New Roman" w:hAnsi="Times New Roman" w:cs="Times New Roman" w:eastAsia="Times New Roman" w:hint="default"/>
        </w:rPr>
        <w:t>500</w:t>
      </w:r>
      <w:r>
        <w:rPr/>
        <w:t>万 元。公司自设立之后纳入本公司合并财务报表的合并范围。</w:t>
      </w:r>
    </w:p>
    <w:p>
      <w:pPr>
        <w:spacing w:line="240" w:lineRule="auto" w:before="3"/>
        <w:rPr>
          <w:rFonts w:ascii="宋体" w:hAnsi="宋体" w:cs="宋体" w:eastAsia="宋体" w:hint="default"/>
          <w:sz w:val="26"/>
          <w:szCs w:val="26"/>
        </w:rPr>
      </w:pPr>
    </w:p>
    <w:p>
      <w:pPr>
        <w:pStyle w:val="BodyText"/>
        <w:spacing w:line="240" w:lineRule="auto"/>
        <w:ind w:left="574" w:right="0"/>
        <w:jc w:val="left"/>
      </w:pPr>
      <w:r>
        <w:rPr/>
        <w:t>除以上事项之外，合并财务报表范围与上年度一致。</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董彦亮、何凝</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7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报告期内，公司及其控股股东、实际控制人不存在未履行法院生效判决及所负数额较大的债务到期未清偿的情况。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日，公司第四届董事会第七次会议和第四届监事会第六次会议审议通过了《关于</w:t>
      </w:r>
      <w:r>
        <w:rPr>
          <w:rFonts w:ascii="Times New Roman" w:hAnsi="Times New Roman" w:cs="Times New Roman" w:eastAsia="Times New Roman" w:hint="default"/>
        </w:rPr>
        <w:t>&lt;</w:t>
      </w:r>
      <w:r>
        <w:rPr/>
        <w:t>上海美特斯邦威服饰股 份有限公司第一期员工持股计划（草案）</w:t>
      </w:r>
      <w:r>
        <w:rPr>
          <w:rFonts w:ascii="Times New Roman" w:hAnsi="Times New Roman" w:cs="Times New Roman" w:eastAsia="Times New Roman" w:hint="default"/>
        </w:rPr>
        <w:t>&gt;</w:t>
      </w:r>
      <w:r>
        <w:rPr/>
        <w:t>及摘要的议案》及相关议案，并提交公司</w:t>
      </w:r>
      <w:r>
        <w:rPr>
          <w:rFonts w:ascii="Times New Roman" w:hAnsi="Times New Roman" w:cs="Times New Roman" w:eastAsia="Times New Roman" w:hint="default"/>
        </w:rPr>
        <w:t>2017</w:t>
      </w:r>
      <w:r>
        <w:rPr/>
        <w:t>年第三次临时股东大会审议通过后 实施。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日，公司第四届董事会第九次会议审议并通过了《关于延长第一期员工持股计划购买期的议案》。</w:t>
      </w:r>
    </w:p>
    <w:p>
      <w:pPr>
        <w:pStyle w:val="BodyText"/>
        <w:spacing w:line="300" w:lineRule="auto" w:before="13"/>
        <w:ind w:right="1129" w:firstLine="42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日收盘，为公司第一期员工持股计划设立的</w:t>
      </w:r>
      <w:r>
        <w:rPr>
          <w:rFonts w:ascii="Times New Roman" w:hAnsi="Times New Roman" w:cs="Times New Roman" w:eastAsia="Times New Roman" w:hint="default"/>
        </w:rPr>
        <w:t>“</w:t>
      </w:r>
      <w:r>
        <w:rPr/>
        <w:t>华宝信托有限责任公司－聚鑫</w:t>
      </w:r>
      <w:r>
        <w:rPr>
          <w:rFonts w:ascii="Times New Roman" w:hAnsi="Times New Roman" w:cs="Times New Roman" w:eastAsia="Times New Roman" w:hint="default"/>
        </w:rPr>
        <w:t>8</w:t>
      </w:r>
      <w:r>
        <w:rPr/>
        <w:t>号证券投资信托计划</w:t>
      </w:r>
      <w:r>
        <w:rPr>
          <w:rFonts w:ascii="Times New Roman" w:hAnsi="Times New Roman" w:cs="Times New Roman" w:eastAsia="Times New Roman" w:hint="default"/>
        </w:rPr>
        <w:t>”</w:t>
      </w:r>
      <w:r>
        <w:rPr/>
        <w:t>通 </w:t>
      </w:r>
      <w:r>
        <w:rPr>
          <w:spacing w:val="3"/>
        </w:rPr>
        <w:t>过二级市场竞价交易方式购买公司股票共计</w:t>
      </w:r>
      <w:r>
        <w:rPr>
          <w:rFonts w:ascii="Times New Roman" w:hAnsi="Times New Roman" w:cs="Times New Roman" w:eastAsia="Times New Roman" w:hint="default"/>
          <w:spacing w:val="3"/>
        </w:rPr>
        <w:t>58,190,814</w:t>
      </w:r>
      <w:r>
        <w:rPr>
          <w:spacing w:val="3"/>
        </w:rPr>
        <w:t>股，占公司总股本的</w:t>
      </w:r>
      <w:r>
        <w:rPr>
          <w:rFonts w:ascii="Times New Roman" w:hAnsi="Times New Roman" w:cs="Times New Roman" w:eastAsia="Times New Roman" w:hint="default"/>
          <w:spacing w:val="3"/>
        </w:rPr>
        <w:t>2.32%</w:t>
      </w:r>
      <w:r>
        <w:rPr>
          <w:spacing w:val="3"/>
        </w:rPr>
        <w:t>，交易均价为</w:t>
      </w:r>
      <w:r>
        <w:rPr>
          <w:rFonts w:ascii="Times New Roman" w:hAnsi="Times New Roman" w:cs="Times New Roman" w:eastAsia="Times New Roman" w:hint="default"/>
          <w:spacing w:val="3"/>
        </w:rPr>
        <w:t>3.13</w:t>
      </w:r>
      <w:r>
        <w:rPr>
          <w:spacing w:val="3"/>
        </w:rPr>
        <w:t>元</w:t>
      </w:r>
      <w:r>
        <w:rPr>
          <w:rFonts w:ascii="Times New Roman" w:hAnsi="Times New Roman" w:cs="Times New Roman" w:eastAsia="Times New Roman" w:hint="default"/>
          <w:spacing w:val="3"/>
        </w:rPr>
        <w:t>/</w:t>
      </w:r>
      <w:r>
        <w:rPr>
          <w:spacing w:val="3"/>
        </w:rPr>
        <w:t>股，成交金额合计</w:t>
      </w:r>
      <w:r>
        <w:rPr>
          <w:spacing w:val="-55"/>
        </w:rPr>
        <w:t> </w:t>
      </w:r>
      <w:r>
        <w:rPr>
          <w:spacing w:val="-55"/>
        </w:rPr>
      </w:r>
      <w:r>
        <w:rPr>
          <w:rFonts w:ascii="Times New Roman" w:hAnsi="Times New Roman" w:cs="Times New Roman" w:eastAsia="Times New Roman" w:hint="default"/>
        </w:rPr>
        <w:t>182,262,851.38</w:t>
      </w:r>
      <w:r>
        <w:rPr/>
        <w:t>元。至此，公司已完成第一期员工持股计划标的股票的购买。公司第一期员工持股计划所购买的股票将予以</w:t>
      </w:r>
      <w:r>
        <w:rPr>
          <w:spacing w:val="-48"/>
        </w:rPr>
        <w:t> </w:t>
      </w:r>
      <w:r>
        <w:rPr>
          <w:spacing w:val="-48"/>
        </w:rPr>
      </w:r>
      <w:r>
        <w:rPr/>
        <w:t>锁定，锁定期为自购买完成公告披露之日起</w:t>
      </w:r>
      <w:r>
        <w:rPr>
          <w:rFonts w:ascii="Times New Roman" w:hAnsi="Times New Roman" w:cs="Times New Roman" w:eastAsia="Times New Roman" w:hint="default"/>
        </w:rPr>
        <w:t>12</w:t>
      </w:r>
      <w:r>
        <w:rPr/>
        <w:t>个月。上述事项的具体详情均已在巨潮资讯网上对外披露。</w:t>
      </w:r>
    </w:p>
    <w:p>
      <w:pPr>
        <w:pStyle w:val="BodyText"/>
        <w:spacing w:line="240" w:lineRule="auto" w:before="13"/>
        <w:ind w:left="574" w:right="0"/>
        <w:jc w:val="left"/>
      </w:pPr>
      <w:r>
        <w:rPr/>
        <w:t>截至本报告披露之日，本期员工持股计划仍处于锁定期内。</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购买或 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46,813,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840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70.27%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46,813,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840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购买或 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401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购买或 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7,798,5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779.86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11.70%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7,798,5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向关联 方承租 房屋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承租营 业房屋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13,730,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16.73%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13,730,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向关联 方承租 房屋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承租营 业房屋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68,319,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094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83.27%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68,319,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094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7"/>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28,700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没有超出经股东大会批准的本年度关联交易金额范围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59"/>
        <w:gridCol w:w="6711"/>
      </w:tblGrid>
      <w:tr>
        <w:trPr>
          <w:trHeight w:val="362"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实际履行情况（如有）</w:t>
            </w:r>
          </w:p>
        </w:tc>
        <w:tc>
          <w:tcPr>
            <w:tcW w:w="67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5"/>
        <w:ind w:right="0"/>
        <w:jc w:val="both"/>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公司第四届董事会第九次会议与公司第四届监事会第八次会议审议通过了《关于接受控股股东财务资助的议案》，控股</w:t>
      </w:r>
    </w:p>
    <w:p>
      <w:pPr>
        <w:pStyle w:val="BodyText"/>
        <w:spacing w:line="309" w:lineRule="auto" w:before="2"/>
        <w:ind w:right="1132"/>
        <w:jc w:val="both"/>
      </w:pPr>
      <w:r>
        <w:rPr>
          <w:spacing w:val="-1"/>
        </w:rPr>
        <w:t>股东上海华服投资有限公司拟向本公司提供总额度不超过</w:t>
      </w:r>
      <w:r>
        <w:rPr>
          <w:rFonts w:ascii="Times New Roman" w:hAnsi="Times New Roman" w:cs="Times New Roman" w:eastAsia="Times New Roman" w:hint="default"/>
          <w:spacing w:val="-1"/>
        </w:rPr>
        <w:t>30,000</w:t>
      </w:r>
      <w:r>
        <w:rPr>
          <w:spacing w:val="-1"/>
        </w:rPr>
        <w:t>万元人民币的财务资助，借款利率执行中国人民银行同期贷</w:t>
      </w:r>
      <w:r>
        <w:rPr>
          <w:spacing w:val="-73"/>
        </w:rPr>
        <w:t> </w:t>
      </w:r>
      <w:r>
        <w:rPr>
          <w:spacing w:val="-73"/>
        </w:rPr>
      </w:r>
      <w:r>
        <w:rPr>
          <w:spacing w:val="-2"/>
        </w:rPr>
        <w:t>款基准利率。报告期内，根据公司与控股股东上海华服投资有限公司签署的《财务资助协议》，公司从华服投资共计拆入资</w:t>
      </w:r>
      <w:r>
        <w:rPr>
          <w:spacing w:val="-66"/>
        </w:rPr>
        <w:t> </w:t>
      </w:r>
      <w:r>
        <w:rPr>
          <w:spacing w:val="-66"/>
        </w:rPr>
      </w:r>
      <w:r>
        <w:rPr/>
        <w:t>金人民币</w:t>
      </w:r>
      <w:r>
        <w:rPr>
          <w:rFonts w:ascii="Times New Roman" w:hAnsi="Times New Roman" w:cs="Times New Roman" w:eastAsia="Times New Roman" w:hint="default"/>
        </w:rPr>
        <w:t>120,000,000</w:t>
      </w:r>
      <w:r>
        <w:rPr/>
        <w:t>元，借款年化利率为</w:t>
      </w:r>
      <w:r>
        <w:rPr>
          <w:rFonts w:ascii="Times New Roman" w:hAnsi="Times New Roman" w:cs="Times New Roman" w:eastAsia="Times New Roman" w:hint="default"/>
        </w:rPr>
        <w:t>4.35%</w:t>
      </w:r>
      <w:r>
        <w:rPr/>
        <w:t>，利息为人民币</w:t>
      </w:r>
      <w:r>
        <w:rPr>
          <w:rFonts w:ascii="Times New Roman" w:hAnsi="Times New Roman" w:cs="Times New Roman" w:eastAsia="Times New Roman" w:hint="default"/>
        </w:rPr>
        <w:t>392,708</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BodyText"/>
        <w:spacing w:line="240" w:lineRule="auto"/>
        <w:ind w:right="0"/>
        <w:jc w:val="both"/>
      </w:pPr>
      <w:r>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美邦服饰关于接受控股股东财务资助的关 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4"/>
      <w:bookmarkEnd w:id="94"/>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290"/>
        <w:jc w:val="left"/>
      </w:pPr>
      <w:r>
        <w:rPr>
          <w:w w:val="95"/>
        </w:rPr>
        <w:t>公司已同期对外披露了《</w:t>
      </w:r>
      <w:r>
        <w:rPr>
          <w:rFonts w:ascii="Times New Roman" w:hAnsi="Times New Roman" w:cs="Times New Roman" w:eastAsia="Times New Roman" w:hint="default"/>
          <w:w w:val="95"/>
        </w:rPr>
        <w:t>2018</w:t>
      </w:r>
      <w:r>
        <w:rPr>
          <w:w w:val="95"/>
        </w:rPr>
        <w:t>年度社会责任报告》，详细内容请登录深圳证券交易所网站（</w:t>
      </w:r>
      <w:hyperlink r:id="rId12">
        <w:r>
          <w:rPr>
            <w:rFonts w:ascii="Times New Roman" w:hAnsi="Times New Roman" w:cs="Times New Roman" w:eastAsia="Times New Roman" w:hint="default"/>
            <w:w w:val="95"/>
          </w:rPr>
          <w:t>http://www.szse.cn</w:t>
        </w:r>
      </w:hyperlink>
      <w:r>
        <w:rPr>
          <w:w w:val="95"/>
        </w:rPr>
        <w:t>）或巨潮</w:t>
      </w:r>
      <w:r>
        <w:rPr>
          <w:spacing w:val="80"/>
          <w:w w:val="95"/>
        </w:rPr>
        <w:t> </w:t>
      </w:r>
      <w:r>
        <w:rPr>
          <w:spacing w:val="80"/>
          <w:w w:val="95"/>
        </w:rPr>
      </w:r>
      <w:r>
        <w:rPr/>
        <w:t>资讯网（</w:t>
      </w:r>
      <w:hyperlink r:id="rId11">
        <w:r>
          <w:rPr>
            <w:rFonts w:ascii="Times New Roman" w:hAnsi="Times New Roman" w:cs="Times New Roman" w:eastAsia="Times New Roman" w:hint="default"/>
          </w:rPr>
          <w:t>http://www.cninfo.com.cn</w:t>
        </w:r>
      </w:hyperlink>
      <w:r>
        <w:rPr/>
        <w:t>）进行查询。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0"/>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公司报告年度暂未开展精准扶贫工作，也暂无后续精准扶贫计划。</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环境保护相关的情况" w:id="97"/>
      <w:bookmarkEnd w:id="9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w:t>
      </w:r>
    </w:p>
    <w:p>
      <w:pPr>
        <w:pStyle w:val="BodyText"/>
        <w:spacing w:line="316" w:lineRule="auto" w:before="28"/>
        <w:ind w:right="0" w:firstLine="290"/>
        <w:jc w:val="left"/>
      </w:pPr>
      <w:r>
        <w:rPr>
          <w:spacing w:val="-1"/>
        </w:rPr>
        <w:t>本公司及下属子公司不属于环境保护部门公布的重点排污单位。公司业务主要集中在休闲服装的设计、销售及品牌经营</w:t>
      </w:r>
      <w:r>
        <w:rPr/>
        <w:t> 及推广，涉及生产的相关环节主要采取外包模式，公司主要业务对环境保护均不产生不利影响。</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九、其他重大事项的说明" w:id="98"/>
      <w:bookmarkEnd w:id="98"/>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0" w:firstLine="650"/>
        <w:jc w:val="left"/>
      </w:pPr>
      <w:r>
        <w:rPr>
          <w:rFonts w:ascii="Times New Roman" w:hAnsi="Times New Roman" w:cs="Times New Roman" w:eastAsia="Times New Roman" w:hint="default"/>
          <w:spacing w:val="-4"/>
          <w:w w:val="100"/>
        </w:rPr>
        <w:t>2018</w:t>
      </w:r>
      <w:r>
        <w:rPr>
          <w:spacing w:val="-4"/>
          <w:w w:val="100"/>
        </w:rPr>
        <w:t>年</w:t>
      </w:r>
      <w:r>
        <w:rPr>
          <w:rFonts w:ascii="Times New Roman" w:hAnsi="Times New Roman" w:cs="Times New Roman" w:eastAsia="Times New Roman" w:hint="default"/>
          <w:spacing w:val="-4"/>
          <w:w w:val="100"/>
        </w:rPr>
        <w:t>10</w:t>
      </w:r>
      <w:r>
        <w:rPr>
          <w:spacing w:val="-4"/>
          <w:w w:val="100"/>
        </w:rPr>
        <w:t>月</w:t>
      </w:r>
      <w:r>
        <w:rPr>
          <w:rFonts w:ascii="Times New Roman" w:hAnsi="Times New Roman" w:cs="Times New Roman" w:eastAsia="Times New Roman" w:hint="default"/>
          <w:spacing w:val="-4"/>
          <w:w w:val="100"/>
        </w:rPr>
        <w:t>25</w:t>
      </w:r>
      <w:r>
        <w:rPr>
          <w:spacing w:val="-4"/>
          <w:w w:val="100"/>
        </w:rPr>
        <w:t>日，上海美特斯邦威服饰股份有限公司</w:t>
      </w:r>
      <w:r>
        <w:rPr>
          <w:rFonts w:ascii="Times New Roman" w:hAnsi="Times New Roman" w:cs="Times New Roman" w:eastAsia="Times New Roman" w:hint="default"/>
          <w:spacing w:val="-4"/>
          <w:w w:val="100"/>
        </w:rPr>
        <w:t>2013</w:t>
      </w:r>
      <w:r>
        <w:rPr>
          <w:spacing w:val="-4"/>
          <w:w w:val="100"/>
        </w:rPr>
        <w:t>年公司债券（第一期）（以下简称</w:t>
      </w:r>
      <w:r>
        <w:rPr>
          <w:rFonts w:ascii="Times New Roman" w:hAnsi="Times New Roman" w:cs="Times New Roman" w:eastAsia="Times New Roman" w:hint="default"/>
          <w:spacing w:val="-4"/>
          <w:w w:val="100"/>
        </w:rPr>
        <w:t>“13</w:t>
      </w:r>
      <w:r>
        <w:rPr>
          <w:spacing w:val="-4"/>
          <w:w w:val="100"/>
        </w:rPr>
        <w:t>美邦</w:t>
      </w:r>
      <w:r>
        <w:rPr>
          <w:rFonts w:ascii="Times New Roman" w:hAnsi="Times New Roman" w:cs="Times New Roman" w:eastAsia="Times New Roman" w:hint="default"/>
          <w:spacing w:val="-4"/>
          <w:w w:val="100"/>
        </w:rPr>
        <w:t>01”</w:t>
      </w:r>
      <w:r>
        <w:rPr>
          <w:spacing w:val="-4"/>
          <w:w w:val="100"/>
        </w:rPr>
        <w:t>、</w:t>
      </w:r>
      <w:r>
        <w:rPr>
          <w:rFonts w:ascii="Times New Roman" w:hAnsi="Times New Roman" w:cs="Times New Roman" w:eastAsia="Times New Roman" w:hint="default"/>
          <w:spacing w:val="-4"/>
          <w:w w:val="100"/>
        </w:rPr>
        <w:t>“</w:t>
      </w:r>
      <w:r>
        <w:rPr>
          <w:spacing w:val="-4"/>
          <w:w w:val="100"/>
        </w:rPr>
        <w:t>本期债券</w:t>
      </w:r>
      <w:r>
        <w:rPr>
          <w:rFonts w:ascii="Times New Roman" w:hAnsi="Times New Roman" w:cs="Times New Roman" w:eastAsia="Times New Roman" w:hint="default"/>
          <w:spacing w:val="-4"/>
          <w:w w:val="100"/>
        </w:rPr>
        <w:t>”</w:t>
      </w:r>
      <w:r>
        <w:rPr>
          <w:spacing w:val="-4"/>
          <w:w w:val="100"/>
        </w:rPr>
        <w:t>）</w:t>
      </w:r>
      <w:r>
        <w:rPr/>
        <w:t> </w:t>
      </w:r>
      <w:r>
        <w:rPr>
          <w:spacing w:val="-2"/>
        </w:rPr>
        <w:t>存续期到期结束。本期债券于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日在深交所摘牌，公司于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日按期兑付了本期债券的剩余本金及</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日期间最后一期的利息。</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十、公司子公司重大事项" w:id="99"/>
      <w:bookmarkEnd w:id="99"/>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28"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28"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28"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40" w:lineRule="auto" w:before="42"/>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3"/>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9" w:firstLine="29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日，公司对外披露了《</w:t>
      </w:r>
      <w:r>
        <w:rPr>
          <w:rFonts w:ascii="Times New Roman" w:hAnsi="Times New Roman" w:cs="Times New Roman" w:eastAsia="Times New Roman" w:hint="default"/>
        </w:rPr>
        <w:t>2019</w:t>
      </w:r>
      <w:r>
        <w:rPr/>
        <w:t>年非公开发行</w:t>
      </w:r>
      <w:r>
        <w:rPr>
          <w:rFonts w:ascii="Times New Roman" w:hAnsi="Times New Roman" w:cs="Times New Roman" w:eastAsia="Times New Roman" w:hint="default"/>
        </w:rPr>
        <w:t>A</w:t>
      </w:r>
      <w:r>
        <w:rPr/>
        <w:t>股股票预案》，公司拟向不超过</w:t>
      </w:r>
      <w:r>
        <w:rPr>
          <w:rFonts w:ascii="Times New Roman" w:hAnsi="Times New Roman" w:cs="Times New Roman" w:eastAsia="Times New Roman" w:hint="default"/>
        </w:rPr>
        <w:t>10</w:t>
      </w:r>
      <w:r>
        <w:rPr/>
        <w:t>名特定投资者非公开发行</w:t>
      </w:r>
      <w:r>
        <w:rPr>
          <w:rFonts w:ascii="Times New Roman" w:hAnsi="Times New Roman" w:cs="Times New Roman" w:eastAsia="Times New Roman" w:hint="default"/>
        </w:rPr>
        <w:t>A</w:t>
      </w:r>
      <w:r>
        <w:rPr/>
        <w:t>股 股票，本次非公开发行股票募集资金总额不超过</w:t>
      </w:r>
      <w:r>
        <w:rPr>
          <w:rFonts w:ascii="Times New Roman" w:hAnsi="Times New Roman" w:cs="Times New Roman" w:eastAsia="Times New Roman" w:hint="default"/>
        </w:rPr>
        <w:t>150,000.00</w:t>
      </w:r>
      <w:r>
        <w:rPr/>
        <w:t>万元（含本数），发行股票数量按照本次非公开发行募集资金总</w:t>
      </w:r>
      <w:r>
        <w:rPr>
          <w:spacing w:val="-84"/>
        </w:rPr>
        <w:t> </w:t>
      </w:r>
      <w:r>
        <w:rPr>
          <w:spacing w:val="-84"/>
        </w:rPr>
      </w:r>
      <w:r>
        <w:rPr/>
        <w:t>额除以最终询价确定的发行价格计算得出，且发行数量不超过本次非公开发行前公司总股本的</w:t>
      </w:r>
      <w:r>
        <w:rPr>
          <w:rFonts w:ascii="Times New Roman" w:hAnsi="Times New Roman" w:cs="Times New Roman" w:eastAsia="Times New Roman" w:hint="default"/>
        </w:rPr>
        <w:t>20%</w:t>
      </w:r>
      <w:r>
        <w:rPr/>
        <w:t>，即不超过</w:t>
      </w:r>
      <w:r>
        <w:rPr>
          <w:rFonts w:ascii="Times New Roman" w:hAnsi="Times New Roman" w:cs="Times New Roman" w:eastAsia="Times New Roman" w:hint="default"/>
        </w:rPr>
        <w:t>502,500,000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股（含</w:t>
      </w:r>
      <w:r>
        <w:rPr>
          <w:rFonts w:ascii="Times New Roman" w:hAnsi="Times New Roman" w:cs="Times New Roman" w:eastAsia="Times New Roman" w:hint="default"/>
        </w:rPr>
        <w:t>502,500,000</w:t>
      </w:r>
      <w:r>
        <w:rPr/>
        <w:t>股）。本次非公开发行股票事项的相关内容可详见公司相关公告。</w:t>
      </w:r>
    </w:p>
    <w:p>
      <w:pPr>
        <w:pStyle w:val="BodyText"/>
        <w:spacing w:line="316" w:lineRule="auto" w:before="13"/>
        <w:ind w:right="1140" w:firstLine="289"/>
        <w:jc w:val="both"/>
      </w:pPr>
      <w:r>
        <w:rPr>
          <w:spacing w:val="2"/>
        </w:rPr>
        <w:t>本次非公开发行股票相关事项尚存在重大不确定性，非公开发行方案的生效和完成尚待取得有关审批机关的批准或核</w:t>
      </w:r>
      <w:r>
        <w:rPr/>
        <w:t> 准。</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66,794</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64,578</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上海华服投资有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50.65%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1,272,486</w:t>
            </w:r>
          </w:p>
          <w:p>
            <w:pPr>
              <w:pStyle w:val="TableParagraph"/>
              <w:spacing w:line="240" w:lineRule="auto" w:before="106"/>
              <w:ind w:left="438" w:right="0"/>
              <w:jc w:val="left"/>
              <w:rPr>
                <w:rFonts w:ascii="Times New Roman" w:hAnsi="Times New Roman" w:cs="Times New Roman" w:eastAsia="Times New Roman" w:hint="default"/>
                <w:sz w:val="18"/>
                <w:szCs w:val="18"/>
              </w:rPr>
            </w:pPr>
            <w:r>
              <w:rPr>
                <w:rFonts w:ascii="Times New Roman"/>
                <w:sz w:val="18"/>
              </w:rPr>
              <w:t>,359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1,272,486,</w:t>
            </w:r>
          </w:p>
          <w:p>
            <w:pPr>
              <w:pStyle w:val="TableParagraph"/>
              <w:spacing w:line="240" w:lineRule="auto" w:before="106"/>
              <w:ind w:left="568" w:right="0"/>
              <w:jc w:val="left"/>
              <w:rPr>
                <w:rFonts w:ascii="Times New Roman" w:hAnsi="Times New Roman" w:cs="Times New Roman" w:eastAsia="Times New Roman" w:hint="default"/>
                <w:sz w:val="18"/>
                <w:szCs w:val="18"/>
              </w:rPr>
            </w:pPr>
            <w:r>
              <w:rPr>
                <w:rFonts w:ascii="Times New Roman"/>
                <w:sz w:val="18"/>
              </w:rPr>
              <w:t>359</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800,780,954</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8.96%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179,999,998</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121,944,0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121,944,0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华宝信托有限责 任公司－聚鑫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 证券投资信托计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90" w:right="0"/>
              <w:jc w:val="left"/>
              <w:rPr>
                <w:rFonts w:ascii="Times New Roman" w:hAnsi="Times New Roman" w:cs="Times New Roman" w:eastAsia="Times New Roman" w:hint="default"/>
                <w:sz w:val="18"/>
                <w:szCs w:val="18"/>
              </w:rPr>
            </w:pPr>
            <w:r>
              <w:rPr>
                <w:rFonts w:ascii="Times New Roman"/>
                <w:sz w:val="18"/>
              </w:rPr>
              <w:t>2.32%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58,190,81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58,190,81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58,190,81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工银瑞信基金－ 农业银行－工银 瑞信中证金融资 产管理计划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南方基金－农业 银行－南方中证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中欧基金－农业 银行－中欧中证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博时基金－农业 银行－博时中证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大成基金－农业 银行－大成中证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嘉实基金－农业 银行－嘉实中证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广发基金－农业 银行－广发中证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华夏基金－农业 银行－华夏中证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银华基金－农业 银行－银华中证 金融资产管理计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易方达基金－农 业银行－易方达 中证金融资产管 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褚国祥</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6,126,394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6,126,394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陈秋旭</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5,530,000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陈海风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4,936,300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4,936,300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4,936,300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3,220,300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518,807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3,220,300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施良玉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2,730,900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-2,689,10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2,730,900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172"/>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本公司控股股东上海华服投资有限公司的实际控制人周成建先生与本公司股东胡佳 佳女士系父女关系。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1,272,486,359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1,272,486,359</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121,944,000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121,944,000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华宝信托有限责任公司－聚鑫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证券投资信托计划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58,190,814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58,190,814</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工银瑞信基金－农业银行－工银瑞 信中证金融资产管理计划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南方基金－农业银行－南方中证金 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中欧基金－农业银行－中欧中证金 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博时基金－农业银行－博时中证金 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大成基金－农业银行－大成中证金 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嘉实基金－农业银行－嘉实中证金 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广发基金－农业银行－广发中证金 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华夏基金－农业银行－华夏中证金 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银华基金－农业银行－银华中证金 融资产管理计划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易方达基金－农业银行－易方达中 证金融资产管理计划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36,388,000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36,388,000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褚国祥</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6,126,394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6,126,394</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陈秋旭</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陈海风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4,936,300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4,936,300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3,220,300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3,220,300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施良玉</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2,730,900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2"/>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本公司控股股东上海华服投资有限公司的实际控制人周成建先生与本公司股东胡佳 佳女士系父女关系。</w:t>
            </w:r>
          </w:p>
        </w:tc>
      </w:tr>
      <w:tr>
        <w:trPr>
          <w:trHeight w:val="227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2" w:lineRule="auto"/>
              <w:ind w:left="22" w:right="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报告期末，控股股东上海华服投资有限公司持有本公司股份数为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1,272,486,359</w:t>
            </w:r>
            <w:r>
              <w:rPr>
                <w:rFonts w:ascii="Times New Roman" w:hAnsi="Times New Roman" w:cs="Times New Roman" w:eastAsia="Times New Roman" w:hint="default"/>
                <w:spacing w:val="-20"/>
                <w:sz w:val="18"/>
                <w:szCs w:val="18"/>
              </w:rPr>
              <w:t> </w:t>
            </w:r>
            <w:r>
              <w:rPr>
                <w:rFonts w:ascii="宋体" w:hAnsi="宋体" w:cs="宋体" w:eastAsia="宋体" w:hint="default"/>
                <w:spacing w:val="-13"/>
                <w:sz w:val="18"/>
                <w:szCs w:val="18"/>
              </w:rPr>
              <w:t>股，其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中通过信用证券账户持股数量为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272,006,953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股；自然人股东陈秋旭持股数量为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5,530,000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股，其中通过信用证券账户持股数量为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股；自然人股东陈海风持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股数量为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4,936,300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股，其中通过信用证券账户持股数量为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4,936,300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股；自然人股东</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王建平持股数量为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3,220,300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股，其中通过信用证券账户持股数量为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2,699,100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股；自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然人股东施良玉持股数量为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2,730,900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股，其中通过信用证券账户持股数量为</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2,730,700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91310115666049783P</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实业投资、投资管理</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及其一致行动人" w:id="112"/>
      <w:bookmarkEnd w:id="11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实际控制人性质：境内自然人 实际控制人类型：自然人</w:t>
      </w:r>
    </w:p>
    <w:p>
      <w:pPr>
        <w:spacing w:after="0" w:line="36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上海华服投资有限公司执行董事</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3"/>
        <w:rPr>
          <w:rFonts w:ascii="宋体" w:hAnsi="宋体" w:cs="宋体" w:eastAsia="宋体" w:hint="default"/>
          <w:sz w:val="22"/>
          <w:szCs w:val="22"/>
        </w:rPr>
      </w:pPr>
    </w:p>
    <w:p>
      <w:pPr>
        <w:spacing w:line="4440" w:lineRule="exact"/>
        <w:ind w:left="1356"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590488" cy="28194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0488" cy="2819400"/>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9"/>
        <w:rPr>
          <w:rFonts w:ascii="宋体" w:hAnsi="宋体" w:cs="宋体" w:eastAsia="宋体" w:hint="default"/>
          <w:sz w:val="21"/>
          <w:szCs w:val="21"/>
        </w:rPr>
      </w:pPr>
    </w:p>
    <w:p>
      <w:pPr>
        <w:pStyle w:val="Heading3"/>
        <w:spacing w:line="240" w:lineRule="auto" w:before="0"/>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董事、总 裁助理、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庄涛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张玉虎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冯辉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蔡敏旭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2" w:right="63"/>
              <w:jc w:val="left"/>
              <w:rPr>
                <w:rFonts w:ascii="Times New Roman" w:hAnsi="Times New Roman" w:cs="Times New Roman" w:eastAsia="Times New Roman" w:hint="default"/>
                <w:sz w:val="18"/>
                <w:szCs w:val="18"/>
              </w:rPr>
            </w:pPr>
            <w:r>
              <w:rPr>
                <w:rFonts w:ascii="Times New Roman"/>
                <w:sz w:val="18"/>
              </w:rPr>
              <w:t>William </w:t>
            </w:r>
            <w:r>
              <w:rPr>
                <w:rFonts w:ascii="Times New Roman"/>
                <w:spacing w:val="-6"/>
                <w:sz w:val="18"/>
              </w:rPr>
              <w:t>Wei</w:t>
            </w:r>
            <w:r>
              <w:rPr>
                <w:rFonts w:ascii="Times New Roman"/>
                <w:spacing w:val="3"/>
                <w:sz w:val="18"/>
              </w:rPr>
              <w:t> </w:t>
            </w:r>
            <w:r>
              <w:rPr>
                <w:rFonts w:ascii="Times New Roman"/>
                <w:sz w:val="18"/>
              </w:rPr>
              <w:t>Song</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2" w:right="283"/>
              <w:jc w:val="left"/>
              <w:rPr>
                <w:rFonts w:ascii="Times New Roman" w:hAnsi="Times New Roman" w:cs="Times New Roman" w:eastAsia="Times New Roman" w:hint="default"/>
                <w:sz w:val="18"/>
                <w:szCs w:val="18"/>
              </w:rPr>
            </w:pPr>
            <w:r>
              <w:rPr>
                <w:rFonts w:ascii="Times New Roman"/>
                <w:sz w:val="18"/>
              </w:rPr>
              <w:t>Daniel</w:t>
            </w:r>
            <w:r>
              <w:rPr>
                <w:rFonts w:ascii="Times New Roman"/>
                <w:w w:val="99"/>
                <w:sz w:val="18"/>
              </w:rPr>
              <w:t> </w:t>
            </w:r>
            <w:r>
              <w:rPr>
                <w:rFonts w:ascii="Times New Roman"/>
                <w:sz w:val="18"/>
              </w:rPr>
              <w:t>Silva</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田芳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5"/>
        <w:ind w:right="1122"/>
        <w:jc w:val="left"/>
      </w:pPr>
      <w:r>
        <w:rPr/>
        <w:t>（一）董事会成员 </w:t>
      </w:r>
      <w:r>
        <w:rPr>
          <w:rFonts w:ascii="Times New Roman" w:hAnsi="Times New Roman" w:cs="Times New Roman" w:eastAsia="Times New Roman" w:hint="default"/>
        </w:rPr>
        <w:t>1</w:t>
      </w:r>
      <w:r>
        <w:rPr/>
        <w:t>、胡佳佳：女，</w:t>
      </w:r>
      <w:r>
        <w:rPr>
          <w:rFonts w:ascii="Times New Roman" w:hAnsi="Times New Roman" w:cs="Times New Roman" w:eastAsia="Times New Roman" w:hint="default"/>
        </w:rPr>
        <w:t>1986</w:t>
      </w:r>
      <w:r>
        <w:rPr/>
        <w:t>年出生，中国国籍，研究生学历，</w:t>
      </w:r>
      <w:r>
        <w:rPr>
          <w:rFonts w:ascii="Times New Roman" w:hAnsi="Times New Roman" w:cs="Times New Roman" w:eastAsia="Times New Roman" w:hint="default"/>
        </w:rPr>
        <w:t>2010</w:t>
      </w:r>
      <w:r>
        <w:rPr/>
        <w:t>年毕业于阿斯顿大学市场营销专业，</w:t>
      </w:r>
      <w:r>
        <w:rPr>
          <w:rFonts w:ascii="Times New Roman" w:hAnsi="Times New Roman" w:cs="Times New Roman" w:eastAsia="Times New Roman" w:hint="default"/>
        </w:rPr>
        <w:t>2011</w:t>
      </w:r>
      <w:r>
        <w:rPr/>
        <w:t>年取得伦敦马兰戈尼 学院时尚营销硕士学位。</w:t>
      </w:r>
      <w:r>
        <w:rPr>
          <w:rFonts w:ascii="Times New Roman" w:hAnsi="Times New Roman" w:cs="Times New Roman" w:eastAsia="Times New Roman" w:hint="default"/>
        </w:rPr>
        <w:t>2011</w:t>
      </w:r>
      <w:r>
        <w:rPr/>
        <w:t>年至 </w:t>
      </w:r>
      <w:r>
        <w:rPr>
          <w:rFonts w:ascii="Times New Roman" w:hAnsi="Times New Roman" w:cs="Times New Roman" w:eastAsia="Times New Roman" w:hint="default"/>
        </w:rPr>
        <w:t>2016</w:t>
      </w:r>
      <w:r>
        <w:rPr/>
        <w:t>年，在公司曾任职于总裁办公室、</w:t>
      </w:r>
      <w:r>
        <w:rPr>
          <w:rFonts w:ascii="Times New Roman" w:hAnsi="Times New Roman" w:cs="Times New Roman" w:eastAsia="Times New Roman" w:hint="default"/>
        </w:rPr>
        <w:t>Metersbonwe</w:t>
      </w:r>
      <w:r>
        <w:rPr>
          <w:rFonts w:ascii="Times New Roman" w:hAnsi="Times New Roman" w:cs="Times New Roman" w:eastAsia="Times New Roman" w:hint="default"/>
          <w:spacing w:val="6"/>
        </w:rPr>
        <w:t> </w:t>
      </w:r>
      <w:r>
        <w:rPr/>
        <w:t>鞋类开发营运部、品牌营销部、战 略发展部。现任公司董事长、总裁。 </w:t>
      </w:r>
      <w:r>
        <w:rPr>
          <w:rFonts w:ascii="Times New Roman" w:hAnsi="Times New Roman" w:cs="Times New Roman" w:eastAsia="Times New Roman" w:hint="default"/>
        </w:rPr>
        <w:t>2</w:t>
      </w:r>
      <w:r>
        <w:rPr/>
        <w:t>、胡周斌：男，</w:t>
      </w:r>
      <w:r>
        <w:rPr>
          <w:rFonts w:ascii="Times New Roman" w:hAnsi="Times New Roman" w:cs="Times New Roman" w:eastAsia="Times New Roman" w:hint="default"/>
        </w:rPr>
        <w:t>1988</w:t>
      </w:r>
      <w:r>
        <w:rPr/>
        <w:t>年出生，中国国籍，研究生学历，</w:t>
      </w:r>
      <w:r>
        <w:rPr>
          <w:rFonts w:ascii="Times New Roman" w:hAnsi="Times New Roman" w:cs="Times New Roman" w:eastAsia="Times New Roman" w:hint="default"/>
        </w:rPr>
        <w:t>2011</w:t>
      </w:r>
      <w:r>
        <w:rPr/>
        <w:t>年毕业于英国诺丁汉大学，</w:t>
      </w:r>
      <w:r>
        <w:rPr>
          <w:rFonts w:ascii="Times New Roman" w:hAnsi="Times New Roman" w:cs="Times New Roman" w:eastAsia="Times New Roman" w:hint="default"/>
        </w:rPr>
        <w:t>2012</w:t>
      </w:r>
      <w:r>
        <w:rPr/>
        <w:t>年获得英国金士顿大学硕士学 </w:t>
      </w:r>
      <w:r>
        <w:rPr>
          <w:spacing w:val="-2"/>
        </w:rPr>
        <w:t>位。曾任职于阿里巴巴集团天猫事业部、美邦服饰市场部、上海笔尔工业设计有限公司。现任本公司董事、总裁助理、董事</w:t>
      </w:r>
      <w:r>
        <w:rPr>
          <w:spacing w:val="-68"/>
        </w:rPr>
        <w:t> </w:t>
      </w:r>
      <w:r>
        <w:rPr>
          <w:spacing w:val="-68"/>
        </w:rPr>
      </w:r>
      <w:r>
        <w:rPr/>
        <w:t>会秘书。</w:t>
      </w:r>
    </w:p>
    <w:p>
      <w:pPr>
        <w:pStyle w:val="BodyText"/>
        <w:spacing w:line="300" w:lineRule="auto" w:before="24"/>
        <w:ind w:right="1117"/>
        <w:jc w:val="left"/>
      </w:pPr>
      <w:r>
        <w:rPr>
          <w:rFonts w:ascii="Times New Roman" w:hAnsi="Times New Roman" w:cs="Times New Roman" w:eastAsia="Times New Roman" w:hint="default"/>
        </w:rPr>
        <w:t>3</w:t>
      </w:r>
      <w:r>
        <w:rPr/>
        <w:t>、张玉虎：男，</w:t>
      </w:r>
      <w:r>
        <w:rPr>
          <w:rFonts w:ascii="Times New Roman" w:hAnsi="Times New Roman" w:cs="Times New Roman" w:eastAsia="Times New Roman" w:hint="default"/>
        </w:rPr>
        <w:t>1982</w:t>
      </w:r>
      <w:r>
        <w:rPr/>
        <w:t>年出生，中国国籍，研究生学历，</w:t>
      </w:r>
      <w:r>
        <w:rPr>
          <w:rFonts w:ascii="Times New Roman" w:hAnsi="Times New Roman" w:cs="Times New Roman" w:eastAsia="Times New Roman" w:hint="default"/>
        </w:rPr>
        <w:t>2014</w:t>
      </w:r>
      <w:r>
        <w:rPr/>
        <w:t>年获得天津师范大学</w:t>
      </w:r>
      <w:r>
        <w:rPr>
          <w:rFonts w:ascii="Times New Roman" w:hAnsi="Times New Roman" w:cs="Times New Roman" w:eastAsia="Times New Roman" w:hint="default"/>
        </w:rPr>
        <w:t>MBA</w:t>
      </w:r>
      <w:r>
        <w:rPr>
          <w:rFonts w:ascii="Times New Roman" w:hAnsi="Times New Roman" w:cs="Times New Roman" w:eastAsia="Times New Roman" w:hint="default"/>
          <w:spacing w:val="27"/>
        </w:rPr>
        <w:t> </w:t>
      </w:r>
      <w:r>
        <w:rPr/>
        <w:t>硕士学位。</w:t>
      </w:r>
      <w:r>
        <w:rPr>
          <w:rFonts w:ascii="Times New Roman" w:hAnsi="Times New Roman" w:cs="Times New Roman" w:eastAsia="Times New Roman" w:hint="default"/>
        </w:rPr>
        <w:t>2005</w:t>
      </w:r>
      <w:r>
        <w:rPr/>
        <w:t>年加入本公司，历 任公司商品企划部专员、商品企划部副总经理、</w:t>
      </w:r>
      <w:r>
        <w:rPr>
          <w:rFonts w:ascii="Times New Roman" w:hAnsi="Times New Roman" w:cs="Times New Roman" w:eastAsia="Times New Roman" w:hint="default"/>
        </w:rPr>
        <w:t>ME&amp;CITY </w:t>
      </w:r>
      <w:r>
        <w:rPr/>
        <w:t>男装产品部总经理、</w:t>
      </w:r>
      <w:r>
        <w:rPr>
          <w:rFonts w:ascii="Times New Roman" w:hAnsi="Times New Roman" w:cs="Times New Roman" w:eastAsia="Times New Roman" w:hint="default"/>
        </w:rPr>
        <w:t>ME&amp;CITY</w:t>
      </w:r>
      <w:r>
        <w:rPr>
          <w:rFonts w:ascii="Times New Roman" w:hAnsi="Times New Roman" w:cs="Times New Roman" w:eastAsia="Times New Roman" w:hint="default"/>
          <w:spacing w:val="35"/>
        </w:rPr>
        <w:t> </w:t>
      </w:r>
      <w:r>
        <w:rPr/>
        <w:t>男装营运部副总监、</w:t>
      </w:r>
      <w:r>
        <w:rPr>
          <w:rFonts w:ascii="Times New Roman" w:hAnsi="Times New Roman" w:cs="Times New Roman" w:eastAsia="Times New Roman" w:hint="default"/>
        </w:rPr>
        <w:t>ME&amp;CITY</w:t>
      </w:r>
      <w:r>
        <w:rPr>
          <w:rFonts w:ascii="Times New Roman" w:hAnsi="Times New Roman" w:cs="Times New Roman" w:eastAsia="Times New Roman" w:hint="default"/>
          <w:w w:val="99"/>
        </w:rPr>
        <w:t> </w:t>
      </w:r>
      <w:r>
        <w:rPr/>
        <w:t>品牌营运总监、</w:t>
      </w:r>
      <w:r>
        <w:rPr>
          <w:rFonts w:ascii="Times New Roman" w:hAnsi="Times New Roman" w:cs="Times New Roman" w:eastAsia="Times New Roman" w:hint="default"/>
        </w:rPr>
        <w:t>ME&amp;CITY</w:t>
      </w:r>
      <w:r>
        <w:rPr>
          <w:rFonts w:ascii="Times New Roman" w:hAnsi="Times New Roman" w:cs="Times New Roman" w:eastAsia="Times New Roman" w:hint="default"/>
          <w:spacing w:val="26"/>
        </w:rPr>
        <w:t> </w:t>
      </w:r>
      <w:r>
        <w:rPr/>
        <w:t>品牌渠道开发与营运部总监。现任本公司董事。 </w:t>
      </w:r>
      <w:r>
        <w:rPr>
          <w:rFonts w:ascii="Times New Roman" w:hAnsi="Times New Roman" w:cs="Times New Roman" w:eastAsia="Times New Roman" w:hint="default"/>
        </w:rPr>
        <w:t>4</w:t>
      </w:r>
      <w:r>
        <w:rPr/>
        <w:t>、单喆慜：女，</w:t>
      </w:r>
      <w:r>
        <w:rPr>
          <w:rFonts w:ascii="Times New Roman" w:hAnsi="Times New Roman" w:cs="Times New Roman" w:eastAsia="Times New Roman" w:hint="default"/>
        </w:rPr>
        <w:t>1972</w:t>
      </w:r>
      <w:r>
        <w:rPr/>
        <w:t>年出生，中国国籍，博士，中国注册会计师。现任上海国家会计学院副教授、本公司独立董事，同时</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0"/>
        <w:jc w:val="left"/>
      </w:pPr>
      <w:r>
        <w:rPr/>
        <w:t>担任光正集团股份有限公司独立董事、上海兰生股份有限公司独立董事、奥瑞金科技股份有限公司独立董事等职务。 </w:t>
      </w:r>
      <w:r>
        <w:rPr>
          <w:rFonts w:ascii="Times New Roman" w:hAnsi="Times New Roman" w:cs="Times New Roman" w:eastAsia="Times New Roman" w:hint="default"/>
        </w:rPr>
        <w:t>5</w:t>
      </w:r>
      <w:r>
        <w:rPr/>
        <w:t>、沈福俊：男，</w:t>
      </w:r>
      <w:r>
        <w:rPr>
          <w:rFonts w:ascii="Times New Roman" w:hAnsi="Times New Roman" w:cs="Times New Roman" w:eastAsia="Times New Roman" w:hint="default"/>
        </w:rPr>
        <w:t>1961</w:t>
      </w:r>
      <w:r>
        <w:rPr/>
        <w:t>年出生，中国国籍，研究生学历，兼职律师。现任华东政法大学法律学院教授、博士生导师、本公司 </w:t>
      </w:r>
      <w:r>
        <w:rPr>
          <w:spacing w:val="-4"/>
        </w:rPr>
        <w:t>独立董事，同时兼任中国行政法学研究会理事、上海市行政法学研究会副会长、上海城市管理行政执法研究会副会长等职务。</w:t>
      </w:r>
      <w:r>
        <w:rPr>
          <w:spacing w:val="-44"/>
        </w:rPr>
        <w:t> </w:t>
      </w:r>
      <w:r>
        <w:rPr>
          <w:spacing w:val="-44"/>
        </w:rPr>
      </w:r>
      <w:r>
        <w:rPr>
          <w:rFonts w:ascii="Times New Roman" w:hAnsi="Times New Roman" w:cs="Times New Roman" w:eastAsia="Times New Roman" w:hint="default"/>
        </w:rPr>
        <w:t>6</w:t>
      </w:r>
      <w:r>
        <w:rPr/>
        <w:t>、郑俊豪：男，</w:t>
      </w:r>
      <w:r>
        <w:rPr>
          <w:rFonts w:ascii="Times New Roman" w:hAnsi="Times New Roman" w:cs="Times New Roman" w:eastAsia="Times New Roman" w:hint="default"/>
        </w:rPr>
        <w:t>1969</w:t>
      </w:r>
      <w:r>
        <w:rPr/>
        <w:t>年出生，中国国籍，长江商学院</w:t>
      </w:r>
      <w:r>
        <w:rPr>
          <w:spacing w:val="-21"/>
        </w:rPr>
        <w:t> </w:t>
      </w:r>
      <w:r>
        <w:rPr>
          <w:rFonts w:ascii="Times New Roman" w:hAnsi="Times New Roman" w:cs="Times New Roman" w:eastAsia="Times New Roman" w:hint="default"/>
        </w:rPr>
        <w:t>DBA</w:t>
      </w:r>
      <w:r>
        <w:rPr/>
        <w:t>。现任裕福控股集团有限公司董事长，本公司独立董事。</w:t>
      </w:r>
    </w:p>
    <w:p>
      <w:pPr>
        <w:pStyle w:val="BodyText"/>
        <w:spacing w:line="240" w:lineRule="auto" w:before="3"/>
        <w:ind w:right="0"/>
        <w:jc w:val="left"/>
      </w:pPr>
      <w:r>
        <w:rPr/>
        <w:t>（二</w:t>
      </w:r>
      <w:r>
        <w:rPr>
          <w:spacing w:val="-19"/>
        </w:rPr>
        <w:t> </w:t>
      </w:r>
      <w:r>
        <w:rPr/>
        <w:t>）监事会成员</w:t>
      </w:r>
    </w:p>
    <w:p>
      <w:pPr>
        <w:pStyle w:val="BodyText"/>
        <w:spacing w:line="240" w:lineRule="auto" w:before="76"/>
        <w:ind w:right="0"/>
        <w:jc w:val="left"/>
      </w:pPr>
      <w:r>
        <w:rPr>
          <w:rFonts w:ascii="Times New Roman" w:hAnsi="Times New Roman" w:cs="Times New Roman" w:eastAsia="Times New Roman" w:hint="default"/>
        </w:rPr>
        <w:t>1</w:t>
      </w:r>
      <w:r>
        <w:rPr/>
        <w:t>、周涛：男，</w:t>
      </w:r>
      <w:r>
        <w:rPr>
          <w:rFonts w:ascii="Times New Roman" w:hAnsi="Times New Roman" w:cs="Times New Roman" w:eastAsia="Times New Roman" w:hint="default"/>
        </w:rPr>
        <w:t>1978</w:t>
      </w:r>
      <w:r>
        <w:rPr/>
        <w:t>年出生，中国国籍，研究生学历，</w:t>
      </w:r>
      <w:r>
        <w:rPr>
          <w:rFonts w:ascii="Times New Roman" w:hAnsi="Times New Roman" w:cs="Times New Roman" w:eastAsia="Times New Roman" w:hint="default"/>
        </w:rPr>
        <w:t>2002</w:t>
      </w:r>
      <w:r>
        <w:rPr/>
        <w:t>年毕业于中国人民大学法学院。曾任职于喜力亚太酿酒、康宝莱</w:t>
      </w:r>
    </w:p>
    <w:p>
      <w:pPr>
        <w:pStyle w:val="BodyText"/>
        <w:spacing w:line="307" w:lineRule="auto" w:before="63"/>
        <w:ind w:right="1122"/>
        <w:jc w:val="left"/>
      </w:pPr>
      <w:r>
        <w:rPr/>
        <w:t>（中国）、如新（中国）。</w:t>
      </w:r>
      <w:r>
        <w:rPr>
          <w:rFonts w:ascii="Times New Roman" w:hAnsi="Times New Roman" w:cs="Times New Roman" w:eastAsia="Times New Roman" w:hint="default"/>
        </w:rPr>
        <w:t>2013</w:t>
      </w:r>
      <w:r>
        <w:rPr/>
        <w:t>年加入本公司，任职公司法律事务部总经理。现任本公司监事长。 </w:t>
      </w:r>
      <w:r>
        <w:rPr>
          <w:rFonts w:ascii="Times New Roman" w:hAnsi="Times New Roman" w:cs="Times New Roman" w:eastAsia="Times New Roman" w:hint="default"/>
          <w:spacing w:val="-2"/>
        </w:rPr>
        <w:t>2</w:t>
      </w:r>
      <w:r>
        <w:rPr>
          <w:spacing w:val="-2"/>
        </w:rPr>
        <w:t>、冯辉：女，</w:t>
      </w:r>
      <w:r>
        <w:rPr>
          <w:rFonts w:ascii="Times New Roman" w:hAnsi="Times New Roman" w:cs="Times New Roman" w:eastAsia="Times New Roman" w:hint="default"/>
          <w:spacing w:val="-2"/>
        </w:rPr>
        <w:t>1971</w:t>
      </w:r>
      <w:r>
        <w:rPr>
          <w:spacing w:val="-2"/>
        </w:rPr>
        <w:t>年出生，中国国籍，本科学历，毕业于重庆建筑工程学院工业与民用建筑专业。</w:t>
      </w:r>
      <w:r>
        <w:rPr>
          <w:rFonts w:ascii="Times New Roman" w:hAnsi="Times New Roman" w:cs="Times New Roman" w:eastAsia="Times New Roman" w:hint="default"/>
          <w:spacing w:val="-2"/>
        </w:rPr>
        <w:t>2006</w:t>
      </w:r>
      <w:r>
        <w:rPr>
          <w:rFonts w:ascii="Times New Roman" w:hAnsi="Times New Roman" w:cs="Times New Roman" w:eastAsia="Times New Roman" w:hint="default"/>
          <w:spacing w:val="22"/>
        </w:rPr>
        <w:t> </w:t>
      </w:r>
      <w:r>
        <w:rPr>
          <w:spacing w:val="-2"/>
        </w:rPr>
        <w:t>年加入本公司，历</w:t>
      </w:r>
      <w:r>
        <w:rPr>
          <w:spacing w:val="-84"/>
        </w:rPr>
        <w:t> </w:t>
      </w:r>
      <w:r>
        <w:rPr>
          <w:spacing w:val="-84"/>
        </w:rPr>
      </w:r>
      <w:r>
        <w:rPr/>
        <w:t>任公司经营审计部副总经理、总裁办公室副主任、审批办总经理。现任本公司监事。 </w:t>
      </w:r>
      <w:r>
        <w:rPr>
          <w:rFonts w:ascii="Times New Roman" w:hAnsi="Times New Roman" w:cs="Times New Roman" w:eastAsia="Times New Roman" w:hint="default"/>
        </w:rPr>
        <w:t>3</w:t>
      </w:r>
      <w:r>
        <w:rPr/>
        <w:t>、蔡敏旭：男，</w:t>
      </w:r>
      <w:r>
        <w:rPr>
          <w:rFonts w:ascii="Times New Roman" w:hAnsi="Times New Roman" w:cs="Times New Roman" w:eastAsia="Times New Roman" w:hint="default"/>
        </w:rPr>
        <w:t>1982</w:t>
      </w:r>
      <w:r>
        <w:rPr/>
        <w:t>年出生，中国国籍，本科学历。曾就职于杭州西湖国际博览管理有限公司。</w:t>
      </w:r>
      <w:r>
        <w:rPr>
          <w:rFonts w:ascii="Times New Roman" w:hAnsi="Times New Roman" w:cs="Times New Roman" w:eastAsia="Times New Roman" w:hint="default"/>
        </w:rPr>
        <w:t>2008</w:t>
      </w:r>
      <w:r>
        <w:rPr/>
        <w:t>年加入本公司，先后 </w:t>
      </w:r>
      <w:r>
        <w:rPr>
          <w:spacing w:val="-2"/>
        </w:rPr>
        <w:t>担任总裁办媒体事务经理、互联网业务营销部总经理、会员管理部副总监、品牌资源管理与公共关系部副总监。现任本公司</w:t>
      </w:r>
      <w:r>
        <w:rPr>
          <w:spacing w:val="-66"/>
        </w:rPr>
        <w:t> </w:t>
      </w:r>
      <w:r>
        <w:rPr>
          <w:spacing w:val="-66"/>
        </w:rPr>
      </w:r>
      <w:r>
        <w:rPr/>
        <w:t>监事。</w:t>
      </w:r>
    </w:p>
    <w:p>
      <w:pPr>
        <w:pStyle w:val="BodyText"/>
        <w:spacing w:line="304" w:lineRule="auto" w:before="26"/>
        <w:ind w:right="1122"/>
        <w:jc w:val="left"/>
      </w:pPr>
      <w:r>
        <w:rPr/>
        <w:t>（三）高级管理人员 </w:t>
      </w:r>
      <w:r>
        <w:rPr>
          <w:rFonts w:ascii="Times New Roman" w:hAnsi="Times New Roman" w:cs="Times New Roman" w:eastAsia="Times New Roman" w:hint="default"/>
        </w:rPr>
        <w:t>1</w:t>
      </w:r>
      <w:r>
        <w:rPr/>
        <w:t>、涂珂：男，</w:t>
      </w:r>
      <w:r>
        <w:rPr>
          <w:rFonts w:ascii="Times New Roman" w:hAnsi="Times New Roman" w:cs="Times New Roman" w:eastAsia="Times New Roman" w:hint="default"/>
        </w:rPr>
        <w:t>1975</w:t>
      </w:r>
      <w:r>
        <w:rPr/>
        <w:t>年出生，中国国籍，本科学历，</w:t>
      </w:r>
      <w:r>
        <w:rPr>
          <w:rFonts w:ascii="Times New Roman" w:hAnsi="Times New Roman" w:cs="Times New Roman" w:eastAsia="Times New Roman" w:hint="default"/>
        </w:rPr>
        <w:t>1998</w:t>
      </w:r>
      <w:r>
        <w:rPr/>
        <w:t>年毕业于西南财经大学，曾任中国光大银行重庆分行信贷经理、中 国光大银行总行信贷审批经理，</w:t>
      </w:r>
      <w:r>
        <w:rPr>
          <w:rFonts w:ascii="Times New Roman" w:hAnsi="Times New Roman" w:cs="Times New Roman" w:eastAsia="Times New Roman" w:hint="default"/>
        </w:rPr>
        <w:t>2007</w:t>
      </w:r>
      <w:r>
        <w:rPr/>
        <w:t>年加入本公司，历任公司监事长、董事、财务总监、董事会秘书。现任公司副总裁。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William</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
        </w:rPr>
        <w:t>Wei</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2"/>
        </w:rPr>
        <w:t>Song</w:t>
      </w:r>
      <w:r>
        <w:rPr>
          <w:spacing w:val="-2"/>
        </w:rPr>
        <w:t>（宋玮）：男，</w:t>
      </w:r>
      <w:r>
        <w:rPr>
          <w:rFonts w:ascii="Times New Roman" w:hAnsi="Times New Roman" w:cs="Times New Roman" w:eastAsia="Times New Roman" w:hint="default"/>
          <w:spacing w:val="-2"/>
        </w:rPr>
        <w:t>1986</w:t>
      </w:r>
      <w:r>
        <w:rPr>
          <w:spacing w:val="-2"/>
        </w:rPr>
        <w:t>年出生，美国国籍，</w:t>
      </w:r>
      <w:r>
        <w:rPr>
          <w:rFonts w:ascii="Times New Roman" w:hAnsi="Times New Roman" w:cs="Times New Roman" w:eastAsia="Times New Roman" w:hint="default"/>
          <w:spacing w:val="-2"/>
        </w:rPr>
        <w:t>2008</w:t>
      </w:r>
      <w:r>
        <w:rPr>
          <w:spacing w:val="-2"/>
        </w:rPr>
        <w:t>年毕业于美国波士顿大学金融学专业，</w:t>
      </w:r>
      <w:r>
        <w:rPr>
          <w:rFonts w:ascii="Times New Roman" w:hAnsi="Times New Roman" w:cs="Times New Roman" w:eastAsia="Times New Roman" w:hint="default"/>
          <w:spacing w:val="-2"/>
        </w:rPr>
        <w:t>2010</w:t>
      </w:r>
      <w:r>
        <w:rPr>
          <w:spacing w:val="-2"/>
        </w:rPr>
        <w:t>年取得加拿大</w:t>
      </w:r>
      <w:r>
        <w:rPr>
          <w:spacing w:val="-81"/>
        </w:rPr>
        <w:t> </w:t>
      </w:r>
      <w:r>
        <w:rPr>
          <w:rFonts w:ascii="Times New Roman" w:hAnsi="Times New Roman" w:cs="Times New Roman" w:eastAsia="Times New Roman" w:hint="default"/>
        </w:rPr>
        <w:t>UBC</w:t>
      </w:r>
      <w:r>
        <w:rPr>
          <w:rFonts w:ascii="Times New Roman" w:hAnsi="Times New Roman" w:cs="Times New Roman" w:eastAsia="Times New Roman" w:hint="default"/>
          <w:spacing w:val="27"/>
        </w:rPr>
        <w:t> </w:t>
      </w:r>
      <w:r>
        <w:rPr/>
        <w:t>大学尚德商学院会计学位。曾任职于加拿大能源控股有限公司商业拓展部，加入本公司后历任战略发展部海外投资部 主管。现任公司副总裁。 </w:t>
      </w:r>
      <w:r>
        <w:rPr>
          <w:rFonts w:ascii="Times New Roman" w:hAnsi="Times New Roman" w:cs="Times New Roman" w:eastAsia="Times New Roman" w:hint="default"/>
        </w:rPr>
        <w:t>3</w:t>
      </w:r>
      <w:r>
        <w:rPr/>
        <w:t>、周文武：男，</w:t>
      </w:r>
      <w:r>
        <w:rPr>
          <w:rFonts w:ascii="Times New Roman" w:hAnsi="Times New Roman" w:cs="Times New Roman" w:eastAsia="Times New Roman" w:hint="default"/>
        </w:rPr>
        <w:t>1977</w:t>
      </w:r>
      <w:r>
        <w:rPr/>
        <w:t>年出生，中国国籍，大专学历，历任美邦企发公司中山生产办事处负责人、</w:t>
      </w:r>
      <w:r>
        <w:rPr>
          <w:rFonts w:ascii="Times New Roman" w:hAnsi="Times New Roman" w:cs="Times New Roman" w:eastAsia="Times New Roman" w:hint="default"/>
        </w:rPr>
        <w:t>Metersbonwe</w:t>
      </w:r>
      <w:r>
        <w:rPr>
          <w:rFonts w:ascii="Times New Roman" w:hAnsi="Times New Roman" w:cs="Times New Roman" w:eastAsia="Times New Roman" w:hint="default"/>
          <w:spacing w:val="26"/>
        </w:rPr>
        <w:t> </w:t>
      </w:r>
      <w:r>
        <w:rPr/>
        <w:t>品牌事业部 副总裁、供应链管理中心总监、本公司董事。现任公司副总裁。</w:t>
      </w:r>
    </w:p>
    <w:p>
      <w:pPr>
        <w:pStyle w:val="BodyText"/>
        <w:spacing w:line="300" w:lineRule="auto" w:before="28"/>
        <w:ind w:right="1117"/>
        <w:jc w:val="left"/>
      </w:pPr>
      <w:r>
        <w:rPr>
          <w:rFonts w:ascii="Times New Roman" w:hAnsi="Times New Roman" w:cs="Times New Roman" w:eastAsia="Times New Roman" w:hint="default"/>
          <w:spacing w:val="-8"/>
        </w:rPr>
        <w:t>4</w:t>
      </w:r>
      <w:r>
        <w:rPr>
          <w:spacing w:val="-8"/>
        </w:rPr>
        <w:t>、李广：男，</w:t>
      </w:r>
      <w:r>
        <w:rPr>
          <w:rFonts w:ascii="Times New Roman" w:hAnsi="Times New Roman" w:cs="Times New Roman" w:eastAsia="Times New Roman" w:hint="default"/>
          <w:spacing w:val="-8"/>
        </w:rPr>
        <w:t>1980 </w:t>
      </w:r>
      <w:r>
        <w:rPr>
          <w:spacing w:val="-5"/>
        </w:rPr>
        <w:t>年出生，中国国籍，本科学历，</w:t>
      </w:r>
      <w:r>
        <w:rPr>
          <w:rFonts w:ascii="Times New Roman" w:hAnsi="Times New Roman" w:cs="Times New Roman" w:eastAsia="Times New Roman" w:hint="default"/>
          <w:spacing w:val="-5"/>
        </w:rPr>
        <w:t>2002</w:t>
      </w:r>
      <w:r>
        <w:rPr>
          <w:rFonts w:ascii="Times New Roman" w:hAnsi="Times New Roman" w:cs="Times New Roman" w:eastAsia="Times New Roman" w:hint="default"/>
          <w:spacing w:val="21"/>
        </w:rPr>
        <w:t> </w:t>
      </w:r>
      <w:r>
        <w:rPr/>
        <w:t>年毕业于安徽财贸学院。历任公司战略发展部副部长、</w:t>
      </w:r>
      <w:r>
        <w:rPr>
          <w:rFonts w:ascii="Times New Roman" w:hAnsi="Times New Roman" w:cs="Times New Roman" w:eastAsia="Times New Roman" w:hint="default"/>
        </w:rPr>
        <w:t>Metersbonwe </w:t>
      </w:r>
      <w:r>
        <w:rPr/>
        <w:t>商品部总监、商品企划部总监、多品牌全渠道零售业务部总监。现任公司总裁助理。</w:t>
      </w:r>
    </w:p>
    <w:p>
      <w:pPr>
        <w:pStyle w:val="BodyText"/>
        <w:spacing w:line="300" w:lineRule="auto" w:before="32"/>
        <w:ind w:right="1132"/>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Daniel Silva</w:t>
      </w:r>
      <w:r>
        <w:rPr/>
        <w:t>（丹尼尔</w:t>
      </w:r>
      <w:r>
        <w:rPr>
          <w:rFonts w:ascii="Times New Roman" w:hAnsi="Times New Roman" w:cs="Times New Roman" w:eastAsia="Times New Roman" w:hint="default"/>
        </w:rPr>
        <w:t>·</w:t>
      </w:r>
      <w:r>
        <w:rPr/>
        <w:t>席尔瓦）：男，</w:t>
      </w:r>
      <w:r>
        <w:rPr>
          <w:rFonts w:ascii="Times New Roman" w:hAnsi="Times New Roman" w:cs="Times New Roman" w:eastAsia="Times New Roman" w:hint="default"/>
        </w:rPr>
        <w:t>1981 </w:t>
      </w:r>
      <w:r>
        <w:rPr/>
        <w:t>年出生，葡萄牙国籍，毕业于</w:t>
      </w:r>
      <w:r>
        <w:rPr>
          <w:rFonts w:ascii="Times New Roman" w:hAnsi="Times New Roman" w:cs="Times New Roman" w:eastAsia="Times New Roman" w:hint="default"/>
        </w:rPr>
        <w:t>ESAD-PONTO-PORTUGAL</w:t>
      </w:r>
      <w:r>
        <w:rPr>
          <w:rFonts w:ascii="Times New Roman" w:hAnsi="Times New Roman" w:cs="Times New Roman" w:eastAsia="Times New Roman" w:hint="default"/>
          <w:spacing w:val="2"/>
        </w:rPr>
        <w:t> </w:t>
      </w:r>
      <w:r>
        <w:rPr/>
        <w:t>服装设计专业。曾 任职于</w:t>
      </w:r>
      <w:r>
        <w:rPr>
          <w:spacing w:val="-48"/>
        </w:rPr>
        <w:t> </w:t>
      </w:r>
      <w:r>
        <w:rPr>
          <w:rFonts w:ascii="Times New Roman" w:hAnsi="Times New Roman" w:cs="Times New Roman" w:eastAsia="Times New Roman" w:hint="default"/>
        </w:rPr>
        <w:t>THROTTLEMAN</w:t>
      </w:r>
      <w:r>
        <w:rPr/>
        <w:t>、</w:t>
      </w:r>
      <w:r>
        <w:rPr>
          <w:rFonts w:ascii="Times New Roman" w:hAnsi="Times New Roman" w:cs="Times New Roman" w:eastAsia="Times New Roman" w:hint="default"/>
        </w:rPr>
        <w:t>ZARA</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年加入本公司，历任公司男装产品部设计总监、</w:t>
      </w:r>
      <w:r>
        <w:rPr>
          <w:rFonts w:ascii="Times New Roman" w:hAnsi="Times New Roman" w:cs="Times New Roman" w:eastAsia="Times New Roman" w:hint="default"/>
        </w:rPr>
        <w:t>ME&amp;CITY</w:t>
      </w:r>
      <w:r>
        <w:rPr>
          <w:rFonts w:ascii="Times New Roman" w:hAnsi="Times New Roman" w:cs="Times New Roman" w:eastAsia="Times New Roman" w:hint="default"/>
          <w:spacing w:val="-3"/>
        </w:rPr>
        <w:t> </w:t>
      </w:r>
      <w:r>
        <w:rPr/>
        <w:t>品牌部总监。现任公司 总裁助理。</w:t>
      </w:r>
    </w:p>
    <w:p>
      <w:pPr>
        <w:pStyle w:val="BodyText"/>
        <w:spacing w:line="240" w:lineRule="auto" w:before="72"/>
        <w:ind w:right="0"/>
        <w:jc w:val="left"/>
      </w:pPr>
      <w:r>
        <w:rPr>
          <w:rFonts w:ascii="Times New Roman" w:hAnsi="Times New Roman" w:cs="Times New Roman" w:eastAsia="Times New Roman" w:hint="default"/>
        </w:rPr>
        <w:t>6</w:t>
      </w:r>
      <w:r>
        <w:rPr/>
        <w:t>、田芳：女，</w:t>
      </w:r>
      <w:r>
        <w:rPr>
          <w:rFonts w:ascii="Times New Roman" w:hAnsi="Times New Roman" w:cs="Times New Roman" w:eastAsia="Times New Roman" w:hint="default"/>
        </w:rPr>
        <w:t>1981</w:t>
      </w:r>
      <w:r>
        <w:rPr>
          <w:rFonts w:ascii="Times New Roman" w:hAnsi="Times New Roman" w:cs="Times New Roman" w:eastAsia="Times New Roman" w:hint="default"/>
          <w:spacing w:val="26"/>
        </w:rPr>
        <w:t> </w:t>
      </w:r>
      <w:r>
        <w:rPr/>
        <w:t>年出生，中国国籍，本科学历，毕业于西安邮电大学经济管理系。曾任职于中国电信广东汕头分公司。</w:t>
      </w:r>
    </w:p>
    <w:p>
      <w:pPr>
        <w:pStyle w:val="BodyText"/>
        <w:spacing w:line="302" w:lineRule="auto" w:before="61"/>
        <w:ind w:right="1118"/>
        <w:jc w:val="left"/>
      </w:pPr>
      <w:r>
        <w:rPr>
          <w:rFonts w:ascii="Times New Roman" w:hAnsi="Times New Roman" w:cs="Times New Roman" w:eastAsia="Times New Roman" w:hint="default"/>
        </w:rPr>
        <w:t>2008 </w:t>
      </w:r>
      <w:r>
        <w:rPr/>
        <w:t>年加入本公司，历任公司预算与经营绩效管理部经理、财务管理部总经理助理、财务管理部副总监。现任公司财务总</w:t>
      </w:r>
      <w:r>
        <w:rPr>
          <w:spacing w:val="-87"/>
        </w:rPr>
        <w:t> </w:t>
      </w:r>
      <w:r>
        <w:rPr>
          <w:spacing w:val="-87"/>
        </w:rPr>
      </w:r>
      <w:r>
        <w:rPr/>
        <w:t>监。</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在股东单位任职情况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上海祺格实业有限公司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上海笔尔工业设计有限公司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上海康桥实业发展（集团）有限公司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冯辉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上海康桥实业发展（集团）有限公司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上海国家会计学院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光正集团股份有限公司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老百姓大药房连锁股份有限公司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上海兰生股份有限公司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奥瑞金科技股份有限公司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润中国际控股有限公司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上海宝钢气体有限公司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业之峰诺华家居装饰集团股份有限公司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成都泰合健康科技集团股份有限公司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福建华通银行股份有限公司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华东政法大学法律学院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中国行政法学研究会理事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上海市行政法学研究会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上海城市管理行政执法研究会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裕福控股集团有限公司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裕福支付有限公司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裕福实业投资股份有限公司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裕福电子商务有限公司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北京东方裕福珠宝有限公司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裕福科技有限公司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福讯信息技术有限公司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裕福高新科技有限公司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12" w:lineRule="auto" w:before="115"/>
        <w:ind w:right="1122"/>
        <w:jc w:val="left"/>
      </w:pPr>
      <w:r>
        <w:rPr>
          <w:rFonts w:ascii="Times New Roman" w:hAnsi="Times New Roman" w:cs="Times New Roman" w:eastAsia="Times New Roman" w:hint="default"/>
        </w:rPr>
        <w:t>1</w:t>
      </w:r>
      <w:r>
        <w:rPr/>
        <w:t>、公司严格按照《公司章程》及《薪酬与考核委员会工作细则》等制度制订公司董事、监事及高级管理人员薪酬方案，由 </w:t>
      </w:r>
      <w:r>
        <w:rPr>
          <w:spacing w:val="-2"/>
        </w:rPr>
        <w:t>董事会薪酬与考核委员会审议并提交公司提交董事会审议通过，最终由股东大会审议批准。在公司任职的董事、监事、高级</w:t>
      </w:r>
      <w:r>
        <w:rPr>
          <w:spacing w:val="-65"/>
        </w:rPr>
        <w:t> </w:t>
      </w:r>
      <w:r>
        <w:rPr>
          <w:spacing w:val="-65"/>
        </w:rPr>
      </w:r>
      <w:r>
        <w:rPr>
          <w:spacing w:val="-2"/>
        </w:rPr>
        <w:t>管理人员按其职务根据公司现行的薪酬制度领取报酬，并依据风险、责任、利益相一致的原则，年底根据经营业绩和个人绩</w:t>
      </w:r>
      <w:r>
        <w:rPr>
          <w:spacing w:val="-66"/>
        </w:rPr>
        <w:t> </w:t>
      </w:r>
      <w:r>
        <w:rPr>
          <w:spacing w:val="-66"/>
        </w:rPr>
      </w:r>
      <w:r>
        <w:rPr>
          <w:spacing w:val="-2"/>
        </w:rPr>
        <w:t>效，严格按照考核评定程序，由董事会确定其年度奖金和奖惩方式；董事、监事报酬每月按标准准时支付到个人账户。公司</w:t>
      </w:r>
      <w:r>
        <w:rPr>
          <w:spacing w:val="-66"/>
        </w:rPr>
        <w:t> </w:t>
      </w:r>
      <w:r>
        <w:rPr>
          <w:spacing w:val="-66"/>
        </w:rPr>
      </w:r>
      <w:r>
        <w:rPr/>
        <w:t>高级管理人员报酬按各自考核结果进行发放。 </w:t>
      </w:r>
      <w:r>
        <w:rPr>
          <w:rFonts w:ascii="Times New Roman" w:hAnsi="Times New Roman" w:cs="Times New Roman" w:eastAsia="Times New Roman" w:hint="default"/>
          <w:spacing w:val="-2"/>
        </w:rPr>
        <w:t>2</w:t>
      </w:r>
      <w:r>
        <w:rPr>
          <w:spacing w:val="-2"/>
        </w:rPr>
        <w:t>、公司独立董事年度津贴经公司股东大会审议通过后确定，年度津贴为每人税后</w:t>
      </w:r>
      <w:r>
        <w:rPr>
          <w:rFonts w:ascii="Times New Roman" w:hAnsi="Times New Roman" w:cs="Times New Roman" w:eastAsia="Times New Roman" w:hint="default"/>
          <w:spacing w:val="-2"/>
        </w:rPr>
        <w:t>8</w:t>
      </w:r>
      <w:r>
        <w:rPr>
          <w:spacing w:val="-2"/>
        </w:rPr>
        <w:t>万元人民币，按季度发放，公司负担独立</w:t>
      </w:r>
      <w:r>
        <w:rPr>
          <w:spacing w:val="-64"/>
        </w:rPr>
        <w:t> </w:t>
      </w:r>
      <w:r>
        <w:rPr>
          <w:spacing w:val="-64"/>
        </w:rPr>
      </w:r>
      <w:r>
        <w:rPr/>
        <w:t>董事为参加会议发生的差旅费、办公费等履职费用。</w:t>
      </w:r>
    </w:p>
    <w:p>
      <w:pPr>
        <w:pStyle w:val="BodyText"/>
        <w:spacing w:line="240" w:lineRule="auto" w:before="63"/>
        <w:ind w:right="0"/>
        <w:jc w:val="left"/>
      </w:pPr>
      <w:r>
        <w:rPr/>
        <w:t>公司报告期内董事、监事和高级管理人员报酬情况</w:t>
      </w:r>
    </w:p>
    <w:p>
      <w:pPr>
        <w:pStyle w:val="BodyText"/>
        <w:spacing w:line="240" w:lineRule="auto" w:before="117"/>
        <w:ind w:left="0" w:right="1130"/>
        <w:jc w:val="right"/>
      </w:pPr>
      <w:r>
        <w:rPr/>
        <w:pict>
          <v:group style="position:absolute;margin-left:193.759995pt;margin-top:79.181732pt;width:67.9pt;height:27.95pt;mso-position-horizontal-relative:page;mso-position-vertical-relative:paragraph;z-index:-887392" coordorigin="3875,1584" coordsize="1358,559">
            <v:group style="position:absolute;left:3875;top:1584;width:1358;height:156" coordorigin="3875,1584" coordsize="1358,156">
              <v:shape style="position:absolute;left:3875;top:1584;width:1358;height:156" coordorigin="3875,1584" coordsize="1358,156" path="m3875,1740l5233,1740,5233,1584,3875,1584,3875,1740xe" filled="true" fillcolor="#ffffff" stroked="false">
                <v:path arrowok="t"/>
                <v:fill type="solid"/>
              </v:shape>
            </v:group>
            <v:group style="position:absolute;left:3887;top:1740;width:2;height:392" coordorigin="3887,1740" coordsize="2,392">
              <v:shape style="position:absolute;left:3887;top:1740;width:2;height:392" coordorigin="3887,1740" coordsize="0,392" path="m3887,1740l3887,2131e" filled="false" stroked="true" strokeweight="1.140pt" strokecolor="#ffffff">
                <v:path arrowok="t"/>
              </v:shape>
            </v:group>
            <v:group style="position:absolute;left:3898;top:1740;width:1312;height:392" coordorigin="3898,1740" coordsize="1312,392">
              <v:shape style="position:absolute;left:3898;top:1740;width:1312;height:392" coordorigin="3898,1740" coordsize="1312,392" path="m3898,2131l5210,2131,5210,1740,3898,1740,3898,2131xe" filled="true" fillcolor="#ffffff" stroked="false">
                <v:path arrowok="t"/>
                <v:fill type="solid"/>
              </v:shape>
            </v:group>
            <w10:wrap type="none"/>
          </v:group>
        </w:pict>
      </w: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董事、总裁助理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庄涛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张玉虎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蔡敏旭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91"/>
              <w:ind w:left="22" w:right="425"/>
              <w:jc w:val="left"/>
              <w:rPr>
                <w:rFonts w:ascii="Times New Roman" w:hAnsi="Times New Roman" w:cs="Times New Roman" w:eastAsia="Times New Roman" w:hint="default"/>
                <w:sz w:val="18"/>
                <w:szCs w:val="18"/>
              </w:rPr>
            </w:pPr>
            <w:r>
              <w:rPr>
                <w:rFonts w:ascii="Times New Roman"/>
                <w:sz w:val="18"/>
              </w:rPr>
              <w:t>William</w:t>
            </w:r>
            <w:r>
              <w:rPr>
                <w:rFonts w:ascii="Times New Roman"/>
                <w:spacing w:val="-9"/>
                <w:sz w:val="18"/>
              </w:rPr>
              <w:t> </w:t>
            </w:r>
            <w:r>
              <w:rPr>
                <w:rFonts w:ascii="Times New Roman"/>
                <w:spacing w:val="-6"/>
                <w:sz w:val="18"/>
              </w:rPr>
              <w:t>Wei</w:t>
            </w:r>
            <w:r>
              <w:rPr>
                <w:rFonts w:ascii="Times New Roman"/>
                <w:sz w:val="18"/>
              </w:rPr>
              <w:t> Song</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Daniel</w:t>
            </w:r>
            <w:r>
              <w:rPr>
                <w:rFonts w:ascii="Times New Roman"/>
                <w:spacing w:val="-2"/>
                <w:sz w:val="18"/>
              </w:rPr>
              <w:t> </w:t>
            </w:r>
            <w:r>
              <w:rPr>
                <w:rFonts w:ascii="Times New Roman"/>
                <w:sz w:val="18"/>
              </w:rPr>
              <w:t>Silva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915.37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物流人员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设计与工艺人员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7,969</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2"/>
        </w:rPr>
        <w:t>公司一直致力于构建</w:t>
      </w:r>
      <w:r>
        <w:rPr>
          <w:rFonts w:ascii="Times New Roman" w:hAnsi="Times New Roman" w:cs="Times New Roman" w:eastAsia="Times New Roman" w:hint="default"/>
          <w:spacing w:val="-2"/>
        </w:rPr>
        <w:t>“</w:t>
      </w:r>
      <w:r>
        <w:rPr>
          <w:spacing w:val="-2"/>
        </w:rPr>
        <w:t>公平公开透明</w:t>
      </w:r>
      <w:r>
        <w:rPr>
          <w:rFonts w:ascii="Times New Roman" w:hAnsi="Times New Roman" w:cs="Times New Roman" w:eastAsia="Times New Roman" w:hint="default"/>
          <w:spacing w:val="-2"/>
        </w:rPr>
        <w:t>”</w:t>
      </w:r>
      <w:r>
        <w:rPr>
          <w:spacing w:val="-2"/>
        </w:rPr>
        <w:t>的薪酬绩效体系，以业绩结果为导向，建立科学合理的利润分享机制，引导业务团队始</w:t>
      </w:r>
      <w:r>
        <w:rPr>
          <w:spacing w:val="-43"/>
        </w:rPr>
        <w:t> </w:t>
      </w:r>
      <w:r>
        <w:rPr>
          <w:spacing w:val="-43"/>
        </w:rPr>
      </w:r>
      <w:r>
        <w:rPr/>
        <w:t>终关注客户、关注财务结果、关注投入产出，真正实现以岗位价值和业绩贡献来付薪的理念。</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公司建立了一套完整的人才选拔和发展机制，并通过长期实践形成了科学合理的人才培养体系。</w:t>
      </w:r>
    </w:p>
    <w:p>
      <w:pPr>
        <w:pStyle w:val="BodyText"/>
        <w:spacing w:line="300" w:lineRule="auto" w:before="76"/>
        <w:ind w:right="1118"/>
        <w:jc w:val="left"/>
      </w:pPr>
      <w:r>
        <w:rPr>
          <w:spacing w:val="-1"/>
        </w:rPr>
        <w:t>（</w:t>
      </w:r>
      <w:r>
        <w:rPr>
          <w:rFonts w:ascii="Times New Roman" w:hAnsi="Times New Roman" w:cs="Times New Roman" w:eastAsia="Times New Roman" w:hint="default"/>
          <w:spacing w:val="-1"/>
        </w:rPr>
        <w:t>1</w:t>
      </w:r>
      <w:r>
        <w:rPr>
          <w:spacing w:val="-1"/>
        </w:rPr>
        <w:t>）管理培训生项目每年从国内一流高校里选拔数百名优秀毕业生，通过</w:t>
      </w:r>
      <w:r>
        <w:rPr>
          <w:rFonts w:ascii="Times New Roman" w:hAnsi="Times New Roman" w:cs="Times New Roman" w:eastAsia="Times New Roman" w:hint="default"/>
          <w:spacing w:val="-1"/>
        </w:rPr>
        <w:t>2-3</w:t>
      </w:r>
      <w:r>
        <w:rPr>
          <w:spacing w:val="-1"/>
        </w:rPr>
        <w:t>年的聚焦培养和轮岗机制，帮助他们迅速成长</w:t>
      </w:r>
      <w:r>
        <w:rPr>
          <w:spacing w:val="-85"/>
        </w:rPr>
        <w:t> </w:t>
      </w:r>
      <w:r>
        <w:rPr>
          <w:spacing w:val="-85"/>
        </w:rPr>
      </w:r>
      <w:r>
        <w:rPr/>
        <w:t>成为各自业务领域的核心骨干。</w:t>
      </w:r>
    </w:p>
    <w:p>
      <w:pPr>
        <w:pStyle w:val="BodyText"/>
        <w:spacing w:line="300" w:lineRule="auto" w:before="31"/>
        <w:ind w:right="1122"/>
        <w:jc w:val="left"/>
      </w:pPr>
      <w:r>
        <w:rPr/>
        <w:t>（</w:t>
      </w:r>
      <w:r>
        <w:rPr>
          <w:rFonts w:ascii="Times New Roman" w:hAnsi="Times New Roman" w:cs="Times New Roman" w:eastAsia="Times New Roman" w:hint="default"/>
        </w:rPr>
        <w:t>2</w:t>
      </w:r>
      <w:r>
        <w:rPr/>
        <w:t>）高潜人才项目致力于选拔公司内部有发展潜力的骨干员工，聚焦资源重点培养发展，帮助他们尽快成为各自管理与专 业岗位的继任者。</w:t>
      </w:r>
    </w:p>
    <w:p>
      <w:pPr>
        <w:pStyle w:val="BodyText"/>
        <w:spacing w:line="300" w:lineRule="auto" w:before="31"/>
        <w:ind w:right="1122"/>
        <w:jc w:val="left"/>
      </w:pPr>
      <w:r>
        <w:rPr/>
        <w:t>（</w:t>
      </w:r>
      <w:r>
        <w:rPr>
          <w:rFonts w:ascii="Times New Roman" w:hAnsi="Times New Roman" w:cs="Times New Roman" w:eastAsia="Times New Roman" w:hint="default"/>
        </w:rPr>
        <w:t>3</w:t>
      </w:r>
      <w:r>
        <w:rPr/>
        <w:t>）公司组建了强大的专业培训团队，按照产品开发和上市节奏安排专业知识培训，并不断强化对于零售终端的场景化服 务及营销能力培训，提升团队的专业能力与销售技巧。</w:t>
      </w:r>
    </w:p>
    <w:p>
      <w:pPr>
        <w:pStyle w:val="BodyText"/>
        <w:spacing w:line="300" w:lineRule="auto" w:before="31"/>
        <w:ind w:right="1122"/>
        <w:jc w:val="left"/>
      </w:pPr>
      <w:r>
        <w:rPr/>
        <w:t>（</w:t>
      </w:r>
      <w:r>
        <w:rPr>
          <w:rFonts w:ascii="Times New Roman" w:hAnsi="Times New Roman" w:cs="Times New Roman" w:eastAsia="Times New Roman" w:hint="default"/>
        </w:rPr>
        <w:t>4</w:t>
      </w:r>
      <w:r>
        <w:rPr/>
        <w:t>）公司拥有美特斯邦威大学这一平台，重点聚焦企业文化传播落地、领导力与通用素质培养、各类培训资源与技术整合 以及移动培训平台建设，为专业培训与人才发展工作提供强有力的保障。</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18"/>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217"/>
        <w:jc w:val="left"/>
      </w:pPr>
      <w:r>
        <w:rPr/>
        <w:t>报告期内，公司严格按照《公司法》、《证券法》、《上市公司治理准则》和《深圳证券交易所股票上市规则》等相关 法律、法规的规定，不断完善公司法人治理结构，健全内部控制体系，进一步实现规范运作。</w:t>
      </w:r>
    </w:p>
    <w:p>
      <w:pPr>
        <w:pStyle w:val="BodyText"/>
        <w:spacing w:line="316" w:lineRule="auto" w:before="19"/>
        <w:ind w:right="1132" w:firstLine="506"/>
        <w:jc w:val="both"/>
      </w:pPr>
      <w:r>
        <w:rPr>
          <w:spacing w:val="-2"/>
        </w:rPr>
        <w:t>目前，公司整体运作比较规范、独立性强、信息披露规范，实际情况与中国证监会有关上市公司治理的规范性文件要</w:t>
      </w:r>
      <w:r>
        <w:rPr/>
        <w:t> 求基本符合。</w:t>
      </w:r>
    </w:p>
    <w:p>
      <w:pPr>
        <w:pStyle w:val="BodyText"/>
        <w:spacing w:line="300" w:lineRule="auto" w:before="19"/>
        <w:ind w:right="1133" w:firstLine="373"/>
        <w:jc w:val="both"/>
      </w:pPr>
      <w:r>
        <w:rPr>
          <w:rFonts w:ascii="Times New Roman" w:hAnsi="Times New Roman" w:cs="Times New Roman" w:eastAsia="Times New Roman" w:hint="default"/>
          <w:spacing w:val="-1"/>
        </w:rPr>
        <w:t>1</w:t>
      </w:r>
      <w:r>
        <w:rPr>
          <w:spacing w:val="-1"/>
        </w:rPr>
        <w:t>、关于股东与股东大会：报告期内，公司严格按照《上市公司股东大会规范意见》和《股东大会议事规则》的规定和</w:t>
      </w:r>
      <w:r>
        <w:rPr/>
        <w:t> 要求，规范股东大会的召集、召开、表决程序，平等对待所有股东，确保股东特别是中小股东能充分行使其权利。</w:t>
      </w:r>
    </w:p>
    <w:p>
      <w:pPr>
        <w:pStyle w:val="BodyText"/>
        <w:spacing w:line="309" w:lineRule="auto" w:before="31"/>
        <w:ind w:right="1133" w:firstLine="373"/>
        <w:jc w:val="both"/>
      </w:pPr>
      <w:r>
        <w:rPr>
          <w:rFonts w:ascii="Times New Roman" w:hAnsi="Times New Roman" w:cs="Times New Roman" w:eastAsia="Times New Roman" w:hint="default"/>
          <w:spacing w:val="-1"/>
        </w:rPr>
        <w:t>2</w:t>
      </w:r>
      <w:r>
        <w:rPr>
          <w:spacing w:val="-1"/>
        </w:rPr>
        <w:t>、关于控股股东与上市公司的关系：公司控股股东行为规范，能依法行使其权利，并承担相应义务，没有超越公司股</w:t>
      </w:r>
      <w:r>
        <w:rPr/>
        <w:t> </w:t>
      </w:r>
      <w:r>
        <w:rPr>
          <w:spacing w:val="-2"/>
        </w:rPr>
        <w:t>东大会直接或间接干预公司的决策和经营活动。公司具有独立的经营能力和完备的供销系统，公司董事会、监事会和内部机</w:t>
      </w:r>
      <w:r>
        <w:rPr>
          <w:spacing w:val="-66"/>
        </w:rPr>
        <w:t> </w:t>
      </w:r>
      <w:r>
        <w:rPr>
          <w:spacing w:val="-66"/>
        </w:rPr>
      </w:r>
      <w:r>
        <w:rPr/>
        <w:t>构能够独立运作。</w:t>
      </w:r>
    </w:p>
    <w:p>
      <w:pPr>
        <w:pStyle w:val="BodyText"/>
        <w:spacing w:line="309" w:lineRule="auto" w:before="24"/>
        <w:ind w:right="1050" w:firstLine="373"/>
        <w:jc w:val="both"/>
      </w:pPr>
      <w:r>
        <w:rPr>
          <w:rFonts w:ascii="Times New Roman" w:hAnsi="Times New Roman" w:cs="Times New Roman" w:eastAsia="Times New Roman" w:hint="default"/>
        </w:rPr>
        <w:t>3</w:t>
      </w:r>
      <w:r>
        <w:rPr/>
        <w:t>、关于董事和董事会：公司严格按照《公司法》、《公司章程》规定的选聘程序选举董事，董事会的人数及结构符合 </w:t>
      </w:r>
      <w:r>
        <w:rPr>
          <w:spacing w:val="-2"/>
        </w:rPr>
        <w:t>法律法规和《公司章程》的要求。全体董事严格按照《公司法》、《公司章程》和《董事会议事规则》的规定，规范董事会</w:t>
      </w:r>
      <w:r>
        <w:rPr>
          <w:spacing w:val="-71"/>
        </w:rPr>
        <w:t> </w:t>
      </w:r>
      <w:r>
        <w:rPr>
          <w:spacing w:val="-71"/>
        </w:rPr>
      </w:r>
      <w:r>
        <w:rPr/>
        <w:t>的召集、召开和表决；公司董事认真出席董事会和股东大会，积极参加对相关知识的培训，熟悉有关法律法规，勤勉尽责。</w:t>
      </w:r>
    </w:p>
    <w:p>
      <w:pPr>
        <w:pStyle w:val="BodyText"/>
        <w:spacing w:line="312" w:lineRule="auto" w:before="24"/>
        <w:ind w:right="0" w:firstLine="373"/>
        <w:jc w:val="left"/>
      </w:pPr>
      <w:r>
        <w:rPr>
          <w:rFonts w:ascii="Times New Roman" w:hAnsi="Times New Roman" w:cs="Times New Roman" w:eastAsia="Times New Roman" w:hint="default"/>
        </w:rPr>
        <w:t>4</w:t>
      </w:r>
      <w:r>
        <w:rPr/>
        <w:t>、关于监事和监事会：公司严格按照《公司法》、《公司章程》的规定选举产生监事，监事会的人数及结构符合法律 </w:t>
      </w:r>
      <w:r>
        <w:rPr>
          <w:spacing w:val="-4"/>
        </w:rPr>
        <w:t>法规和《公司章程》的要求。监事会严格按照《公司章程》、《监事会议事规则》的规定，规范监事会的召集、召开和表决，</w:t>
      </w:r>
      <w:r>
        <w:rPr>
          <w:spacing w:val="-44"/>
        </w:rPr>
        <w:t> </w:t>
      </w:r>
      <w:r>
        <w:rPr>
          <w:spacing w:val="-44"/>
        </w:rPr>
      </w:r>
      <w:r>
        <w:rPr>
          <w:spacing w:val="-2"/>
        </w:rPr>
        <w:t>公司监事认真履行职责，诚信、勤勉、尽责地对公司财务以及董事、高级管理人员履行职责的合法、合规性进行监督，维护</w:t>
      </w:r>
      <w:r>
        <w:rPr>
          <w:spacing w:val="-68"/>
        </w:rPr>
        <w:t> </w:t>
      </w:r>
      <w:r>
        <w:rPr>
          <w:spacing w:val="-68"/>
        </w:rPr>
      </w:r>
      <w:r>
        <w:rPr/>
        <w:t>公司及股东的合法权益。</w:t>
      </w:r>
    </w:p>
    <w:p>
      <w:pPr>
        <w:pStyle w:val="BodyText"/>
        <w:spacing w:line="300" w:lineRule="auto" w:before="23"/>
        <w:ind w:right="1133" w:firstLine="373"/>
        <w:jc w:val="both"/>
      </w:pPr>
      <w:r>
        <w:rPr>
          <w:rFonts w:ascii="Times New Roman" w:hAnsi="Times New Roman" w:cs="Times New Roman" w:eastAsia="Times New Roman" w:hint="default"/>
          <w:spacing w:val="-1"/>
        </w:rPr>
        <w:t>5</w:t>
      </w:r>
      <w:r>
        <w:rPr>
          <w:spacing w:val="-1"/>
        </w:rPr>
        <w:t>、关于绩效评价与激励约束机制：公司逐步建立和完善公正、透明的董事、监事和高级管理人员的绩效评价标准和激</w:t>
      </w:r>
      <w:r>
        <w:rPr/>
        <w:t> 励约束机制，公司高管人员的聘任公开、透明，符合法律法规的规定。</w:t>
      </w:r>
    </w:p>
    <w:p>
      <w:pPr>
        <w:pStyle w:val="BodyText"/>
        <w:spacing w:line="300" w:lineRule="auto" w:before="31"/>
        <w:ind w:right="1133" w:firstLine="373"/>
        <w:jc w:val="both"/>
      </w:pPr>
      <w:r>
        <w:rPr>
          <w:rFonts w:ascii="Times New Roman" w:hAnsi="Times New Roman" w:cs="Times New Roman" w:eastAsia="Times New Roman" w:hint="default"/>
          <w:spacing w:val="-1"/>
        </w:rPr>
        <w:t>6</w:t>
      </w:r>
      <w:r>
        <w:rPr>
          <w:spacing w:val="-1"/>
        </w:rPr>
        <w:t>、关于相关利益者：公司能够充分尊重和维护相关利益者的合法权益，积极与相关利益者合作，加强与各方的沟通和</w:t>
      </w:r>
      <w:r>
        <w:rPr/>
        <w:t> 交流，实现股东、员工、社会等各方利益的均衡，以推动公司持续、稳定、健康地发展。</w:t>
      </w:r>
    </w:p>
    <w:p>
      <w:pPr>
        <w:pStyle w:val="BodyText"/>
        <w:spacing w:line="312" w:lineRule="auto" w:before="72"/>
        <w:ind w:right="1130" w:firstLine="506"/>
        <w:jc w:val="both"/>
      </w:pPr>
      <w:r>
        <w:rPr>
          <w:rFonts w:ascii="Times New Roman" w:hAnsi="Times New Roman" w:cs="Times New Roman" w:eastAsia="Times New Roman" w:hint="default"/>
        </w:rPr>
        <w:t>7</w:t>
      </w:r>
      <w:r>
        <w:rPr/>
        <w:t>、关于信息披露与透明度：公司严格按照《信息披露管理制度》和《投资者关系管理制度》的要求，指定公司董事 </w:t>
      </w:r>
      <w:r>
        <w:rPr>
          <w:spacing w:val="-2"/>
        </w:rPr>
        <w:t>会秘书负责信息披露工作、接待股东来访和咨询，严格按照有关规定真实、准确、完整、及时地披露有关信息，确保公司所</w:t>
      </w:r>
      <w:r>
        <w:rPr>
          <w:spacing w:val="-67"/>
        </w:rPr>
        <w:t> </w:t>
      </w:r>
      <w:r>
        <w:rPr>
          <w:spacing w:val="-67"/>
        </w:rPr>
      </w:r>
      <w:r>
        <w:rPr>
          <w:spacing w:val="-2"/>
        </w:rPr>
        <w:t>有股东能够以平等的机会获得信息。为加大对年报信息披露责任人的问责力度，提高年报信息披露质量和透明度，截至本报</w:t>
      </w:r>
      <w:r>
        <w:rPr>
          <w:spacing w:val="-66"/>
        </w:rPr>
        <w:t> </w:t>
      </w:r>
      <w:r>
        <w:rPr>
          <w:spacing w:val="-66"/>
        </w:rPr>
      </w:r>
      <w:r>
        <w:rPr/>
        <w:t>告出具日，公司已建立年报信息披露重大差错责任追究机制。</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290"/>
        <w:jc w:val="both"/>
      </w:pPr>
      <w:r>
        <w:rPr>
          <w:spacing w:val="-1"/>
        </w:rPr>
        <w:t>公司在业务、资产、人员、机构和财务等方面均与公司控股股东、实际控制人及其控制的其他企业严格分开，具备完整</w:t>
      </w:r>
      <w:r>
        <w:rPr/>
        <w:t> 的与经营有关的业务体系及独立面向市场的能力。</w:t>
      </w:r>
    </w:p>
    <w:p>
      <w:pPr>
        <w:pStyle w:val="BodyText"/>
        <w:spacing w:line="300" w:lineRule="auto" w:before="60"/>
        <w:ind w:right="1140" w:firstLine="360"/>
        <w:jc w:val="both"/>
      </w:pPr>
      <w:r>
        <w:rPr>
          <w:rFonts w:ascii="Times New Roman" w:hAnsi="Times New Roman" w:cs="Times New Roman" w:eastAsia="Times New Roman" w:hint="default"/>
        </w:rPr>
        <w:t>1</w:t>
      </w:r>
      <w:r>
        <w:rPr/>
        <w:t>、资产完整及独立：公司合法拥有与目前业务有关的土地、房屋、设备以及商标等资产的所有权或使用权。公司独立 拥有该等资产，不存在被股东单位或其他关联方占用的情形。</w:t>
      </w:r>
    </w:p>
    <w:p>
      <w:pPr>
        <w:pStyle w:val="BodyText"/>
        <w:spacing w:line="300" w:lineRule="auto" w:before="71"/>
        <w:ind w:right="1043" w:firstLine="360"/>
        <w:jc w:val="both"/>
      </w:pPr>
      <w:r>
        <w:rPr>
          <w:rFonts w:ascii="Times New Roman" w:hAnsi="Times New Roman" w:cs="Times New Roman" w:eastAsia="Times New Roman" w:hint="default"/>
        </w:rPr>
        <w:t>2</w:t>
      </w:r>
      <w:r>
        <w:rPr/>
        <w:t>、业务独立：公司拥有独立完整的业务体系，能够面向市场独立经营，独立核算和决策，独立承担责任与风险，未受 </w:t>
      </w:r>
      <w:r>
        <w:rPr>
          <w:spacing w:val="-4"/>
        </w:rPr>
        <w:t>到公司控股股东的干涉、控制，亦未因与公司控股股东及其控制的其他企业之间存在关联关系而使公司经营自主权的完整性、</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独立性受到不良影响。</w:t>
      </w:r>
    </w:p>
    <w:p>
      <w:pPr>
        <w:pStyle w:val="BodyText"/>
        <w:spacing w:line="309" w:lineRule="auto" w:before="115"/>
        <w:ind w:right="1133" w:firstLine="360"/>
        <w:jc w:val="both"/>
      </w:pPr>
      <w:r>
        <w:rPr>
          <w:rFonts w:ascii="Times New Roman" w:hAnsi="Times New Roman" w:cs="Times New Roman" w:eastAsia="Times New Roman" w:hint="default"/>
        </w:rPr>
        <w:t>3</w:t>
      </w:r>
      <w:r>
        <w:rPr/>
        <w:t>、人员独立：公司董事、监事及其他高级管理人员均按照《公司法》及公司《公司章程》合法产生；公司的总裁、副 </w:t>
      </w:r>
      <w:r>
        <w:rPr>
          <w:spacing w:val="-2"/>
        </w:rPr>
        <w:t>总裁、财务负责人和董事会秘书等高级管理人员未在控股股东及其控制的其他企业中担任除董事、监事以外的其它职务，未</w:t>
      </w:r>
      <w:r>
        <w:rPr>
          <w:spacing w:val="-66"/>
        </w:rPr>
        <w:t> </w:t>
      </w:r>
      <w:r>
        <w:rPr>
          <w:spacing w:val="-66"/>
        </w:rPr>
      </w:r>
      <w:r>
        <w:rPr/>
        <w:t>在控股股东及其控制的其他企业中领薪；公司财务人员未在控股股东、实际控制人及其控制的其他企业中兼职。</w:t>
      </w:r>
    </w:p>
    <w:p>
      <w:pPr>
        <w:pStyle w:val="BodyText"/>
        <w:spacing w:line="309" w:lineRule="auto" w:before="64"/>
        <w:ind w:right="1133" w:firstLine="360"/>
        <w:jc w:val="both"/>
      </w:pPr>
      <w:r>
        <w:rPr>
          <w:rFonts w:ascii="Times New Roman" w:hAnsi="Times New Roman" w:cs="Times New Roman" w:eastAsia="Times New Roman" w:hint="default"/>
        </w:rPr>
        <w:t>4</w:t>
      </w:r>
      <w:r>
        <w:rPr/>
        <w:t>、机构独立：公司已依法建立健全股东大会、董事会、监事会等机构，聘请了总裁、副总裁、财务负责人、董事会秘 </w:t>
      </w:r>
      <w:r>
        <w:rPr>
          <w:spacing w:val="-2"/>
        </w:rPr>
        <w:t>书等高级管理人员在内的高级管理层，公司独立行使经营管理职权，独立于公司的控股股东、实际控制人及其控制的其他企</w:t>
      </w:r>
      <w:r>
        <w:rPr>
          <w:spacing w:val="-66"/>
        </w:rPr>
        <w:t> </w:t>
      </w:r>
      <w:r>
        <w:rPr>
          <w:spacing w:val="-66"/>
        </w:rPr>
      </w:r>
      <w:r>
        <w:rPr/>
        <w:t>业，不存在机构混同的情形。公司的办公场所独立于股东单位，不存在混合经营、合署办公的情形。</w:t>
      </w:r>
    </w:p>
    <w:p>
      <w:pPr>
        <w:pStyle w:val="BodyText"/>
        <w:spacing w:line="312" w:lineRule="auto" w:before="62"/>
        <w:ind w:right="1131" w:firstLine="360"/>
        <w:jc w:val="both"/>
      </w:pPr>
      <w:r>
        <w:rPr>
          <w:rFonts w:ascii="Times New Roman" w:hAnsi="Times New Roman" w:cs="Times New Roman" w:eastAsia="Times New Roman" w:hint="default"/>
        </w:rPr>
        <w:t>5</w:t>
      </w:r>
      <w:r>
        <w:rPr/>
        <w:t>、财务独立：公司设立了独立的财务会计部门，并依据《中华人民共和国会计法》、《企业会计准则》建立了独立的 </w:t>
      </w:r>
      <w:r>
        <w:rPr>
          <w:spacing w:val="-2"/>
        </w:rPr>
        <w:t>财务核算体系和规范的财务管理制度，能够独立作出财务决策，具有规范的财务会计制度和对子公司的财务管理制度。公司</w:t>
      </w:r>
      <w:r>
        <w:rPr>
          <w:spacing w:val="-66"/>
        </w:rPr>
        <w:t> </w:t>
      </w:r>
      <w:r>
        <w:rPr>
          <w:spacing w:val="-66"/>
        </w:rPr>
      </w:r>
      <w:r>
        <w:rPr>
          <w:spacing w:val="-2"/>
        </w:rPr>
        <w:t>在银行独立开立账户，依法进行纳税申报和履行纳税义务，独立对外签订合同，不存在与控股股东、实际控制人及其控制的</w:t>
      </w:r>
      <w:r>
        <w:rPr>
          <w:spacing w:val="-66"/>
        </w:rPr>
        <w:t> </w:t>
      </w:r>
      <w:r>
        <w:rPr>
          <w:spacing w:val="-66"/>
        </w:rPr>
      </w:r>
      <w:r>
        <w:rPr/>
        <w:t>其它企业共用银行账户的情形。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59.64%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right="8052"/>
        <w:jc w:val="left"/>
      </w:pPr>
      <w:r>
        <w:rPr/>
        <w:t>连续两次未亲自出席董事会的说明 不适用</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2" w:firstLine="290"/>
        <w:jc w:val="both"/>
      </w:pPr>
      <w:r>
        <w:rPr>
          <w:spacing w:val="-1"/>
        </w:rPr>
        <w:t>公司独立董事单喆慜女士、沈福俊先生及郑俊豪先生，严格按照有关法律、法规及《公司章程》的规定履行职责，按时</w:t>
      </w:r>
      <w:r>
        <w:rPr/>
        <w:t> </w:t>
      </w:r>
      <w:r>
        <w:rPr>
          <w:spacing w:val="-2"/>
        </w:rPr>
        <w:t>亲自以现场或通讯方式参加了全部董事会会议，认真审议各项议案，客观的发表自己的看法及观点，并利用自己的专业知识</w:t>
      </w:r>
      <w:r>
        <w:rPr>
          <w:spacing w:val="-66"/>
        </w:rPr>
        <w:t> </w:t>
      </w:r>
      <w:r>
        <w:rPr>
          <w:spacing w:val="-66"/>
        </w:rPr>
      </w:r>
      <w:r>
        <w:rPr>
          <w:spacing w:val="-2"/>
        </w:rPr>
        <w:t>做出独立、公正的判断。同时各位独立董事还深入公司现场调查，了解公司经营状况和内部控制的建设及董事会决议执行情</w:t>
      </w:r>
      <w:r>
        <w:rPr>
          <w:spacing w:val="-66"/>
        </w:rPr>
        <w:t> </w:t>
      </w:r>
      <w:r>
        <w:rPr>
          <w:spacing w:val="-66"/>
        </w:rPr>
      </w:r>
      <w:r>
        <w:rPr/>
        <w:t>况，为公司经营和发展提出了合理化的意见和建议。</w:t>
      </w:r>
    </w:p>
    <w:p>
      <w:pPr>
        <w:pStyle w:val="BodyText"/>
        <w:spacing w:line="309" w:lineRule="auto" w:before="59"/>
        <w:ind w:right="1131" w:firstLine="290"/>
        <w:jc w:val="both"/>
      </w:pPr>
      <w:r>
        <w:rPr>
          <w:spacing w:val="-1"/>
        </w:rPr>
        <w:t>本年度，公司共召开了</w:t>
      </w:r>
      <w:r>
        <w:rPr>
          <w:rFonts w:ascii="Times New Roman" w:hAnsi="Times New Roman" w:cs="Times New Roman" w:eastAsia="Times New Roman" w:hint="default"/>
          <w:spacing w:val="-1"/>
        </w:rPr>
        <w:t>5</w:t>
      </w:r>
      <w:r>
        <w:rPr>
          <w:spacing w:val="-1"/>
        </w:rPr>
        <w:t>次董事会和</w:t>
      </w:r>
      <w:r>
        <w:rPr>
          <w:rFonts w:ascii="Times New Roman" w:hAnsi="Times New Roman" w:cs="Times New Roman" w:eastAsia="Times New Roman" w:hint="default"/>
          <w:spacing w:val="-1"/>
        </w:rPr>
        <w:t>1</w:t>
      </w:r>
      <w:r>
        <w:rPr>
          <w:spacing w:val="-1"/>
        </w:rPr>
        <w:t>次股东大会。本年度公司董事会、股东大会的召集召开符合法定程序，重大经营决</w:t>
      </w:r>
      <w:r>
        <w:rPr/>
        <w:t> </w:t>
      </w:r>
      <w:r>
        <w:rPr>
          <w:spacing w:val="-2"/>
        </w:rPr>
        <w:t>策事项均履行了相关程序，合法有效，未发生独立董事对公司董事会各项议案及公司其它事项提出异议的情况，独立董事对</w:t>
      </w:r>
      <w:r>
        <w:rPr>
          <w:spacing w:val="-66"/>
        </w:rPr>
        <w:t> </w:t>
      </w:r>
      <w:r>
        <w:rPr>
          <w:spacing w:val="-66"/>
        </w:rPr>
      </w:r>
      <w:r>
        <w:rPr/>
        <w:t>公司有关建议均被公司采纳。</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1118" w:hanging="291"/>
        <w:jc w:val="left"/>
      </w:pPr>
      <w:r>
        <w:rPr>
          <w:rFonts w:ascii="Times New Roman" w:hAnsi="Times New Roman" w:cs="Times New Roman" w:eastAsia="Times New Roman" w:hint="default"/>
        </w:rPr>
        <w:t>1</w:t>
      </w:r>
      <w:r>
        <w:rPr/>
        <w:t>、审计委员会 报告期内，董事会审计委员会共召开</w:t>
      </w:r>
      <w:r>
        <w:rPr>
          <w:rFonts w:ascii="Times New Roman" w:hAnsi="Times New Roman" w:cs="Times New Roman" w:eastAsia="Times New Roman" w:hint="default"/>
        </w:rPr>
        <w:t>4</w:t>
      </w:r>
      <w:r>
        <w:rPr/>
        <w:t>次会议，审议了公司定期报告、内审部门提交的内部审计报告、年度审计计划及</w:t>
      </w:r>
    </w:p>
    <w:p>
      <w:pPr>
        <w:pStyle w:val="BodyText"/>
        <w:spacing w:line="217" w:lineRule="exact"/>
        <w:ind w:right="0"/>
        <w:jc w:val="left"/>
      </w:pPr>
      <w:r>
        <w:rPr/>
        <w:t>总结等事项，详细了解公司财务状况和经营情况，严格审查公司内部控制制度的建设及执行情况，对公司财务状况和经营情</w:t>
      </w:r>
    </w:p>
    <w:p>
      <w:pPr>
        <w:pStyle w:val="BodyText"/>
        <w:spacing w:line="319" w:lineRule="auto" w:before="76"/>
        <w:ind w:right="1132"/>
        <w:jc w:val="both"/>
      </w:pPr>
      <w:r>
        <w:rPr>
          <w:spacing w:val="-2"/>
        </w:rPr>
        <w:t>况实施了有效的指导和监督。在年度审计工作过程中，公司董事会审计委员会在公司年审注册会计师进场前审阅了公司编制</w:t>
      </w:r>
      <w:r>
        <w:rPr>
          <w:spacing w:val="-64"/>
        </w:rPr>
        <w:t> </w:t>
      </w:r>
      <w:r>
        <w:rPr>
          <w:spacing w:val="-64"/>
        </w:rPr>
      </w:r>
      <w:r>
        <w:rPr>
          <w:spacing w:val="-2"/>
        </w:rPr>
        <w:t>的财务会计报表，认为财务会计报表基本能够反映公司的财务状况和经营成果。年审注册会计师进场前，审计委员会与会计</w:t>
      </w:r>
      <w:r>
        <w:rPr>
          <w:spacing w:val="-66"/>
        </w:rPr>
        <w:t> </w:t>
      </w:r>
      <w:r>
        <w:rPr>
          <w:spacing w:val="-66"/>
        </w:rPr>
      </w:r>
      <w:r>
        <w:rPr>
          <w:spacing w:val="-2"/>
        </w:rPr>
        <w:t>师事务所共同协商确定了公司本年度财务报告审计工作的时间安排，并不断加强与年审会计师的沟通，督促其在约定时限内</w:t>
      </w:r>
      <w:r>
        <w:rPr>
          <w:spacing w:val="-64"/>
        </w:rPr>
        <w:t> </w:t>
      </w:r>
      <w:r>
        <w:rPr>
          <w:spacing w:val="-64"/>
        </w:rPr>
      </w:r>
      <w:r>
        <w:rPr>
          <w:spacing w:val="-2"/>
        </w:rPr>
        <w:t>提交审计报告。在年审注册会计师出具初步审计意见后审计委员会又一次审阅了公司财务会计报表，认为公司财务会计报表</w:t>
      </w:r>
      <w:r>
        <w:rPr>
          <w:spacing w:val="-64"/>
        </w:rPr>
        <w:t> </w:t>
      </w:r>
      <w:r>
        <w:rPr>
          <w:spacing w:val="-64"/>
        </w:rPr>
      </w:r>
      <w:r>
        <w:rPr/>
        <w:t>真实、准确、完整的反映了公司的财务状况和经营成果。</w:t>
      </w:r>
    </w:p>
    <w:p>
      <w:pPr>
        <w:pStyle w:val="BodyText"/>
        <w:spacing w:line="338" w:lineRule="auto" w:before="56"/>
        <w:ind w:left="444" w:right="1032" w:hanging="29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、战略委员会 </w:t>
      </w:r>
      <w:r>
        <w:rPr>
          <w:spacing w:val="-2"/>
        </w:rPr>
        <w:t>报告期内，公司董事会战略委员会召开会议，结合公司实际情况对拟非公开发行</w:t>
      </w:r>
      <w:r>
        <w:rPr>
          <w:rFonts w:ascii="Times New Roman" w:hAnsi="Times New Roman" w:cs="Times New Roman" w:eastAsia="Times New Roman" w:hint="default"/>
          <w:spacing w:val="-2"/>
        </w:rPr>
        <w:t>A</w:t>
      </w:r>
      <w:r>
        <w:rPr>
          <w:spacing w:val="-2"/>
        </w:rPr>
        <w:t>股股票等相关事项进行了研究和讨论，</w:t>
      </w:r>
    </w:p>
    <w:p>
      <w:pPr>
        <w:pStyle w:val="BodyText"/>
        <w:spacing w:line="218" w:lineRule="exact"/>
        <w:ind w:right="0"/>
        <w:jc w:val="left"/>
      </w:pPr>
      <w:r>
        <w:rPr/>
        <w:t>为公司发展战略决策提供支持。</w:t>
      </w:r>
    </w:p>
    <w:p>
      <w:pPr>
        <w:pStyle w:val="BodyText"/>
        <w:spacing w:line="338" w:lineRule="auto" w:before="117"/>
        <w:ind w:left="444" w:right="0" w:hanging="291"/>
        <w:jc w:val="left"/>
      </w:pPr>
      <w:r>
        <w:rPr>
          <w:rFonts w:ascii="Times New Roman" w:hAnsi="Times New Roman" w:cs="Times New Roman" w:eastAsia="Times New Roman" w:hint="default"/>
        </w:rPr>
        <w:t>3</w:t>
      </w:r>
      <w:r>
        <w:rPr/>
        <w:t>、薪酬与考核委员会 </w:t>
      </w:r>
      <w:r>
        <w:rPr>
          <w:spacing w:val="-1"/>
        </w:rPr>
        <w:t>报告期内，公司董事会薪酬与考核委员会召开会议，对董事和高管薪酬等相关事宜进行了认真研究和核查，为公司董事</w:t>
      </w:r>
    </w:p>
    <w:p>
      <w:pPr>
        <w:pStyle w:val="BodyText"/>
        <w:spacing w:line="240" w:lineRule="auto" w:before="4"/>
        <w:ind w:right="0"/>
        <w:jc w:val="left"/>
      </w:pPr>
      <w:r>
        <w:rPr/>
        <w:t>会的规范运作提出了合理的建议。</w:t>
      </w:r>
    </w:p>
    <w:p>
      <w:pPr>
        <w:pStyle w:val="BodyText"/>
        <w:spacing w:line="338" w:lineRule="auto" w:before="116"/>
        <w:ind w:left="444" w:right="1118" w:hanging="291"/>
        <w:jc w:val="left"/>
      </w:pPr>
      <w:r>
        <w:rPr>
          <w:rFonts w:ascii="Times New Roman" w:hAnsi="Times New Roman" w:cs="Times New Roman" w:eastAsia="Times New Roman" w:hint="default"/>
        </w:rPr>
        <w:t>4</w:t>
      </w:r>
      <w:r>
        <w:rPr/>
        <w:t>、提名委员会 </w:t>
      </w:r>
      <w:r>
        <w:rPr>
          <w:spacing w:val="-1"/>
        </w:rPr>
        <w:t>报告期内，董事会提名委员会召开会议，对公司拟聘任的董事会秘书任职资格等事项进行了认真的核查，并同意提交董</w:t>
      </w:r>
    </w:p>
    <w:p>
      <w:pPr>
        <w:pStyle w:val="BodyText"/>
        <w:spacing w:line="240" w:lineRule="auto" w:before="4"/>
        <w:ind w:right="0"/>
        <w:jc w:val="left"/>
      </w:pPr>
      <w:r>
        <w:rPr/>
        <w:t>事会审议。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pStyle w:val="Heading2"/>
        <w:spacing w:line="240" w:lineRule="auto"/>
        <w:ind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290"/>
        <w:jc w:val="both"/>
      </w:pPr>
      <w:r>
        <w:rPr>
          <w:spacing w:val="-1"/>
        </w:rPr>
        <w:t>公司严格按照《公司章程》及《薪酬与考核委员会工作细则》等制度制订高级管理人员考评及薪酬方案，充分调动和激</w:t>
      </w:r>
      <w:r>
        <w:rPr/>
        <w:t> </w:t>
      </w:r>
      <w:r>
        <w:rPr>
          <w:spacing w:val="-2"/>
        </w:rPr>
        <w:t>发高级管理人员积极性和主动性。在公司任职的高级管理人员按其职务根据公司现行的薪酬制度领取报酬，并依据风险、责</w:t>
      </w:r>
      <w:r>
        <w:rPr>
          <w:spacing w:val="-66"/>
        </w:rPr>
        <w:t> </w:t>
      </w:r>
      <w:r>
        <w:rPr>
          <w:spacing w:val="-66"/>
        </w:rPr>
      </w:r>
      <w:r>
        <w:rPr>
          <w:spacing w:val="-2"/>
        </w:rPr>
        <w:t>任、利益相一致的原则，年底根据经营业绩和个人绩效，严格按照考核评定程序，由董事会确定其年度奖金和奖惩方式，相</w:t>
      </w:r>
      <w:r>
        <w:rPr>
          <w:spacing w:val="-66"/>
        </w:rPr>
        <w:t> </w:t>
      </w:r>
      <w:r>
        <w:rPr>
          <w:spacing w:val="-66"/>
        </w:rPr>
      </w:r>
      <w:r>
        <w:rPr>
          <w:spacing w:val="-2"/>
        </w:rPr>
        <w:t>关奖金按各自考核结果进行发放。</w:t>
      </w:r>
      <w:r>
        <w:rPr>
          <w:rFonts w:ascii="Times New Roman" w:hAnsi="Times New Roman" w:cs="Times New Roman" w:eastAsia="Times New Roman" w:hint="default"/>
          <w:spacing w:val="-2"/>
        </w:rPr>
        <w:t>2018</w:t>
      </w:r>
      <w:r>
        <w:rPr>
          <w:spacing w:val="-2"/>
        </w:rPr>
        <w:t>年度公司顺利实施了公司第一期员工持股计划，进一步调动了中高层管理人员的积极</w:t>
      </w:r>
      <w:r>
        <w:rPr>
          <w:spacing w:val="-60"/>
        </w:rPr>
        <w:t> </w:t>
      </w:r>
      <w:r>
        <w:rPr>
          <w:spacing w:val="-60"/>
        </w:rPr>
      </w:r>
      <w:r>
        <w:rPr/>
        <w:t>性和主动性，实现股东利益最大化。</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240" w:lineRule="auto" w:before="44"/>
        <w:ind w:left="0" w:right="1140"/>
        <w:jc w:val="right"/>
      </w:pPr>
      <w:r>
        <w:rPr/>
        <w:pict>
          <v:shape style="position:absolute;margin-left:56.459999pt;margin-top:-284.24826pt;width:479.2pt;height:388.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6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合，可能导致企业严重偏离控制目标。出 现下列情形之一的，认定为重大缺陷：</w:t>
                        </w:r>
                        <w:r>
                          <w:rPr>
                            <w:rFonts w:ascii="Times New Roman" w:hAnsi="Times New Roman" w:cs="Times New Roman" w:eastAsia="Times New Roman" w:hint="default"/>
                            <w:sz w:val="18"/>
                            <w:szCs w:val="18"/>
                          </w:rPr>
                          <w:t>1. </w:t>
                        </w:r>
                        <w:r>
                          <w:rPr>
                            <w:rFonts w:ascii="宋体" w:hAnsi="宋体" w:cs="宋体" w:eastAsia="宋体" w:hint="default"/>
                            <w:sz w:val="18"/>
                            <w:szCs w:val="18"/>
                          </w:rPr>
                          <w:t>董事、监事和高级管理人员舞弊行为；</w:t>
                        </w:r>
                        <w:r>
                          <w:rPr>
                            <w:rFonts w:ascii="Times New Roman" w:hAnsi="Times New Roman" w:cs="Times New Roman" w:eastAsia="Times New Roman" w:hint="default"/>
                            <w:sz w:val="18"/>
                            <w:szCs w:val="18"/>
                          </w:rPr>
                          <w:t>2. </w:t>
                        </w:r>
                        <w:r>
                          <w:rPr>
                            <w:rFonts w:ascii="宋体" w:hAnsi="宋体" w:cs="宋体" w:eastAsia="宋体" w:hint="default"/>
                            <w:sz w:val="18"/>
                            <w:szCs w:val="18"/>
                          </w:rPr>
                          <w:t>公司审计委员会和审计部对内部控制的监 督无效；</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注册会计师对公司财务报表出 具无保留意见以外的其他三种意见审计报 告。重要缺陷：是指一个或多个控制缺陷 的组合，其严重程度和经济后果低于重大 缺陷，但是仍有可能导致企业偏离控制目 标。出现下列情形之一的，认定为重大缺 陷：</w:t>
                        </w:r>
                        <w:r>
                          <w:rPr>
                            <w:rFonts w:ascii="Times New Roman" w:hAnsi="Times New Roman" w:cs="Times New Roman" w:eastAsia="Times New Roman" w:hint="default"/>
                            <w:sz w:val="18"/>
                            <w:szCs w:val="18"/>
                          </w:rPr>
                          <w:t>1.</w:t>
                        </w:r>
                        <w:r>
                          <w:rPr>
                            <w:rFonts w:ascii="宋体" w:hAnsi="宋体" w:cs="宋体" w:eastAsia="宋体" w:hint="default"/>
                            <w:sz w:val="18"/>
                            <w:szCs w:val="18"/>
                          </w:rPr>
                          <w:t>未建立反舞弊程序和控制措施；</w:t>
                        </w:r>
                        <w:r>
                          <w:rPr>
                            <w:rFonts w:ascii="Times New Roman" w:hAnsi="Times New Roman" w:cs="Times New Roman" w:eastAsia="Times New Roman" w:hint="default"/>
                            <w:sz w:val="18"/>
                            <w:szCs w:val="18"/>
                          </w:rPr>
                          <w:t>2. </w:t>
                        </w:r>
                        <w:r>
                          <w:rPr>
                            <w:rFonts w:ascii="宋体" w:hAnsi="宋体" w:cs="宋体" w:eastAsia="宋体" w:hint="default"/>
                            <w:sz w:val="18"/>
                            <w:szCs w:val="18"/>
                          </w:rPr>
                          <w:t>公司内部审计机构未能有效发挥监督职 能；</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公司以前的财务报告出现重大错报 需要进行追溯调整。一般缺陷：不属于重</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04" w:lineRule="auto"/>
                          <w:ind w:left="22" w:right="20"/>
                          <w:jc w:val="left"/>
                          <w:rPr>
                            <w:rFonts w:ascii="宋体" w:hAnsi="宋体" w:cs="宋体" w:eastAsia="宋体" w:hint="default"/>
                            <w:sz w:val="18"/>
                            <w:szCs w:val="18"/>
                          </w:rPr>
                        </w:pPr>
                        <w:r>
                          <w:rPr>
                            <w:rFonts w:ascii="宋体" w:hAnsi="宋体" w:cs="宋体" w:eastAsia="宋体" w:hint="default"/>
                            <w:spacing w:val="-2"/>
                            <w:sz w:val="18"/>
                            <w:szCs w:val="18"/>
                          </w:rPr>
                          <w:t>重大缺陷：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重要业务缺乏制度控制或</w:t>
                        </w:r>
                        <w:r>
                          <w:rPr>
                            <w:rFonts w:ascii="宋体" w:hAnsi="宋体" w:cs="宋体" w:eastAsia="宋体" w:hint="default"/>
                            <w:spacing w:val="-74"/>
                            <w:sz w:val="18"/>
                            <w:szCs w:val="18"/>
                          </w:rPr>
                          <w:t> </w:t>
                        </w:r>
                        <w:r>
                          <w:rPr>
                            <w:rFonts w:ascii="宋体" w:hAnsi="宋体" w:cs="宋体" w:eastAsia="宋体" w:hint="default"/>
                            <w:spacing w:val="-2"/>
                            <w:sz w:val="18"/>
                            <w:szCs w:val="18"/>
                          </w:rPr>
                          <w:t>制度体系失效；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内部控制重大缺陷未</w:t>
                        </w:r>
                        <w:r>
                          <w:rPr>
                            <w:rFonts w:ascii="宋体" w:hAnsi="宋体" w:cs="宋体" w:eastAsia="宋体" w:hint="default"/>
                            <w:spacing w:val="-74"/>
                            <w:sz w:val="18"/>
                            <w:szCs w:val="18"/>
                          </w:rPr>
                          <w:t> </w:t>
                        </w:r>
                        <w:r>
                          <w:rPr>
                            <w:rFonts w:ascii="宋体" w:hAnsi="宋体" w:cs="宋体" w:eastAsia="宋体" w:hint="default"/>
                            <w:spacing w:val="-2"/>
                            <w:sz w:val="18"/>
                            <w:szCs w:val="18"/>
                          </w:rPr>
                          <w:t>得到整改。重要缺陷：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重要业务制度</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体系存在缺陷；</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内部控制重要缺陷未</w:t>
                        </w:r>
                        <w:r>
                          <w:rPr>
                            <w:rFonts w:ascii="宋体" w:hAnsi="宋体" w:cs="宋体" w:eastAsia="宋体" w:hint="default"/>
                            <w:spacing w:val="-74"/>
                            <w:sz w:val="18"/>
                            <w:szCs w:val="18"/>
                          </w:rPr>
                          <w:t> </w:t>
                        </w:r>
                        <w:r>
                          <w:rPr>
                            <w:rFonts w:ascii="宋体" w:hAnsi="宋体" w:cs="宋体" w:eastAsia="宋体" w:hint="default"/>
                            <w:spacing w:val="-10"/>
                            <w:sz w:val="18"/>
                            <w:szCs w:val="18"/>
                          </w:rPr>
                          <w:t>得到整改。一般缺陷：不属于重大缺陷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重要缺陷的其他内部控制缺陷。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170"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大缺陷、重要缺陷的其他内部控制缺陷。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04"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财务报表的错报金额落在如下区间的为重 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合并报表资产总额的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财务报表的错报金额落在如下区间的为重 </w:t>
            </w:r>
            <w:r>
              <w:rPr>
                <w:rFonts w:ascii="宋体" w:hAnsi="宋体" w:cs="宋体" w:eastAsia="宋体" w:hint="default"/>
                <w:spacing w:val="-3"/>
                <w:sz w:val="18"/>
                <w:szCs w:val="18"/>
              </w:rPr>
              <w:t>要缺陷：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合并报表营业收入的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 </w:t>
            </w:r>
            <w:r>
              <w:rPr>
                <w:rFonts w:ascii="Times New Roman" w:hAnsi="Times New Roman" w:cs="Times New Roman" w:eastAsia="Times New Roman" w:hint="default"/>
                <w:sz w:val="18"/>
                <w:szCs w:val="18"/>
              </w:rPr>
              <w:t>≤</w:t>
            </w:r>
            <w:r>
              <w:rPr>
                <w:rFonts w:ascii="宋体" w:hAnsi="宋体" w:cs="宋体" w:eastAsia="宋体" w:hint="default"/>
                <w:sz w:val="18"/>
                <w:szCs w:val="18"/>
              </w:rPr>
              <w:t>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合并报表营业收入的</w:t>
            </w:r>
            <w:r>
              <w:rPr>
                <w:rFonts w:ascii="宋体" w:hAnsi="宋体" w:cs="宋体" w:eastAsia="宋体" w:hint="default"/>
                <w:spacing w:val="-40"/>
                <w:sz w:val="18"/>
                <w:szCs w:val="18"/>
              </w:rPr>
              <w:t> </w:t>
            </w:r>
            <w:r>
              <w:rPr>
                <w:rFonts w:ascii="Times New Roman" w:hAnsi="Times New Roman" w:cs="Times New Roman" w:eastAsia="Times New Roman" w:hint="default"/>
                <w:spacing w:val="-9"/>
                <w:sz w:val="18"/>
                <w:szCs w:val="18"/>
              </w:rPr>
              <w:t>0.5%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合并报表</w:t>
            </w:r>
            <w:r>
              <w:rPr>
                <w:rFonts w:ascii="宋体" w:hAnsi="宋体" w:cs="宋体" w:eastAsia="宋体" w:hint="default"/>
                <w:spacing w:val="-88"/>
                <w:sz w:val="18"/>
                <w:szCs w:val="18"/>
              </w:rPr>
              <w:t> </w:t>
            </w:r>
            <w:r>
              <w:rPr>
                <w:rFonts w:ascii="宋体" w:hAnsi="宋体" w:cs="宋体" w:eastAsia="宋体" w:hint="default"/>
                <w:sz w:val="18"/>
                <w:szCs w:val="18"/>
              </w:rPr>
              <w:t>资产总额的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0.25%</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合并报表资产总 额的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。财务报表的错报金额落在如下 </w:t>
            </w:r>
            <w:r>
              <w:rPr>
                <w:rFonts w:ascii="宋体" w:hAnsi="宋体" w:cs="宋体" w:eastAsia="宋体" w:hint="default"/>
                <w:spacing w:val="-2"/>
                <w:sz w:val="18"/>
                <w:szCs w:val="18"/>
              </w:rPr>
              <w:t>区间的为一般缺陷：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错报</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合并报表营业</w:t>
            </w:r>
            <w:r>
              <w:rPr>
                <w:rFonts w:ascii="宋体" w:hAnsi="宋体" w:cs="宋体" w:eastAsia="宋体" w:hint="default"/>
                <w:spacing w:val="-81"/>
                <w:sz w:val="18"/>
                <w:szCs w:val="18"/>
              </w:rPr>
              <w:t> </w:t>
            </w:r>
            <w:r>
              <w:rPr>
                <w:rFonts w:ascii="宋体" w:hAnsi="宋体" w:cs="宋体" w:eastAsia="宋体" w:hint="default"/>
                <w:sz w:val="18"/>
                <w:szCs w:val="18"/>
              </w:rPr>
              <w:t>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197"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both"/>
              <w:rPr>
                <w:rFonts w:ascii="宋体" w:hAnsi="宋体" w:cs="宋体" w:eastAsia="宋体" w:hint="default"/>
                <w:sz w:val="18"/>
                <w:szCs w:val="18"/>
              </w:rPr>
            </w:pPr>
            <w:r>
              <w:rPr>
                <w:rFonts w:ascii="宋体" w:hAnsi="宋体" w:cs="宋体" w:eastAsia="宋体" w:hint="default"/>
                <w:sz w:val="18"/>
                <w:szCs w:val="18"/>
              </w:rPr>
              <w:t>重大缺陷：直接财产损失金额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w:t>
            </w:r>
          </w:p>
          <w:p>
            <w:pPr>
              <w:pStyle w:val="TableParagraph"/>
              <w:spacing w:line="300" w:lineRule="auto" w:before="61"/>
              <w:ind w:left="16" w:right="20"/>
              <w:jc w:val="both"/>
              <w:rPr>
                <w:rFonts w:ascii="宋体" w:hAnsi="宋体" w:cs="宋体" w:eastAsia="宋体" w:hint="default"/>
                <w:sz w:val="18"/>
                <w:szCs w:val="18"/>
              </w:rPr>
            </w:pPr>
            <w:r>
              <w:rPr>
                <w:rFonts w:ascii="宋体" w:hAnsi="宋体" w:cs="宋体" w:eastAsia="宋体" w:hint="default"/>
                <w:sz w:val="18"/>
                <w:szCs w:val="18"/>
              </w:rPr>
              <w:t>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；重要缺陷：合并 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0.25%&lt;</w:t>
            </w:r>
            <w:r>
              <w:rPr>
                <w:rFonts w:ascii="宋体" w:hAnsi="宋体" w:cs="宋体" w:eastAsia="宋体" w:hint="default"/>
                <w:sz w:val="18"/>
                <w:szCs w:val="18"/>
              </w:rPr>
              <w:t>直接财产损失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；一般</w:t>
            </w:r>
            <w:r>
              <w:rPr>
                <w:rFonts w:ascii="宋体" w:hAnsi="宋体" w:cs="宋体" w:eastAsia="宋体" w:hint="default"/>
                <w:sz w:val="18"/>
                <w:szCs w:val="18"/>
              </w:rPr>
              <w:t> 缺陷：直接财产损失金额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p>
            <w:pPr>
              <w:pStyle w:val="TableParagraph"/>
              <w:spacing w:line="1132" w:lineRule="exact"/>
              <w:ind w:left="-7" w:right="-51"/>
              <w:jc w:val="left"/>
              <w:rPr>
                <w:rFonts w:ascii="宋体" w:hAnsi="宋体" w:cs="宋体" w:eastAsia="宋体" w:hint="default"/>
                <w:sz w:val="20"/>
                <w:szCs w:val="20"/>
              </w:rPr>
            </w:pPr>
            <w:r>
              <w:rPr>
                <w:rFonts w:ascii="宋体" w:hAnsi="宋体" w:cs="宋体" w:eastAsia="宋体" w:hint="default"/>
                <w:position w:val="-22"/>
                <w:sz w:val="20"/>
                <w:szCs w:val="20"/>
              </w:rPr>
              <w:pict>
                <v:group style="width:152.1pt;height:56.6pt;mso-position-horizontal-relative:char;mso-position-vertical-relative:line" coordorigin="0,0" coordsize="3042,1132">
                  <v:group style="position:absolute;left:0;top:0;width:3042;height:780" coordorigin="0,0" coordsize="3042,780">
                    <v:shape style="position:absolute;left:0;top:0;width:3042;height:780" coordorigin="0,0" coordsize="3042,780" path="m0,780l3041,780,3041,0,0,0,0,780xe" filled="true" fillcolor="#ffffff" stroked="false">
                      <v:path arrowok="t"/>
                      <v:fill type="solid"/>
                    </v:shape>
                  </v:group>
                  <v:group style="position:absolute;left:23;top:780;width:2996;height:352" coordorigin="23,780" coordsize="2996,352">
                    <v:shape style="position:absolute;left:23;top:780;width:2996;height:352" coordorigin="23,780" coordsize="2996,352" path="m23,1132l3018,1132,3018,780,23,780,23,1132xe" filled="true" fillcolor="#ffffff" stroked="false">
                      <v:path arrowok="t"/>
                      <v:fill type="solid"/>
                    </v:shape>
                  </v:group>
                </v:group>
              </w:pict>
            </w:r>
            <w:r>
              <w:rPr>
                <w:rFonts w:ascii="宋体" w:hAnsi="宋体" w:cs="宋体" w:eastAsia="宋体" w:hint="default"/>
                <w:position w:val="-22"/>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经安永华明审核认为，于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日本公司及其子公司在上述内部控制评估报告中所述与财务报表相关的内部控 制在所有重大方面有效地保持了按照《企业内部控制基本规范》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[2008]7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建立的与财务报表相关的内部控制。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上海美特斯邦威服饰股份有限公司内部控制审核报告（</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40" w:lineRule="auto" w:before="116"/>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47"/>
      <w:bookmarkEnd w:id="147"/>
      <w:r>
        <w:rPr>
          <w:b w:val="0"/>
          <w:bCs w:val="0"/>
        </w:rPr>
      </w:r>
      <w:bookmarkStart w:name="_bookmark9" w:id="148"/>
      <w:bookmarkEnd w:id="148"/>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49"/>
      <w:bookmarkEnd w:id="149"/>
      <w:r>
        <w:rPr>
          <w:b w:val="0"/>
          <w:bCs w:val="0"/>
        </w:rPr>
      </w:r>
      <w:bookmarkStart w:name="_bookmark10" w:id="150"/>
      <w:bookmarkEnd w:id="15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1"/>
      <w:bookmarkEnd w:id="15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(2019)</w:t>
            </w:r>
            <w:r>
              <w:rPr>
                <w:rFonts w:ascii="宋体" w:hAnsi="宋体" w:cs="宋体" w:eastAsia="宋体" w:hint="default"/>
                <w:sz w:val="18"/>
                <w:szCs w:val="18"/>
              </w:rPr>
              <w:t>审字第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60644982_B01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董彦亮、何凝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636" w:lineRule="auto"/>
        <w:ind w:left="634" w:right="-20" w:hanging="480"/>
        <w:jc w:val="left"/>
      </w:pPr>
      <w:r>
        <w:rPr/>
        <w:t>上海美特斯邦威服饰股份有限公司全体股东： </w:t>
      </w:r>
      <w:r>
        <w:rPr>
          <w:rFonts w:ascii="宋体" w:hAnsi="宋体" w:cs="宋体" w:eastAsia="宋体" w:hint="default"/>
        </w:rPr>
        <w:t>1.  </w:t>
      </w:r>
      <w:r>
        <w:rPr/>
        <w:t>审计意见</w:t>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755" w:space="525"/>
            <w:col w:w="6650"/>
          </w:cols>
        </w:sectPr>
      </w:pPr>
    </w:p>
    <w:p>
      <w:pPr>
        <w:pStyle w:val="BodyText"/>
        <w:spacing w:line="300" w:lineRule="auto" w:before="91"/>
        <w:ind w:right="1130" w:firstLine="480"/>
        <w:jc w:val="both"/>
      </w:pPr>
      <w:r>
        <w:rPr>
          <w:spacing w:val="-1"/>
        </w:rPr>
        <w:t>我们审计了上海美特斯邦威服饰股份有限公司的财务报表，包括</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2018</w:t>
      </w:r>
      <w:r>
        <w:rPr>
          <w:spacing w:val="-1"/>
        </w:rPr>
        <w:t>年度</w:t>
      </w:r>
      <w:r>
        <w:rPr/>
        <w:t> 的合并及公司利润表、股东权益变动表和现金流量表以及相关财务报表附注。</w:t>
      </w:r>
    </w:p>
    <w:p>
      <w:pPr>
        <w:spacing w:line="240" w:lineRule="auto" w:before="3"/>
        <w:rPr>
          <w:rFonts w:ascii="宋体" w:hAnsi="宋体" w:cs="宋体" w:eastAsia="宋体" w:hint="default"/>
          <w:sz w:val="26"/>
          <w:szCs w:val="26"/>
        </w:rPr>
      </w:pPr>
    </w:p>
    <w:p>
      <w:pPr>
        <w:pStyle w:val="BodyText"/>
        <w:spacing w:line="309" w:lineRule="auto"/>
        <w:ind w:right="1131" w:firstLine="420"/>
        <w:jc w:val="both"/>
      </w:pPr>
      <w:r>
        <w:rPr/>
        <w:t>我们认为，后附的上海美特斯邦威服饰股份有限公司的财务报表在所有重大方面按照企业会计准则的规定编制，公允 反映了上海美特斯邦威服饰股份有限公司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2018</w:t>
      </w:r>
      <w:r>
        <w:rPr/>
        <w:t>年度的合并及公司经营成果和现</w:t>
      </w:r>
      <w:r>
        <w:rPr>
          <w:spacing w:val="-4"/>
        </w:rPr>
        <w:t> </w:t>
      </w:r>
      <w:r>
        <w:rPr>
          <w:spacing w:val="-4"/>
        </w:rPr>
      </w:r>
      <w:r>
        <w:rPr/>
        <w:t>金流量。</w:t>
      </w:r>
    </w:p>
    <w:p>
      <w:pPr>
        <w:pStyle w:val="BodyText"/>
        <w:spacing w:line="624" w:lineRule="exact" w:before="47"/>
        <w:ind w:left="634" w:right="1112"/>
        <w:jc w:val="left"/>
      </w:pPr>
      <w:r>
        <w:rPr/>
        <w:t>二、形成审计意见的基础 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213" w:lineRule="exact"/>
        <w:ind w:right="0"/>
        <w:jc w:val="left"/>
      </w:pPr>
      <w:r>
        <w:rPr/>
        <w:t>步阐述了我们在这些准则下的责任。按照中国注册会计师职业道德守则，我们独立于上海美特斯邦威服饰股份有限公司，并</w:t>
      </w:r>
    </w:p>
    <w:p>
      <w:pPr>
        <w:pStyle w:val="BodyText"/>
        <w:spacing w:line="636" w:lineRule="auto" w:before="76"/>
        <w:ind w:left="634" w:right="1118" w:hanging="480"/>
        <w:jc w:val="left"/>
      </w:pPr>
      <w:r>
        <w:rPr/>
        <w:t>履行了职业道德方面的其他责任。我们相信，我们获取的审计证据是充分、适当的，为发表审计意见提供了基础。 三、关键审计事项</w:t>
      </w:r>
    </w:p>
    <w:p>
      <w:pPr>
        <w:pStyle w:val="BodyText"/>
        <w:spacing w:line="316" w:lineRule="auto" w:before="91"/>
        <w:ind w:right="1133" w:firstLine="480"/>
        <w:jc w:val="both"/>
      </w:pPr>
      <w:r>
        <w:rPr>
          <w:spacing w:val="-1"/>
        </w:rPr>
        <w:t>关键审计事项是我们根据职业判断，认为对本期财务报表审计最为重要的事项。这些事项的应对以对财务报表整体进</w:t>
      </w:r>
      <w:r>
        <w:rPr/>
        <w:t> </w:t>
      </w:r>
      <w:r>
        <w:rPr>
          <w:spacing w:val="-2"/>
        </w:rPr>
        <w:t>行审计并形成审计意见为背景，我们不对这些事项单独发表意见。我们对下述每一事项在审计中是如何应对的描述也以此为</w:t>
      </w:r>
      <w:r>
        <w:rPr>
          <w:spacing w:val="-64"/>
        </w:rPr>
        <w:t> </w:t>
      </w:r>
      <w:r>
        <w:rPr>
          <w:spacing w:val="-64"/>
        </w:rPr>
      </w:r>
      <w:r>
        <w:rPr/>
        <w:t>背景。</w:t>
      </w:r>
    </w:p>
    <w:p>
      <w:pPr>
        <w:spacing w:line="240" w:lineRule="auto" w:before="4"/>
        <w:rPr>
          <w:rFonts w:ascii="宋体" w:hAnsi="宋体" w:cs="宋体" w:eastAsia="宋体" w:hint="default"/>
          <w:sz w:val="25"/>
          <w:szCs w:val="25"/>
        </w:rPr>
      </w:pPr>
    </w:p>
    <w:p>
      <w:pPr>
        <w:pStyle w:val="BodyText"/>
        <w:spacing w:line="309" w:lineRule="auto"/>
        <w:ind w:right="1128" w:firstLine="480"/>
        <w:jc w:val="both"/>
      </w:pPr>
      <w:r>
        <w:rPr/>
        <w:t>我们已经履行了本报告</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部分阐述的责任，包括与这些关键审计事项相关的责任。 </w:t>
      </w:r>
      <w:r>
        <w:rPr>
          <w:spacing w:val="-2"/>
        </w:rPr>
        <w:t>相应地，我们的审计工作包括执行为应对评估的财务报表重大错报风险而设计的审计程序。我们执行审计程序的结果，包括</w:t>
      </w:r>
      <w:r>
        <w:rPr>
          <w:spacing w:val="-66"/>
        </w:rPr>
        <w:t> </w:t>
      </w:r>
      <w:r>
        <w:rPr>
          <w:spacing w:val="-66"/>
        </w:rPr>
      </w:r>
      <w:r>
        <w:rPr/>
        <w:t>应对下述关键审计事项所执行的程序，为财务报表整体发表审计意见提供了基础。</w:t>
      </w:r>
    </w:p>
    <w:p>
      <w:pPr>
        <w:spacing w:line="240" w:lineRule="auto" w:before="12"/>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674"/>
        <w:gridCol w:w="4826"/>
      </w:tblGrid>
      <w:tr>
        <w:trPr>
          <w:trHeight w:val="347" w:hRule="exact"/>
        </w:trPr>
        <w:tc>
          <w:tcPr>
            <w:tcW w:w="467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8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93"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499"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9"/>
              <w:ind w:left="2" w:right="0"/>
              <w:jc w:val="left"/>
              <w:rPr>
                <w:rFonts w:ascii="宋体" w:hAnsi="宋体" w:cs="宋体" w:eastAsia="宋体" w:hint="default"/>
                <w:sz w:val="19"/>
                <w:szCs w:val="19"/>
              </w:rPr>
            </w:pPr>
            <w:r>
              <w:rPr>
                <w:rFonts w:ascii="Times New Roman" w:hAnsi="Times New Roman" w:cs="Times New Roman" w:eastAsia="Times New Roman" w:hint="default"/>
                <w:b/>
                <w:bCs/>
                <w:i/>
                <w:sz w:val="18"/>
                <w:szCs w:val="18"/>
              </w:rPr>
              <w:t>1.</w:t>
            </w:r>
            <w:r>
              <w:rPr>
                <w:rFonts w:ascii="宋体" w:hAnsi="宋体" w:cs="宋体" w:eastAsia="宋体" w:hint="default"/>
                <w:b/>
                <w:bCs/>
                <w:i/>
                <w:sz w:val="19"/>
                <w:szCs w:val="19"/>
              </w:rPr>
              <w:t>存货跌价准备</w:t>
            </w:r>
            <w:r>
              <w:rPr>
                <w:rFonts w:ascii="宋体" w:hAnsi="宋体" w:cs="宋体" w:eastAsia="宋体" w:hint="default"/>
                <w:sz w:val="19"/>
                <w:szCs w:val="19"/>
              </w:rPr>
            </w:r>
          </w:p>
        </w:tc>
      </w:tr>
      <w:tr>
        <w:trPr>
          <w:trHeight w:val="348"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日，上海美特斯邦威服饰股份有限公司及其子</w:t>
            </w:r>
          </w:p>
        </w:tc>
        <w:tc>
          <w:tcPr>
            <w:tcW w:w="4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我们了解并评估管理层对于存货跌价的内部控制的设计。我们</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4674"/>
        <w:gridCol w:w="284"/>
        <w:gridCol w:w="4541"/>
      </w:tblGrid>
      <w:tr>
        <w:trPr>
          <w:trHeight w:val="4721" w:hRule="exact"/>
        </w:trPr>
        <w:tc>
          <w:tcPr>
            <w:tcW w:w="4674" w:type="dxa"/>
            <w:tcBorders>
              <w:top w:val="single" w:sz="6" w:space="0" w:color="000000"/>
              <w:left w:val="single" w:sz="6" w:space="0" w:color="000000"/>
              <w:bottom w:val="single" w:sz="10" w:space="0" w:color="000000"/>
              <w:right w:val="single" w:sz="6" w:space="0" w:color="000000"/>
            </w:tcBorders>
          </w:tcPr>
          <w:p>
            <w:pPr>
              <w:pStyle w:val="TableParagraph"/>
              <w:spacing w:line="314"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以下合称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贵集团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的存货余额为人民币</w:t>
            </w:r>
            <w:r>
              <w:rPr>
                <w:rFonts w:ascii="Times New Roman" w:hAnsi="Times New Roman" w:cs="Times New Roman" w:eastAsia="Times New Roman" w:hint="default"/>
                <w:spacing w:val="2"/>
                <w:sz w:val="18"/>
                <w:szCs w:val="18"/>
              </w:rPr>
              <w:t>2,348,821,208</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占贵集团资产总额的比重为</w:t>
            </w:r>
            <w:r>
              <w:rPr>
                <w:rFonts w:ascii="Times New Roman" w:hAnsi="Times New Roman" w:cs="Times New Roman" w:eastAsia="Times New Roman" w:hint="default"/>
                <w:spacing w:val="-4"/>
                <w:sz w:val="18"/>
                <w:szCs w:val="18"/>
              </w:rPr>
              <w:t>32.58%</w:t>
            </w:r>
            <w:r>
              <w:rPr>
                <w:rFonts w:ascii="宋体" w:hAnsi="宋体" w:cs="宋体" w:eastAsia="宋体" w:hint="default"/>
                <w:spacing w:val="-4"/>
                <w:sz w:val="18"/>
                <w:szCs w:val="18"/>
              </w:rPr>
              <w:t>。该等存货按照成本与</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可变现净值孰低计量。当存货的可变现净值低于其账面价值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时，即表明存货发生了减值。作为服装零售企业，产品的售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价受服装的季节性和时尚性影响很大，其可变现净值随着库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龄增加而降低，因此管理层结合实际销售情况、预计销售计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划、存货库龄、存货是否陈旧、滞销等因素，根据存货的估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计售价、估计的销售费用以及相关税费后的金额估计存货的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可变现净值。由于存货金额重大，且确定存货跌价准备和可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变现净值的过程涉及重大判断和会计估计，因此我们将存货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跌价准备认定为关键审计事项。</w:t>
            </w:r>
          </w:p>
        </w:tc>
        <w:tc>
          <w:tcPr>
            <w:tcW w:w="4826" w:type="dxa"/>
            <w:gridSpan w:val="2"/>
            <w:tcBorders>
              <w:top w:val="single" w:sz="6" w:space="0" w:color="000000"/>
              <w:left w:val="single" w:sz="6" w:space="0" w:color="000000"/>
              <w:bottom w:val="single" w:sz="10"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对管理层的存货盘点流程进行测试，实施存货的监盘和抽盘程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序，关注存货的状态，特别是毁损的存货。我们获取了存货的</w:t>
            </w:r>
            <w:r>
              <w:rPr>
                <w:rFonts w:ascii="宋体" w:hAnsi="宋体" w:cs="宋体" w:eastAsia="宋体" w:hint="default"/>
                <w:sz w:val="18"/>
                <w:szCs w:val="18"/>
              </w:rPr>
              <w:t> </w:t>
            </w:r>
            <w:r>
              <w:rPr>
                <w:rFonts w:ascii="宋体" w:hAnsi="宋体" w:cs="宋体" w:eastAsia="宋体" w:hint="default"/>
                <w:spacing w:val="-3"/>
                <w:sz w:val="18"/>
                <w:szCs w:val="18"/>
              </w:rPr>
              <w:t>库龄表，并进行测试。我们检查管理层编制的存货跌价准备计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算表，复核该计算表中数据的来源、完整性和准确性。同时我</w:t>
            </w:r>
            <w:r>
              <w:rPr>
                <w:rFonts w:ascii="宋体" w:hAnsi="宋体" w:cs="宋体" w:eastAsia="宋体" w:hint="default"/>
                <w:sz w:val="18"/>
                <w:szCs w:val="18"/>
              </w:rPr>
              <w:t> 们对管理层采用的存货可变现净值的计算方法和商业依据进 </w:t>
            </w:r>
            <w:r>
              <w:rPr>
                <w:rFonts w:ascii="宋体" w:hAnsi="宋体" w:cs="宋体" w:eastAsia="宋体" w:hint="default"/>
                <w:spacing w:val="-2"/>
                <w:sz w:val="18"/>
                <w:szCs w:val="18"/>
              </w:rPr>
              <w:t>行质疑和评估，我们检查存货</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年的销售价格及期后实际销</w:t>
            </w:r>
            <w:r>
              <w:rPr>
                <w:rFonts w:ascii="宋体" w:hAnsi="宋体" w:cs="宋体" w:eastAsia="宋体" w:hint="default"/>
                <w:spacing w:val="-88"/>
                <w:sz w:val="18"/>
                <w:szCs w:val="18"/>
              </w:rPr>
              <w:t> </w:t>
            </w:r>
            <w:r>
              <w:rPr>
                <w:rFonts w:ascii="宋体" w:hAnsi="宋体" w:cs="宋体" w:eastAsia="宋体" w:hint="default"/>
                <w:spacing w:val="-3"/>
                <w:sz w:val="18"/>
                <w:szCs w:val="18"/>
              </w:rPr>
              <w:t>售价格，评估估计的销售费用以及相关税费的合理性，作为对</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管理层使用的可变现净值的合理性的判断依据。我们根据跌价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准备计提政策重新计算了存货减值结果。此外，我们检查了贵</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集团财务报表附注中相关披露的充分性和完整性。</w:t>
            </w:r>
          </w:p>
        </w:tc>
      </w:tr>
      <w:tr>
        <w:trPr>
          <w:trHeight w:val="341" w:hRule="exact"/>
        </w:trPr>
        <w:tc>
          <w:tcPr>
            <w:tcW w:w="9499" w:type="dxa"/>
            <w:gridSpan w:val="3"/>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16"/>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长期待摊费用减值</w:t>
            </w:r>
            <w:r>
              <w:rPr>
                <w:rFonts w:ascii="宋体" w:hAnsi="宋体" w:cs="宋体" w:eastAsia="宋体" w:hint="default"/>
                <w:sz w:val="18"/>
                <w:szCs w:val="18"/>
              </w:rPr>
            </w:r>
          </w:p>
        </w:tc>
      </w:tr>
      <w:tr>
        <w:trPr>
          <w:trHeight w:val="5963" w:hRule="exact"/>
        </w:trPr>
        <w:tc>
          <w:tcPr>
            <w:tcW w:w="49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日，贵集团长期待摊费用余额为人民币</w:t>
            </w:r>
          </w:p>
          <w:p>
            <w:pPr>
              <w:pStyle w:val="TableParagraph"/>
              <w:spacing w:line="316" w:lineRule="auto" w:before="63"/>
              <w:ind w:left="2" w:right="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282,300,776</w:t>
            </w:r>
            <w:r>
              <w:rPr>
                <w:rFonts w:ascii="宋体" w:hAnsi="宋体" w:cs="宋体" w:eastAsia="宋体" w:hint="default"/>
                <w:spacing w:val="-1"/>
                <w:sz w:val="18"/>
                <w:szCs w:val="18"/>
              </w:rPr>
              <w:t>元，占总资产比重为</w:t>
            </w:r>
            <w:r>
              <w:rPr>
                <w:rFonts w:ascii="Times New Roman" w:hAnsi="Times New Roman" w:cs="Times New Roman" w:eastAsia="Times New Roman" w:hint="default"/>
                <w:spacing w:val="-1"/>
                <w:sz w:val="18"/>
                <w:szCs w:val="18"/>
              </w:rPr>
              <w:t>3.91%</w:t>
            </w:r>
            <w:r>
              <w:rPr>
                <w:rFonts w:ascii="宋体" w:hAnsi="宋体" w:cs="宋体" w:eastAsia="宋体" w:hint="default"/>
                <w:spacing w:val="-1"/>
                <w:sz w:val="18"/>
                <w:szCs w:val="18"/>
              </w:rPr>
              <w:t>。管理层应当在资产负债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表日判断资产是否存在可能发生减值的迹象。资产存在减值迹 象的，应当进行减值测试，估计资产的可收回金额。当资产的 可收回金额低于其账面价值时，即表明资产发生了减值，管理 层应当确认资产减值损失，并把资产的账面价值减记至可收回 金额。可收回金额根据资产的公允价值减去处置费用后的净额 与资产预计未来现金流量的现值两者之间较高者确定。大量直 营店铺在开店初期会发生大量的装修费用，另外，直营店需要 定期重新装修。直营店铺发生的装修费用计入长期待摊费用。 这些装修费用按租赁期和预计受益期孰短采用直线法摊销。对 于业绩欠佳或者提前关闭的店铺，如果存在尚未摊销的装修费 用将存在减值风险。管理层在对装修费进行减值测试时，对资 产的可收回金额的估计是基于该资产预计未来现金流量的现值 确定。由于长期待摊费用减值测试过程复杂，且对未来现金流 的预测、折现率、收入增长趋势的预测等涉及重大的管理层判 断和估计，因此我们将长期待摊费用减值认定为关键审计事项</w:t>
            </w:r>
          </w:p>
        </w:tc>
        <w:tc>
          <w:tcPr>
            <w:tcW w:w="4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3"/>
              <w:jc w:val="both"/>
              <w:rPr>
                <w:rFonts w:ascii="宋体" w:hAnsi="宋体" w:cs="宋体" w:eastAsia="宋体" w:hint="default"/>
                <w:sz w:val="18"/>
                <w:szCs w:val="18"/>
              </w:rPr>
            </w:pPr>
            <w:r>
              <w:rPr>
                <w:rFonts w:ascii="宋体" w:hAnsi="宋体" w:cs="宋体" w:eastAsia="宋体" w:hint="default"/>
                <w:sz w:val="18"/>
                <w:szCs w:val="18"/>
              </w:rPr>
              <w:t>我们获取并复核了管理层有关长期待摊费用是否出现减值 迹象的分析。针对存在减值迹象的长期待摊费用，我们复 核了管理层编制的未来净现值折现表，对管理层估计的每 年的收入增长率、折现率和减值测试方法等进行了评估， 我们结合管理层去年编制的现金流量预测与本年实际经营 数据的偏差，历史业绩情况及未来经营计划，对管理层编 制的在未来资产使用年限内现金流量预测进行评估。另外 我们获取管理层的开关店计划，复核截至报告日实际的店 铺清单与管理层于资产负债日的判断是否相符。同时，我 们复核管理层现金流预测敏感性分析，在调低收入和调高 费用的情况下未来现金流量的折现对长期待摊费用可收回 金额的影响。此外，我们检查了贵集团财务报表附注中相 关披露的充分性和完整性。</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43" w:hRule="exact"/>
        </w:trPr>
        <w:tc>
          <w:tcPr>
            <w:tcW w:w="9499" w:type="dxa"/>
            <w:gridSpan w:val="3"/>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收入确认</w:t>
            </w:r>
            <w:r>
              <w:rPr>
                <w:rFonts w:ascii="宋体" w:hAnsi="宋体" w:cs="宋体" w:eastAsia="宋体" w:hint="default"/>
                <w:sz w:val="18"/>
                <w:szCs w:val="18"/>
              </w:rPr>
            </w:r>
          </w:p>
        </w:tc>
      </w:tr>
      <w:tr>
        <w:trPr>
          <w:trHeight w:val="2537" w:hRule="exact"/>
        </w:trPr>
        <w:tc>
          <w:tcPr>
            <w:tcW w:w="4958" w:type="dxa"/>
            <w:gridSpan w:val="2"/>
            <w:tcBorders>
              <w:top w:val="single" w:sz="10" w:space="0" w:color="000000"/>
              <w:left w:val="single" w:sz="6" w:space="0" w:color="000000"/>
              <w:bottom w:val="single" w:sz="6" w:space="0" w:color="000000"/>
              <w:right w:val="single" w:sz="6" w:space="0" w:color="000000"/>
            </w:tcBorders>
          </w:tcPr>
          <w:p>
            <w:pPr>
              <w:pStyle w:val="TableParagraph"/>
              <w:spacing w:line="309" w:lineRule="auto" w:before="20"/>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年度合并财务报表收入为人民币</w:t>
            </w:r>
            <w:r>
              <w:rPr>
                <w:rFonts w:ascii="Times New Roman" w:hAnsi="Times New Roman" w:cs="Times New Roman" w:eastAsia="Times New Roman" w:hint="default"/>
                <w:spacing w:val="-2"/>
                <w:sz w:val="18"/>
                <w:szCs w:val="18"/>
              </w:rPr>
              <w:t>7,677,369,050</w:t>
            </w:r>
            <w:r>
              <w:rPr>
                <w:rFonts w:ascii="宋体" w:hAnsi="宋体" w:cs="宋体" w:eastAsia="宋体" w:hint="default"/>
                <w:spacing w:val="-2"/>
                <w:sz w:val="18"/>
                <w:szCs w:val="18"/>
              </w:rPr>
              <w:t>元，其中零售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业务收入金额为人民币</w:t>
            </w:r>
            <w:r>
              <w:rPr>
                <w:rFonts w:ascii="Times New Roman" w:hAnsi="Times New Roman" w:cs="Times New Roman" w:eastAsia="Times New Roman" w:hint="default"/>
                <w:spacing w:val="-2"/>
                <w:sz w:val="18"/>
                <w:szCs w:val="18"/>
              </w:rPr>
              <w:t>4,608,179,513</w:t>
            </w:r>
            <w:r>
              <w:rPr>
                <w:rFonts w:ascii="宋体" w:hAnsi="宋体" w:cs="宋体" w:eastAsia="宋体" w:hint="default"/>
                <w:spacing w:val="-2"/>
                <w:sz w:val="18"/>
                <w:szCs w:val="18"/>
              </w:rPr>
              <w:t>元，批发业务收入金额为人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民币</w:t>
            </w:r>
            <w:r>
              <w:rPr>
                <w:rFonts w:ascii="Times New Roman" w:hAnsi="Times New Roman" w:cs="Times New Roman" w:eastAsia="Times New Roman" w:hint="default"/>
                <w:spacing w:val="-2"/>
                <w:sz w:val="18"/>
                <w:szCs w:val="18"/>
              </w:rPr>
              <w:t>3,011,101,536</w:t>
            </w:r>
            <w:r>
              <w:rPr>
                <w:rFonts w:ascii="宋体" w:hAnsi="宋体" w:cs="宋体" w:eastAsia="宋体" w:hint="default"/>
                <w:spacing w:val="-2"/>
                <w:sz w:val="18"/>
                <w:szCs w:val="18"/>
              </w:rPr>
              <w:t>元，零售业务主要通过直营店、专柜和电商平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台销售服饰产品获取的收入，批发业务主要为向加盟商销售服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饰产品获取的收入。根据公司的收入确认政策，零售收入于商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品交付给消费者并收取价款时确认收入，批发收入于向加盟商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发出货物时，确认销售收入。由于零售收入零星、分散、客单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量大，而加盟商众多、业务交易发生频繁，收入确认存在重大</w:t>
            </w:r>
          </w:p>
        </w:tc>
        <w:tc>
          <w:tcPr>
            <w:tcW w:w="4541"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20"/>
              <w:ind w:left="2" w:right="22"/>
              <w:jc w:val="left"/>
              <w:rPr>
                <w:rFonts w:ascii="宋体" w:hAnsi="宋体" w:cs="宋体" w:eastAsia="宋体" w:hint="default"/>
                <w:sz w:val="18"/>
                <w:szCs w:val="18"/>
              </w:rPr>
            </w:pPr>
            <w:r>
              <w:rPr>
                <w:rFonts w:ascii="宋体" w:hAnsi="宋体" w:cs="宋体" w:eastAsia="宋体" w:hint="default"/>
                <w:sz w:val="18"/>
                <w:szCs w:val="18"/>
              </w:rPr>
              <w:t>我们了解及评估管理层对零售及批发收入相关的内部控制 的设计，并测试关键控制执行的有效性。我们对零售及批 发收入执行分析性复核程序。我们获取了加盟商清单，抽 样检查了与加盟商签订的合同。我们通过抽查发货记录、 物流记录等原始单据执行了零售及批发收入确认细节测 试。我们抽样选取若干加盟店铺执行实地走访，与加盟商 进行访谈，核实收入确认的真实性。我们抽样向加盟商函 证了收入金额，并就未回函部分执行替代测试。我们对零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pStyle w:val="BodyText"/>
        <w:spacing w:line="240" w:lineRule="auto" w:before="44"/>
        <w:ind w:left="0" w:right="1192"/>
        <w:jc w:val="right"/>
      </w:pPr>
      <w:r>
        <w:rPr/>
        <w:pict>
          <v:shape style="position:absolute;margin-left:56.34pt;margin-top:-15.188262pt;width:476.05pt;height:286.85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58"/>
                    <w:gridCol w:w="4541"/>
                  </w:tblGrid>
                  <w:tr>
                    <w:trPr>
                      <w:trHeight w:val="1608" w:hRule="exact"/>
                    </w:trPr>
                    <w:tc>
                      <w:tcPr>
                        <w:tcW w:w="4958"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错报风险，因此我们将收入确认认定为关键审计事项。</w:t>
                        </w:r>
                      </w:p>
                    </w:tc>
                    <w:tc>
                      <w:tcPr>
                        <w:tcW w:w="4541" w:type="dxa"/>
                        <w:tcBorders>
                          <w:top w:val="single" w:sz="6" w:space="0" w:color="000000"/>
                          <w:left w:val="single" w:sz="6" w:space="0" w:color="000000"/>
                          <w:bottom w:val="single" w:sz="10" w:space="0" w:color="000000"/>
                          <w:right w:val="single" w:sz="6" w:space="0" w:color="000000"/>
                        </w:tcBorders>
                      </w:tcPr>
                      <w:p>
                        <w:pPr>
                          <w:pStyle w:val="TableParagraph"/>
                          <w:spacing w:line="319" w:lineRule="auto" w:before="21"/>
                          <w:ind w:left="2" w:right="23"/>
                          <w:jc w:val="left"/>
                          <w:rPr>
                            <w:rFonts w:ascii="宋体" w:hAnsi="宋体" w:cs="宋体" w:eastAsia="宋体" w:hint="default"/>
                            <w:sz w:val="18"/>
                            <w:szCs w:val="18"/>
                          </w:rPr>
                        </w:pPr>
                        <w:r>
                          <w:rPr>
                            <w:rFonts w:ascii="宋体" w:hAnsi="宋体" w:cs="宋体" w:eastAsia="宋体" w:hint="default"/>
                            <w:sz w:val="18"/>
                            <w:szCs w:val="18"/>
                          </w:rPr>
                          <w:t>售及批发收入的销售执行截止性测试，查看期后应收账款 </w:t>
                        </w:r>
                        <w:r>
                          <w:rPr>
                            <w:rFonts w:ascii="宋体" w:hAnsi="宋体" w:cs="宋体" w:eastAsia="宋体" w:hint="default"/>
                            <w:spacing w:val="-3"/>
                            <w:sz w:val="18"/>
                            <w:szCs w:val="18"/>
                          </w:rPr>
                          <w:t>的回款情况。我们获取并复核管理层对退货估计的计算表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结合销售协议相关约定、历史退货情况等评估管理层估计 销售退回金额的合理性。此外，我们检查了贵集团财务报 表附注中相关披露的充分性和完整性。</w:t>
                        </w:r>
                      </w:p>
                    </w:tc>
                  </w:tr>
                  <w:tr>
                    <w:trPr>
                      <w:trHeight w:val="334" w:hRule="exact"/>
                    </w:trPr>
                    <w:tc>
                      <w:tcPr>
                        <w:tcW w:w="9499"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8"/>
                          <w:ind w:left="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应收账款坏账准备</w:t>
                        </w:r>
                        <w:r>
                          <w:rPr>
                            <w:rFonts w:ascii="宋体" w:hAnsi="宋体" w:cs="宋体" w:eastAsia="宋体" w:hint="default"/>
                            <w:sz w:val="18"/>
                            <w:szCs w:val="18"/>
                          </w:rPr>
                        </w:r>
                      </w:p>
                    </w:tc>
                  </w:tr>
                  <w:tr>
                    <w:trPr>
                      <w:trHeight w:val="3780" w:hRule="exact"/>
                    </w:trPr>
                    <w:tc>
                      <w:tcPr>
                        <w:tcW w:w="495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35"/>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日，合并应收账款总额为人民币 </w:t>
                        </w:r>
                        <w:r>
                          <w:rPr>
                            <w:rFonts w:ascii="Times New Roman" w:hAnsi="Times New Roman" w:cs="Times New Roman" w:eastAsia="Times New Roman" w:hint="default"/>
                            <w:sz w:val="18"/>
                            <w:szCs w:val="18"/>
                          </w:rPr>
                          <w:t>1,302,707,213</w:t>
                        </w:r>
                        <w:r>
                          <w:rPr>
                            <w:rFonts w:ascii="宋体" w:hAnsi="宋体" w:cs="宋体" w:eastAsia="宋体" w:hint="default"/>
                            <w:sz w:val="18"/>
                            <w:szCs w:val="18"/>
                          </w:rPr>
                          <w:t>元，计提坏账准备为人民币</w:t>
                        </w:r>
                        <w:r>
                          <w:rPr>
                            <w:rFonts w:ascii="Times New Roman" w:hAnsi="Times New Roman" w:cs="Times New Roman" w:eastAsia="Times New Roman" w:hint="default"/>
                            <w:sz w:val="18"/>
                            <w:szCs w:val="18"/>
                          </w:rPr>
                          <w:t>85,463,986</w:t>
                        </w:r>
                        <w:r>
                          <w:rPr>
                            <w:rFonts w:ascii="宋体" w:hAnsi="宋体" w:cs="宋体" w:eastAsia="宋体" w:hint="default"/>
                            <w:sz w:val="18"/>
                            <w:szCs w:val="18"/>
                          </w:rPr>
                          <w:t>元。贵集团 应收账款坏账准备为按照个别认定法根据应收款项的可回收性 判断计提。有客观证据表明应收账款发生减值的，应计提减值 准备。贵集团应收账款主要来自加盟商，加盟商的运营绩效和 财务能力将直接影响其应收账款的偿还。管理层在评估应收账 款的可回收性时，根据每位客户的历史回款情况、当前财务状 况、账龄情况评估其信用风险，涉及管理层重大判断和估计， 因此我们将应收账款坏账准备的估计认定为关键审计事项。</w:t>
                        </w:r>
                      </w:p>
                    </w:tc>
                    <w:tc>
                      <w:tcPr>
                        <w:tcW w:w="45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2"/>
                          <w:jc w:val="both"/>
                          <w:rPr>
                            <w:rFonts w:ascii="宋体" w:hAnsi="宋体" w:cs="宋体" w:eastAsia="宋体" w:hint="default"/>
                            <w:sz w:val="18"/>
                            <w:szCs w:val="18"/>
                          </w:rPr>
                        </w:pPr>
                        <w:r>
                          <w:rPr>
                            <w:rFonts w:ascii="宋体" w:hAnsi="宋体" w:cs="宋体" w:eastAsia="宋体" w:hint="default"/>
                            <w:sz w:val="18"/>
                            <w:szCs w:val="18"/>
                          </w:rPr>
                          <w:t>我们了解并评估管理层对于应收账款坏账准备估计和计提 相关的内部控制的设计。我们查询并对比了同行业坏账准 备计提政策，评估管理层制定坏账政策的合理性。我们获 取并检查了管理层编制的应收账款坏账准备计算表，复核 管理层计提坏账准备时作出会计估计的依据，考虑客户的 财务状况、逾期情况，检查并分析应收账款的期后回款情 况，判断其坏账计提的合理性。我们对应收账款余额执行 实质性分析程序，抽样进行函证，并就未回函部分执行替 代测试。此外，我们检查了贵集团财务报表附注中相关披 露的充分性和完整性。</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634" w:right="0"/>
        <w:jc w:val="left"/>
      </w:pPr>
      <w:r>
        <w:rPr/>
        <w:t>四、其他信息</w:t>
      </w:r>
    </w:p>
    <w:p>
      <w:pPr>
        <w:spacing w:line="240" w:lineRule="auto" w:before="0"/>
        <w:rPr>
          <w:rFonts w:ascii="宋体" w:hAnsi="宋体" w:cs="宋体" w:eastAsia="宋体" w:hint="default"/>
          <w:sz w:val="18"/>
          <w:szCs w:val="18"/>
        </w:rPr>
      </w:pPr>
    </w:p>
    <w:p>
      <w:pPr>
        <w:pStyle w:val="BodyText"/>
        <w:spacing w:line="319" w:lineRule="auto" w:before="153"/>
        <w:ind w:right="0" w:firstLine="480"/>
        <w:jc w:val="left"/>
      </w:pPr>
      <w:r>
        <w:rPr>
          <w:spacing w:val="-1"/>
        </w:rPr>
        <w:t>上海美特斯邦威服饰股份有限公司管理层对其他信息负责。其他信息包括年度报告中涵盖的信息，但不包括财务报表</w:t>
      </w:r>
      <w:r>
        <w:rPr/>
        <w:t> 和我们的审计报告。</w:t>
      </w:r>
    </w:p>
    <w:p>
      <w:pPr>
        <w:pStyle w:val="BodyText"/>
        <w:spacing w:line="624" w:lineRule="exact" w:before="40"/>
        <w:ind w:left="634"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213" w:lineRule="exact"/>
        <w:ind w:right="0"/>
        <w:jc w:val="left"/>
      </w:pPr>
      <w:r>
        <w:rPr/>
        <w:t>过程中了解到的情况存在重大不一致或者似乎存在重大错报。</w:t>
      </w:r>
    </w:p>
    <w:p>
      <w:pPr>
        <w:spacing w:line="240" w:lineRule="auto" w:before="0"/>
        <w:rPr>
          <w:rFonts w:ascii="宋体" w:hAnsi="宋体" w:cs="宋体" w:eastAsia="宋体" w:hint="default"/>
          <w:sz w:val="18"/>
          <w:szCs w:val="18"/>
        </w:rPr>
      </w:pPr>
    </w:p>
    <w:p>
      <w:pPr>
        <w:pStyle w:val="BodyText"/>
        <w:spacing w:line="316" w:lineRule="auto" w:before="153"/>
        <w:ind w:right="1118" w:firstLine="480"/>
        <w:jc w:val="left"/>
      </w:pPr>
      <w:r>
        <w:rPr>
          <w:spacing w:val="-1"/>
        </w:rPr>
        <w:t>基于我们已执行的工作，如果我们确定其他信息存在重大错报，我们应当报告该事实。在这方面，我们无任何事项需</w:t>
      </w:r>
      <w:r>
        <w:rPr/>
        <w:t> 要报告。</w:t>
      </w:r>
    </w:p>
    <w:p>
      <w:pPr>
        <w:pStyle w:val="BodyText"/>
        <w:spacing w:line="624" w:lineRule="exact" w:before="42"/>
        <w:ind w:left="634" w:right="0"/>
        <w:jc w:val="left"/>
      </w:pPr>
      <w:r>
        <w:rPr/>
        <w:t>五、管理层和治理层对财务报表的责任 </w:t>
      </w:r>
      <w:r>
        <w:rPr>
          <w:spacing w:val="-1"/>
        </w:rPr>
        <w:t>管理层负责按照企业会计准则的规定编制财务报表，使其实现公允反映，并设计、执行和维护必要的内部控制，以使</w:t>
      </w:r>
    </w:p>
    <w:p>
      <w:pPr>
        <w:pStyle w:val="BodyText"/>
        <w:spacing w:line="213" w:lineRule="exact"/>
        <w:ind w:right="0"/>
        <w:jc w:val="left"/>
      </w:pPr>
      <w:r>
        <w:rPr/>
        <w:t>财务报表不存在由于舞弊或错误导致的重大错报。</w:t>
      </w:r>
    </w:p>
    <w:p>
      <w:pPr>
        <w:spacing w:line="240" w:lineRule="auto" w:before="0"/>
        <w:rPr>
          <w:rFonts w:ascii="宋体" w:hAnsi="宋体" w:cs="宋体" w:eastAsia="宋体" w:hint="default"/>
          <w:sz w:val="18"/>
          <w:szCs w:val="18"/>
        </w:rPr>
      </w:pPr>
    </w:p>
    <w:p>
      <w:pPr>
        <w:pStyle w:val="BodyText"/>
        <w:spacing w:line="240" w:lineRule="auto" w:before="153"/>
        <w:ind w:left="634" w:right="0"/>
        <w:jc w:val="left"/>
      </w:pPr>
      <w:r>
        <w:rPr/>
        <w:t>在编制财务报表时，管理层负责评估上海美特斯邦威服饰股份有限公司的持续经营能力，披露与持续经营相关的事项</w:t>
      </w:r>
    </w:p>
    <w:p>
      <w:pPr>
        <w:pStyle w:val="BodyText"/>
        <w:spacing w:line="636" w:lineRule="auto" w:before="76"/>
        <w:ind w:left="634" w:right="3552" w:hanging="480"/>
        <w:jc w:val="left"/>
      </w:pPr>
      <w:r>
        <w:rPr/>
        <w:t>（如适用），并运用持续经营假设，除非计划进行清算、终止运营或别无其他现实的选择。 治理层负责监督上海美特斯邦威服饰股份有限公司的财务报告过程。 六、注册会计师对财务报表审计的责任</w:t>
      </w:r>
    </w:p>
    <w:p>
      <w:pPr>
        <w:spacing w:after="0" w:line="63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firstLine="48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spacing w:line="240" w:lineRule="auto" w:before="4"/>
        <w:rPr>
          <w:rFonts w:ascii="宋体" w:hAnsi="宋体" w:cs="宋体" w:eastAsia="宋体" w:hint="default"/>
          <w:sz w:val="25"/>
          <w:szCs w:val="25"/>
        </w:rPr>
      </w:pPr>
    </w:p>
    <w:p>
      <w:pPr>
        <w:pStyle w:val="BodyText"/>
        <w:spacing w:line="240" w:lineRule="auto"/>
        <w:ind w:left="634"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8"/>
          <w:szCs w:val="18"/>
        </w:rPr>
      </w:pPr>
    </w:p>
    <w:p>
      <w:pPr>
        <w:pStyle w:val="BodyText"/>
        <w:spacing w:line="309" w:lineRule="auto" w:before="153"/>
        <w:ind w:right="1050" w:firstLine="42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574"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7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4" w:lineRule="auto" w:before="63"/>
        <w:ind w:right="1131" w:firstLine="420"/>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）对管理层使用持续经营假设的恰当性得出结论。同时，根据获取的审计证据，就可能导致对上海美特斯邦威服饰</w:t>
      </w:r>
      <w:r>
        <w:rPr/>
        <w:t> </w:t>
      </w:r>
      <w:r>
        <w:rPr>
          <w:spacing w:val="-2"/>
        </w:rPr>
        <w:t>股份有限公司持续经营能力产生重大疑虑的事项或情况是否存在重大不确定性得出结论。如果我们得出结论认为存在重大不</w:t>
      </w:r>
      <w:r>
        <w:rPr>
          <w:spacing w:val="-64"/>
        </w:rPr>
        <w:t> </w:t>
      </w:r>
      <w:r>
        <w:rPr>
          <w:spacing w:val="-64"/>
        </w:rPr>
      </w:r>
      <w:r>
        <w:rPr>
          <w:spacing w:val="-2"/>
        </w:rPr>
        <w:t>确定性，审计准则要求我们在审计报告中提请报表使用者注意财务报表中的相关披露；如果披露不充分，我们应当发表非无</w:t>
      </w:r>
      <w:r>
        <w:rPr>
          <w:spacing w:val="-66"/>
        </w:rPr>
        <w:t> </w:t>
      </w:r>
      <w:r>
        <w:rPr>
          <w:spacing w:val="-66"/>
        </w:rPr>
      </w:r>
      <w:r>
        <w:rPr>
          <w:spacing w:val="-2"/>
        </w:rPr>
        <w:t>保留意见。我们的结论基于截至审计报告日可获得的信息。然而，未来的事项或情况可能导致上海美特斯邦威服饰股份有限</w:t>
      </w:r>
      <w:r>
        <w:rPr>
          <w:spacing w:val="-66"/>
        </w:rPr>
        <w:t> </w:t>
      </w:r>
      <w:r>
        <w:rPr>
          <w:spacing w:val="-66"/>
        </w:rPr>
      </w:r>
      <w:r>
        <w:rPr/>
        <w:t>公司不能持续经营。</w:t>
      </w:r>
    </w:p>
    <w:p>
      <w:pPr>
        <w:pStyle w:val="BodyText"/>
        <w:spacing w:line="240" w:lineRule="auto" w:before="20"/>
        <w:ind w:left="574"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30" w:firstLine="420"/>
        <w:jc w:val="both"/>
      </w:pPr>
      <w:r>
        <w:rPr>
          <w:spacing w:val="-1"/>
        </w:rPr>
        <w:t>（</w:t>
      </w:r>
      <w:r>
        <w:rPr>
          <w:rFonts w:ascii="Times New Roman" w:hAnsi="Times New Roman" w:cs="Times New Roman" w:eastAsia="Times New Roman" w:hint="default"/>
          <w:spacing w:val="-1"/>
        </w:rPr>
        <w:t>6</w:t>
      </w:r>
      <w:r>
        <w:rPr>
          <w:spacing w:val="-1"/>
        </w:rPr>
        <w:t>）就上海美特斯邦威服饰股份有限公司中实体或业务活动的财务信息获取充分、适当的审计证据，以对财务报表发</w:t>
      </w:r>
      <w:r>
        <w:rPr/>
        <w:t> 表审计意见。我们负责指导、监督和执行集团审计，并对审计意见承担全部责任。</w:t>
      </w:r>
    </w:p>
    <w:p>
      <w:pPr>
        <w:spacing w:line="240" w:lineRule="auto" w:before="3"/>
        <w:rPr>
          <w:rFonts w:ascii="宋体" w:hAnsi="宋体" w:cs="宋体" w:eastAsia="宋体" w:hint="default"/>
          <w:sz w:val="26"/>
          <w:szCs w:val="26"/>
        </w:rPr>
      </w:pPr>
    </w:p>
    <w:p>
      <w:pPr>
        <w:pStyle w:val="BodyText"/>
        <w:spacing w:line="319" w:lineRule="auto"/>
        <w:ind w:right="1133" w:firstLine="440"/>
        <w:jc w:val="both"/>
      </w:pPr>
      <w:r>
        <w:rPr/>
        <w:t>我们与治理层就计划的审计范围、时间安排和重大审计发现等事项进行沟通，包括沟通我们在审计中识别出的值得关 注的内部控制缺陷。</w:t>
      </w:r>
    </w:p>
    <w:p>
      <w:pPr>
        <w:spacing w:line="240" w:lineRule="auto" w:before="2"/>
        <w:rPr>
          <w:rFonts w:ascii="宋体" w:hAnsi="宋体" w:cs="宋体" w:eastAsia="宋体" w:hint="default"/>
          <w:sz w:val="25"/>
          <w:szCs w:val="25"/>
        </w:rPr>
      </w:pPr>
    </w:p>
    <w:p>
      <w:pPr>
        <w:pStyle w:val="BodyText"/>
        <w:spacing w:line="316" w:lineRule="auto"/>
        <w:ind w:right="1133" w:firstLine="440"/>
        <w:jc w:val="both"/>
      </w:pPr>
      <w:r>
        <w:rPr/>
        <w:t>我们还就已遵守与独立性相关的职业道德要求向治理层提供声明，并与治理层沟通可能被合理认为影响我们独立性的 所有关系和其他事项，以及相关的防范措施（如适用）。</w:t>
      </w:r>
    </w:p>
    <w:p>
      <w:pPr>
        <w:spacing w:line="240" w:lineRule="auto" w:before="4"/>
        <w:rPr>
          <w:rFonts w:ascii="宋体" w:hAnsi="宋体" w:cs="宋体" w:eastAsia="宋体" w:hint="default"/>
          <w:sz w:val="25"/>
          <w:szCs w:val="25"/>
        </w:rPr>
      </w:pPr>
    </w:p>
    <w:p>
      <w:pPr>
        <w:pStyle w:val="BodyText"/>
        <w:spacing w:line="316" w:lineRule="auto"/>
        <w:ind w:right="1133" w:firstLine="440"/>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tabs>
          <w:tab w:pos="4958" w:val="left" w:leader="none"/>
        </w:tabs>
        <w:spacing w:line="240" w:lineRule="auto"/>
        <w:ind w:right="0"/>
        <w:jc w:val="left"/>
      </w:pPr>
      <w:r>
        <w:rPr/>
        <w:t>安永华明会计师事务所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中国注册会计师：董彦亮</w:t>
      </w:r>
    </w:p>
    <w:p>
      <w:pPr>
        <w:pStyle w:val="BodyText"/>
        <w:spacing w:line="636" w:lineRule="auto" w:before="63"/>
        <w:ind w:left="4964" w:right="4142" w:firstLine="440"/>
        <w:jc w:val="left"/>
      </w:pPr>
      <w:r>
        <w:rPr/>
        <w:t>（项目合伙人） 中国注册会计师：何凝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bookmarkStart w:name="二、财务报表" w:id="152"/>
      <w:bookmarkEnd w:id="15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编制单位：上海美特斯邦威服饰股份有限公司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755" w:space="3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381,662,965.00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540,417,195.00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1,217,243,227.00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438,912,867.00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1,217,243,227.00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438,912,867.00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244,432,348.00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283,649,660.00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183,712,070.00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193,376,826.00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2,348,821,208.00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2,564,678,185.00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59,973,988.00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56,680,849.00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4,435,845,806.00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4,077,715,582.00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339,818,666.00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126,866,806.00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557,811,744.00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509,489,278.00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276,021,051.00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111,636,032.00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1,211,586,636.00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1,424,671,241.00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2,109,737.00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1,570,128.00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60,566,524.00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67,906,221.00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282,300,776.00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248,012,819.00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35,055,644.00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39,913,513.00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2,773,106,502.00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2,537,901,762.00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7,208,952,308.00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6,615,617,344.00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2,341,314,057.00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1,510,265,612.00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60,975,433.00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58,232,872.00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108,447,998.00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145,618,368.00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185,744,148.00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125,072,045.00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554,775,433.00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510,724,356.00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995,811.00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256,364,928.00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4,331,257,069.00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3,778,278,181.00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4,331,257,069.00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3,778,278,181.00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2,512,500,000.00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161,473,545.00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161,473,545.00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184,510.00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523,409,142.00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505,021,803.00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-319,871,958.00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-341,846,190.00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2,877,695,239.00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2,837,339,163.00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2,877,695,239.00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2,837,339,163.00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7,208,952,308.00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6,615,617,344.00</w:t>
            </w:r>
          </w:p>
        </w:tc>
      </w:tr>
    </w:tbl>
    <w:p>
      <w:pPr>
        <w:spacing w:line="240" w:lineRule="auto" w:before="3"/>
        <w:rPr>
          <w:rFonts w:ascii="Times New Roman" w:hAnsi="Times New Roman" w:cs="Times New Roman" w:eastAsia="Times New Roman" w:hint="default"/>
          <w:sz w:val="23"/>
          <w:szCs w:val="23"/>
        </w:rPr>
      </w:pPr>
    </w:p>
    <w:p>
      <w:pPr>
        <w:pStyle w:val="BodyText"/>
        <w:tabs>
          <w:tab w:pos="3664" w:val="left" w:leader="none"/>
          <w:tab w:pos="7715" w:val="left" w:leader="none"/>
        </w:tabs>
        <w:spacing w:line="240" w:lineRule="auto" w:before="44"/>
        <w:ind w:right="0"/>
        <w:jc w:val="left"/>
      </w:pPr>
      <w:r>
        <w:rPr/>
        <w:t>法定代表人：胡佳佳</w:t>
        <w:tab/>
        <w:t>主管会计工作负责人：田芳</w:t>
        <w:tab/>
        <w:t>会计机构负责人：曾焕滨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208,612,433.00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428,325,078.00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3,956,179,031.00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3,141,204,869.00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3,796,179,031.00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2,976,204,869.00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125,802,714.00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78,165,837.00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758,053,575.00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582,885,505.00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1,402,309,192.00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1,613,720,979.00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2,442,434.00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6,450,956,945.00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5,846,744,702.00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31,978,880.00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3,593,228.00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1,289,562,462.00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1,239,189,996.00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1,078,794,098.00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1,111,036,799.00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72,821,119.00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83,665,064.00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1,711,840.00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1,385,802.00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43,233,924.00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52,023,106.00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67,200,190.00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85,759,828.00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2,593,138,237.00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2,584,489,547.00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9,044,095,182.00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8,431,234,249.00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1,055,000,000.00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2,627,276,991.00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1,793,795,704.00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158,349,684.00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267,396,005.00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34,182,146.00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58,989,160.00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144,507,253.00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84,004,575.00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536,247,692.00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574,020,354.00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995,811.00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256,364,928.00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4,555,563,766.00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4,126,570,726.00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4,555,563,766.00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4,126,570,726.00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2,512,500,000.00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2,512,500,000.00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86,308,819.00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86,308,819.00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184,510.00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190,005.00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420,734,371.00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402,347,032.00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1,468,803,716.00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1,303,317,667.00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4,488,531,416.00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4,304,663,523.00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9,044,095,182.00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8,431,234,249.00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7,677,369,050.00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6,472,359,205.00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7,677,369,050.00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6,472,359,205.00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7,703,287,632.00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6,821,453,559.00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4,248,566,805.00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3,401,184,231.00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43,373,108.00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44,383,943.00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2,710,599,737.00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2,510,458,587.00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151,673,217.00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186,446,097.00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155,552,394.00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160,582,643.00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80,535,072.00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64,965,436.00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64,085,852.00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55,781,311.00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3,657,573.00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4,477,068.00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312,987,299.00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453,432,622.00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33,106,419.00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8,451,020.00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48,327,961.00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38,654,940.00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48,327,961.00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38,654,940.00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-3,564,996.00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54,788,613.00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-305,553,390.00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8,509,812.00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12,021,298.00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14,517,574.00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5,270,959.00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48,780,851.00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-298,803,051.00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8,419,280.00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5,996,705.00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40,361,571.00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-304,799,756.00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40,361,571.00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-304,799,756.00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40,361,571.00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-304,799,756.00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40,356,076.00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-304,609,751.00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40,356,076.00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-304,609,751.00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r>
    </w:tbl>
    <w:p>
      <w:pPr>
        <w:pStyle w:val="BodyText"/>
        <w:tabs>
          <w:tab w:pos="366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法定代表人：胡佳佳</w:t>
        <w:tab/>
        <w:t>主管会计工作负责人：田芳</w:t>
        <w:tab/>
        <w:t>会计机构负责人：曾焕滨</w:t>
      </w:r>
    </w:p>
    <w:p>
      <w:pPr>
        <w:pStyle w:val="Heading4"/>
        <w:spacing w:line="240" w:lineRule="auto" w:before="63"/>
        <w:ind w:right="0"/>
        <w:jc w:val="left"/>
        <w:rPr>
          <w:b w:val="0"/>
          <w:bCs w:val="0"/>
        </w:rPr>
      </w:pPr>
      <w:bookmarkStart w:name="4、母公司利润表" w:id="156"/>
      <w:bookmarkEnd w:id="15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6,074,789,505.00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5,240,445,107.00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4,578,573,889.00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3,744,818,821.00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14,312,424.00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14,987,023.00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801,263,450.00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739,617,891.00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194,116,277.00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462,483,105.00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114,526,007.00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110,211,948.00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80,255,566.00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63,626,701.00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61,807,102.00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54,328,811.00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2,809,204.00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2,737,879.00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177,375,866.00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336,767,978.00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18,096,463.00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3,093,366.00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48,327,961.00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38,654,940.00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48,327,961.00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38,654,940.00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58,333,953.00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180,063,265.00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-131,986,101.00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4,166,742.00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23,940,469.00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356,619.00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592,339.00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183,873,388.00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-108,637,971.00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183,873,388.00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-108,637,971.00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183,873,388.00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-108,637,971.00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183,867,893.00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-108,447,966.00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8,241,942,329.00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7,352,607,636.00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10,052,387.00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3,100,476.00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102,792,994.00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83,489,036.00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8,354,787,710.00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7,439,197,148.00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4,425,895,911.00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4,645,342,947.00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1,146,881,080.00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1,086,217,822.00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392,961,165.00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419,180,348.00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1,767,129,970.00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1,607,834,867.00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7,732,868,126.00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7,758,575,984.00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621,919,584.00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-319,378,836.00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182,726,482.00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3,286,829.00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804,055.00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3,286,829.00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183,530,537.00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287,163,541.00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263,811,127.00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287,163,541.00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263,811,127.00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-283,876,712.00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-80,280,590.00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77,843,371.00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1,859,843,371.00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2,130,364,928.00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81,382,174.00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63,882,179.00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62,802,000.00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79,025,111.00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2,211,747,102.00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2,083,709,290.00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-351,903,731.00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46,290,710.00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-13,860,859.00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-353,368,716.00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394,342,084.00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747,710,800.00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380,481,225.00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394,342,084.00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6,139,894,865.00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5,615,854,985.00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696,463.00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3,039,209.00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75,650,195.00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14,364,801.00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6,216,241,523.00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5,633,258,995.00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4,553,805,844.00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4,533,758,489.00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384,473,855.00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411,835,363.00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112,901,026.00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161,495,915.00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884,030,324.00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885,992,500.00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5,935,211,049.00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5,993,082,267.00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281,030,474.00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-359,823,272.00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182,726,482.00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635,094.00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722,416.00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635,094.00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183,448,898.00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60,177,844.00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45,651,578.00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62,227,844.00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45,701,578.00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-61,592,750.00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137,747,320.00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77,843,371.00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1,774,843,371.00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1,990,364,928.00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78,735,442.00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61,468,346.00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79,025,111.00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2,069,100,370.00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1,911,295,457.00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-294,256,999.00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-31,295,457.00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-74,819,275.00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-253,371,409.00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282,249,966.00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535,621,375.00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207,430,691.00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282,249,966.00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1592"/>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7"/>
              <w:ind w:left="53"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6" w:type="dxa"/>
            <w:vMerge w:val="restart"/>
            <w:tcBorders>
              <w:top w:val="single" w:sz="4" w:space="0" w:color="000000"/>
              <w:left w:val="single" w:sz="9" w:space="0" w:color="D2D2D2"/>
              <w:right w:val="single" w:sz="4" w:space="0" w:color="000000"/>
            </w:tcBorders>
          </w:tcPr>
          <w:p>
            <w:pPr>
              <w:pStyle w:val="TableParagraph"/>
              <w:spacing w:line="240" w:lineRule="auto" w:before="11"/>
              <w:ind w:left="51"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96"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161,473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505,021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,803.00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39,163.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161,473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505,021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,803.00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39,163.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339.00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21,974,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40,356,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076.00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-5,495.0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40,361,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40,356,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076.00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339.00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339.00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339.00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339.00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161,473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184,510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523,409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,142.00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1,958.0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95,239.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2,526,</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210,775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,545.00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505,021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,803.00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-37,046,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434.00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3,141,9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11"/>
              <w:ind w:left="72" w:right="0"/>
              <w:jc w:val="left"/>
              <w:rPr>
                <w:rFonts w:ascii="Times New Roman" w:hAnsi="Times New Roman" w:cs="Times New Roman" w:eastAsia="Times New Roman" w:hint="default"/>
                <w:sz w:val="18"/>
                <w:szCs w:val="18"/>
              </w:rPr>
            </w:pPr>
            <w:r>
              <w:rPr>
                <w:rFonts w:ascii="Times New Roman"/>
                <w:sz w:val="18"/>
              </w:rPr>
              <w:t>2,526,</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210,775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,545.00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505,021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,803.00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-37,046,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434.00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3,141,9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48,914.</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-49,302,</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-304,60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-49,302,</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-13,50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-49,302,</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-62,802,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161,473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505,021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,803.00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6,190.0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39,163.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2,512,50</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86,308,81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32.00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1,303,3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17,667.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4,304,663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,523.00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2,512,50</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86,308,81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32.00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17,667.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4,304,663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,523.00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-5,495.00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18,387,33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165,486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,049.00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183,867,8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93.00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-5,495.00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183,873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,388.00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183,867,8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93.00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18,387,33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339.00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18,387,33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339.00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2,512,50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86,308,81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184,510.0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420,734,3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71.00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03,716.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4,488,531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,416.00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2,526,00</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135,610,8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19.00</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62,802,00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32.00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pacing w:val="-2"/>
                <w:sz w:val="18"/>
              </w:rPr>
              <w:t>1,411,9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55,638.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4,413,111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,489.00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2,526,00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135,610,8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62,802,00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32.00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55,638.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4,413,111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,489.00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-49,302,0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-62,802,0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-108,447,</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966.00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-108,447,</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966.00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-49,302,0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-62,802,0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-49,302,0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-62,802,0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2,512,50</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86,308,81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402,347,0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32.00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17,667.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4,304,663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,523.00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1"/>
      <w:bookmarkEnd w:id="16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032"/>
        <w:jc w:val="left"/>
      </w:pPr>
      <w:r>
        <w:rPr/>
        <w:t>本公司总部位于中国（上海）自由贸易试验区康桥东路</w:t>
      </w:r>
      <w:r>
        <w:rPr>
          <w:rFonts w:ascii="Times New Roman" w:hAnsi="Times New Roman" w:cs="Times New Roman" w:eastAsia="Times New Roman" w:hint="default"/>
        </w:rPr>
        <w:t>800</w:t>
      </w:r>
      <w:r>
        <w:rPr/>
        <w:t>号，注册地址位于中国（上海）自由贸易试验区康桥东路</w:t>
      </w:r>
      <w:r>
        <w:rPr>
          <w:rFonts w:ascii="Times New Roman" w:hAnsi="Times New Roman" w:cs="Times New Roman" w:eastAsia="Times New Roman" w:hint="default"/>
        </w:rPr>
        <w:t>800</w:t>
      </w:r>
      <w:r>
        <w:rPr/>
        <w:t>号。 </w:t>
      </w:r>
      <w:r>
        <w:rPr>
          <w:spacing w:val="-2"/>
        </w:rPr>
        <w:t>本公司及其子公司</w:t>
      </w:r>
      <w:r>
        <w:rPr>
          <w:rFonts w:ascii="Times New Roman" w:hAnsi="Times New Roman" w:cs="Times New Roman" w:eastAsia="Times New Roman" w:hint="default"/>
          <w:spacing w:val="-2"/>
        </w:rPr>
        <w:t>(</w:t>
      </w:r>
      <w:r>
        <w:rPr>
          <w:spacing w:val="-2"/>
        </w:rPr>
        <w:t>统称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主要从事服装制造加工，服装、鞋、针纺织品、皮革制品、羽绒制品、箱包、玩具、饰品、</w:t>
      </w:r>
      <w:r>
        <w:rPr>
          <w:spacing w:val="-79"/>
        </w:rPr>
        <w:t> </w:t>
      </w:r>
      <w:r>
        <w:rPr>
          <w:spacing w:val="-79"/>
        </w:rPr>
      </w:r>
      <w:r>
        <w:rPr/>
        <w:t>工艺品、木制品、电子设备、五金交电、礼品、建筑材料、纸制品，日用百货，钟表眼镜，化妆品，电子产品，家用电器， </w:t>
      </w:r>
      <w:r>
        <w:rPr>
          <w:spacing w:val="-2"/>
        </w:rPr>
        <w:t>文具体育用品的销售，从事货物及技术的进出口业务，从事计算机、网络科技领域内的技术服务、技术咨询、技术转让，技</w:t>
      </w:r>
      <w:r>
        <w:rPr>
          <w:spacing w:val="-67"/>
        </w:rPr>
        <w:t> </w:t>
      </w:r>
      <w:r>
        <w:rPr>
          <w:spacing w:val="-67"/>
        </w:rPr>
      </w:r>
      <w:r>
        <w:rPr/>
        <w:t>术开发，附设分支机构（凡涉及行政许可证凭许可证经营）。</w:t>
      </w:r>
    </w:p>
    <w:p>
      <w:pPr>
        <w:pStyle w:val="BodyText"/>
        <w:spacing w:line="240" w:lineRule="auto" w:before="64"/>
        <w:ind w:right="0"/>
        <w:jc w:val="left"/>
      </w:pPr>
      <w:r>
        <w:rPr/>
        <w:t>合并财务报表范围变更详见财务报告附注八。</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2"/>
        </w:rPr>
        <w:t>本财务报表按照财政部颁布的《企业会计准则</w:t>
      </w:r>
      <w:r>
        <w:rPr>
          <w:rFonts w:ascii="Times New Roman" w:hAnsi="Times New Roman" w:cs="Times New Roman" w:eastAsia="Times New Roman" w:hint="default"/>
          <w:spacing w:val="-2"/>
        </w:rPr>
        <w:t>—</w:t>
      </w:r>
      <w:r>
        <w:rPr>
          <w:spacing w:val="-2"/>
        </w:rPr>
        <w:t>基本准则》以及其后颁布及修订的具体会计准则、应用指南、解释以及其他</w:t>
      </w:r>
      <w:r>
        <w:rPr>
          <w:spacing w:val="-66"/>
        </w:rPr>
        <w:t> </w:t>
      </w:r>
      <w:r>
        <w:rPr>
          <w:spacing w:val="-66"/>
        </w:rPr>
      </w:r>
      <w:r>
        <w:rPr/>
        <w:t>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 编制本财务报表时，均以历史成本为计价原则。资产如果发生减值，则按照相关规定计提相应的减值准备。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本财务报表以持续经营为基础列报。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38" w:lineRule="auto" w:before="29"/>
        <w:ind w:right="0"/>
        <w:jc w:val="left"/>
      </w:pPr>
      <w:r>
        <w:rPr/>
        <w:t>具体会计政策和会计估计提示： </w:t>
      </w:r>
      <w:r>
        <w:rPr>
          <w:spacing w:val="-2"/>
        </w:rPr>
        <w:t>本集团根据实际生产经营特点制定了具体会计政策和会计估计，主要体现在应收款项坏账准备的计提、存货计价方法、固定</w:t>
      </w:r>
      <w:r>
        <w:rPr>
          <w:spacing w:val="-66"/>
        </w:rPr>
        <w:t> </w:t>
      </w:r>
      <w:r>
        <w:rPr>
          <w:spacing w:val="-66"/>
        </w:rPr>
      </w:r>
      <w:r>
        <w:rPr/>
        <w:t>资产折旧、无形资产摊销、收入确认和计量、市场推广费用。</w:t>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spacing w:val="-2"/>
        </w:rPr>
        <w:t>本财务报表符合企业会计准则的要求，真实、完整地反映了本公司及本集团于报告期末的财务状况以及报告期内的经营成果</w:t>
      </w:r>
      <w:r>
        <w:rPr>
          <w:spacing w:val="-64"/>
        </w:rPr>
        <w:t> </w:t>
      </w:r>
      <w:r>
        <w:rPr>
          <w:spacing w:val="-64"/>
        </w:rPr>
      </w:r>
      <w:r>
        <w:rPr/>
        <w:t>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本集团会计年度釆用公历年度，即每年自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本集团以一年</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本集团记账本位币和编制本财务报表所采用的货币均为人民币。除有特别说明外，均以人民币元为单位表示。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企业合并分为同一控制下企业合并和非同一控制下企业合并。</w:t>
      </w:r>
    </w:p>
    <w:p>
      <w:pPr>
        <w:pStyle w:val="BodyText"/>
        <w:spacing w:line="309" w:lineRule="auto" w:before="76"/>
        <w:ind w:right="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同一控制下企业合并</w:t>
      </w:r>
      <w:r>
        <w:rPr>
          <w:rFonts w:ascii="宋体" w:hAnsi="宋体" w:cs="宋体" w:eastAsia="宋体" w:hint="default"/>
          <w:b/>
          <w:bCs/>
          <w:w w:val="99"/>
        </w:rPr>
        <w:t>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1"/>
        </w:rPr>
        <w:t>合并方在同一控制下企业合并中取得的资产和负债</w:t>
      </w:r>
      <w:r>
        <w:rPr>
          <w:rFonts w:ascii="Times New Roman" w:hAnsi="Times New Roman" w:cs="Times New Roman" w:eastAsia="Times New Roman" w:hint="default"/>
          <w:spacing w:val="-1"/>
        </w:rPr>
        <w:t>(</w:t>
      </w:r>
      <w:r>
        <w:rPr>
          <w:spacing w:val="-1"/>
        </w:rPr>
        <w:t>包括最终控制方收购被合并方而形成的商誉</w:t>
      </w:r>
      <w:r>
        <w:rPr>
          <w:rFonts w:ascii="Times New Roman" w:hAnsi="Times New Roman" w:cs="Times New Roman" w:eastAsia="Times New Roman" w:hint="default"/>
          <w:spacing w:val="-1"/>
        </w:rPr>
        <w:t>)</w:t>
      </w:r>
      <w:r>
        <w:rPr>
          <w:spacing w:val="-1"/>
        </w:rPr>
        <w:t>，按合并日在最终控制方财</w:t>
      </w:r>
      <w:r>
        <w:rPr>
          <w:spacing w:val="-57"/>
        </w:rPr>
        <w:t> </w:t>
      </w:r>
      <w:r>
        <w:rPr>
          <w:spacing w:val="-57"/>
        </w:rPr>
      </w:r>
      <w:r>
        <w:rPr/>
        <w:t>务报表中的账面价值为基础进行相关会计处理。合并方取得的净资产账面价值与支付的合并对价的账面价值</w:t>
      </w:r>
      <w:r>
        <w:rPr>
          <w:rFonts w:ascii="Times New Roman" w:hAnsi="Times New Roman" w:cs="Times New Roman" w:eastAsia="Times New Roman" w:hint="default"/>
        </w:rPr>
        <w:t>(</w:t>
      </w:r>
      <w:r>
        <w:rPr/>
        <w:t>或发行股份面 值总额</w:t>
      </w:r>
      <w:r>
        <w:rPr>
          <w:rFonts w:ascii="Times New Roman" w:hAnsi="Times New Roman" w:cs="Times New Roman" w:eastAsia="Times New Roman" w:hint="default"/>
        </w:rPr>
        <w:t>)</w:t>
      </w:r>
      <w:r>
        <w:rPr/>
        <w:t>的差额，调整资本公积中的股本溢价，不足冲减的则调整留存收益。</w:t>
      </w:r>
    </w:p>
    <w:p>
      <w:pPr>
        <w:pStyle w:val="BodyText"/>
        <w:spacing w:line="309" w:lineRule="auto" w:before="5"/>
        <w:ind w:right="103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非同一控制下的企业合并</w:t>
      </w:r>
      <w:r>
        <w:rPr>
          <w:rFonts w:ascii="宋体" w:hAnsi="宋体" w:cs="宋体" w:eastAsia="宋体" w:hint="default"/>
          <w:b/>
          <w:bCs/>
          <w:w w:val="99"/>
        </w:rPr>
        <w:t> </w:t>
      </w:r>
      <w:r>
        <w:rPr/>
        <w:t>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非同一控制下企业合并中所取得的被购买方可辨认资产、负债及或有负债在收购日以公允价值计量。 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与购买日之前持有的被购买方的股权的公允价值之和大于合 </w:t>
      </w:r>
      <w:r>
        <w:rPr>
          <w:spacing w:val="-2"/>
        </w:rPr>
        <w:t>并中取得的被购买方可辨认净资产公允价值份额的差额，确认为商誉，并以成本减去累计减值损失进行后续计量。支付的合</w:t>
      </w:r>
      <w:r>
        <w:rPr>
          <w:spacing w:val="-66"/>
        </w:rPr>
        <w:t> </w:t>
      </w:r>
      <w:r>
        <w:rPr>
          <w:spacing w:val="-66"/>
        </w:rPr>
      </w:r>
      <w:r>
        <w:rPr/>
        <w:t>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与购买日之前持有的被购买方的股权的公允价值之和小于合并中取得 </w:t>
      </w:r>
      <w:r>
        <w:rPr>
          <w:spacing w:val="-2"/>
        </w:rPr>
        <w:t>的被购买方可辨认净资产公允价值份额的，首先对取得的被购买方各项可辨认资产、负债及或有负债的公允价值以及支付的</w:t>
      </w:r>
      <w:r>
        <w:rPr>
          <w:spacing w:val="-64"/>
        </w:rPr>
        <w:t> </w:t>
      </w:r>
      <w:r>
        <w:rPr>
          <w:spacing w:val="-64"/>
        </w:rPr>
      </w:r>
      <w:r>
        <w:rPr/>
        <w:t>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及购买日之前持有的被购买方的股权的公允价值的计量进行复核，复 核后支付的合并对价的公允价值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与购买日之前持有的被购买方的股权的公允价值之和仍 小于合并中取得的被购买方可辨认净资产公允价值份额的，其差额计入当期损益。</w:t>
      </w:r>
    </w:p>
    <w:p>
      <w:pPr>
        <w:spacing w:after="0" w:line="30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2"/>
        <w:jc w:val="left"/>
      </w:pPr>
      <w:r>
        <w:rPr>
          <w:spacing w:val="-2"/>
        </w:rPr>
        <w:t>合并财务报表的合并范围以控制为基础确定，包括本公司及全部子公司截至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日止年度的财务报表。子公司，是</w:t>
      </w:r>
      <w:r>
        <w:rPr>
          <w:spacing w:val="-58"/>
        </w:rPr>
        <w:t> </w:t>
      </w:r>
      <w:r>
        <w:rPr>
          <w:spacing w:val="-58"/>
        </w:rPr>
      </w:r>
      <w:r>
        <w:rPr/>
        <w:t>指被本公司控制的主体</w:t>
      </w:r>
      <w:r>
        <w:rPr>
          <w:rFonts w:ascii="Times New Roman" w:hAnsi="Times New Roman" w:cs="Times New Roman" w:eastAsia="Times New Roman" w:hint="default"/>
        </w:rPr>
        <w:t>(</w:t>
      </w:r>
      <w:r>
        <w:rPr/>
        <w:t>含企业、被投资单位中可分割的部分，以及本公司所控制的结构化主体等</w:t>
      </w:r>
      <w:r>
        <w:rPr>
          <w:rFonts w:ascii="Times New Roman" w:hAnsi="Times New Roman" w:cs="Times New Roman" w:eastAsia="Times New Roman" w:hint="default"/>
        </w:rPr>
        <w:t>)</w:t>
      </w:r>
      <w:r>
        <w:rPr/>
        <w:t>。 </w:t>
      </w:r>
      <w:r>
        <w:rPr>
          <w:spacing w:val="-2"/>
        </w:rPr>
        <w:t>编制合并财务报表时，子公司采用与本公司一致的会计期间和会计政策。本集团内部各公司之间的所有交易产生的资产、负</w:t>
      </w:r>
      <w:r>
        <w:rPr>
          <w:spacing w:val="-65"/>
        </w:rPr>
        <w:t> </w:t>
      </w:r>
      <w:r>
        <w:rPr>
          <w:spacing w:val="-65"/>
        </w:rPr>
      </w:r>
      <w:r>
        <w:rPr/>
        <w:t>债、权益、收入、费用和现金流量于合并时全额抵销。 子公司少数股东分担的当期亏损超过了少数股东在该子公司期初股东权益中所享有的份额的，其余额仍冲减少数股东权益。 </w:t>
      </w:r>
      <w:r>
        <w:rPr>
          <w:spacing w:val="-2"/>
        </w:rPr>
        <w:t>对于通过非同一控制下的企业合并取得的子公司，被购买方的经营成果和现金流量自本集团取得控制权之日起纳入合并财务</w:t>
      </w:r>
      <w:r>
        <w:rPr>
          <w:spacing w:val="-64"/>
        </w:rPr>
        <w:t> </w:t>
      </w:r>
      <w:r>
        <w:rPr>
          <w:spacing w:val="-64"/>
        </w:rPr>
      </w:r>
      <w:r>
        <w:rPr>
          <w:spacing w:val="-2"/>
        </w:rPr>
        <w:t>报表，直至本集团对其控制权终止。在编制合并财务报表时，以购买日确定的各项可辨认资产、负债及或有负债的公允价值</w:t>
      </w:r>
      <w:r>
        <w:rPr>
          <w:spacing w:val="-66"/>
        </w:rPr>
        <w:t> </w:t>
      </w:r>
      <w:r>
        <w:rPr>
          <w:spacing w:val="-66"/>
        </w:rPr>
      </w:r>
      <w:r>
        <w:rPr/>
        <w:t>为基础对子公司的财务报表进行调整。 </w:t>
      </w:r>
      <w:r>
        <w:rPr>
          <w:spacing w:val="-2"/>
        </w:rPr>
        <w:t>对于通过同一控制下的企业合并取得的子公司，被合并方的经营成果和现金流量自合并当期期初纳入合并财务报表。编制比</w:t>
      </w:r>
      <w:r>
        <w:rPr>
          <w:spacing w:val="-63"/>
        </w:rPr>
        <w:t> </w:t>
      </w:r>
      <w:r>
        <w:rPr>
          <w:spacing w:val="-63"/>
        </w:rPr>
      </w:r>
      <w:r>
        <w:rPr>
          <w:spacing w:val="-2"/>
        </w:rPr>
        <w:t>较合并财务报表时，对前期财务报表的相关项目进行调整，视同合并后形成的报告主体自最终控制方开始实施控制时一直存</w:t>
      </w:r>
      <w:r>
        <w:rPr>
          <w:spacing w:val="-64"/>
        </w:rPr>
        <w:t> </w:t>
      </w:r>
      <w:r>
        <w:rPr>
          <w:spacing w:val="-64"/>
        </w:rPr>
      </w:r>
      <w:r>
        <w:rPr/>
        <w:t>在。</w:t>
      </w:r>
    </w:p>
    <w:p>
      <w:pPr>
        <w:pStyle w:val="BodyText"/>
        <w:spacing w:line="240" w:lineRule="auto" w:before="61"/>
        <w:ind w:right="0"/>
        <w:jc w:val="left"/>
      </w:pPr>
      <w:r>
        <w:rPr/>
        <w:t>如果相关事实和情况的变化导致对控制要素中的一项或多项发生变化的，本集团重新评估是否控制被投资方。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7、现金及现金等价物的确定标准" w:id="172"/>
      <w:bookmarkEnd w:id="172"/>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现金，是指本集团的库存现金以及可以随时用于支付的存款；现金等价物，是指本集团持有的期限短、流动性强、易于转换</w:t>
      </w:r>
      <w:r>
        <w:rPr>
          <w:spacing w:val="-66"/>
        </w:rPr>
        <w:t> </w:t>
      </w:r>
      <w:r>
        <w:rPr>
          <w:spacing w:val="-66"/>
        </w:rPr>
      </w:r>
      <w:r>
        <w:rPr/>
        <w:t>为已知金额的现金、价值变动风险很小的投资。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8、金融工具" w:id="173"/>
      <w:bookmarkEnd w:id="173"/>
      <w:r>
        <w:rPr>
          <w:b w:val="0"/>
          <w:bCs w:val="0"/>
        </w:rPr>
      </w:r>
      <w:r>
        <w:rPr>
          <w:rFonts w:ascii="Times New Roman" w:hAnsi="Times New Roman" w:cs="Times New Roman" w:eastAsia="Times New Roman" w:hint="default"/>
        </w:rPr>
        <w:t>8</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3552"/>
        <w:jc w:val="left"/>
      </w:pPr>
      <w:r>
        <w:rPr/>
        <w:t>金融工具，是指形成一个企业的金融资产，并形成其他单位的金融负债或权益工具的合同。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0"/>
        </w:rPr>
        <w:t> </w:t>
      </w:r>
      <w:r>
        <w:rPr>
          <w:rFonts w:ascii="宋体" w:hAnsi="宋体" w:cs="宋体" w:eastAsia="宋体" w:hint="default"/>
          <w:b/>
          <w:bCs/>
        </w:rPr>
        <w:t>金融工具的确认和终止确认</w:t>
      </w:r>
      <w:r>
        <w:rPr>
          <w:rFonts w:ascii="宋体" w:hAnsi="宋体" w:cs="宋体" w:eastAsia="宋体" w:hint="default"/>
          <w:b/>
          <w:bCs/>
          <w:w w:val="99"/>
        </w:rPr>
        <w:t> </w:t>
      </w:r>
      <w:r>
        <w:rPr/>
        <w:t>本集团于成为金融工具合同的一方时确认一项金融资产或金融负债。</w:t>
      </w:r>
    </w:p>
    <w:p>
      <w:pPr>
        <w:pStyle w:val="BodyText"/>
        <w:spacing w:line="300" w:lineRule="auto" w:before="24"/>
        <w:ind w:right="1118"/>
        <w:jc w:val="left"/>
        <w:rPr>
          <w:rFonts w:ascii="Times New Roman" w:hAnsi="Times New Roman" w:cs="Times New Roman" w:eastAsia="Times New Roman" w:hint="default"/>
        </w:rPr>
      </w:pPr>
      <w:r>
        <w:rPr>
          <w:spacing w:val="-1"/>
        </w:rPr>
        <w:t>满足下列条件的，终止确认金融资产</w:t>
      </w:r>
      <w:r>
        <w:rPr>
          <w:rFonts w:ascii="Times New Roman" w:hAnsi="Times New Roman" w:cs="Times New Roman" w:eastAsia="Times New Roman" w:hint="default"/>
          <w:spacing w:val="-1"/>
        </w:rPr>
        <w:t>(</w:t>
      </w:r>
      <w:r>
        <w:rPr>
          <w:spacing w:val="-1"/>
        </w:rPr>
        <w:t>或金融资产的一部分，或一组类似金融资产的一部分</w:t>
      </w:r>
      <w:r>
        <w:rPr>
          <w:rFonts w:ascii="Times New Roman" w:hAnsi="Times New Roman" w:cs="Times New Roman" w:eastAsia="Times New Roman" w:hint="default"/>
          <w:spacing w:val="-1"/>
        </w:rPr>
        <w:t>)</w:t>
      </w:r>
      <w:r>
        <w:rPr>
          <w:spacing w:val="-1"/>
        </w:rPr>
        <w:t>，即从其账户和资产负债表内予</w:t>
      </w:r>
      <w:r>
        <w:rPr>
          <w:spacing w:val="-59"/>
        </w:rPr>
        <w:t> </w:t>
      </w:r>
      <w:r>
        <w:rPr>
          <w:spacing w:val="-59"/>
        </w:rPr>
      </w:r>
      <w:r>
        <w:rPr/>
        <w:t>以转销</w:t>
      </w:r>
      <w:r>
        <w:rPr>
          <w:rFonts w:ascii="Times New Roman" w:hAnsi="Times New Roman" w:cs="Times New Roman" w:eastAsia="Times New Roman" w:hint="default"/>
        </w:rPr>
        <w:t>:</w:t>
      </w:r>
    </w:p>
    <w:p>
      <w:pPr>
        <w:pStyle w:val="BodyText"/>
        <w:tabs>
          <w:tab w:pos="573" w:val="left" w:leader="none"/>
        </w:tabs>
        <w:spacing w:line="240" w:lineRule="auto" w:before="13"/>
        <w:ind w:right="0"/>
        <w:jc w:val="left"/>
      </w:pPr>
      <w:r>
        <w:rPr>
          <w:rFonts w:ascii="Times New Roman" w:hAnsi="Times New Roman" w:cs="Times New Roman" w:eastAsia="Times New Roman" w:hint="default"/>
        </w:rPr>
        <w:t>1)</w:t>
        <w:tab/>
      </w:r>
      <w:r>
        <w:rPr/>
        <w:t>收取金融资产现金流量的权利届满；</w:t>
      </w:r>
    </w:p>
    <w:p>
      <w:pPr>
        <w:pStyle w:val="BodyText"/>
        <w:tabs>
          <w:tab w:pos="573" w:val="left" w:leader="none"/>
        </w:tabs>
        <w:spacing w:line="312" w:lineRule="auto" w:before="63"/>
        <w:ind w:right="1131"/>
        <w:jc w:val="left"/>
      </w:pPr>
      <w:r>
        <w:rPr>
          <w:rFonts w:ascii="Times New Roman" w:hAnsi="Times New Roman" w:cs="Times New Roman" w:eastAsia="Times New Roman" w:hint="default"/>
        </w:rPr>
        <w:t>2)</w:t>
        <w:tab/>
      </w:r>
      <w:r>
        <w:rPr/>
        <w:t>转移了收取金融资产现金流量的权利，或在</w:t>
      </w:r>
      <w:r>
        <w:rPr>
          <w:rFonts w:ascii="Times New Roman" w:hAnsi="Times New Roman" w:cs="Times New Roman" w:eastAsia="Times New Roman" w:hint="default"/>
        </w:rPr>
        <w:t>“</w:t>
      </w:r>
      <w:r>
        <w:rPr/>
        <w:t>过手</w:t>
      </w:r>
      <w:r>
        <w:rPr>
          <w:rFonts w:ascii="Times New Roman" w:hAnsi="Times New Roman" w:cs="Times New Roman" w:eastAsia="Times New Roman" w:hint="default"/>
        </w:rPr>
        <w:t>”</w:t>
      </w:r>
      <w:r>
        <w:rPr/>
        <w:t>协议下承担了及时将收取的现金流量全额支付给第三方的义务；并 且</w:t>
      </w:r>
      <w:r>
        <w:rPr>
          <w:rFonts w:ascii="Times New Roman" w:hAnsi="Times New Roman" w:cs="Times New Roman" w:eastAsia="Times New Roman" w:hint="default"/>
        </w:rPr>
        <w:t>(a)</w:t>
      </w:r>
      <w:r>
        <w:rPr/>
        <w:t>实质上转让了金融资产所有权上几乎所有的风险和报酬，或</w:t>
      </w:r>
      <w:r>
        <w:rPr>
          <w:rFonts w:ascii="Times New Roman" w:hAnsi="Times New Roman" w:cs="Times New Roman" w:eastAsia="Times New Roman" w:hint="default"/>
        </w:rPr>
        <w:t>(b)</w:t>
      </w:r>
      <w:r>
        <w:rPr/>
        <w:t>虽然实质上既没有转移也没有保留金融资产所有权上几 乎所有的风险和报酬，但放弃了对该金融资产的控制。 </w:t>
      </w:r>
      <w:r>
        <w:rPr>
          <w:spacing w:val="-2"/>
        </w:rPr>
        <w:t>如果金融负债的责任已履行、撤销或届满，则对金融负债进行终止确认。如果现有金融负债被同一债权人以实质上几乎完全</w:t>
      </w:r>
      <w:r>
        <w:rPr>
          <w:spacing w:val="-66"/>
        </w:rPr>
        <w:t> </w:t>
      </w:r>
      <w:r>
        <w:rPr>
          <w:spacing w:val="-66"/>
        </w:rPr>
      </w:r>
      <w:r>
        <w:rPr>
          <w:spacing w:val="-2"/>
        </w:rPr>
        <w:t>不同条款的另一金融负债所取代，或现有负债的条款几乎全部被实质性修改，则此类替换或修改作为终止确认原负债和确认</w:t>
      </w:r>
      <w:r>
        <w:rPr>
          <w:spacing w:val="-64"/>
        </w:rPr>
        <w:t> </w:t>
      </w:r>
      <w:r>
        <w:rPr>
          <w:spacing w:val="-64"/>
        </w:rPr>
      </w:r>
      <w:r>
        <w:rPr/>
        <w:t>新负债处理，差额计入当期损益。 </w:t>
      </w:r>
      <w:r>
        <w:rPr>
          <w:spacing w:val="-2"/>
        </w:rPr>
        <w:t>以常规方式买卖金融资产，按交易日会计进行确认和终止确认。常规方式买卖金融资产，是指按照合同条款的约定，在法规</w:t>
      </w:r>
      <w:r>
        <w:rPr>
          <w:spacing w:val="-66"/>
        </w:rPr>
        <w:t> </w:t>
      </w:r>
      <w:r>
        <w:rPr>
          <w:spacing w:val="-66"/>
        </w:rPr>
      </w:r>
      <w:r>
        <w:rPr/>
        <w:t>或通行惯例规定的期限内收取或交付金融资产。交易日，是指本集团承诺买入或卖出金融资产的日期。</w:t>
      </w:r>
    </w:p>
    <w:p>
      <w:pPr>
        <w:pStyle w:val="BodyText"/>
        <w:spacing w:line="314" w:lineRule="auto" w:before="22"/>
        <w:ind w:right="1118"/>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金融资产分类和计量</w:t>
      </w:r>
      <w:r>
        <w:rPr>
          <w:rFonts w:ascii="宋体" w:hAnsi="宋体" w:cs="宋体" w:eastAsia="宋体" w:hint="default"/>
          <w:b/>
          <w:bCs/>
          <w:w w:val="99"/>
        </w:rPr>
        <w:t> </w:t>
      </w:r>
      <w:r>
        <w:rPr>
          <w:spacing w:val="-2"/>
        </w:rPr>
        <w:t>本集团的金融资产于初始确认时分类为：以公允价值计量且其变动计入当期损益的金融资产、持有至到期投资、贷款和应收</w:t>
      </w:r>
      <w:r>
        <w:rPr>
          <w:spacing w:val="-66"/>
        </w:rPr>
        <w:t> </w:t>
      </w:r>
      <w:r>
        <w:rPr>
          <w:spacing w:val="-66"/>
        </w:rPr>
      </w:r>
      <w:r>
        <w:rPr>
          <w:spacing w:val="-2"/>
        </w:rPr>
        <w:t>款项、可供出售金融资产、被指定为有效套期工具的衍生工具。金融资产在初始确认时以公允价值计量。对于以公允价值计</w:t>
      </w:r>
      <w:r>
        <w:rPr>
          <w:spacing w:val="-66"/>
        </w:rPr>
        <w:t> </w:t>
      </w:r>
      <w:r>
        <w:rPr>
          <w:spacing w:val="-66"/>
        </w:rPr>
      </w:r>
      <w:r>
        <w:rPr>
          <w:spacing w:val="-2"/>
        </w:rPr>
        <w:t>量且其变动计入当期损益的金融资产，相关交易费用直接计入当期损益，其他类别的金融资产相关交易费用计入其初始确认</w:t>
      </w:r>
      <w:r>
        <w:rPr>
          <w:spacing w:val="-64"/>
        </w:rPr>
        <w:t> </w:t>
      </w:r>
      <w:r>
        <w:rPr>
          <w:spacing w:val="-64"/>
        </w:rPr>
      </w:r>
      <w:r>
        <w:rPr/>
        <w:t>金额。 </w:t>
      </w:r>
      <w:r>
        <w:rPr>
          <w:spacing w:val="-2"/>
        </w:rPr>
        <w:t>本集团无以公允价值计量且其变动计入当期损益的金融资产、持有至到期投资、可供出售金融资产和被指定为有效套期工具</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7872" w:firstLine="0"/>
        <w:jc w:val="left"/>
        <w:rPr>
          <w:rFonts w:ascii="宋体" w:hAnsi="宋体" w:cs="宋体" w:eastAsia="宋体" w:hint="default"/>
          <w:sz w:val="18"/>
          <w:szCs w:val="18"/>
        </w:rPr>
      </w:pPr>
      <w:r>
        <w:rPr>
          <w:rFonts w:ascii="宋体" w:hAnsi="宋体" w:cs="宋体" w:eastAsia="宋体" w:hint="default"/>
          <w:sz w:val="18"/>
          <w:szCs w:val="18"/>
        </w:rPr>
        <w:t>的衍生工具。 金融资产的后续计量取决于其分类：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贷款和应收款项</w:t>
      </w:r>
      <w:r>
        <w:rPr>
          <w:rFonts w:ascii="宋体" w:hAnsi="宋体" w:cs="宋体" w:eastAsia="宋体" w:hint="default"/>
          <w:sz w:val="18"/>
          <w:szCs w:val="18"/>
        </w:rPr>
      </w:r>
    </w:p>
    <w:p>
      <w:pPr>
        <w:pStyle w:val="BodyText"/>
        <w:spacing w:line="316" w:lineRule="auto"/>
        <w:ind w:right="1118"/>
        <w:jc w:val="left"/>
      </w:pPr>
      <w:r>
        <w:rPr>
          <w:spacing w:val="-2"/>
        </w:rPr>
        <w:t>贷款和应收款项，是指在活跃市场中没有报价、回收金额固定或可确定的非衍生金融资产。对于此类金融资产，采用实际利</w:t>
      </w:r>
      <w:r>
        <w:rPr>
          <w:spacing w:val="-66"/>
        </w:rPr>
        <w:t> </w:t>
      </w:r>
      <w:r>
        <w:rPr>
          <w:spacing w:val="-66"/>
        </w:rPr>
      </w:r>
      <w:r>
        <w:rPr/>
        <w:t>率法，按照摊余成本进行后续计量，其摊销或减值产生的利得或损失，均计入当期损益。 </w:t>
      </w:r>
      <w:r>
        <w:rPr>
          <w:spacing w:val="-2"/>
        </w:rPr>
        <w:t>本集团的金融负债于初始确认时分类为：以公允价值计量且其变动计入当期损益的金融负债、其他金融负债、被指定为有效</w:t>
      </w:r>
      <w:r>
        <w:rPr>
          <w:spacing w:val="-66"/>
        </w:rPr>
        <w:t> </w:t>
      </w:r>
      <w:r>
        <w:rPr>
          <w:spacing w:val="-66"/>
        </w:rPr>
      </w:r>
      <w:r>
        <w:rPr>
          <w:spacing w:val="-2"/>
        </w:rPr>
        <w:t>套期工具的衍生工具。对于以公允价值计量且其变动计入当期损益的金融负债，相关交易费用直接计入当期损益，其他金融</w:t>
      </w:r>
      <w:r>
        <w:rPr>
          <w:spacing w:val="-66"/>
        </w:rPr>
        <w:t> </w:t>
      </w:r>
      <w:r>
        <w:rPr>
          <w:spacing w:val="-66"/>
        </w:rPr>
      </w:r>
      <w:r>
        <w:rPr/>
        <w:t>负债的相关交易费用计入其初始确认金额。 本集团无以公允价值计量且其变动计入当期损益的金融负债和被指定为有效套期工具的衍生工具。 金融负债的后续计量取决于其分类：</w:t>
      </w:r>
    </w:p>
    <w:p>
      <w:pPr>
        <w:spacing w:line="309" w:lineRule="auto" w:before="19"/>
        <w:ind w:left="154" w:right="535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其他金融负债</w:t>
      </w:r>
      <w:r>
        <w:rPr>
          <w:rFonts w:ascii="宋体" w:hAnsi="宋体" w:cs="宋体" w:eastAsia="宋体" w:hint="default"/>
          <w:b/>
          <w:bCs/>
          <w:w w:val="99"/>
          <w:sz w:val="18"/>
          <w:szCs w:val="18"/>
        </w:rPr>
        <w:t> </w:t>
      </w:r>
      <w:r>
        <w:rPr>
          <w:rFonts w:ascii="宋体" w:hAnsi="宋体" w:cs="宋体" w:eastAsia="宋体" w:hint="default"/>
          <w:sz w:val="18"/>
          <w:szCs w:val="18"/>
        </w:rPr>
        <w:t>对于此类金融负债，采用实际利率法，按照摊余成本进行后续计量。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金融工具抵销</w:t>
      </w:r>
      <w:r>
        <w:rPr>
          <w:rFonts w:ascii="宋体" w:hAnsi="宋体" w:cs="宋体" w:eastAsia="宋体" w:hint="default"/>
          <w:sz w:val="18"/>
          <w:szCs w:val="18"/>
        </w:rPr>
      </w:r>
    </w:p>
    <w:p>
      <w:pPr>
        <w:pStyle w:val="BodyText"/>
        <w:spacing w:line="316" w:lineRule="auto" w:before="5"/>
        <w:ind w:right="0"/>
        <w:jc w:val="left"/>
      </w:pPr>
      <w:r>
        <w:rPr>
          <w:spacing w:val="-2"/>
        </w:rPr>
        <w:t>同时满足下列条件的，金融资产和金融负债以相互抵销后的净额在资产负债表内列示：具有抵销已确认金额的法定权利，且</w:t>
      </w:r>
      <w:r>
        <w:rPr>
          <w:spacing w:val="-66"/>
        </w:rPr>
        <w:t> </w:t>
      </w:r>
      <w:r>
        <w:rPr>
          <w:spacing w:val="-66"/>
        </w:rPr>
      </w:r>
      <w:r>
        <w:rPr/>
        <w:t>该种法定权利是当前可执行的；计划以净额结算，或同时变现该金融资产和清偿该金融负债。</w:t>
      </w:r>
    </w:p>
    <w:p>
      <w:pPr>
        <w:pStyle w:val="BodyText"/>
        <w:spacing w:line="312" w:lineRule="auto" w:before="19"/>
        <w:ind w:right="0"/>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1"/>
        </w:rPr>
        <w:t> </w:t>
      </w:r>
      <w:r>
        <w:rPr>
          <w:rFonts w:ascii="宋体" w:hAnsi="宋体" w:cs="宋体" w:eastAsia="宋体" w:hint="default"/>
          <w:b/>
          <w:bCs/>
        </w:rPr>
        <w:t>金融资产减值</w:t>
      </w:r>
      <w:r>
        <w:rPr>
          <w:rFonts w:ascii="宋体" w:hAnsi="宋体" w:cs="宋体" w:eastAsia="宋体" w:hint="default"/>
          <w:b/>
          <w:bCs/>
          <w:w w:val="99"/>
        </w:rPr>
        <w:t> </w:t>
      </w:r>
      <w:r>
        <w:rPr>
          <w:spacing w:val="-2"/>
        </w:rPr>
        <w:t>本集团于资产负债表日对金融资产的账面价值进行检查，有客观证据表明该金融资产发生减值的，计提减值准备。表明金融</w:t>
      </w:r>
      <w:r>
        <w:rPr>
          <w:spacing w:val="-66"/>
        </w:rPr>
        <w:t> </w:t>
      </w:r>
      <w:r>
        <w:rPr>
          <w:spacing w:val="-66"/>
        </w:rPr>
      </w:r>
      <w:r>
        <w:rPr>
          <w:spacing w:val="-2"/>
        </w:rPr>
        <w:t>资产发生减值的客观证据，是指金融资产初始确认后实际发生的、对该金融资产的预计未来现金流量有影响，且企业能够对</w:t>
      </w:r>
      <w:r>
        <w:rPr>
          <w:spacing w:val="-66"/>
        </w:rPr>
        <w:t> </w:t>
      </w:r>
      <w:r>
        <w:rPr>
          <w:spacing w:val="-66"/>
        </w:rPr>
      </w:r>
      <w:r>
        <w:rPr>
          <w:spacing w:val="-2"/>
        </w:rPr>
        <w:t>该影响进行可靠计量的事项。金融资产发生减值的客观证据，包括发行人或债务人发生严重财务困难、债务人违反合同条款</w:t>
      </w:r>
      <w:r>
        <w:rPr>
          <w:spacing w:val="-66"/>
        </w:rPr>
        <w:t> </w:t>
      </w:r>
      <w:r>
        <w:rPr>
          <w:spacing w:val="-66"/>
        </w:rPr>
      </w:r>
      <w:r>
        <w:rPr>
          <w:rFonts w:ascii="Times New Roman" w:hAnsi="Times New Roman" w:cs="Times New Roman" w:eastAsia="Times New Roman" w:hint="default"/>
          <w:spacing w:val="-1"/>
        </w:rPr>
        <w:t>(</w:t>
      </w:r>
      <w:r>
        <w:rPr>
          <w:spacing w:val="-1"/>
        </w:rPr>
        <w:t>如偿付利息或本金发生违约或逾期等</w:t>
      </w:r>
      <w:r>
        <w:rPr>
          <w:rFonts w:ascii="Times New Roman" w:hAnsi="Times New Roman" w:cs="Times New Roman" w:eastAsia="Times New Roman" w:hint="default"/>
          <w:spacing w:val="-1"/>
        </w:rPr>
        <w:t>)</w:t>
      </w:r>
      <w:r>
        <w:rPr>
          <w:spacing w:val="-1"/>
        </w:rPr>
        <w:t>、债务人很可能倒闭或进行其他财务重组，以及公开的数据显示预计未来现金流量确</w:t>
      </w:r>
      <w:r>
        <w:rPr>
          <w:spacing w:val="-57"/>
        </w:rPr>
        <w:t> </w:t>
      </w:r>
      <w:r>
        <w:rPr>
          <w:spacing w:val="-57"/>
        </w:rPr>
      </w:r>
      <w:r>
        <w:rPr/>
        <w:t>已减少且可计量。</w:t>
      </w:r>
    </w:p>
    <w:p>
      <w:pPr>
        <w:pStyle w:val="BodyText"/>
        <w:spacing w:line="312" w:lineRule="auto" w:before="22"/>
        <w:ind w:right="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2"/>
        </w:rPr>
        <w:t> </w:t>
      </w:r>
      <w:r>
        <w:rPr>
          <w:rFonts w:ascii="宋体" w:hAnsi="宋体" w:cs="宋体" w:eastAsia="宋体" w:hint="default"/>
          <w:b/>
          <w:bCs/>
        </w:rPr>
        <w:t>以摊余成本计量的金融资产</w:t>
      </w:r>
      <w:r>
        <w:rPr>
          <w:rFonts w:ascii="宋体" w:hAnsi="宋体" w:cs="宋体" w:eastAsia="宋体" w:hint="default"/>
          <w:b/>
          <w:bCs/>
          <w:w w:val="99"/>
        </w:rPr>
        <w:t> </w:t>
      </w:r>
      <w:r>
        <w:rPr>
          <w:spacing w:val="-1"/>
        </w:rPr>
        <w:t>发生减值时，将该金融资产的账面通过备抵项目价值减记至预计未来现金流量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现值，减记</w:t>
      </w:r>
      <w:r>
        <w:rPr>
          <w:spacing w:val="-57"/>
        </w:rPr>
        <w:t> </w:t>
      </w:r>
      <w:r>
        <w:rPr>
          <w:spacing w:val="-57"/>
        </w:rPr>
      </w:r>
      <w:r>
        <w:rPr>
          <w:spacing w:val="-1"/>
        </w:rPr>
        <w:t>金额计入当期损益。预计未来现金流量现值，按照该金融资产原实际利率</w:t>
      </w:r>
      <w:r>
        <w:rPr>
          <w:rFonts w:ascii="Times New Roman" w:hAnsi="Times New Roman" w:cs="Times New Roman" w:eastAsia="Times New Roman" w:hint="default"/>
          <w:spacing w:val="-1"/>
        </w:rPr>
        <w:t>(</w:t>
      </w:r>
      <w:r>
        <w:rPr>
          <w:spacing w:val="-1"/>
        </w:rPr>
        <w:t>即初始确认时计算确定的实际利率</w:t>
      </w:r>
      <w:r>
        <w:rPr>
          <w:rFonts w:ascii="Times New Roman" w:hAnsi="Times New Roman" w:cs="Times New Roman" w:eastAsia="Times New Roman" w:hint="default"/>
          <w:spacing w:val="-1"/>
        </w:rPr>
        <w:t>)</w:t>
      </w:r>
      <w:r>
        <w:rPr>
          <w:spacing w:val="-1"/>
        </w:rPr>
        <w:t>折现确定，并</w:t>
      </w:r>
      <w:r>
        <w:rPr>
          <w:spacing w:val="-59"/>
        </w:rPr>
        <w:t> </w:t>
      </w:r>
      <w:r>
        <w:rPr>
          <w:spacing w:val="-59"/>
        </w:rPr>
      </w:r>
      <w:r>
        <w:rPr/>
        <w:t>考虑相关担保物的价值。减值后利息收入按照确定减值损失时对未来现金流量进行折现采用的折现率作为利率计算确认。 </w:t>
      </w:r>
      <w:r>
        <w:rPr>
          <w:spacing w:val="-2"/>
        </w:rPr>
        <w:t>对单项金额重大的金融资产单独进行减值测试，如有客观证据表明其已发生减值，确认减值损失，计入当期损益。对单项金</w:t>
      </w:r>
      <w:r>
        <w:rPr>
          <w:spacing w:val="-66"/>
        </w:rPr>
        <w:t> </w:t>
      </w:r>
      <w:r>
        <w:rPr>
          <w:spacing w:val="-66"/>
        </w:rPr>
      </w:r>
      <w:r>
        <w:rPr>
          <w:spacing w:val="-2"/>
        </w:rPr>
        <w:t>额不重大的金融资产，包括在具有类似信用风险特征的金融资产组合中进行减值测试或单独进行减值测试。单独测试未发生</w:t>
      </w:r>
      <w:r>
        <w:rPr>
          <w:spacing w:val="-64"/>
        </w:rPr>
        <w:t> </w:t>
      </w:r>
      <w:r>
        <w:rPr>
          <w:spacing w:val="-64"/>
        </w:rPr>
      </w:r>
      <w:r>
        <w:rPr/>
        <w:t>减值的金融资产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，包括在具有类似信用风险特征的金融资产组合中再进行减值测 试。已单项确认减值损失的金融资产，不包括在具有类似信用风险特征的金融资产组合中进行减值测试。 </w:t>
      </w:r>
      <w:r>
        <w:rPr>
          <w:spacing w:val="-2"/>
        </w:rPr>
        <w:t>本集团对以摊余成本计量的金融资产确认减值损失后，如有客观证据表明该金融资产价值已恢复，且客观上与确认该损失后</w:t>
      </w:r>
      <w:r>
        <w:rPr>
          <w:spacing w:val="-64"/>
        </w:rPr>
        <w:t> </w:t>
      </w:r>
      <w:r>
        <w:rPr>
          <w:spacing w:val="-64"/>
        </w:rPr>
      </w:r>
      <w:r>
        <w:rPr>
          <w:spacing w:val="-2"/>
        </w:rPr>
        <w:t>发生的事项有关，原确认的减值损失予以转回，计入当期损益。但是，该转回后的账面价值不超过假定不计提减值准备情况</w:t>
      </w:r>
      <w:r>
        <w:rPr>
          <w:spacing w:val="-66"/>
        </w:rPr>
        <w:t> </w:t>
      </w:r>
      <w:r>
        <w:rPr>
          <w:spacing w:val="-66"/>
        </w:rPr>
      </w:r>
      <w:r>
        <w:rPr/>
        <w:t>下该金融资产在转回日的摊余成本。</w:t>
      </w:r>
    </w:p>
    <w:p>
      <w:pPr>
        <w:pStyle w:val="BodyText"/>
        <w:spacing w:line="309" w:lineRule="auto" w:before="22"/>
        <w:ind w:right="0"/>
        <w:jc w:val="left"/>
      </w:pPr>
      <w:r>
        <w:rPr>
          <w:rFonts w:ascii="Times New Roman" w:hAnsi="Times New Roman" w:cs="Times New Roman" w:eastAsia="Times New Roman" w:hint="default"/>
          <w:b/>
          <w:bCs/>
        </w:rPr>
        <w:t>2)</w:t>
      </w:r>
      <w:r>
        <w:rPr>
          <w:rFonts w:ascii="宋体" w:hAnsi="宋体" w:cs="宋体" w:eastAsia="宋体" w:hint="default"/>
          <w:b/>
          <w:bCs/>
        </w:rPr>
        <w:t>以成本计量的金融资产</w:t>
      </w:r>
      <w:r>
        <w:rPr>
          <w:rFonts w:ascii="宋体" w:hAnsi="宋体" w:cs="宋体" w:eastAsia="宋体" w:hint="default"/>
          <w:b/>
          <w:bCs/>
          <w:w w:val="99"/>
        </w:rPr>
        <w:t> </w:t>
      </w:r>
      <w:r>
        <w:rPr>
          <w:spacing w:val="-2"/>
        </w:rPr>
        <w:t>如果有客观证据表明该金融资产发生减值，将该金融资产的账面价值，与按照类似金融资产当时市场收益率对未来现金流量</w:t>
      </w:r>
      <w:r>
        <w:rPr>
          <w:spacing w:val="-64"/>
        </w:rPr>
        <w:t> </w:t>
      </w:r>
      <w:r>
        <w:rPr>
          <w:spacing w:val="-64"/>
        </w:rPr>
      </w:r>
      <w:r>
        <w:rPr/>
        <w:t>折现确定的现值之间的差额，确认为减值损失，计入当期损益。发生的减值损失一经确认，不再转回。</w:t>
      </w:r>
    </w:p>
    <w:p>
      <w:pPr>
        <w:pStyle w:val="BodyText"/>
        <w:spacing w:line="314" w:lineRule="auto" w:before="24"/>
        <w:ind w:right="0" w:firstLine="78"/>
        <w:jc w:val="left"/>
      </w:pPr>
      <w:r>
        <w:rPr>
          <w:rFonts w:ascii="Times New Roman" w:hAnsi="Times New Roman" w:cs="Times New Roman" w:eastAsia="Times New Roman" w:hint="default"/>
          <w:b/>
          <w:bCs/>
        </w:rPr>
        <w:t>(5)</w:t>
      </w:r>
      <w:r>
        <w:rPr>
          <w:rFonts w:ascii="Times New Roman" w:hAnsi="Times New Roman" w:cs="Times New Roman" w:eastAsia="Times New Roman" w:hint="default"/>
          <w:b/>
          <w:bCs/>
          <w:spacing w:val="30"/>
        </w:rPr>
        <w:t> </w:t>
      </w:r>
      <w:r>
        <w:rPr>
          <w:rFonts w:ascii="宋体" w:hAnsi="宋体" w:cs="宋体" w:eastAsia="宋体" w:hint="default"/>
          <w:b/>
          <w:bCs/>
        </w:rPr>
        <w:t>金融资产转移</w:t>
      </w:r>
      <w:r>
        <w:rPr>
          <w:rFonts w:ascii="宋体" w:hAnsi="宋体" w:cs="宋体" w:eastAsia="宋体" w:hint="default"/>
          <w:b/>
          <w:bCs/>
          <w:w w:val="99"/>
        </w:rPr>
        <w:t> </w:t>
      </w: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 </w:t>
      </w:r>
      <w:r>
        <w:rPr>
          <w:spacing w:val="-4"/>
        </w:rPr>
        <w:t>本集团既没有转移也没有保留金融资产所有权上几乎所有的风险和报酬的，分别下列情况处理：放弃了对该金融资产控制的，</w:t>
      </w:r>
      <w:r>
        <w:rPr>
          <w:spacing w:val="-44"/>
        </w:rPr>
        <w:t> </w:t>
      </w:r>
      <w:r>
        <w:rPr>
          <w:spacing w:val="-44"/>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 </w:t>
      </w:r>
      <w:r>
        <w:rPr>
          <w:spacing w:val="-2"/>
        </w:rPr>
        <w:t>通过对所转移金融资产提供财务担保方式继续涉入的，按照金融资产的账面价值和财务担保金额两者之中的较低者，确认继</w:t>
      </w:r>
      <w:r>
        <w:rPr>
          <w:spacing w:val="-64"/>
        </w:rPr>
        <w:t> </w:t>
      </w:r>
      <w:r>
        <w:rPr>
          <w:spacing w:val="-64"/>
        </w:rPr>
      </w:r>
      <w:r>
        <w:rPr/>
        <w:t>续涉入形成的资产。财务担保金额，是指所收到的对价中，将被要求偿还的最高金额。</w:t>
      </w:r>
    </w:p>
    <w:p>
      <w:pPr>
        <w:spacing w:after="0" w:line="314"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9、应收票据及应收账款" w:id="174"/>
      <w:bookmarkEnd w:id="174"/>
      <w:r>
        <w:rPr>
          <w:b w:val="0"/>
          <w:bCs w:val="0"/>
        </w:rPr>
      </w:r>
      <w:r>
        <w:rPr>
          <w:rFonts w:ascii="Times New Roman" w:hAnsi="Times New Roman" w:cs="Times New Roman" w:eastAsia="Times New Roman" w:hint="default"/>
        </w:rPr>
        <w:t>9</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期末余额占比超过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的应收款项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组合中，采用账龄分析法计提坏账准备的：</w:t>
      </w:r>
    </w:p>
    <w:p>
      <w:pPr>
        <w:pStyle w:val="BodyText"/>
        <w:spacing w:line="338" w:lineRule="auto" w:before="117"/>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340" w:lineRule="auto" w:before="42"/>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预计是否可收回</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0、存货" w:id="178"/>
      <w:bookmarkEnd w:id="178"/>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right="1032"/>
        <w:jc w:val="left"/>
      </w:pPr>
      <w:r>
        <w:rPr/>
        <w:t>存货包括原材料、产成品及商品和低值易耗品。 存货按照成本进行初始计量。存货成本包括采购成本、加工成本和其他成本。发出存货，采用加权平均法确定其实际成本。 周转材料包括低值易耗品和包装物等，低值易耗品和包装物釆用一次转销法进行摊销。</w:t>
      </w:r>
    </w:p>
    <w:p>
      <w:pPr>
        <w:pStyle w:val="BodyText"/>
        <w:spacing w:line="316" w:lineRule="auto" w:before="19"/>
        <w:ind w:right="0"/>
        <w:jc w:val="left"/>
      </w:pPr>
      <w:r>
        <w:rPr/>
        <w:t>存货的盘存制度采用永续盘存制。 </w:t>
      </w:r>
      <w:r>
        <w:rPr>
          <w:spacing w:val="-2"/>
        </w:rPr>
        <w:t>于资产负债表日，存货按照成本与可变现净值孰低计量，对成本高于可变现净值的，计提存货跌价准备，计入当期损益。如</w:t>
      </w:r>
      <w:r>
        <w:rPr>
          <w:spacing w:val="-66"/>
        </w:rPr>
        <w:t> </w:t>
      </w:r>
      <w:r>
        <w:rPr>
          <w:spacing w:val="-66"/>
        </w:rPr>
      </w:r>
      <w:r>
        <w:rPr>
          <w:spacing w:val="-2"/>
        </w:rPr>
        <w:t>果以前计提存货跌价准备的影响因素已经消失，使得存货的可变现净值高于其账面价值，则在原于资产负债表日，存货按照</w:t>
      </w:r>
      <w:r>
        <w:rPr>
          <w:spacing w:val="-66"/>
        </w:rPr>
        <w:t> </w:t>
      </w:r>
      <w:r>
        <w:rPr>
          <w:spacing w:val="-66"/>
        </w:rPr>
      </w:r>
      <w:r>
        <w:rPr>
          <w:spacing w:val="-2"/>
        </w:rPr>
        <w:t>成本与可变现净值孰低计量，对成本高于可变现净值的，计提存货跌价准备，计入当期损益。如果以前计提存货跌价准备的</w:t>
      </w:r>
      <w:r>
        <w:rPr>
          <w:spacing w:val="-66"/>
        </w:rPr>
        <w:t> </w:t>
      </w:r>
      <w:r>
        <w:rPr>
          <w:spacing w:val="-66"/>
        </w:rPr>
      </w:r>
      <w:r>
        <w:rPr>
          <w:spacing w:val="-2"/>
        </w:rPr>
        <w:t>影响因素已经消失，使得存货的可变现净值高于其账面价值，则在原已计提的存货跌价准备金额内，将以前减记的金额予以</w:t>
      </w:r>
      <w:r>
        <w:rPr>
          <w:spacing w:val="-66"/>
        </w:rPr>
        <w:t> </w:t>
      </w:r>
      <w:r>
        <w:rPr>
          <w:spacing w:val="-66"/>
        </w:rPr>
      </w:r>
      <w:r>
        <w:rPr/>
        <w:t>恢复，转回的金额计入当期损益。 </w:t>
      </w:r>
      <w:r>
        <w:rPr>
          <w:spacing w:val="-2"/>
        </w:rPr>
        <w:t>可变现净值，是指在日常活动中，存货的估计售价减去估计的销售费用以及相关税费后的金额。计提存货跌价准备时，原材</w:t>
      </w:r>
      <w:r>
        <w:rPr>
          <w:spacing w:val="-66"/>
        </w:rPr>
        <w:t> </w:t>
      </w:r>
      <w:r>
        <w:rPr>
          <w:spacing w:val="-66"/>
        </w:rPr>
      </w:r>
      <w:r>
        <w:rPr/>
        <w:t>料按类别计提，产成品及商品按单个存货项目计提。</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1、长期股权投资" w:id="179"/>
      <w:bookmarkEnd w:id="179"/>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长期股权投资包括对子公司、合营企业和联营企业的权益性投资。</w:t>
      </w:r>
    </w:p>
    <w:p>
      <w:pPr>
        <w:pStyle w:val="BodyText"/>
        <w:spacing w:line="314" w:lineRule="auto" w:before="76"/>
        <w:ind w:right="103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初始投资成本的确定</w:t>
      </w:r>
      <w:r>
        <w:rPr>
          <w:rFonts w:ascii="宋体" w:hAnsi="宋体" w:cs="宋体" w:eastAsia="宋体" w:hint="default"/>
          <w:b/>
          <w:bCs/>
          <w:w w:val="99"/>
        </w:rPr>
        <w:t> </w:t>
      </w:r>
      <w:r>
        <w:rPr>
          <w:spacing w:val="-2"/>
        </w:rPr>
        <w:t>长期股权投资在取得时以初始投资成本进行初始计量。通过同一控制下的企业合并取得的长期股权投资，以合并日取得被合</w:t>
      </w:r>
      <w:r>
        <w:rPr>
          <w:spacing w:val="-64"/>
        </w:rPr>
        <w:t> </w:t>
      </w:r>
      <w:r>
        <w:rPr>
          <w:spacing w:val="-64"/>
        </w:rPr>
      </w:r>
      <w:r>
        <w:rPr>
          <w:spacing w:val="-2"/>
        </w:rPr>
        <w:t>并方所有者权益在最终控制方合并财务报表中的账面价值的份额作为初始投资成本；初始投资成本与合并对价账面价值之间</w:t>
      </w:r>
      <w:r>
        <w:rPr>
          <w:spacing w:val="-64"/>
        </w:rPr>
        <w:t> </w:t>
      </w:r>
      <w:r>
        <w:rPr>
          <w:spacing w:val="-64"/>
        </w:rPr>
      </w:r>
      <w:r>
        <w:rPr/>
        <w:t>差额，调整资本公积</w:t>
      </w:r>
      <w:r>
        <w:rPr>
          <w:rFonts w:ascii="Times New Roman" w:hAnsi="Times New Roman" w:cs="Times New Roman" w:eastAsia="Times New Roman" w:hint="default"/>
        </w:rPr>
        <w:t>(</w:t>
      </w:r>
      <w:r>
        <w:rPr/>
        <w:t>不足冲减的，冲减留存收益</w:t>
      </w:r>
      <w:r>
        <w:rPr>
          <w:rFonts w:ascii="Times New Roman" w:hAnsi="Times New Roman" w:cs="Times New Roman" w:eastAsia="Times New Roman" w:hint="default"/>
        </w:rPr>
        <w:t>)</w:t>
      </w:r>
      <w:r>
        <w:rPr/>
        <w:t>；合并日之前的其他综合收益，在处置该项投资时采用与被投资单位直接 </w:t>
      </w:r>
      <w:r>
        <w:rPr>
          <w:spacing w:val="-2"/>
        </w:rPr>
        <w:t>处置相关资产或负债相同的基础进行会计处理，因被投资方除净损益、其他综合收益和利润分配以外的其他股东权益变动而</w:t>
      </w:r>
      <w:r>
        <w:rPr>
          <w:spacing w:val="-64"/>
        </w:rPr>
        <w:t> </w:t>
      </w:r>
      <w:r>
        <w:rPr>
          <w:spacing w:val="-64"/>
        </w:rPr>
      </w:r>
      <w:r>
        <w:rPr>
          <w:spacing w:val="-2"/>
        </w:rPr>
        <w:t>确认的股东权益，在处置该项投资时转入当期损益；其中，处置后仍为长期股权投资的按比例结转，处置后转换为金融工具</w:t>
      </w:r>
      <w:r>
        <w:rPr>
          <w:spacing w:val="-66"/>
        </w:rPr>
        <w:t> </w:t>
      </w:r>
      <w:r>
        <w:rPr>
          <w:spacing w:val="-66"/>
        </w:rPr>
      </w:r>
      <w:r>
        <w:rPr>
          <w:spacing w:val="-2"/>
        </w:rPr>
        <w:t>的则全额结转。通过非同一控制下的企业合并取得的长期股权投资，以合并成本作为初始投资成本，合并成本包括购买方付</w:t>
      </w:r>
      <w:r>
        <w:rPr>
          <w:spacing w:val="-66"/>
        </w:rPr>
        <w:t> </w:t>
      </w:r>
      <w:r>
        <w:rPr>
          <w:spacing w:val="-66"/>
        </w:rPr>
      </w:r>
      <w:r>
        <w:rPr>
          <w:spacing w:val="-2"/>
        </w:rPr>
        <w:t>出的资产、发生或承担的负债、发行的权益性证券的公允价值之和；购买日之前持有的因采用权益法核算而确认的其他综合</w:t>
      </w:r>
      <w:r>
        <w:rPr>
          <w:spacing w:val="-66"/>
        </w:rPr>
        <w:t> </w:t>
      </w:r>
      <w:r>
        <w:rPr>
          <w:spacing w:val="-66"/>
        </w:rPr>
      </w:r>
      <w:r>
        <w:rPr>
          <w:spacing w:val="-2"/>
        </w:rPr>
        <w:t>收益，在处置该项投资时采用与被投资单位直接处置相关资产或负债相同的基础进行会计处理，因被投资方除净损益、其他</w:t>
      </w:r>
      <w:r>
        <w:rPr>
          <w:spacing w:val="-66"/>
        </w:rPr>
        <w:t> </w:t>
      </w:r>
      <w:r>
        <w:rPr>
          <w:spacing w:val="-66"/>
        </w:rPr>
      </w:r>
      <w:r>
        <w:rPr>
          <w:spacing w:val="-2"/>
        </w:rPr>
        <w:t>综合收益和利润分配以外的其他股东权益变动而确认的股东权益，在处置该项投资时转入当期损益；其中，处置后仍为长期</w:t>
      </w:r>
      <w:r>
        <w:rPr>
          <w:spacing w:val="-66"/>
        </w:rPr>
        <w:t> </w:t>
      </w:r>
      <w:r>
        <w:rPr>
          <w:spacing w:val="-66"/>
        </w:rPr>
      </w:r>
      <w:r>
        <w:rPr/>
        <w:t>股权投资的按比例结转，处置后转换为金融工具的则全额结转。 </w:t>
      </w:r>
      <w:r>
        <w:rPr>
          <w:spacing w:val="-2"/>
        </w:rPr>
        <w:t>除企业合并形成的长期股权投资以外方式取得的长期股权投资，按照下列方法确定初始投资成本：支付现金取得的，以实际</w:t>
      </w:r>
      <w:r>
        <w:rPr>
          <w:spacing w:val="-66"/>
        </w:rPr>
        <w:t> </w:t>
      </w:r>
      <w:r>
        <w:rPr>
          <w:spacing w:val="-66"/>
        </w:rPr>
      </w:r>
      <w:r>
        <w:rPr/>
        <w:t>支付的购买价款及与取得长期股权投资直接相关的费用、税金及其他必要支出作为初始投资成本；发行权益性证券取得的， 以发行权益性证券的公允价值作为初始投资成本。</w:t>
      </w:r>
    </w:p>
    <w:p>
      <w:pPr>
        <w:pStyle w:val="BodyText"/>
        <w:spacing w:line="316" w:lineRule="auto" w:before="20"/>
        <w:ind w:right="103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后续计量及损益确认方法</w:t>
      </w:r>
      <w:r>
        <w:rPr>
          <w:rFonts w:ascii="宋体" w:hAnsi="宋体" w:cs="宋体" w:eastAsia="宋体" w:hint="default"/>
          <w:b/>
          <w:bCs/>
          <w:w w:val="99"/>
        </w:rPr>
        <w:t> </w:t>
      </w:r>
      <w:r>
        <w:rPr>
          <w:spacing w:val="-2"/>
        </w:rPr>
        <w:t>本公司能够对被投资单位实施控制的长期股权投资，在本公司个别财务报表中采用成本法核算。控制，是指拥有对被投资方</w:t>
      </w:r>
      <w:r>
        <w:rPr>
          <w:spacing w:val="-66"/>
        </w:rPr>
        <w:t> </w:t>
      </w:r>
      <w:r>
        <w:rPr>
          <w:spacing w:val="-66"/>
        </w:rPr>
      </w:r>
      <w:r>
        <w:rPr/>
        <w:t>的权力，通过参与被投资方的相关活动而享有可变回报，并且有能力运用对被投资方的权力影响回报金额。 </w:t>
      </w:r>
      <w:r>
        <w:rPr>
          <w:spacing w:val="-2"/>
        </w:rPr>
        <w:t>采用成本法时，长期股权投资按初始投资成本计价。追加或收回投资的，调整长期股权投资的成本。被投资单位宣告分派的</w:t>
      </w:r>
      <w:r>
        <w:rPr>
          <w:spacing w:val="-66"/>
        </w:rPr>
        <w:t> </w:t>
      </w:r>
      <w:r>
        <w:rPr>
          <w:spacing w:val="-66"/>
        </w:rPr>
      </w:r>
      <w:r>
        <w:rPr/>
        <w:t>现金股利或利润，确认为当期投资收益。 </w:t>
      </w:r>
      <w:r>
        <w:rPr>
          <w:spacing w:val="-2"/>
        </w:rPr>
        <w:t>本集团对被投资单位具有共同控制或重大影响的，长期股权投资采用权益法核算。共同控制，是指按照相关约定对某项安排</w:t>
      </w:r>
      <w:r>
        <w:rPr>
          <w:spacing w:val="-66"/>
        </w:rPr>
        <w:t> </w:t>
      </w:r>
      <w:r>
        <w:rPr>
          <w:spacing w:val="-66"/>
        </w:rPr>
      </w:r>
      <w:r>
        <w:rPr>
          <w:spacing w:val="-2"/>
        </w:rPr>
        <w:t>所共有的控制，并且该安排的相关活动必须经过分享控制权的参与方一致同意后才能决策。重大影响，是指对被投资单位的</w:t>
      </w:r>
      <w:r>
        <w:rPr>
          <w:spacing w:val="-66"/>
        </w:rPr>
        <w:t> </w:t>
      </w:r>
      <w:r>
        <w:rPr>
          <w:spacing w:val="-66"/>
        </w:rPr>
      </w:r>
      <w:r>
        <w:rPr/>
        <w:t>财务和经营政策有参与决策的权力，但并不能够控制或者与其他方一起共同控制这些政策的制定。 </w:t>
      </w:r>
      <w:r>
        <w:rPr>
          <w:spacing w:val="-2"/>
        </w:rPr>
        <w:t>采用权益法时，长期股权投资的初始投资成本大于投资时应享有被投资单位可辨认净资产公允价值份额的，归入长期股权投</w:t>
      </w:r>
      <w:r>
        <w:rPr>
          <w:spacing w:val="-64"/>
        </w:rPr>
        <w:t> </w:t>
      </w:r>
      <w:r>
        <w:rPr>
          <w:spacing w:val="-64"/>
        </w:rPr>
      </w:r>
      <w:r>
        <w:rPr>
          <w:spacing w:val="-2"/>
        </w:rPr>
        <w:t>资的初始投资成本；长期股权投资的初始投资成本小于投资时应享有被投资单位可辨认净资产公允价值份额的，其差额计入</w:t>
      </w:r>
      <w:r>
        <w:rPr>
          <w:spacing w:val="-64"/>
        </w:rPr>
        <w:t> </w:t>
      </w:r>
      <w:r>
        <w:rPr>
          <w:spacing w:val="-64"/>
        </w:rPr>
      </w:r>
      <w:r>
        <w:rPr/>
        <w:t>当期损益，同时调整长期股权投资的成本。 </w:t>
      </w:r>
      <w:r>
        <w:rPr>
          <w:spacing w:val="-2"/>
        </w:rPr>
        <w:t>采用权益法时，取得长期股权投资后，按照应享有或应分担的被投资单位实现的净损益和其他综合收益的份额，分别确认投</w:t>
      </w:r>
      <w:r>
        <w:rPr>
          <w:spacing w:val="-65"/>
        </w:rPr>
        <w:t> </w:t>
      </w:r>
      <w:r>
        <w:rPr>
          <w:spacing w:val="-65"/>
        </w:rPr>
      </w:r>
      <w:r>
        <w:rPr>
          <w:spacing w:val="-2"/>
        </w:rPr>
        <w:t>资损益和其他综合收益并调整长期股权投资的账面价值。在确认应享有被投资单位净损益的份额时，以取得投资时被投资单</w:t>
      </w:r>
      <w:r>
        <w:rPr>
          <w:spacing w:val="-64"/>
        </w:rPr>
        <w:t> </w:t>
      </w:r>
      <w:r>
        <w:rPr>
          <w:spacing w:val="-64"/>
        </w:rPr>
      </w:r>
      <w:r>
        <w:rPr>
          <w:spacing w:val="-2"/>
        </w:rPr>
        <w:t>位可辨认资产等的公允价值为基础，按照本集团的会计政策及会计期间，并抵销与联营企业及合营企业之间发生的内部交易</w:t>
      </w:r>
      <w:r>
        <w:rPr>
          <w:spacing w:val="-64"/>
        </w:rPr>
        <w:t> </w:t>
      </w:r>
      <w:r>
        <w:rPr>
          <w:spacing w:val="-64"/>
        </w:rPr>
      </w:r>
      <w:r>
        <w:rPr/>
        <w:t>损益按照应享有的比例计算归属于投资方的部分</w:t>
      </w:r>
      <w:r>
        <w:rPr>
          <w:rFonts w:ascii="Times New Roman" w:hAnsi="Times New Roman" w:cs="Times New Roman" w:eastAsia="Times New Roman" w:hint="default"/>
        </w:rPr>
        <w:t>(</w:t>
      </w:r>
      <w:r>
        <w:rPr/>
        <w:t>但内部交易损失属于资产减值损失的，应全额确认</w:t>
      </w:r>
      <w:r>
        <w:rPr>
          <w:rFonts w:ascii="Times New Roman" w:hAnsi="Times New Roman" w:cs="Times New Roman" w:eastAsia="Times New Roman" w:hint="default"/>
        </w:rPr>
        <w:t>)</w:t>
      </w:r>
      <w:r>
        <w:rPr/>
        <w:t>，对被投资单位的净利 润进行调整后确认，但投出或出售的资产构成业务的除外。按照被投资单位宣告分派的利润或现金股利计算应享有的部分， </w:t>
      </w:r>
      <w:r>
        <w:rPr>
          <w:spacing w:val="-2"/>
        </w:rPr>
        <w:t>相应减少长期股权投资的账面价值。本集团确认被投资单位发生的净亏损，以长期股权投资的账面价值以及其他实质上构成</w:t>
      </w:r>
      <w:r>
        <w:rPr>
          <w:spacing w:val="-64"/>
        </w:rPr>
        <w:t> </w:t>
      </w:r>
      <w:r>
        <w:rPr>
          <w:spacing w:val="-64"/>
        </w:rPr>
      </w:r>
      <w:r>
        <w:rPr>
          <w:spacing w:val="-2"/>
        </w:rPr>
        <w:t>对被投资单位净投资的长期权益减记至零为限，本集团负有承担额外损失义务的除外。对于被投资单位除净损益、其他综合</w:t>
      </w:r>
      <w:r>
        <w:rPr>
          <w:spacing w:val="-66"/>
        </w:rPr>
        <w:t> </w:t>
      </w:r>
      <w:r>
        <w:rPr>
          <w:spacing w:val="-66"/>
        </w:rPr>
      </w:r>
      <w:r>
        <w:rPr/>
        <w:t>收益和利润分配以外股东权益的其他变动，调整长期股权投资的账面价值并计入股东权益。 </w:t>
      </w:r>
      <w:r>
        <w:rPr>
          <w:spacing w:val="-2"/>
        </w:rPr>
        <w:t>处置长期股权投资，其账面价值与实际取得价款的差额，计入当期损益。采用权益法核算的长期股权投资，终止采用权益法</w:t>
      </w:r>
      <w:r>
        <w:rPr>
          <w:spacing w:val="-66"/>
        </w:rPr>
        <w:t> </w:t>
      </w:r>
      <w:r>
        <w:rPr>
          <w:spacing w:val="-66"/>
        </w:rPr>
      </w:r>
      <w:r>
        <w:rPr>
          <w:spacing w:val="-2"/>
        </w:rPr>
        <w:t>的，原权益法核算的相关其他综合收益采用与被投资单位直接处置相关资产或负债相同的基础进行会计处理，因被投资方除</w:t>
      </w:r>
      <w:r>
        <w:rPr>
          <w:spacing w:val="-64"/>
        </w:rPr>
        <w:t> </w:t>
      </w:r>
      <w:r>
        <w:rPr>
          <w:spacing w:val="-64"/>
        </w:rPr>
      </w:r>
      <w:r>
        <w:rPr>
          <w:spacing w:val="-2"/>
        </w:rPr>
        <w:t>净损益、其他综合收益和利润分配以外的其他股东权益变动而确认的股东权益，全部转入当期损益；仍采用权益法的，原权</w:t>
      </w:r>
      <w:r>
        <w:rPr>
          <w:spacing w:val="-66"/>
        </w:rPr>
        <w:t> </w:t>
      </w:r>
      <w:r>
        <w:rPr>
          <w:spacing w:val="-66"/>
        </w:rPr>
      </w:r>
      <w:r>
        <w:rPr/>
        <w:t>益法核算的相关其他综合收益采用与被投资单位直接处置相关资产或负债相同的基础进行会计处理并按比例转入当期损益， 因被投资方除净损益、其他综合收益和利润分配以外的其他股东权益变动而确认的股东权益，按相应的比例转入当期损益。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2、投资性房地产" w:id="180"/>
      <w:bookmarkEnd w:id="180"/>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right="0"/>
        <w:jc w:val="left"/>
      </w:pPr>
      <w:r>
        <w:rPr/>
        <w:t>投资性房地产，是指为赚取租金或资本增值，或两者兼有而持有的房地产，包括已出租的建筑物。 </w:t>
      </w:r>
      <w:r>
        <w:rPr>
          <w:spacing w:val="-2"/>
        </w:rPr>
        <w:t>投资性房地产按照成本进行初始计量。与投资性房地产有关的后续支出，如果与该资产有关的经济利益很可能流入且其成本</w:t>
      </w:r>
      <w:r>
        <w:rPr>
          <w:spacing w:val="-63"/>
        </w:rPr>
        <w:t> </w:t>
      </w:r>
      <w:r>
        <w:rPr>
          <w:spacing w:val="-63"/>
        </w:rPr>
      </w:r>
      <w:r>
        <w:rPr/>
        <w:t>能够可靠地计量，则计入投资性房地产成本。否则，于发生时计入当期损益。</w:t>
      </w:r>
    </w:p>
    <w:p>
      <w:pPr>
        <w:pStyle w:val="BodyText"/>
        <w:spacing w:line="300" w:lineRule="auto" w:before="59"/>
        <w:ind w:right="1169"/>
        <w:jc w:val="left"/>
      </w:pPr>
      <w:r>
        <w:rPr/>
        <w:t>本集团采用成本模式对投资性房地产进行后续计量，折旧采用年限平均法计提，投资性房地产的使用寿命为</w:t>
      </w:r>
      <w:r>
        <w:rPr>
          <w:rFonts w:ascii="Times New Roman" w:hAnsi="Times New Roman" w:cs="Times New Roman" w:eastAsia="Times New Roman" w:hint="default"/>
        </w:rPr>
        <w:t>40-50</w:t>
      </w:r>
      <w:r>
        <w:rPr/>
        <w:t>年，预计 净残值率为</w:t>
      </w:r>
      <w:r>
        <w:rPr>
          <w:rFonts w:ascii="Times New Roman" w:hAnsi="Times New Roman" w:cs="Times New Roman" w:eastAsia="Times New Roman" w:hint="default"/>
        </w:rPr>
        <w:t>5%</w:t>
      </w:r>
      <w:r>
        <w:rPr/>
        <w:t>，年折旧率为</w:t>
      </w:r>
      <w:r>
        <w:rPr>
          <w:rFonts w:ascii="Times New Roman" w:hAnsi="Times New Roman" w:cs="Times New Roman" w:eastAsia="Times New Roman" w:hint="default"/>
        </w:rPr>
        <w:t>1.9%-2.38%</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4"/>
        <w:spacing w:line="240" w:lineRule="auto"/>
        <w:ind w:right="0"/>
        <w:jc w:val="left"/>
        <w:rPr>
          <w:b w:val="0"/>
          <w:bCs w:val="0"/>
        </w:rPr>
      </w:pPr>
      <w:bookmarkStart w:name="13、固定资产" w:id="181"/>
      <w:bookmarkEnd w:id="181"/>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2"/>
      <w:bookmarkEnd w:id="18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4"/>
        </w:rPr>
        <w:t>固定资产仅在与其有关的经济利益很可能流入本集团，且其成本能够可靠地计量时才予以确认。与固定资产有关的后续支出，</w:t>
      </w:r>
      <w:r>
        <w:rPr>
          <w:spacing w:val="-44"/>
        </w:rPr>
        <w:t> </w:t>
      </w:r>
      <w:r>
        <w:rPr>
          <w:spacing w:val="-44"/>
        </w:rPr>
      </w:r>
      <w:r>
        <w:rPr>
          <w:spacing w:val="-2"/>
        </w:rPr>
        <w:t>符合该确认条件的，计入固定资产成本，并终止确认被替换部分的账面价值；否则，在发生时计入当期损益。固定资产按照</w:t>
      </w:r>
      <w:r>
        <w:rPr>
          <w:spacing w:val="-66"/>
        </w:rPr>
        <w:t> </w:t>
      </w:r>
      <w:r>
        <w:rPr>
          <w:spacing w:val="-66"/>
        </w:rPr>
      </w:r>
      <w:r>
        <w:rPr>
          <w:spacing w:val="-2"/>
        </w:rPr>
        <w:t>成本进行初始计量。购置固定资产的成本包括购买价款、相关税费、使固定资产达到预定可使用状态前所发生的可直接归属</w:t>
      </w:r>
      <w:r>
        <w:rPr>
          <w:spacing w:val="-66"/>
        </w:rPr>
        <w:t> </w:t>
      </w:r>
      <w:r>
        <w:rPr>
          <w:spacing w:val="-66"/>
        </w:rPr>
      </w:r>
      <w:r>
        <w:rPr/>
        <w:t>于该项资产的其他支出。</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折旧方法" w:id="183"/>
      <w:bookmarkEnd w:id="18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2.38%-2.97%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4、在建工程" w:id="184"/>
      <w:bookmarkEnd w:id="184"/>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right="3012"/>
        <w:jc w:val="left"/>
      </w:pPr>
      <w:r>
        <w:rPr/>
        <w:t>在建工程成本按实际工程支出确定，包括在建期间发生的各项必要工程支出以及其他相关费用等。 在建工程在达到预定可使用状态时转入固定资产、长期待摊费用或者其他。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15、借款费用" w:id="185"/>
      <w:bookmarkEnd w:id="185"/>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7"/>
        <w:rPr>
          <w:rFonts w:ascii="宋体" w:hAnsi="宋体" w:cs="宋体" w:eastAsia="宋体" w:hint="default"/>
          <w:b/>
          <w:bCs/>
          <w:sz w:val="26"/>
          <w:szCs w:val="26"/>
        </w:rPr>
      </w:pPr>
    </w:p>
    <w:p>
      <w:pPr>
        <w:spacing w:line="300" w:lineRule="auto" w:before="0"/>
        <w:ind w:left="154" w:right="175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z w:val="18"/>
          <w:szCs w:val="18"/>
        </w:rPr>
        <w:t>借款费用，是指本集团因借款而发生的利息及其他相关成本，包括借款利息、折价或者溢价的摊销、辅助费用等。</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可直接归属于符合资本化条件的资产的购建或者生产的借款费用，予以资本化，其他借款费用计入当期损益。符合资本化条</w:t>
      </w:r>
      <w:r>
        <w:rPr>
          <w:spacing w:val="-66"/>
        </w:rPr>
        <w:t> </w:t>
      </w:r>
      <w:r>
        <w:rPr>
          <w:spacing w:val="-66"/>
        </w:rPr>
      </w:r>
      <w:r>
        <w:rPr>
          <w:spacing w:val="-2"/>
        </w:rPr>
        <w:t>件的资产，是指需要经过相当长时间的购建或者生产活动才能达到预定可使用或者可销售状态的固定资产、投资性房地产和</w:t>
      </w:r>
      <w:r>
        <w:rPr>
          <w:spacing w:val="-63"/>
        </w:rPr>
        <w:t> </w:t>
      </w:r>
      <w:r>
        <w:rPr>
          <w:spacing w:val="-63"/>
        </w:rPr>
      </w:r>
      <w:r>
        <w:rPr/>
        <w:t>存货等资产。</w:t>
      </w:r>
    </w:p>
    <w:p>
      <w:pPr>
        <w:pStyle w:val="Heading5"/>
        <w:spacing w:line="240" w:lineRule="auto" w:before="19"/>
        <w:ind w:right="0"/>
        <w:jc w:val="both"/>
        <w:rPr>
          <w:b w:val="0"/>
          <w:bCs w:val="0"/>
        </w:rPr>
      </w:pPr>
      <w:r>
        <w:rPr/>
        <w:t>（</w:t>
      </w:r>
      <w:r>
        <w:rPr>
          <w:rFonts w:ascii="Times New Roman" w:hAnsi="Times New Roman" w:cs="Times New Roman" w:eastAsia="Times New Roman" w:hint="default"/>
        </w:rPr>
        <w:t>2</w:t>
      </w:r>
      <w:r>
        <w:rPr/>
        <w:t>）借款费用资本化期间</w:t>
      </w:r>
      <w:r>
        <w:rPr>
          <w:b w:val="0"/>
          <w:bCs w:val="0"/>
        </w:rPr>
      </w:r>
    </w:p>
    <w:p>
      <w:pPr>
        <w:pStyle w:val="BodyText"/>
        <w:spacing w:line="309" w:lineRule="auto" w:before="63"/>
        <w:ind w:right="1131"/>
        <w:jc w:val="both"/>
      </w:pPr>
      <w:r>
        <w:rPr/>
        <w:t>借款费用同时满足下列条件的，才能开始资本化： </w:t>
      </w:r>
      <w:r>
        <w:rPr>
          <w:rFonts w:ascii="Times New Roman" w:hAnsi="Times New Roman" w:cs="Times New Roman" w:eastAsia="Times New Roman" w:hint="default"/>
        </w:rPr>
        <w:t>(a) </w:t>
      </w:r>
      <w:r>
        <w:rPr/>
        <w:t>资产支出已经发生； </w:t>
      </w:r>
      <w:r>
        <w:rPr>
          <w:rFonts w:ascii="Times New Roman" w:hAnsi="Times New Roman" w:cs="Times New Roman" w:eastAsia="Times New Roman" w:hint="default"/>
        </w:rPr>
        <w:t>(b) </w:t>
      </w:r>
      <w:r>
        <w:rPr/>
        <w:t>借款费用已经发生； </w:t>
      </w:r>
      <w:r>
        <w:rPr>
          <w:rFonts w:ascii="Times New Roman" w:hAnsi="Times New Roman" w:cs="Times New Roman" w:eastAsia="Times New Roman" w:hint="default"/>
        </w:rPr>
        <w:t>(c)</w:t>
      </w:r>
      <w:r>
        <w:rPr>
          <w:rFonts w:ascii="Times New Roman" w:hAnsi="Times New Roman" w:cs="Times New Roman" w:eastAsia="Times New Roman" w:hint="default"/>
          <w:spacing w:val="-22"/>
        </w:rPr>
        <w:t> </w:t>
      </w:r>
      <w:r>
        <w:rPr/>
        <w:t>为使资产达到预定 </w:t>
      </w:r>
      <w:r>
        <w:rPr>
          <w:spacing w:val="-2"/>
        </w:rPr>
        <w:t>可使用或者可销售状态所必要的购建或者生产活动已经开始。购建或者生产符合资本化条件的资产达到预定可使用或者可销</w:t>
      </w:r>
      <w:r>
        <w:rPr>
          <w:spacing w:val="-64"/>
        </w:rPr>
        <w:t> </w:t>
      </w:r>
      <w:r>
        <w:rPr>
          <w:spacing w:val="-64"/>
        </w:rPr>
      </w:r>
      <w:r>
        <w:rPr/>
        <w:t>售状态时，借款费用停止资本化。之后发生的借款费用计入当期损益。</w:t>
      </w:r>
    </w:p>
    <w:p>
      <w:pPr>
        <w:pStyle w:val="BodyText"/>
        <w:spacing w:line="307" w:lineRule="auto" w:before="24"/>
        <w:ind w:right="112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符合资本化条件的资产在购建或者生产过程中，发生除达到预定可使用或者可销售状态必要的程序之外的非正常中断、且中</w:t>
      </w:r>
      <w:r>
        <w:rPr>
          <w:spacing w:val="-64"/>
        </w:rPr>
        <w:t> </w:t>
      </w:r>
      <w:r>
        <w:rPr>
          <w:spacing w:val="-64"/>
        </w:rPr>
      </w:r>
      <w:r>
        <w:rPr/>
        <w:t>断时间连续超过</w:t>
      </w:r>
      <w:r>
        <w:rPr>
          <w:rFonts w:ascii="Times New Roman" w:hAnsi="Times New Roman" w:cs="Times New Roman" w:eastAsia="Times New Roman" w:hint="default"/>
        </w:rPr>
        <w:t>3</w:t>
      </w:r>
      <w:r>
        <w:rPr/>
        <w:t>个月的，暂停借款费用的资本化。在中断期间发生的借款费用确认为费用，计入当期损益，直至资产的购 建或者生产活动重新开始。</w:t>
      </w:r>
    </w:p>
    <w:p>
      <w:pPr>
        <w:pStyle w:val="Heading5"/>
        <w:spacing w:line="240" w:lineRule="auto" w:before="26"/>
        <w:ind w:right="0"/>
        <w:jc w:val="both"/>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pStyle w:val="BodyText"/>
        <w:spacing w:line="300" w:lineRule="auto" w:before="63"/>
        <w:ind w:right="1132"/>
        <w:jc w:val="both"/>
      </w:pPr>
      <w:r>
        <w:rPr/>
        <w:t>在资本化期间内，每一会计期间的利息资本化金额，按照下列方法确定：</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专门借款以当期实际发生的利息费用，减去暂 时性的存款利息收入或投资收益后的金额确定。</w:t>
      </w:r>
      <w:r>
        <w:rPr>
          <w:spacing w:val="-68"/>
        </w:rPr>
        <w:t> </w:t>
      </w:r>
      <w:r>
        <w:rPr>
          <w:rFonts w:ascii="Times New Roman" w:hAnsi="Times New Roman" w:cs="Times New Roman" w:eastAsia="Times New Roman" w:hint="default"/>
        </w:rPr>
        <w:t>(b)</w:t>
      </w:r>
      <w:r>
        <w:rPr>
          <w:rFonts w:ascii="Times New Roman" w:hAnsi="Times New Roman" w:cs="Times New Roman" w:eastAsia="Times New Roman" w:hint="default"/>
          <w:spacing w:val="1"/>
        </w:rPr>
        <w:t> </w:t>
      </w:r>
      <w:r>
        <w:rPr/>
        <w:t>占用的一般借款，根据累计资产支出超过专门借款部分的资产支出加权 平均数乘以所占用一般借款的加权平均利率计算确定。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both"/>
        <w:rPr>
          <w:b w:val="0"/>
          <w:bCs w:val="0"/>
        </w:rPr>
      </w:pPr>
      <w:bookmarkStart w:name="16、无形资产" w:id="186"/>
      <w:bookmarkEnd w:id="186"/>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87"/>
      <w:bookmarkEnd w:id="18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）无形资产的计价方法</w:t>
      </w:r>
      <w:r>
        <w:rPr>
          <w:rFonts w:ascii="宋体" w:hAnsi="宋体" w:cs="宋体" w:eastAsia="宋体" w:hint="default"/>
          <w:b/>
          <w:bCs/>
          <w:w w:val="99"/>
        </w:rPr>
        <w:t> </w:t>
      </w:r>
      <w:r>
        <w:rPr>
          <w:spacing w:val="-2"/>
        </w:rPr>
        <w:t>无形资产仅在与其有关的经济利益很可能流入本集团，且其成本能够可靠地计量时才予以确认，并以成本进行初始计量。但</w:t>
      </w:r>
      <w:r>
        <w:rPr>
          <w:spacing w:val="-66"/>
        </w:rPr>
        <w:t> </w:t>
      </w:r>
      <w:r>
        <w:rPr>
          <w:spacing w:val="-66"/>
        </w:rPr>
      </w:r>
      <w:r>
        <w:rPr/>
        <w:t>非同一控制下企业合并中取得的无形资产，其公允价值能够可靠地计量的，即单独确认为无形资产并按照公允价值计量。 </w:t>
      </w:r>
      <w:r>
        <w:rPr>
          <w:spacing w:val="-2"/>
        </w:rPr>
        <w:t>本集团取得的土地使用权，通常作为无形资产核算。自行开发建造厂房等建筑物，相关的土地使用权和建筑物分别作为无形</w:t>
      </w:r>
      <w:r>
        <w:rPr>
          <w:spacing w:val="-66"/>
        </w:rPr>
        <w:t> </w:t>
      </w:r>
      <w:r>
        <w:rPr>
          <w:spacing w:val="-66"/>
        </w:rPr>
      </w:r>
      <w:r>
        <w:rPr>
          <w:spacing w:val="-2"/>
        </w:rPr>
        <w:t>资产和固定资产核算。外购土地及建筑物支付的价款在土地使用权和建筑物之间进行分配，难以合理分配的，全部作为固定</w:t>
      </w:r>
      <w:r>
        <w:rPr>
          <w:spacing w:val="-66"/>
        </w:rPr>
        <w:t> </w:t>
      </w:r>
      <w:r>
        <w:rPr>
          <w:spacing w:val="-66"/>
        </w:rPr>
      </w:r>
      <w:r>
        <w:rPr/>
        <w:t>资产处理。</w:t>
      </w:r>
    </w:p>
    <w:p>
      <w:pPr>
        <w:spacing w:line="300" w:lineRule="auto" w:before="20"/>
        <w:ind w:left="154" w:right="571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）无形资产的使用寿命</w:t>
      </w:r>
      <w:r>
        <w:rPr>
          <w:rFonts w:ascii="宋体" w:hAnsi="宋体" w:cs="宋体" w:eastAsia="宋体" w:hint="default"/>
          <w:b/>
          <w:bCs/>
          <w:w w:val="99"/>
          <w:sz w:val="18"/>
          <w:szCs w:val="18"/>
        </w:rPr>
        <w:t> </w:t>
      </w:r>
      <w:r>
        <w:rPr>
          <w:rFonts w:ascii="宋体" w:hAnsi="宋体" w:cs="宋体" w:eastAsia="宋体" w:hint="default"/>
          <w:sz w:val="18"/>
          <w:szCs w:val="18"/>
        </w:rPr>
        <w:t>无形资产按照其能为本集团带来经济利益的期限确定使用寿命。</w:t>
      </w:r>
    </w:p>
    <w:p>
      <w:pPr>
        <w:pStyle w:val="BodyText"/>
        <w:spacing w:line="316" w:lineRule="auto" w:before="31"/>
        <w:ind w:right="0"/>
        <w:jc w:val="left"/>
      </w:pPr>
      <w:r>
        <w:rPr>
          <w:spacing w:val="-2"/>
        </w:rPr>
        <w:t>使用寿命有限的无形资产，在其使用寿命内采用直线法摊销。本集团至少于每年年度终了，对使用寿命有限的无形资产的使</w:t>
      </w:r>
      <w:r>
        <w:rPr>
          <w:spacing w:val="-66"/>
        </w:rPr>
        <w:t> </w:t>
      </w:r>
      <w:r>
        <w:rPr>
          <w:spacing w:val="-66"/>
        </w:rPr>
      </w:r>
      <w:r>
        <w:rPr/>
        <w:t>用寿命及摊销方法进行复核，必要时进行调整。</w:t>
      </w:r>
    </w:p>
    <w:p>
      <w:pPr>
        <w:spacing w:line="300" w:lineRule="auto" w:before="19"/>
        <w:ind w:left="154" w:right="6686"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）使用寿命有限的无形资产的使用寿命估计情况</w:t>
      </w:r>
      <w:r>
        <w:rPr>
          <w:rFonts w:ascii="宋体" w:hAnsi="宋体" w:cs="宋体" w:eastAsia="宋体" w:hint="default"/>
          <w:b/>
          <w:bCs/>
          <w:w w:val="99"/>
          <w:sz w:val="18"/>
          <w:szCs w:val="18"/>
        </w:rPr>
        <w:t> </w:t>
      </w:r>
      <w:r>
        <w:rPr>
          <w:rFonts w:ascii="宋体" w:hAnsi="宋体" w:cs="宋体" w:eastAsia="宋体" w:hint="default"/>
          <w:sz w:val="18"/>
          <w:szCs w:val="18"/>
        </w:rPr>
        <w:t>各项无形资产的使用寿命如下：</w:t>
      </w:r>
    </w:p>
    <w:tbl>
      <w:tblPr>
        <w:tblW w:w="0" w:type="auto"/>
        <w:jc w:val="left"/>
        <w:tblInd w:w="146" w:type="dxa"/>
        <w:tblLayout w:type="fixed"/>
        <w:tblCellMar>
          <w:top w:w="0" w:type="dxa"/>
          <w:left w:w="0" w:type="dxa"/>
          <w:bottom w:w="0" w:type="dxa"/>
          <w:right w:w="0" w:type="dxa"/>
        </w:tblCellMar>
        <w:tblLook w:val="01E0"/>
      </w:tblPr>
      <w:tblGrid>
        <w:gridCol w:w="4255"/>
        <w:gridCol w:w="4276"/>
      </w:tblGrid>
      <w:tr>
        <w:trPr>
          <w:trHeight w:val="347" w:hRule="exact"/>
        </w:trPr>
        <w:tc>
          <w:tcPr>
            <w:tcW w:w="42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分类</w:t>
            </w:r>
          </w:p>
        </w:tc>
        <w:tc>
          <w:tcPr>
            <w:tcW w:w="42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770" w:right="0"/>
              <w:jc w:val="left"/>
              <w:rPr>
                <w:rFonts w:ascii="宋体" w:hAnsi="宋体" w:cs="宋体" w:eastAsia="宋体" w:hint="default"/>
                <w:sz w:val="18"/>
                <w:szCs w:val="18"/>
              </w:rPr>
            </w:pPr>
            <w:r>
              <w:rPr>
                <w:rFonts w:ascii="宋体" w:hAnsi="宋体" w:cs="宋体" w:eastAsia="宋体" w:hint="default"/>
                <w:sz w:val="18"/>
                <w:szCs w:val="18"/>
              </w:rPr>
              <w:t>使用寿命</w:t>
            </w:r>
          </w:p>
        </w:tc>
      </w:tr>
      <w:tr>
        <w:trPr>
          <w:trHeight w:val="347"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47-50</w:t>
            </w:r>
            <w:r>
              <w:rPr>
                <w:rFonts w:ascii="宋体" w:hAnsi="宋体" w:cs="宋体" w:eastAsia="宋体" w:hint="default"/>
                <w:sz w:val="18"/>
                <w:szCs w:val="18"/>
              </w:rPr>
              <w:t>年</w:t>
            </w:r>
          </w:p>
        </w:tc>
      </w:tr>
      <w:tr>
        <w:trPr>
          <w:trHeight w:val="348"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财务管理软件</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宋体" w:hAnsi="宋体" w:cs="宋体" w:eastAsia="宋体" w:hint="default"/>
                <w:sz w:val="18"/>
                <w:szCs w:val="18"/>
              </w:rPr>
              <w:t>年</w:t>
            </w:r>
          </w:p>
        </w:tc>
      </w:tr>
      <w:tr>
        <w:trPr>
          <w:trHeight w:val="347"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网络管理软件</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宋体" w:hAnsi="宋体" w:cs="宋体" w:eastAsia="宋体" w:hint="default"/>
                <w:sz w:val="18"/>
                <w:szCs w:val="18"/>
              </w:rPr>
              <w:t>年</w:t>
            </w:r>
          </w:p>
        </w:tc>
      </w:tr>
      <w:tr>
        <w:trPr>
          <w:trHeight w:val="347" w:hRule="exact"/>
        </w:trPr>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4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spacing w:line="240" w:lineRule="auto" w:before="11"/>
        <w:rPr>
          <w:rFonts w:ascii="宋体" w:hAnsi="宋体" w:cs="宋体" w:eastAsia="宋体" w:hint="default"/>
          <w:sz w:val="22"/>
          <w:szCs w:val="22"/>
        </w:rPr>
      </w:pPr>
    </w:p>
    <w:p>
      <w:pPr>
        <w:spacing w:line="340" w:lineRule="auto" w:before="44"/>
        <w:ind w:left="154" w:right="481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）使用寿命不确定的无形资产的判断依据</w:t>
      </w:r>
      <w:r>
        <w:rPr>
          <w:rFonts w:ascii="宋体" w:hAnsi="宋体" w:cs="宋体" w:eastAsia="宋体" w:hint="default"/>
          <w:b/>
          <w:bCs/>
          <w:w w:val="99"/>
          <w:sz w:val="18"/>
          <w:szCs w:val="18"/>
        </w:rPr>
        <w:t> </w:t>
      </w:r>
      <w:r>
        <w:rPr>
          <w:rFonts w:ascii="宋体" w:hAnsi="宋体" w:cs="宋体" w:eastAsia="宋体" w:hint="default"/>
          <w:sz w:val="18"/>
          <w:szCs w:val="18"/>
        </w:rPr>
        <w:t>无法预见其为本集团带来经济利益期限的作为使用寿命不确定的无形资产。</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7、长期资产减值" w:id="188"/>
      <w:bookmarkEnd w:id="188"/>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本集团对除存货、递延所得税、金融资产外的资产减值，按以下方法确定： </w:t>
      </w:r>
      <w:r>
        <w:rPr>
          <w:spacing w:val="-2"/>
        </w:rPr>
        <w:t>本集团于资产负债表日判断资产是否存在可能发生减值的迹象，存在减值迹象的，本集团将估计其可收回金额，进行减值测</w:t>
      </w:r>
      <w:r>
        <w:rPr>
          <w:spacing w:val="-66"/>
        </w:rPr>
        <w:t> </w:t>
      </w:r>
      <w:r>
        <w:rPr>
          <w:spacing w:val="-66"/>
        </w:rPr>
      </w:r>
      <w:r>
        <w:rPr>
          <w:spacing w:val="-2"/>
        </w:rPr>
        <w:t>试。对因企业合并所形成的商誉和使用寿命不确定的无形资产，无论是否存在减值迹象，至少于每年末进行减值测试。对于</w:t>
      </w:r>
      <w:r>
        <w:rPr>
          <w:spacing w:val="-66"/>
        </w:rPr>
        <w:t> </w:t>
      </w:r>
      <w:r>
        <w:rPr>
          <w:spacing w:val="-66"/>
        </w:rPr>
      </w:r>
      <w:r>
        <w:rPr/>
        <w:t>尚未达到可使用状态的无形资产，也每年进行减值测试。 </w:t>
      </w: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3"/>
        </w:rPr>
        <w:t> </w:t>
      </w:r>
      <w:r>
        <w:rPr>
          <w:spacing w:val="-63"/>
        </w:rPr>
      </w:r>
      <w:r>
        <w:rPr/>
        <w:t>回金额。资产组的认定，以资产组产生的主要现金流入是否独立于其他资产或者资产组的现金流入为依据。 </w:t>
      </w:r>
      <w:r>
        <w:rPr>
          <w:spacing w:val="-2"/>
        </w:rPr>
        <w:t>当资产或者资产组的可收回金额低于其账面价值时，本集团将其账面价值减记至可收回金额，减记的金额计入当期损益，同</w:t>
      </w:r>
      <w:r>
        <w:rPr>
          <w:spacing w:val="-66"/>
        </w:rPr>
        <w:t> </w:t>
      </w:r>
      <w:r>
        <w:rPr>
          <w:spacing w:val="-66"/>
        </w:rPr>
      </w:r>
      <w:r>
        <w:rPr/>
        <w:t>时计提相应的资产减值准备。</w:t>
      </w:r>
    </w:p>
    <w:p>
      <w:pPr>
        <w:pStyle w:val="BodyText"/>
        <w:spacing w:line="240" w:lineRule="auto" w:before="19"/>
        <w:ind w:right="0"/>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18、长期待摊费用" w:id="189"/>
      <w:bookmarkEnd w:id="189"/>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长期待摊费用包括预付经营租赁费用及经营租入固定资产改良，按租赁期和预计受益期孰短采用直线法摊销，并以实际支出</w:t>
      </w:r>
      <w:r>
        <w:rPr>
          <w:spacing w:val="-64"/>
        </w:rPr>
        <w:t> </w:t>
      </w:r>
      <w:r>
        <w:rPr>
          <w:spacing w:val="-64"/>
        </w:rPr>
      </w:r>
      <w:r>
        <w:rPr/>
        <w:t>减去累计摊销与减值准备后的净额列示。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19、职工薪酬" w:id="190"/>
      <w:bookmarkEnd w:id="190"/>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191"/>
      <w:bookmarkEnd w:id="19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职工薪酬，是指本集团为获得职工提供的服务或解除劳动关系而给予的除股份支付以外各种形式的报酬或补偿以及其他相关</w:t>
      </w:r>
      <w:r>
        <w:rPr>
          <w:spacing w:val="-64"/>
        </w:rPr>
        <w:t> </w:t>
      </w:r>
      <w:r>
        <w:rPr>
          <w:spacing w:val="-64"/>
        </w:rPr>
      </w:r>
      <w:r>
        <w:rPr>
          <w:spacing w:val="-2"/>
        </w:rPr>
        <w:t>支出。职工薪酬包括短期薪酬、离职后福利、辞退福利和其他长期职工福利。本集团提供给职工配偶、子女、受赡养人、已</w:t>
      </w:r>
      <w:r>
        <w:rPr>
          <w:spacing w:val="-71"/>
        </w:rPr>
        <w:t> </w:t>
      </w:r>
      <w:r>
        <w:rPr>
          <w:spacing w:val="-71"/>
        </w:rPr>
      </w:r>
      <w:r>
        <w:rPr/>
        <w:t>故员工遗属及其他受益人等的福利，也属于职工薪酬。</w:t>
      </w:r>
    </w:p>
    <w:p>
      <w:pPr>
        <w:pStyle w:val="BodyText"/>
        <w:spacing w:line="316" w:lineRule="auto" w:before="19"/>
        <w:ind w:right="2832"/>
        <w:jc w:val="left"/>
      </w:pPr>
      <w:r>
        <w:rPr/>
        <w:t>短期薪酬 在职工提供服务的会计期间，将实际发生的短期薪酬确认为负债，并计入当期损益或相关资产成本。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离职后福利的会计处理方法" w:id="192"/>
      <w:bookmarkEnd w:id="19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离职后福利即设定提存计划。本集团的职工参加由当地政府管理的养老保险和失业保险，相应支出在发生时计入相关资产成</w:t>
      </w:r>
      <w:r>
        <w:rPr>
          <w:spacing w:val="-64"/>
        </w:rPr>
        <w:t> </w:t>
      </w:r>
      <w:r>
        <w:rPr>
          <w:spacing w:val="-64"/>
        </w:rPr>
      </w:r>
      <w:r>
        <w:rPr/>
        <w:t>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3）辞退福利的会计处理方法" w:id="193"/>
      <w:bookmarkEnd w:id="19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本集团向职工提供辞退福利的，在下列两者孰早日确认辞退福利产生的职工薪酬负债，并计入当期损益：企业不能单方面撤</w:t>
      </w:r>
      <w:r>
        <w:rPr>
          <w:spacing w:val="-66"/>
        </w:rPr>
        <w:t> </w:t>
      </w:r>
      <w:r>
        <w:rPr>
          <w:spacing w:val="-66"/>
        </w:rPr>
      </w:r>
      <w:r>
        <w:rPr/>
        <w:t>回因解除劳动关系计划或裁减建议所提供的辞退福利时；企业确认与涉及支付辞退福利的重组相关的成本或费用时。</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其他长期职工福利的会计处理方法" w:id="194"/>
      <w:bookmarkEnd w:id="19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本集团无其他长期职工福利。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20、预计负债" w:id="195"/>
      <w:bookmarkEnd w:id="195"/>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预计负债的确认标准</w:t>
      </w:r>
      <w:r>
        <w:rPr>
          <w:rFonts w:ascii="宋体" w:hAnsi="宋体" w:cs="宋体" w:eastAsia="宋体" w:hint="default"/>
          <w:b/>
          <w:bCs/>
          <w:w w:val="99"/>
        </w:rPr>
        <w:t> </w:t>
      </w:r>
      <w:r>
        <w:rPr>
          <w:spacing w:val="-2"/>
        </w:rPr>
        <w:t>除了非同一控制下企业合并中的或有对价及承担的或有负债之外，当与或有事项相关的义务同时符合以下条件，本集团将其</w:t>
      </w:r>
      <w:r>
        <w:rPr>
          <w:spacing w:val="-64"/>
        </w:rPr>
        <w:t> </w:t>
      </w:r>
      <w:r>
        <w:rPr>
          <w:spacing w:val="-64"/>
        </w:rPr>
      </w:r>
      <w:r>
        <w:rPr/>
        <w:t>确认为预计负债：</w:t>
      </w:r>
    </w:p>
    <w:p>
      <w:pPr>
        <w:pStyle w:val="BodyText"/>
        <w:spacing w:line="240" w:lineRule="auto" w:before="24"/>
        <w:ind w:right="0"/>
        <w:jc w:val="left"/>
      </w:pPr>
      <w:r>
        <w:rPr>
          <w:rFonts w:ascii="Times New Roman" w:hAnsi="Times New Roman" w:cs="Times New Roman" w:eastAsia="Times New Roman" w:hint="default"/>
        </w:rPr>
        <w:t>1</w:t>
      </w:r>
      <w:r>
        <w:rPr/>
        <w:t>）该义务是本集团承担的现时义务；</w:t>
      </w:r>
    </w:p>
    <w:p>
      <w:pPr>
        <w:pStyle w:val="BodyText"/>
        <w:spacing w:line="240" w:lineRule="auto" w:before="63"/>
        <w:ind w:right="0"/>
        <w:jc w:val="left"/>
      </w:pPr>
      <w:r>
        <w:rPr>
          <w:rFonts w:ascii="Times New Roman" w:hAnsi="Times New Roman" w:cs="Times New Roman" w:eastAsia="Times New Roman" w:hint="default"/>
        </w:rPr>
        <w:t>2)</w:t>
      </w:r>
      <w:r>
        <w:rPr/>
        <w:t>该义务的履行很可能导致经济利益流出本集团；</w:t>
      </w:r>
    </w:p>
    <w:p>
      <w:pPr>
        <w:pStyle w:val="BodyText"/>
        <w:spacing w:line="240" w:lineRule="auto" w:before="63"/>
        <w:ind w:right="0"/>
        <w:jc w:val="left"/>
      </w:pPr>
      <w:r>
        <w:rPr>
          <w:rFonts w:ascii="Times New Roman" w:hAnsi="Times New Roman" w:cs="Times New Roman" w:eastAsia="Times New Roman" w:hint="default"/>
        </w:rPr>
        <w:t>3)</w:t>
      </w:r>
      <w:r>
        <w:rPr/>
        <w:t>该义务的金额能够可靠地计量。</w:t>
      </w:r>
    </w:p>
    <w:p>
      <w:pPr>
        <w:pStyle w:val="BodyText"/>
        <w:spacing w:line="312" w:lineRule="auto" w:before="63"/>
        <w:ind w:right="0"/>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预计负债的计量方法</w:t>
      </w:r>
      <w:r>
        <w:rPr>
          <w:rFonts w:ascii="宋体" w:hAnsi="宋体" w:cs="宋体" w:eastAsia="宋体" w:hint="default"/>
          <w:b/>
          <w:bCs/>
          <w:w w:val="99"/>
        </w:rPr>
        <w:t> </w:t>
      </w:r>
      <w:r>
        <w:rPr/>
        <w:t>预计负债按照履行相关现时义务所需支出的最佳估计数进行初始计量，并综合考虑与或有事项有关的风险、不确定性和货 </w:t>
      </w:r>
      <w:r>
        <w:rPr>
          <w:spacing w:val="-2"/>
        </w:rPr>
        <w:t>币时间价值等因素。每个资产负债表日对预计负债的账面价值进行复核。有确凿证据表明该账面价值不能反映当前最佳估计</w:t>
      </w:r>
      <w:r>
        <w:rPr>
          <w:spacing w:val="-64"/>
        </w:rPr>
        <w:t> </w:t>
      </w:r>
      <w:r>
        <w:rPr>
          <w:spacing w:val="-64"/>
        </w:rPr>
      </w:r>
      <w:r>
        <w:rPr/>
        <w:t>数的，按照当前最佳估计数对该账面价值进行调整。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21、股份支付" w:id="196"/>
      <w:bookmarkEnd w:id="196"/>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股份支付的种类</w:t>
      </w:r>
      <w:r>
        <w:rPr>
          <w:rFonts w:ascii="宋体" w:hAnsi="宋体" w:cs="宋体" w:eastAsia="宋体" w:hint="default"/>
          <w:b/>
          <w:bCs/>
          <w:w w:val="99"/>
        </w:rPr>
        <w:t> </w:t>
      </w:r>
      <w:r>
        <w:rPr>
          <w:spacing w:val="-2"/>
        </w:rPr>
        <w:t>股份支付，分为以权益结算的股份支付和以现金结算的股份支付。以权益结算的股份支付，是指本集团为获取服务以股份或</w:t>
      </w:r>
      <w:r>
        <w:rPr>
          <w:spacing w:val="-65"/>
        </w:rPr>
        <w:t> </w:t>
      </w:r>
      <w:r>
        <w:rPr>
          <w:spacing w:val="-65"/>
        </w:rPr>
      </w:r>
      <w:r>
        <w:rPr/>
        <w:t>其他权益工具作为对价进行结算的交易。</w:t>
      </w:r>
    </w:p>
    <w:p>
      <w:pPr>
        <w:pStyle w:val="BodyText"/>
        <w:spacing w:line="312" w:lineRule="auto" w:before="24"/>
        <w:ind w:right="1043"/>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0"/>
        </w:rPr>
        <w:t> </w:t>
      </w:r>
      <w:r>
        <w:rPr>
          <w:rFonts w:ascii="宋体" w:hAnsi="宋体" w:cs="宋体" w:eastAsia="宋体" w:hint="default"/>
          <w:b/>
          <w:bCs/>
        </w:rPr>
        <w:t>权益工具公允价值的确定方法及确认可行权权益工具最佳估计的依据</w:t>
      </w:r>
      <w:r>
        <w:rPr>
          <w:rFonts w:ascii="宋体" w:hAnsi="宋体" w:cs="宋体" w:eastAsia="宋体" w:hint="default"/>
          <w:b/>
          <w:bCs/>
          <w:w w:val="99"/>
        </w:rPr>
        <w:t> </w:t>
      </w:r>
      <w:r>
        <w:rPr>
          <w:spacing w:val="-2"/>
        </w:rPr>
        <w:t>以权益结算的股份支付换取职工提供服务的，以授予职工权益工具的公允价值计量。完成等待期内的服务或达到规定业绩条</w:t>
      </w:r>
      <w:r>
        <w:rPr>
          <w:spacing w:val="-64"/>
        </w:rPr>
        <w:t> </w:t>
      </w:r>
      <w:r>
        <w:rPr>
          <w:spacing w:val="-64"/>
        </w:rPr>
      </w:r>
      <w:r>
        <w:rPr>
          <w:spacing w:val="-2"/>
        </w:rPr>
        <w:t>件才可行权的，在等待期内每个资产负债表日，本集团根据最新取得的可行权职工人数变动、是否达到规定业绩条件等后续</w:t>
      </w:r>
      <w:r>
        <w:rPr>
          <w:spacing w:val="-66"/>
        </w:rPr>
        <w:t> </w:t>
      </w:r>
      <w:r>
        <w:rPr>
          <w:spacing w:val="-66"/>
        </w:rPr>
      </w:r>
      <w:r>
        <w:rPr/>
        <w:t>信息对可行权权益工具数量作出最佳估计，以此为基础，按照授予日的公允价值，将当期取得的服务计入相关成本或费用， 相应增加资本公积。权益工具的公允价值采用布莱克</w:t>
      </w:r>
      <w:r>
        <w:rPr>
          <w:rFonts w:ascii="Times New Roman" w:hAnsi="Times New Roman" w:cs="Times New Roman" w:eastAsia="Times New Roman" w:hint="default"/>
        </w:rPr>
        <w:t>-</w:t>
      </w:r>
      <w:r>
        <w:rPr/>
        <w:t>斯克尔期权定价模型确定，参见附注十三。 </w:t>
      </w:r>
      <w:r>
        <w:rPr>
          <w:spacing w:val="-4"/>
        </w:rPr>
        <w:t>在满足业绩条件和服务期限条件的期间，应确认以权益结算的股份支付的成本或费用，并相应增加资本公积。可行权日之前，</w:t>
      </w:r>
      <w:r>
        <w:rPr>
          <w:spacing w:val="-44"/>
        </w:rPr>
        <w:t> </w:t>
      </w:r>
      <w:r>
        <w:rPr>
          <w:spacing w:val="-44"/>
        </w:rPr>
      </w:r>
      <w:r>
        <w:rPr/>
        <w:t>于每个资产负债表日为以权益结算的股份支付确认的累计金额反映了等待期已届满的部分以及本集团对最终可行权的权益 工具数量的最佳估计。</w:t>
      </w:r>
    </w:p>
    <w:p>
      <w:pPr>
        <w:pStyle w:val="BodyText"/>
        <w:spacing w:line="316" w:lineRule="auto" w:before="22"/>
        <w:ind w:right="1032"/>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0"/>
        </w:rPr>
        <w:t> </w:t>
      </w:r>
      <w:r>
        <w:rPr>
          <w:rFonts w:ascii="宋体" w:hAnsi="宋体" w:cs="宋体" w:eastAsia="宋体" w:hint="default"/>
          <w:b/>
          <w:bCs/>
        </w:rPr>
        <w:t>修改及终止股份支付计划的相关会计处理</w:t>
      </w:r>
      <w:r>
        <w:rPr>
          <w:rFonts w:ascii="宋体" w:hAnsi="宋体" w:cs="宋体" w:eastAsia="宋体" w:hint="default"/>
          <w:b/>
          <w:bCs/>
          <w:w w:val="99"/>
        </w:rPr>
        <w:t> </w:t>
      </w:r>
      <w:r>
        <w:rPr>
          <w:spacing w:val="-2"/>
        </w:rPr>
        <w:t>对由于未满足非市场条件和服务期限条件而最终未能行权的股份支付，不确认成本或费用，不确认成本或费用，股份支付协</w:t>
      </w:r>
      <w:r>
        <w:rPr>
          <w:spacing w:val="-66"/>
        </w:rPr>
        <w:t> </w:t>
      </w:r>
      <w:r>
        <w:rPr>
          <w:spacing w:val="-66"/>
        </w:rPr>
      </w:r>
      <w:r>
        <w:rPr/>
        <w:t>议中规定了市场条件或非可行权条件的，无论是否满足市场条件或非可行权条件，只要满足其他业绩条件和服务期限条件，</w:t>
      </w:r>
      <w:r>
        <w:rPr/>
        <w:t> 即视为可行权。 </w:t>
      </w:r>
      <w:r>
        <w:rPr>
          <w:spacing w:val="-2"/>
        </w:rPr>
        <w:t>如果修改了以权益结算的股份支付的条款，至少按照未修改条款的情况确认取得的服务。此外，任何增加所授予权益工具公</w:t>
      </w:r>
      <w:r>
        <w:rPr>
          <w:spacing w:val="-66"/>
        </w:rPr>
        <w:t> </w:t>
      </w:r>
      <w:r>
        <w:rPr>
          <w:spacing w:val="-66"/>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r>
        <w:rPr>
          <w:spacing w:val="-66"/>
        </w:rPr>
        <w:t> </w:t>
      </w:r>
      <w:r>
        <w:rPr>
          <w:spacing w:val="-66"/>
        </w:rPr>
      </w:r>
      <w:r>
        <w:rPr>
          <w:spacing w:val="-2"/>
        </w:rPr>
        <w:t>具授予日认定所授予的新权益工具是用于替代被取消的权益工具的，则以与处理原权益工具条款和条件修改相同的方式，对</w:t>
      </w:r>
      <w:r>
        <w:rPr>
          <w:spacing w:val="-63"/>
        </w:rPr>
        <w:t> </w:t>
      </w:r>
      <w:r>
        <w:rPr>
          <w:spacing w:val="-63"/>
        </w:rPr>
      </w:r>
      <w:r>
        <w:rPr/>
        <w:t>所授予的替代权益工具进行处理。</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2、收入" w:id="197"/>
      <w:bookmarkEnd w:id="197"/>
      <w:r>
        <w:rPr>
          <w:b w:val="0"/>
          <w:bCs w:val="0"/>
        </w:rPr>
      </w:r>
      <w:r>
        <w:rPr>
          <w:rFonts w:ascii="Times New Roman" w:hAnsi="Times New Roman" w:cs="Times New Roman" w:eastAsia="Times New Roman" w:hint="default"/>
        </w:rPr>
        <w:t>22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8"/>
        <w:ind w:right="0"/>
        <w:jc w:val="left"/>
      </w:pPr>
      <w:r>
        <w:rPr/>
        <w:t>收入在经济利益很可能流入本集团、且金额能够可靠计量，并同时满足下列条件时予以确认。 </w:t>
      </w:r>
      <w:r>
        <w:rPr>
          <w:spacing w:val="-2"/>
        </w:rPr>
        <w:t>本集团已将商品所有权上的主要风险和报酬转移给购货方，并不再对该商品保留通常与所有权相联系的继续管理权和实施有</w:t>
      </w:r>
      <w:r>
        <w:rPr>
          <w:spacing w:val="-64"/>
        </w:rPr>
        <w:t> </w:t>
      </w:r>
      <w:r>
        <w:rPr>
          <w:spacing w:val="-64"/>
        </w:rPr>
      </w:r>
      <w:r>
        <w:rPr>
          <w:spacing w:val="-2"/>
        </w:rPr>
        <w:t>效控制，且相关的已发生或将发生的成本能够可靠地计量，确认为收入的实现。销售商品收入金额，按照从购货方已收或应</w:t>
      </w:r>
      <w:r>
        <w:rPr>
          <w:spacing w:val="-66"/>
        </w:rPr>
        <w:t> </w:t>
      </w:r>
      <w:r>
        <w:rPr>
          <w:spacing w:val="-66"/>
        </w:rPr>
      </w:r>
      <w:r>
        <w:rPr>
          <w:spacing w:val="-2"/>
        </w:rPr>
        <w:t>收的合同或协议价款确定，但已收或应收的合同或协议价款不公允的除外；合同或协议价款的收取采用递延方式，实质上具</w:t>
      </w:r>
      <w:r>
        <w:rPr>
          <w:spacing w:val="-65"/>
        </w:rPr>
        <w:t> </w:t>
      </w:r>
      <w:r>
        <w:rPr>
          <w:spacing w:val="-65"/>
        </w:rPr>
      </w:r>
      <w:r>
        <w:rPr/>
        <w:t>有融资性质的，按照应收的合同或协议价款的公允价值确定。</w:t>
      </w:r>
    </w:p>
    <w:p>
      <w:pPr>
        <w:pStyle w:val="BodyText"/>
        <w:spacing w:line="300" w:lineRule="auto" w:before="19"/>
        <w:ind w:right="112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w:t>
      </w:r>
      <w:r>
        <w:rPr>
          <w:rFonts w:ascii="宋体" w:hAnsi="宋体" w:cs="宋体" w:eastAsia="宋体" w:hint="default"/>
          <w:b/>
          <w:bCs/>
          <w:w w:val="99"/>
        </w:rPr>
        <w:t> </w:t>
      </w:r>
      <w:r>
        <w:rPr/>
        <w:t>公司具体的销售商品收入确认原则如下：</w:t>
      </w:r>
      <w:r>
        <w:rPr>
          <w:rFonts w:ascii="Times New Roman" w:hAnsi="Times New Roman" w:cs="Times New Roman" w:eastAsia="Times New Roman" w:hint="default"/>
        </w:rPr>
        <w:t>1.</w:t>
      </w:r>
      <w:r>
        <w:rPr/>
        <w:t>批发：于向加盟商发出货物时，确认销售收入。</w:t>
      </w:r>
      <w:r>
        <w:rPr>
          <w:rFonts w:ascii="Times New Roman" w:hAnsi="Times New Roman" w:cs="Times New Roman" w:eastAsia="Times New Roman" w:hint="default"/>
        </w:rPr>
        <w:t>2.</w:t>
      </w:r>
      <w:r>
        <w:rPr/>
        <w:t>零售：于商品交付给消费者并 收取价款时，确认销售收入。</w:t>
      </w:r>
    </w:p>
    <w:p>
      <w:pPr>
        <w:spacing w:line="300" w:lineRule="auto" w:before="31"/>
        <w:ind w:left="154" w:right="607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）利息收入</w:t>
      </w:r>
      <w:r>
        <w:rPr>
          <w:rFonts w:ascii="宋体" w:hAnsi="宋体" w:cs="宋体" w:eastAsia="宋体" w:hint="default"/>
          <w:b/>
          <w:bCs/>
          <w:w w:val="99"/>
          <w:sz w:val="18"/>
          <w:szCs w:val="18"/>
        </w:rPr>
        <w:t> </w:t>
      </w:r>
      <w:r>
        <w:rPr>
          <w:rFonts w:ascii="宋体" w:hAnsi="宋体" w:cs="宋体" w:eastAsia="宋体" w:hint="default"/>
          <w:sz w:val="18"/>
          <w:szCs w:val="18"/>
        </w:rPr>
        <w:t>按照他人使用本集团货币资金的时间和实际利率计算确定。</w:t>
      </w:r>
    </w:p>
    <w:p>
      <w:pPr>
        <w:pStyle w:val="BodyText"/>
        <w:spacing w:line="300" w:lineRule="auto" w:before="31"/>
        <w:ind w:right="211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）租赁收入</w:t>
      </w:r>
      <w:r>
        <w:rPr>
          <w:rFonts w:ascii="宋体" w:hAnsi="宋体" w:cs="宋体" w:eastAsia="宋体" w:hint="default"/>
          <w:b/>
          <w:bCs/>
          <w:w w:val="99"/>
        </w:rPr>
        <w:t> </w:t>
      </w:r>
      <w:r>
        <w:rPr/>
        <w:t>经营租赁的租金收入在租赁期内各个期间按照直线法确认为当期损益，或有租金在实际发生时计入当期损益。</w:t>
      </w:r>
    </w:p>
    <w:p>
      <w:pPr>
        <w:spacing w:line="300" w:lineRule="auto" w:before="31"/>
        <w:ind w:left="154" w:right="463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）提供劳务收入</w:t>
      </w:r>
      <w:r>
        <w:rPr>
          <w:rFonts w:ascii="宋体" w:hAnsi="宋体" w:cs="宋体" w:eastAsia="宋体" w:hint="default"/>
          <w:b/>
          <w:bCs/>
          <w:w w:val="99"/>
          <w:sz w:val="18"/>
          <w:szCs w:val="18"/>
        </w:rPr>
        <w:t> </w:t>
      </w:r>
      <w:r>
        <w:rPr>
          <w:rFonts w:ascii="宋体" w:hAnsi="宋体" w:cs="宋体" w:eastAsia="宋体" w:hint="default"/>
          <w:sz w:val="18"/>
          <w:szCs w:val="18"/>
        </w:rPr>
        <w:t>在劳务已经提供，收到价款或取得收取价款的依据时，确认劳务收入的实现。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23、政府补助" w:id="198"/>
      <w:bookmarkEnd w:id="198"/>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jc w:val="left"/>
      </w:pPr>
      <w:r>
        <w:rPr>
          <w:spacing w:val="-4"/>
        </w:rPr>
        <w:t>与资产相关的政府补助，冲减相关资产的账面价值；或确认为递延收益，在相关资产使用寿命内按照合理、系统的方法分期，</w:t>
      </w:r>
      <w:r>
        <w:rPr>
          <w:spacing w:val="-46"/>
        </w:rPr>
        <w:t> </w:t>
      </w:r>
      <w:r>
        <w:rPr>
          <w:spacing w:val="-46"/>
        </w:rPr>
      </w:r>
      <w:r>
        <w:rPr/>
        <w:t>计入损益</w:t>
      </w:r>
      <w:r>
        <w:rPr>
          <w:rFonts w:ascii="Times New Roman" w:hAnsi="Times New Roman" w:cs="Times New Roman" w:eastAsia="Times New Roman" w:hint="default"/>
        </w:rPr>
        <w:t>(</w:t>
      </w:r>
      <w:r>
        <w:rPr/>
        <w:t>但按照名义金额计量的政府补助，直接计入当期损益</w:t>
      </w:r>
      <w:r>
        <w:rPr>
          <w:rFonts w:ascii="Times New Roman" w:hAnsi="Times New Roman" w:cs="Times New Roman" w:eastAsia="Times New Roman" w:hint="default"/>
        </w:rPr>
        <w:t>)</w:t>
      </w:r>
      <w:r>
        <w:rPr/>
        <w:t>，相关资产在使用寿命结束前被出售、转让、报废或发生毁 损的，尚未分配的相关递延收益余额转入资产处置当期的损益。 </w:t>
      </w:r>
      <w:r>
        <w:rPr>
          <w:spacing w:val="-2"/>
        </w:rPr>
        <w:t>政府补助在能够满足其所附的条件并且能够收到时，予以确认。政府补助为货币性资产的，按照收到或应收的金额计量。政</w:t>
      </w:r>
      <w:r>
        <w:rPr>
          <w:spacing w:val="-66"/>
        </w:rPr>
        <w:t> </w:t>
      </w:r>
      <w:r>
        <w:rPr>
          <w:spacing w:val="-66"/>
        </w:rPr>
      </w:r>
      <w:r>
        <w:rPr/>
        <w:t>府补助为非货币性资产的，按照公允价值计量；公允价值不能可靠取得的，按照名义金额计量。 政府文件规定用于购建或以其他方式形成长期资产的，作为与资产相关的政府补助。</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与收益相关的政府补助，用于补偿以后期间的相关成本费用或损失的，确认为递延收益，并在确认相关成本费用或损失的期</w:t>
      </w:r>
      <w:r>
        <w:rPr>
          <w:spacing w:val="-66"/>
        </w:rPr>
        <w:t> </w:t>
      </w:r>
      <w:r>
        <w:rPr>
          <w:spacing w:val="-66"/>
        </w:rPr>
      </w:r>
      <w:r>
        <w:rPr/>
        <w:t>间计入当期损益或冲减相关成本；用于补偿已发生的相关成本费用或损失的，直接计入当期损益或冲减相关成本。 </w:t>
      </w:r>
      <w:r>
        <w:rPr>
          <w:spacing w:val="-2"/>
        </w:rPr>
        <w:t>政府补助在能够满足其所附的条件并且能够收到时，予以确认。政府补助为货币性资产的，按照收到或应收的金额计量。政</w:t>
      </w:r>
      <w:r>
        <w:rPr>
          <w:spacing w:val="-66"/>
        </w:rPr>
        <w:t> </w:t>
      </w:r>
      <w:r>
        <w:rPr>
          <w:spacing w:val="-66"/>
        </w:rPr>
      </w:r>
      <w:r>
        <w:rPr/>
        <w:t>府补助为非货币性资产的，按照公允价值计量；公允价值不能可靠取得的，按照名义金额计量。 </w:t>
      </w:r>
      <w:r>
        <w:rPr>
          <w:spacing w:val="-2"/>
        </w:rPr>
        <w:t>政府文件不明确的，以取得该补助必须具备的基本条件为基础进行判断，以购建或其他方式形成长期资产为基本条件的作为</w:t>
      </w:r>
      <w:r>
        <w:rPr>
          <w:spacing w:val="-64"/>
        </w:rPr>
        <w:t> </w:t>
      </w:r>
      <w:r>
        <w:rPr>
          <w:spacing w:val="-64"/>
        </w:rPr>
      </w:r>
      <w:r>
        <w:rPr/>
        <w:t>与资产相关的政府补助，除此之外的作为与收益相关的政府补助。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24、递延所得税资产/递延所得税负债" w:id="199"/>
      <w:bookmarkEnd w:id="199"/>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所得税包括当期所得税和递延所得税，除由于企业合并产生的调整商誉，或与直接计入股东权益的交易或者事项相关的计入</w:t>
      </w:r>
    </w:p>
    <w:p>
      <w:pPr>
        <w:spacing w:after="0" w:line="240" w:lineRule="auto"/>
        <w:jc w:val="left"/>
        <w:sectPr>
          <w:footerReference w:type="default" r:id="rId14"/>
          <w:pgSz w:w="11910" w:h="16840"/>
          <w:pgMar w:footer="979" w:header="747" w:top="1060" w:bottom="1160" w:left="980" w:right="0"/>
          <w:pgNumType w:start="90"/>
        </w:sectPr>
      </w:pPr>
    </w:p>
    <w:p>
      <w:pPr>
        <w:spacing w:line="240" w:lineRule="auto" w:before="12"/>
        <w:rPr>
          <w:rFonts w:ascii="宋体" w:hAnsi="宋体" w:cs="宋体" w:eastAsia="宋体" w:hint="default"/>
          <w:sz w:val="25"/>
          <w:szCs w:val="25"/>
        </w:rPr>
      </w:pPr>
    </w:p>
    <w:p>
      <w:pPr>
        <w:pStyle w:val="BodyText"/>
        <w:spacing w:line="319" w:lineRule="auto" w:before="44"/>
        <w:ind w:right="1118"/>
        <w:jc w:val="left"/>
      </w:pPr>
      <w:r>
        <w:rPr/>
        <w:t>股东权益外，均作为所得税费用或收益计入当期损益。 本集团对于当期和以前期间形成的当期所得税负债或资产，按照税法规定计算的预期应交纳或返还的所得税金额计量。 </w:t>
      </w:r>
      <w:r>
        <w:rPr>
          <w:spacing w:val="-2"/>
        </w:rPr>
        <w:t>本集团根据资产与负债于资产负债表日的账面价值与计税基础之间的暂时性差异，以及未作为资产和负债确认但按照税法规</w:t>
      </w:r>
      <w:r>
        <w:rPr>
          <w:spacing w:val="-64"/>
        </w:rPr>
        <w:t> </w:t>
      </w:r>
      <w:r>
        <w:rPr>
          <w:spacing w:val="-64"/>
        </w:rPr>
      </w:r>
      <w:r>
        <w:rPr/>
        <w:t>定可以确定其计税基础的项目的账面价值与计税基础之间的差额产生的暂时性差异，采用资产负债表债务法计提递延所得 税。</w:t>
      </w:r>
    </w:p>
    <w:p>
      <w:pPr>
        <w:spacing w:line="300" w:lineRule="auto" w:before="17"/>
        <w:ind w:left="154" w:right="6072" w:firstLine="7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0"/>
          <w:sz w:val="18"/>
          <w:szCs w:val="18"/>
        </w:rPr>
        <w:t> </w:t>
      </w:r>
      <w:r>
        <w:rPr>
          <w:rFonts w:ascii="宋体" w:hAnsi="宋体" w:cs="宋体" w:eastAsia="宋体" w:hint="default"/>
          <w:b/>
          <w:bCs/>
          <w:sz w:val="18"/>
          <w:szCs w:val="18"/>
        </w:rPr>
        <w:t>确认递延所得税负债</w:t>
      </w:r>
      <w:r>
        <w:rPr>
          <w:rFonts w:ascii="宋体" w:hAnsi="宋体" w:cs="宋体" w:eastAsia="宋体" w:hint="default"/>
          <w:b/>
          <w:bCs/>
          <w:w w:val="99"/>
          <w:sz w:val="18"/>
          <w:szCs w:val="18"/>
        </w:rPr>
        <w:t> </w:t>
      </w:r>
      <w:r>
        <w:rPr>
          <w:rFonts w:ascii="宋体" w:hAnsi="宋体" w:cs="宋体" w:eastAsia="宋体" w:hint="default"/>
          <w:sz w:val="18"/>
          <w:szCs w:val="18"/>
        </w:rPr>
        <w:t>各种应纳税暂时性差异均据以确认递延所得税负债，除非：</w:t>
      </w:r>
    </w:p>
    <w:p>
      <w:pPr>
        <w:pStyle w:val="BodyText"/>
        <w:spacing w:line="300" w:lineRule="auto" w:before="31"/>
        <w:ind w:right="10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应纳税暂时性差异是在以下交易中产生的：商誉的初始确认，或者具有以下特征的交易中产生的资产或负债的初始确认：</w:t>
      </w:r>
      <w:r>
        <w:rPr>
          <w:w w:val="99"/>
        </w:rPr>
        <w:t> </w:t>
      </w:r>
      <w:r>
        <w:rPr/>
        <w:t>该交易不是企业合并，并且交易发生时既不影响会计利润也不影响应纳税所得额或可抵扣亏损。</w:t>
      </w:r>
    </w:p>
    <w:p>
      <w:pPr>
        <w:pStyle w:val="BodyText"/>
        <w:spacing w:line="300" w:lineRule="auto" w:before="31"/>
        <w:ind w:right="117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对于与子公司、合营企业及联营企业投资相关的应纳税暂时性差异，该暂时性差异转回的时间能够控制并且该暂时性差</w:t>
      </w:r>
      <w:r>
        <w:rPr>
          <w:w w:val="99"/>
        </w:rPr>
        <w:t> </w:t>
      </w:r>
      <w:r>
        <w:rPr/>
        <w:t>异在可预见的未来很可能不会转回。</w:t>
      </w:r>
    </w:p>
    <w:p>
      <w:pPr>
        <w:pStyle w:val="BodyText"/>
        <w:spacing w:line="309" w:lineRule="auto" w:before="31"/>
        <w:ind w:right="0" w:firstLine="78"/>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0"/>
        </w:rPr>
        <w:t> </w:t>
      </w:r>
      <w:r>
        <w:rPr>
          <w:rFonts w:ascii="宋体" w:hAnsi="宋体" w:cs="宋体" w:eastAsia="宋体" w:hint="default"/>
          <w:b/>
          <w:bCs/>
        </w:rPr>
        <w:t>确认递延所得税资产</w:t>
      </w:r>
      <w:r>
        <w:rPr>
          <w:rFonts w:ascii="宋体" w:hAnsi="宋体" w:cs="宋体" w:eastAsia="宋体" w:hint="default"/>
          <w:b/>
          <w:bCs/>
          <w:w w:val="99"/>
        </w:rPr>
        <w:t> </w:t>
      </w:r>
      <w:r>
        <w:rPr>
          <w:spacing w:val="-2"/>
        </w:rPr>
        <w:t>对于可抵扣暂时性差异、能够结转以后年度的可抵扣亏损和税款抵减，本集团以很可能取得用来抵扣可抵扣暂时性差异、可</w:t>
      </w:r>
      <w:r>
        <w:rPr>
          <w:spacing w:val="-66"/>
        </w:rPr>
        <w:t> </w:t>
      </w:r>
      <w:r>
        <w:rPr>
          <w:spacing w:val="-66"/>
        </w:rPr>
      </w:r>
      <w:r>
        <w:rPr/>
        <w:t>抵扣亏损和税款抵减的未来应纳税所得额为限，确认由此产生的递延所得税资产，除非：</w:t>
      </w:r>
    </w:p>
    <w:p>
      <w:pPr>
        <w:pStyle w:val="BodyText"/>
        <w:spacing w:line="300" w:lineRule="auto" w:before="24"/>
        <w:ind w:right="117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可抵扣暂时性差异是在以下交易中产生的：该交易不是企业合并，并且交易发生时既不影响会计利润也不影响应纳税所</w:t>
      </w:r>
      <w:r>
        <w:rPr>
          <w:w w:val="99"/>
        </w:rPr>
        <w:t> </w:t>
      </w:r>
      <w:r>
        <w:rPr/>
        <w:t>得额或可抵扣亏损。</w:t>
      </w:r>
    </w:p>
    <w:p>
      <w:pPr>
        <w:pStyle w:val="BodyText"/>
        <w:spacing w:line="316" w:lineRule="auto" w:before="31"/>
        <w:ind w:right="102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对于与子公司、合营企业及联营企业投资相关的可抵扣暂时性差异，同时满足下列条件的，确认相应的递延所得税资产：</w:t>
      </w:r>
      <w:r>
        <w:rPr>
          <w:w w:val="99"/>
        </w:rPr>
        <w:t> </w:t>
      </w:r>
      <w:r>
        <w:rPr/>
        <w:t>暂时性差异在可预见的未来很可能转回，且未来很可能获得用来抵扣可抵扣暂时性差异的应纳税所得额。</w:t>
      </w:r>
      <w:r>
        <w:rPr>
          <w:w w:val="99"/>
        </w:rPr>
        <w:t> </w:t>
      </w:r>
      <w:r>
        <w:rPr>
          <w:spacing w:val="-2"/>
        </w:rPr>
        <w:t>本集团于资产负债表日，对于递延所得税资产和递延所得税负债，依据税法规定，按照预期收回该资产或清偿该负债期间的</w:t>
      </w:r>
      <w:r>
        <w:rPr>
          <w:spacing w:val="-67"/>
        </w:rPr>
        <w:t> </w:t>
      </w:r>
      <w:r>
        <w:rPr>
          <w:spacing w:val="-67"/>
        </w:rPr>
      </w:r>
      <w:r>
        <w:rPr/>
        <w:t>适用税率计量，并反映资产负债表日预期收回资产或清偿负债方式的所得税影响。</w:t>
      </w:r>
      <w:r>
        <w:rPr>
          <w:w w:val="99"/>
        </w:rPr>
        <w:t> </w:t>
      </w:r>
      <w:r>
        <w:rPr>
          <w:spacing w:val="-2"/>
        </w:rPr>
        <w:t>于资产负债表日，本集团对递延所得税资产的账面价值进行复核，如果未来期间很可能无法获得足够的应纳税所得额用以抵</w:t>
      </w:r>
      <w:r>
        <w:rPr>
          <w:spacing w:val="-65"/>
        </w:rPr>
        <w:t> </w:t>
      </w:r>
      <w:r>
        <w:rPr>
          <w:spacing w:val="-65"/>
        </w:rPr>
      </w:r>
      <w:r>
        <w:rPr/>
        <w:t>扣递延所得税资产的利益，减记递延所得税资产的账面价值。于资产负债表日，本集团重新评估未确认的递延所得税资产，</w:t>
      </w:r>
      <w:r>
        <w:rPr>
          <w:w w:val="99"/>
        </w:rPr>
        <w:t> </w:t>
      </w:r>
      <w:r>
        <w:rPr/>
        <w:t>在很可能获得足够的应纳税所得额可供所有或部分递延所得税资产转回的限度内，确认递延所得税资产。</w:t>
      </w:r>
      <w:r>
        <w:rPr>
          <w:w w:val="99"/>
        </w:rPr>
        <w:t> </w:t>
      </w:r>
      <w:r>
        <w:rPr>
          <w:spacing w:val="-2"/>
        </w:rPr>
        <w:t>同时满足下列条件时，递延所得税资产和递延所得税负债以抵销后的净额列示：拥有以净额结算当期所得税资产及当期所得</w:t>
      </w:r>
      <w:r>
        <w:rPr>
          <w:spacing w:val="-65"/>
        </w:rPr>
        <w:t> </w:t>
      </w:r>
      <w:r>
        <w:rPr>
          <w:spacing w:val="-65"/>
        </w:rPr>
      </w:r>
      <w:r>
        <w:rPr>
          <w:spacing w:val="-2"/>
          <w:w w:val="99"/>
        </w:rPr>
        <w:t>税负债的法定权利；递延所得税资产和递延所得税负债是与同一税收征管部门对同一应纳税主体征收的所得税相关或者对不</w:t>
      </w:r>
      <w:r>
        <w:rPr>
          <w:spacing w:val="-64"/>
          <w:w w:val="99"/>
        </w:rPr>
        <w:t> </w:t>
      </w:r>
      <w:r>
        <w:rPr>
          <w:spacing w:val="-64"/>
          <w:w w:val="99"/>
        </w:rPr>
      </w:r>
      <w:r>
        <w:rPr>
          <w:spacing w:val="-2"/>
        </w:rPr>
        <w:t>同的纳税主体相关，但在未来每一具有重要性的递延所得税资产和递延所得税负债转回的期间内，涉及的纳税主体意图以净</w:t>
      </w:r>
      <w:r>
        <w:rPr>
          <w:spacing w:val="-65"/>
        </w:rPr>
        <w:t> </w:t>
      </w:r>
      <w:r>
        <w:rPr>
          <w:spacing w:val="-65"/>
        </w:rPr>
      </w:r>
      <w:r>
        <w:rPr/>
        <w:t>额结算当期所得税资产及当期所得税负债或是同时取得资产、清偿债务。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4"/>
        <w:spacing w:line="240" w:lineRule="auto"/>
        <w:ind w:right="0"/>
        <w:jc w:val="left"/>
        <w:rPr>
          <w:b w:val="0"/>
          <w:bCs w:val="0"/>
        </w:rPr>
      </w:pPr>
      <w:bookmarkStart w:name="25、租赁" w:id="200"/>
      <w:bookmarkEnd w:id="200"/>
      <w:r>
        <w:rPr>
          <w:b w:val="0"/>
          <w:bCs w:val="0"/>
        </w:rPr>
      </w:r>
      <w:r>
        <w:rPr>
          <w:rFonts w:ascii="Times New Roman" w:hAnsi="Times New Roman" w:cs="Times New Roman" w:eastAsia="Times New Roman" w:hint="default"/>
        </w:rPr>
        <w:t>25</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01"/>
      <w:bookmarkEnd w:id="20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实质上转移了与资产所有权有关的全部风险和报酬的租赁为融资租赁，除此之外的均为经营租赁。</w:t>
      </w:r>
    </w:p>
    <w:p>
      <w:pPr>
        <w:pStyle w:val="BodyText"/>
        <w:spacing w:line="309" w:lineRule="auto" w:before="76"/>
        <w:ind w:right="1118"/>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3"/>
        </w:rPr>
        <w:t> </w:t>
      </w:r>
      <w:r>
        <w:rPr>
          <w:rFonts w:ascii="宋体" w:hAnsi="宋体" w:cs="宋体" w:eastAsia="宋体" w:hint="default"/>
          <w:b/>
          <w:bCs/>
        </w:rPr>
        <w:t>作为经营租赁承租人</w:t>
      </w:r>
      <w:r>
        <w:rPr>
          <w:rFonts w:ascii="宋体" w:hAnsi="宋体" w:cs="宋体" w:eastAsia="宋体" w:hint="default"/>
          <w:b/>
          <w:bCs/>
          <w:w w:val="99"/>
        </w:rPr>
        <w:t> </w:t>
      </w:r>
      <w:r>
        <w:rPr>
          <w:spacing w:val="-2"/>
        </w:rPr>
        <w:t>经营租赁的租金支出，在租赁期内各个期间按照直线法计入相关的资产成本或当期损益，或有租金在实际发生时计入当期损</w:t>
      </w:r>
      <w:r>
        <w:rPr>
          <w:spacing w:val="-64"/>
        </w:rPr>
        <w:t> </w:t>
      </w:r>
      <w:r>
        <w:rPr>
          <w:spacing w:val="-64"/>
        </w:rPr>
      </w:r>
      <w:r>
        <w:rPr/>
        <w:t>益。</w:t>
      </w:r>
    </w:p>
    <w:p>
      <w:pPr>
        <w:spacing w:line="300" w:lineRule="auto" w:before="24"/>
        <w:ind w:left="154" w:right="229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作为经营租赁出租人</w:t>
      </w:r>
      <w:r>
        <w:rPr>
          <w:rFonts w:ascii="宋体" w:hAnsi="宋体" w:cs="宋体" w:eastAsia="宋体" w:hint="default"/>
          <w:b/>
          <w:bCs/>
          <w:w w:val="99"/>
          <w:sz w:val="18"/>
          <w:szCs w:val="18"/>
        </w:rPr>
        <w:t> </w:t>
      </w:r>
      <w:r>
        <w:rPr>
          <w:rFonts w:ascii="宋体" w:hAnsi="宋体" w:cs="宋体" w:eastAsia="宋体" w:hint="default"/>
          <w:sz w:val="18"/>
          <w:szCs w:val="18"/>
        </w:rPr>
        <w:t>经营租赁的租金收入在租赁期内各个期间按直线法确认为当期损益，或有租金在实际发生时计入当期损益。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right="0"/>
        <w:jc w:val="left"/>
        <w:rPr>
          <w:b w:val="0"/>
          <w:bCs w:val="0"/>
        </w:rPr>
      </w:pPr>
      <w:bookmarkStart w:name="（2）融资租赁的会计处理方法" w:id="202"/>
      <w:bookmarkEnd w:id="20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6、其他重要的会计政策和会计估计" w:id="203"/>
      <w:bookmarkEnd w:id="203"/>
      <w:r>
        <w:rPr>
          <w:b w:val="0"/>
          <w:bCs w:val="0"/>
        </w:rPr>
      </w:r>
      <w:r>
        <w:rPr>
          <w:rFonts w:ascii="Times New Roman" w:hAnsi="Times New Roman" w:cs="Times New Roman" w:eastAsia="Times New Roman" w:hint="default"/>
        </w:rPr>
        <w:t>26</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BodyText"/>
        <w:spacing w:line="314" w:lineRule="auto"/>
        <w:ind w:right="1118"/>
        <w:jc w:val="left"/>
      </w:pPr>
      <w:r>
        <w:rPr>
          <w:rFonts w:ascii="宋体" w:hAnsi="宋体" w:cs="宋体" w:eastAsia="宋体" w:hint="default"/>
          <w:b/>
          <w:bCs/>
          <w:sz w:val="21"/>
          <w:szCs w:val="21"/>
        </w:rPr>
        <w:t>回购股份</w:t>
      </w:r>
      <w:r>
        <w:rPr>
          <w:rFonts w:ascii="宋体" w:hAnsi="宋体" w:cs="宋体" w:eastAsia="宋体" w:hint="default"/>
          <w:b/>
          <w:bCs/>
          <w:spacing w:val="1"/>
          <w:w w:val="99"/>
          <w:sz w:val="21"/>
          <w:szCs w:val="21"/>
        </w:rPr>
        <w:t> </w:t>
      </w:r>
      <w:r>
        <w:rPr>
          <w:spacing w:val="-1"/>
        </w:rPr>
        <w:t>回购自身权益工具支付的对价和交易费用，减少股东权益。发行</w:t>
      </w:r>
      <w:r>
        <w:rPr>
          <w:rFonts w:ascii="Times New Roman" w:hAnsi="Times New Roman" w:cs="Times New Roman" w:eastAsia="Times New Roman" w:hint="default"/>
          <w:spacing w:val="-1"/>
        </w:rPr>
        <w:t>(</w:t>
      </w:r>
      <w:r>
        <w:rPr>
          <w:spacing w:val="-1"/>
        </w:rPr>
        <w:t>含再融资</w:t>
      </w:r>
      <w:r>
        <w:rPr>
          <w:rFonts w:ascii="Times New Roman" w:hAnsi="Times New Roman" w:cs="Times New Roman" w:eastAsia="Times New Roman" w:hint="default"/>
          <w:spacing w:val="-1"/>
        </w:rPr>
        <w:t>)</w:t>
      </w:r>
      <w:r>
        <w:rPr>
          <w:spacing w:val="-1"/>
        </w:rPr>
        <w:t>、回购、出售或注销自身权益工具，作为权益的</w:t>
      </w:r>
      <w:r>
        <w:rPr>
          <w:spacing w:val="-59"/>
        </w:rPr>
        <w:t> </w:t>
      </w:r>
      <w:r>
        <w:rPr>
          <w:spacing w:val="-59"/>
        </w:rPr>
      </w:r>
      <w:r>
        <w:rPr/>
        <w:t>变动处理。</w:t>
      </w:r>
    </w:p>
    <w:p>
      <w:pPr>
        <w:spacing w:line="240" w:lineRule="auto" w:before="0"/>
        <w:rPr>
          <w:rFonts w:ascii="宋体" w:hAnsi="宋体" w:cs="宋体" w:eastAsia="宋体" w:hint="default"/>
          <w:sz w:val="18"/>
          <w:szCs w:val="18"/>
        </w:rPr>
      </w:pPr>
    </w:p>
    <w:p>
      <w:pPr>
        <w:pStyle w:val="Heading4"/>
        <w:spacing w:line="240" w:lineRule="auto" w:before="152"/>
        <w:ind w:right="0"/>
        <w:jc w:val="left"/>
        <w:rPr>
          <w:b w:val="0"/>
          <w:bCs w:val="0"/>
        </w:rPr>
      </w:pPr>
      <w:r>
        <w:rPr/>
        <w:t>利润分配</w:t>
      </w:r>
      <w:r>
        <w:rPr>
          <w:b w:val="0"/>
          <w:bCs w:val="0"/>
        </w:rPr>
      </w:r>
    </w:p>
    <w:p>
      <w:pPr>
        <w:pStyle w:val="BodyText"/>
        <w:spacing w:line="240" w:lineRule="auto" w:before="102"/>
        <w:ind w:right="0"/>
        <w:jc w:val="left"/>
      </w:pPr>
      <w:r>
        <w:rPr/>
        <w:t>本公司的现金股利，于股东大会批准后确认为负债。</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BodyText"/>
        <w:spacing w:line="348" w:lineRule="auto"/>
        <w:ind w:right="4452"/>
        <w:jc w:val="left"/>
      </w:pPr>
      <w:r>
        <w:rPr>
          <w:rFonts w:ascii="宋体" w:hAnsi="宋体" w:cs="宋体" w:eastAsia="宋体" w:hint="default"/>
          <w:b/>
          <w:bCs/>
          <w:sz w:val="21"/>
          <w:szCs w:val="21"/>
        </w:rPr>
        <w:t>市场推广费用</w:t>
      </w:r>
      <w:r>
        <w:rPr>
          <w:rFonts w:ascii="宋体" w:hAnsi="宋体" w:cs="宋体" w:eastAsia="宋体" w:hint="default"/>
          <w:b/>
          <w:bCs/>
          <w:w w:val="99"/>
          <w:sz w:val="21"/>
          <w:szCs w:val="21"/>
        </w:rPr>
        <w:t> </w:t>
      </w:r>
      <w:r>
        <w:rPr/>
        <w:t>广告制作费于广告制作完成并交付时，作为期间费用，直接记入当期销售费用。 广告播放费于广告播放期内，按直线法平均摊销，记入销售费用。 冠名赞助费于被冠名节目播出期间，按直线法平均摊销，记入销售费用。</w:t>
      </w:r>
    </w:p>
    <w:p>
      <w:pPr>
        <w:pStyle w:val="BodyText"/>
        <w:spacing w:line="319" w:lineRule="auto" w:before="34"/>
        <w:ind w:right="0"/>
        <w:jc w:val="left"/>
      </w:pPr>
      <w:r>
        <w:rPr>
          <w:spacing w:val="-2"/>
        </w:rPr>
        <w:t>明星代言费于明星按代言合同内约定的各项目完成时，分别记入销售费用，无法将各项目单独分开并可靠计量其价值的代言</w:t>
      </w:r>
      <w:r>
        <w:rPr>
          <w:spacing w:val="-64"/>
        </w:rPr>
        <w:t> </w:t>
      </w:r>
      <w:r>
        <w:rPr>
          <w:spacing w:val="-64"/>
        </w:rPr>
      </w:r>
      <w:r>
        <w:rPr/>
        <w:t>合同，在合同期内按直线法摊销。</w:t>
      </w:r>
    </w:p>
    <w:p>
      <w:pPr>
        <w:spacing w:line="240" w:lineRule="auto" w:before="0"/>
        <w:rPr>
          <w:rFonts w:ascii="宋体" w:hAnsi="宋体" w:cs="宋体" w:eastAsia="宋体" w:hint="default"/>
          <w:sz w:val="18"/>
          <w:szCs w:val="18"/>
        </w:rPr>
      </w:pPr>
    </w:p>
    <w:p>
      <w:pPr>
        <w:pStyle w:val="BodyText"/>
        <w:spacing w:line="321" w:lineRule="auto" w:before="148"/>
        <w:ind w:right="1032"/>
        <w:jc w:val="left"/>
      </w:pPr>
      <w:r>
        <w:rPr>
          <w:rFonts w:ascii="宋体" w:hAnsi="宋体" w:cs="宋体" w:eastAsia="宋体" w:hint="default"/>
          <w:b/>
          <w:bCs/>
          <w:sz w:val="21"/>
          <w:szCs w:val="21"/>
        </w:rPr>
        <w:t>重大会计判断和估计</w:t>
      </w:r>
      <w:r>
        <w:rPr>
          <w:rFonts w:ascii="宋体" w:hAnsi="宋体" w:cs="宋体" w:eastAsia="宋体" w:hint="default"/>
          <w:b/>
          <w:bCs/>
          <w:w w:val="99"/>
          <w:sz w:val="21"/>
          <w:szCs w:val="21"/>
        </w:rPr>
        <w:t> </w:t>
      </w:r>
      <w:r>
        <w:rPr/>
        <w:t>编制财务报表要求管理层作出判断估计和假设，这些判断估计和假设会影响收入、费用、资产和负债的列报金额及其披露， </w:t>
      </w:r>
      <w:r>
        <w:rPr>
          <w:spacing w:val="-2"/>
        </w:rPr>
        <w:t>以及资产负债表日或有负债的披露。然而，这些假设和估计的不确定性所导致的结果可能造成对未来受影响的资产或负债的</w:t>
      </w:r>
      <w:r>
        <w:rPr>
          <w:spacing w:val="-64"/>
        </w:rPr>
        <w:t> </w:t>
      </w:r>
      <w:r>
        <w:rPr>
          <w:spacing w:val="-64"/>
        </w:rPr>
      </w:r>
      <w:r>
        <w:rPr/>
        <w:t>账面金额进行重大调整。</w:t>
      </w:r>
    </w:p>
    <w:p>
      <w:pPr>
        <w:pStyle w:val="BodyText"/>
        <w:spacing w:line="309" w:lineRule="auto" w:before="15"/>
        <w:ind w:right="265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1"/>
        </w:rPr>
        <w:t> </w:t>
      </w:r>
      <w:r>
        <w:rPr>
          <w:rFonts w:ascii="宋体" w:hAnsi="宋体" w:cs="宋体" w:eastAsia="宋体" w:hint="default"/>
          <w:b/>
          <w:bCs/>
        </w:rPr>
        <w:t>判断</w:t>
      </w:r>
      <w:r>
        <w:rPr>
          <w:rFonts w:ascii="宋体" w:hAnsi="宋体" w:cs="宋体" w:eastAsia="宋体" w:hint="default"/>
          <w:b/>
          <w:bCs/>
          <w:spacing w:val="1"/>
          <w:w w:val="99"/>
        </w:rPr>
        <w:t> </w:t>
      </w:r>
      <w:r>
        <w:rPr/>
        <w:t>在应用本集团的会计政策的过程中，管理层作出了以下对财务报表所确认的金额具有重大影响的判断： </w:t>
      </w:r>
      <w:r>
        <w:rPr>
          <w:rFonts w:ascii="Times New Roman" w:hAnsi="Times New Roman" w:cs="Times New Roman" w:eastAsia="Times New Roman" w:hint="default"/>
        </w:rPr>
        <w:t>1)</w:t>
      </w:r>
      <w:r>
        <w:rPr/>
        <w:t>经营租赁</w:t>
      </w:r>
      <w:r>
        <w:rPr>
          <w:rFonts w:ascii="Times New Roman" w:hAnsi="Times New Roman" w:cs="Times New Roman" w:eastAsia="Times New Roman" w:hint="default"/>
        </w:rPr>
        <w:t>——</w:t>
      </w:r>
      <w:r>
        <w:rPr/>
        <w:t>作为承租人</w:t>
      </w:r>
    </w:p>
    <w:p>
      <w:pPr>
        <w:pStyle w:val="BodyText"/>
        <w:spacing w:line="316" w:lineRule="auto" w:before="5"/>
        <w:ind w:right="0"/>
        <w:jc w:val="left"/>
      </w:pPr>
      <w:r>
        <w:rPr>
          <w:spacing w:val="-2"/>
        </w:rPr>
        <w:t>本集团就使用部分租赁房地产签订了租赁合同。本集团认为，根据租赁合同的条款，出租人未向本集团转移这些租赁房地产</w:t>
      </w:r>
      <w:r>
        <w:rPr>
          <w:spacing w:val="-65"/>
        </w:rPr>
        <w:t> </w:t>
      </w:r>
      <w:r>
        <w:rPr>
          <w:spacing w:val="-65"/>
        </w:rPr>
      </w:r>
      <w:r>
        <w:rPr/>
        <w:t>所有权上的所有重大风险和报酬，因此作为经营租赁处理。</w:t>
      </w:r>
    </w:p>
    <w:p>
      <w:pPr>
        <w:pStyle w:val="BodyText"/>
        <w:spacing w:line="309" w:lineRule="auto" w:before="19"/>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经营租赁</w:t>
      </w:r>
      <w:r>
        <w:rPr>
          <w:rFonts w:ascii="Times New Roman" w:hAnsi="Times New Roman" w:cs="Times New Roman" w:eastAsia="Times New Roman" w:hint="default"/>
        </w:rPr>
        <w:t>——</w:t>
      </w:r>
      <w:r>
        <w:rPr/>
        <w:t>作为出租人</w:t>
      </w:r>
      <w:r>
        <w:rPr>
          <w:w w:val="99"/>
        </w:rPr>
        <w:t> </w:t>
      </w:r>
      <w:r>
        <w:rPr>
          <w:spacing w:val="-2"/>
        </w:rPr>
        <w:t>本集团就投资性房地产签订了租赁合同。本集团认为，根据租赁合同的条款，本集团保留了这些房地产所有权上的所有重大</w:t>
      </w:r>
      <w:r>
        <w:rPr>
          <w:spacing w:val="-67"/>
        </w:rPr>
        <w:t> </w:t>
      </w:r>
      <w:r>
        <w:rPr>
          <w:spacing w:val="-67"/>
        </w:rPr>
      </w:r>
      <w:r>
        <w:rPr/>
        <w:t>风险和报酬，因此作为经营租赁处理。</w:t>
      </w:r>
    </w:p>
    <w:p>
      <w:pPr>
        <w:pStyle w:val="BodyText"/>
        <w:spacing w:line="300" w:lineRule="auto" w:before="24"/>
        <w:ind w:right="1029"/>
        <w:jc w:val="left"/>
      </w:pPr>
      <w:r>
        <w:rPr>
          <w:rFonts w:ascii="Times New Roman" w:hAnsi="Times New Roman" w:cs="Times New Roman" w:eastAsia="Times New Roman" w:hint="default"/>
        </w:rPr>
        <w:t>3)</w:t>
      </w:r>
      <w:r>
        <w:rPr/>
        <w:t>联营企业</w:t>
      </w:r>
      <w:r>
        <w:rPr>
          <w:w w:val="99"/>
        </w:rPr>
        <w:t> </w:t>
      </w:r>
      <w:r>
        <w:rPr/>
        <w:t>本公司持有上海华瑞银行股份有限公司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该银行</w:t>
      </w:r>
      <w:r>
        <w:rPr>
          <w:rFonts w:ascii="Times New Roman" w:hAnsi="Times New Roman" w:cs="Times New Roman" w:eastAsia="Times New Roman" w:hint="default"/>
        </w:rPr>
        <w:t>”)15%</w:t>
      </w:r>
      <w:r>
        <w:rPr/>
        <w:t>的股份，本公司是该银行的第二大股东。本公司的</w:t>
      </w:r>
      <w:r>
        <w:rPr>
          <w:rFonts w:ascii="Times New Roman" w:hAnsi="Times New Roman" w:cs="Times New Roman" w:eastAsia="Times New Roman" w:hint="default"/>
        </w:rPr>
        <w:t>1</w:t>
      </w:r>
      <w:r>
        <w:rPr/>
        <w:t>位高管人员是</w:t>
      </w:r>
      <w:r>
        <w:rPr>
          <w:w w:val="99"/>
        </w:rPr>
        <w:t> </w:t>
      </w:r>
      <w:r>
        <w:rPr>
          <w:spacing w:val="-3"/>
          <w:w w:val="99"/>
        </w:rPr>
        <w:t>该银行的董事会</w:t>
      </w:r>
      <w:r>
        <w:rPr>
          <w:rFonts w:ascii="Times New Roman" w:hAnsi="Times New Roman" w:cs="Times New Roman" w:eastAsia="Times New Roman" w:hint="default"/>
          <w:spacing w:val="-3"/>
          <w:w w:val="99"/>
        </w:rPr>
        <w:t>14</w:t>
      </w:r>
      <w:r>
        <w:rPr>
          <w:spacing w:val="-3"/>
          <w:w w:val="99"/>
        </w:rPr>
        <w:t>名成员</w:t>
      </w:r>
      <w:r>
        <w:rPr>
          <w:rFonts w:ascii="Times New Roman" w:hAnsi="Times New Roman" w:cs="Times New Roman" w:eastAsia="Times New Roman" w:hint="default"/>
          <w:spacing w:val="-3"/>
          <w:w w:val="99"/>
        </w:rPr>
        <w:t>(</w:t>
      </w:r>
      <w:r>
        <w:rPr>
          <w:spacing w:val="-3"/>
          <w:w w:val="99"/>
        </w:rPr>
        <w:t>其中</w:t>
      </w:r>
      <w:r>
        <w:rPr>
          <w:rFonts w:ascii="Times New Roman" w:hAnsi="Times New Roman" w:cs="Times New Roman" w:eastAsia="Times New Roman" w:hint="default"/>
          <w:spacing w:val="-3"/>
          <w:w w:val="99"/>
        </w:rPr>
        <w:t>3</w:t>
      </w:r>
      <w:r>
        <w:rPr>
          <w:spacing w:val="-3"/>
          <w:w w:val="99"/>
        </w:rPr>
        <w:t>名为独立董事</w:t>
      </w:r>
      <w:r>
        <w:rPr>
          <w:rFonts w:ascii="Times New Roman" w:hAnsi="Times New Roman" w:cs="Times New Roman" w:eastAsia="Times New Roman" w:hint="default"/>
          <w:spacing w:val="-3"/>
          <w:w w:val="99"/>
        </w:rPr>
        <w:t>)</w:t>
      </w:r>
      <w:r>
        <w:rPr>
          <w:spacing w:val="-3"/>
          <w:w w:val="99"/>
        </w:rPr>
        <w:t>中的一员，且提名两位董事，本公司在华瑞银行股东大会的表决权比例为</w:t>
      </w:r>
      <w:r>
        <w:rPr>
          <w:rFonts w:ascii="Times New Roman" w:hAnsi="Times New Roman" w:cs="Times New Roman" w:eastAsia="Times New Roman" w:hint="default"/>
          <w:spacing w:val="-3"/>
          <w:w w:val="99"/>
        </w:rPr>
        <w:t>15%</w:t>
      </w:r>
      <w:r>
        <w:rPr>
          <w:spacing w:val="-3"/>
          <w:w w:val="99"/>
        </w:rPr>
        <w:t>。</w:t>
      </w:r>
      <w:r>
        <w:rPr>
          <w:spacing w:val="-87"/>
          <w:w w:val="99"/>
        </w:rPr>
        <w:t> </w:t>
      </w:r>
      <w:r>
        <w:rPr/>
        <w:t>本公司认为，根据该银行的公司章程，本公司认为能够对该银行的运营实施重大影响，因此将该银行作为联营企业。</w:t>
      </w:r>
    </w:p>
    <w:p>
      <w:pPr>
        <w:pStyle w:val="BodyText"/>
        <w:spacing w:line="309" w:lineRule="auto" w:before="31"/>
        <w:ind w:right="1118"/>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1"/>
        </w:rPr>
        <w:t> </w:t>
      </w:r>
      <w:r>
        <w:rPr>
          <w:rFonts w:ascii="宋体" w:hAnsi="宋体" w:cs="宋体" w:eastAsia="宋体" w:hint="default"/>
          <w:b/>
          <w:bCs/>
        </w:rPr>
        <w:t>估计的不确定性</w:t>
      </w:r>
      <w:r>
        <w:rPr>
          <w:rFonts w:ascii="宋体" w:hAnsi="宋体" w:cs="宋体" w:eastAsia="宋体" w:hint="default"/>
          <w:b/>
          <w:bCs/>
          <w:w w:val="99"/>
        </w:rPr>
        <w:t> </w:t>
      </w:r>
      <w:r>
        <w:rPr>
          <w:spacing w:val="-2"/>
        </w:rPr>
        <w:t>以下为于资产负债表日有关未来的关键假设以及估计不确定性的其他关键来源，可能会导致未来会计期间资产和负债账面金</w:t>
      </w:r>
      <w:r>
        <w:rPr>
          <w:spacing w:val="-64"/>
        </w:rPr>
        <w:t> </w:t>
      </w:r>
      <w:r>
        <w:rPr>
          <w:spacing w:val="-64"/>
        </w:rPr>
      </w:r>
      <w:r>
        <w:rPr/>
        <w:t>额重大调整。</w:t>
      </w:r>
    </w:p>
    <w:p>
      <w:pPr>
        <w:pStyle w:val="BodyText"/>
        <w:spacing w:line="314" w:lineRule="auto" w:before="24"/>
        <w:ind w:right="10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除金融资产之外的非流动资产减值</w:t>
      </w:r>
      <w:r>
        <w:rPr>
          <w:rFonts w:ascii="Times New Roman" w:hAnsi="Times New Roman" w:cs="Times New Roman" w:eastAsia="Times New Roman" w:hint="default"/>
        </w:rPr>
        <w:t>(</w:t>
      </w:r>
      <w:r>
        <w:rPr/>
        <w:t>除商誉外</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本集团于资产负债表日对除金融资产之外的非流动资产判断是否存在可能发生减值的迹象。对使用寿命不确定的无形资产，</w:t>
      </w:r>
      <w:r>
        <w:rPr>
          <w:w w:val="99"/>
        </w:rPr>
        <w:t> </w:t>
      </w:r>
      <w:r>
        <w:rPr>
          <w:spacing w:val="-2"/>
        </w:rPr>
        <w:t>除每年进行的减值测试外，当其存在减值迹象时，也进行减值测试。其他除金融资产之外的非流动资产，当存在迹象表明其</w:t>
      </w:r>
      <w:r>
        <w:rPr>
          <w:spacing w:val="-67"/>
        </w:rPr>
        <w:t> </w:t>
      </w:r>
      <w:r>
        <w:rPr>
          <w:spacing w:val="-67"/>
        </w:rPr>
      </w:r>
      <w:r>
        <w:rPr>
          <w:spacing w:val="-2"/>
        </w:rPr>
        <w:t>账面金额不可收回时，进行减值测试。当资产或资产组的账面价值高于可收回金额，即公允价值减去处置费用后的净额和预</w:t>
      </w:r>
      <w:r>
        <w:rPr>
          <w:spacing w:val="-67"/>
        </w:rPr>
        <w:t> </w:t>
      </w:r>
      <w:r>
        <w:rPr>
          <w:spacing w:val="-67"/>
        </w:rPr>
      </w:r>
      <w:r>
        <w:rPr>
          <w:spacing w:val="-2"/>
        </w:rPr>
        <w:t>计未来现金流量的现值中的较高者，表明发生了减值。公允价值减去处置费用后的净额，参考公平交易中类似资产的销售协</w:t>
      </w:r>
      <w:r>
        <w:rPr>
          <w:spacing w:val="-67"/>
        </w:rPr>
        <w:t> </w:t>
      </w:r>
      <w:r>
        <w:rPr>
          <w:spacing w:val="-67"/>
        </w:rPr>
      </w:r>
      <w:r>
        <w:rPr>
          <w:spacing w:val="-2"/>
        </w:rPr>
        <w:t>议价格或可观察到的市场价格，减去可直接归属于该资产处置的增量成本确定。预计未来现金流量现值时，管理层必须估计</w:t>
      </w:r>
      <w:r>
        <w:rPr>
          <w:spacing w:val="-67"/>
        </w:rPr>
        <w:t> </w:t>
      </w:r>
      <w:r>
        <w:rPr>
          <w:spacing w:val="-67"/>
        </w:rPr>
      </w:r>
      <w:r>
        <w:rPr/>
        <w:t>该项资产或资产组的预计未来现金流量，并选择恰当的折现率确定未来现金流量的现值。</w:t>
      </w:r>
    </w:p>
    <w:p>
      <w:pPr>
        <w:pStyle w:val="BodyText"/>
        <w:spacing w:line="240" w:lineRule="auto" w:before="61"/>
        <w:ind w:right="0"/>
        <w:jc w:val="left"/>
      </w:pPr>
      <w:r>
        <w:rPr>
          <w:rFonts w:ascii="Times New Roman" w:hAnsi="Times New Roman" w:cs="Times New Roman" w:eastAsia="Times New Roman" w:hint="default"/>
        </w:rPr>
        <w:t>2)</w:t>
      </w:r>
      <w:r>
        <w:rPr/>
        <w:t>销售退回</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本集团对销售客户使用销售退回政策，于资产负债表日根据销售协议相关约定、历史经验等，估计销售退回金额。</w:t>
      </w:r>
    </w:p>
    <w:p>
      <w:pPr>
        <w:pStyle w:val="BodyText"/>
        <w:spacing w:line="314" w:lineRule="auto" w:before="115"/>
        <w:ind w:right="0"/>
        <w:jc w:val="left"/>
      </w:pPr>
      <w:r>
        <w:rPr>
          <w:rFonts w:ascii="Times New Roman" w:hAnsi="Times New Roman" w:cs="Times New Roman" w:eastAsia="Times New Roman" w:hint="default"/>
        </w:rPr>
        <w:t>3)</w:t>
      </w:r>
      <w:r>
        <w:rPr/>
        <w:t>存货跌价准备</w:t>
      </w:r>
      <w:r>
        <w:rPr>
          <w:w w:val="99"/>
        </w:rPr>
        <w:t> </w:t>
      </w:r>
      <w:r>
        <w:rPr>
          <w:spacing w:val="-2"/>
        </w:rPr>
        <w:t>本集团根据存货会计政策，按照成本与可变现净值孰低计量，对成本高于可变现净值及陈旧和滞销的存货，计提存货跌价准</w:t>
      </w:r>
      <w:r>
        <w:rPr>
          <w:spacing w:val="-67"/>
        </w:rPr>
        <w:t> </w:t>
      </w:r>
      <w:r>
        <w:rPr>
          <w:spacing w:val="-67"/>
        </w:rPr>
      </w:r>
      <w:r>
        <w:rPr>
          <w:spacing w:val="-2"/>
        </w:rPr>
        <w:t>备。存货减值至可变现净值是基于评估存货的可售性及其可变现净值。鉴定存货减值要求管理层在取得确凿证据，并且考虑</w:t>
      </w:r>
      <w:r>
        <w:rPr>
          <w:spacing w:val="-67"/>
        </w:rPr>
        <w:t> </w:t>
      </w:r>
      <w:r>
        <w:rPr>
          <w:spacing w:val="-67"/>
        </w:rPr>
      </w:r>
      <w:r>
        <w:rPr>
          <w:spacing w:val="-2"/>
        </w:rPr>
        <w:t>持有存货的目的、资产负债表日后事项的影响等因素的基础上作出判断和估计。实际的结果与原先估计的差异将在估计被改</w:t>
      </w:r>
      <w:r>
        <w:rPr>
          <w:spacing w:val="-65"/>
        </w:rPr>
        <w:t> </w:t>
      </w:r>
      <w:r>
        <w:rPr>
          <w:spacing w:val="-65"/>
        </w:rPr>
      </w:r>
      <w:r>
        <w:rPr/>
        <w:t>变的期间影响存货的账面价值及存货跌价准备的计提或转回。</w:t>
      </w:r>
    </w:p>
    <w:p>
      <w:pPr>
        <w:pStyle w:val="BodyText"/>
        <w:spacing w:line="312" w:lineRule="auto" w:before="20"/>
        <w:ind w:right="0"/>
        <w:jc w:val="left"/>
      </w:pPr>
      <w:r>
        <w:rPr>
          <w:rFonts w:ascii="Times New Roman" w:hAnsi="Times New Roman" w:cs="Times New Roman" w:eastAsia="Times New Roman" w:hint="default"/>
        </w:rPr>
        <w:t>4)</w:t>
      </w:r>
      <w:r>
        <w:rPr/>
        <w:t>坏账准备计提</w:t>
      </w:r>
      <w:r>
        <w:rPr>
          <w:w w:val="99"/>
        </w:rPr>
        <w:t> </w:t>
      </w:r>
      <w:r>
        <w:rPr>
          <w:spacing w:val="-2"/>
        </w:rPr>
        <w:t>本集团根据应收款项的会计政策，采用备抵法核算坏账损失。应收款项减值是基于评估应收款项的可收回性。鉴定应收款项</w:t>
      </w:r>
      <w:r>
        <w:rPr>
          <w:spacing w:val="-67"/>
        </w:rPr>
        <w:t> </w:t>
      </w:r>
      <w:r>
        <w:rPr>
          <w:spacing w:val="-67"/>
        </w:rPr>
      </w:r>
      <w:r>
        <w:rPr>
          <w:spacing w:val="-2"/>
          <w:w w:val="99"/>
        </w:rPr>
        <w:t>减值要求管理层的判断和估计。实际的结果与原先估计的差异将在估计被改变的期间影响应收款项的账面价值及应收款项坏</w:t>
      </w:r>
      <w:r>
        <w:rPr>
          <w:spacing w:val="-64"/>
          <w:w w:val="99"/>
        </w:rPr>
        <w:t> </w:t>
      </w:r>
      <w:r>
        <w:rPr>
          <w:spacing w:val="-64"/>
          <w:w w:val="99"/>
        </w:rPr>
      </w:r>
      <w:r>
        <w:rPr/>
        <w:t>账准备的计提或转回。</w:t>
      </w:r>
    </w:p>
    <w:p>
      <w:pPr>
        <w:pStyle w:val="BodyText"/>
        <w:spacing w:line="312" w:lineRule="auto" w:before="22"/>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递延所得税资产</w:t>
      </w:r>
      <w:r>
        <w:rPr>
          <w:w w:val="99"/>
        </w:rPr>
        <w:t> </w:t>
      </w:r>
      <w:r>
        <w:rPr>
          <w:spacing w:val="-2"/>
        </w:rPr>
        <w:t>在很可能有足够的应纳税所得额用以抵扣预提费用、抵销的内部未实现销售毛利和可抵扣亏损的限度内，确认递延所得税资</w:t>
      </w:r>
      <w:r>
        <w:rPr>
          <w:spacing w:val="-65"/>
        </w:rPr>
        <w:t> </w:t>
      </w:r>
      <w:r>
        <w:rPr>
          <w:spacing w:val="-65"/>
        </w:rPr>
      </w:r>
      <w:r>
        <w:rPr>
          <w:spacing w:val="-2"/>
        </w:rPr>
        <w:t>产。这需要管理层运用大量的判断来估计未来取得应纳税所得额的时间和金额，结合纳税筹划策略，以决定应确认的递延所</w:t>
      </w:r>
      <w:r>
        <w:rPr>
          <w:spacing w:val="-67"/>
        </w:rPr>
        <w:t> </w:t>
      </w:r>
      <w:r>
        <w:rPr>
          <w:spacing w:val="-67"/>
        </w:rPr>
      </w:r>
      <w:r>
        <w:rPr/>
        <w:t>得税资产的金额。</w:t>
      </w:r>
    </w:p>
    <w:p>
      <w:pPr>
        <w:pStyle w:val="BodyText"/>
        <w:spacing w:line="328" w:lineRule="auto" w:before="22"/>
        <w:ind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对投资性房地产及固定资产使用寿命的评估</w:t>
      </w:r>
      <w:r>
        <w:rPr>
          <w:w w:val="99"/>
        </w:rPr>
        <w:t> </w:t>
      </w:r>
      <w:r>
        <w:rPr>
          <w:spacing w:val="-2"/>
          <w:w w:val="99"/>
        </w:rPr>
        <w:t>本集团基于对投资性房地产及固定资产预计使用寿命的预测确定投资性房地产及固定资产的折旧年限，这需要管理层运用大</w:t>
      </w:r>
      <w:r>
        <w:rPr>
          <w:spacing w:val="-63"/>
          <w:w w:val="99"/>
        </w:rPr>
        <w:t> </w:t>
      </w:r>
      <w:r>
        <w:rPr>
          <w:spacing w:val="-63"/>
          <w:w w:val="99"/>
        </w:rPr>
      </w:r>
      <w:r>
        <w:rPr/>
        <w:t>量的判断和估计，以决定适用的折旧年限。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4"/>
        <w:spacing w:line="240" w:lineRule="auto"/>
        <w:ind w:right="0"/>
        <w:jc w:val="left"/>
        <w:rPr>
          <w:b w:val="0"/>
          <w:bCs w:val="0"/>
        </w:rPr>
      </w:pPr>
      <w:bookmarkStart w:name="27、重要会计政策和会计估计变更" w:id="204"/>
      <w:bookmarkEnd w:id="204"/>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05"/>
      <w:bookmarkEnd w:id="20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pict>
          <v:shape style="position:absolute;margin-left:201.259995pt;margin-top:37.631721pt;width:174.2pt;height:109.2pt;mso-position-horizontal-relative:page;mso-position-vertical-relative:paragraph;z-index:-88727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号）</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7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根据《关于修订印发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年度一般企业 </w:t>
            </w:r>
            <w:r>
              <w:rPr>
                <w:rFonts w:ascii="宋体" w:hAnsi="宋体" w:cs="宋体" w:eastAsia="宋体" w:hint="default"/>
                <w:spacing w:val="-9"/>
                <w:sz w:val="18"/>
                <w:szCs w:val="18"/>
              </w:rPr>
              <w:t>财务报表格式的通知》（财会</w:t>
            </w:r>
            <w:r>
              <w:rPr>
                <w:rFonts w:ascii="Times New Roman" w:hAnsi="Times New Roman" w:cs="Times New Roman" w:eastAsia="Times New Roman" w:hint="default"/>
                <w:spacing w:val="-9"/>
                <w:sz w:val="18"/>
                <w:szCs w:val="18"/>
              </w:rPr>
              <w:t>[2018]15</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9"/>
                <w:w w:val="100"/>
                <w:sz w:val="18"/>
                <w:szCs w:val="18"/>
              </w:rPr>
              <w:t>要求，资产负债表中，将</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应收票据</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和</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应</w:t>
            </w:r>
            <w:r>
              <w:rPr>
                <w:rFonts w:ascii="宋体" w:hAnsi="宋体" w:cs="宋体" w:eastAsia="宋体" w:hint="default"/>
                <w:spacing w:val="-78"/>
                <w:w w:val="100"/>
                <w:sz w:val="18"/>
                <w:szCs w:val="18"/>
              </w:rPr>
              <w:t> </w:t>
            </w:r>
            <w:r>
              <w:rPr>
                <w:rFonts w:ascii="宋体" w:hAnsi="宋体" w:cs="宋体" w:eastAsia="宋体" w:hint="default"/>
                <w:sz w:val="18"/>
                <w:szCs w:val="18"/>
              </w:rPr>
              <w:t>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 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 </w:t>
            </w:r>
            <w:r>
              <w:rPr>
                <w:rFonts w:ascii="宋体" w:hAnsi="宋体" w:cs="宋体" w:eastAsia="宋体" w:hint="default"/>
                <w:spacing w:val="-4"/>
                <w:sz w:val="18"/>
                <w:szCs w:val="18"/>
              </w:rPr>
              <w:t>清理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归并至</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工程物</w:t>
            </w:r>
            <w:r>
              <w:rPr>
                <w:rFonts w:ascii="宋体" w:hAnsi="宋体" w:cs="宋体" w:eastAsia="宋体" w:hint="default"/>
                <w:spacing w:val="-77"/>
                <w:sz w:val="18"/>
                <w:szCs w:val="18"/>
              </w:rPr>
              <w:t> </w:t>
            </w:r>
            <w:r>
              <w:rPr>
                <w:rFonts w:ascii="宋体" w:hAnsi="宋体" w:cs="宋体" w:eastAsia="宋体" w:hint="default"/>
                <w:sz w:val="18"/>
                <w:szCs w:val="18"/>
              </w:rPr>
              <w:t>资</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 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归并至新增的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 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归 </w:t>
            </w:r>
            <w:r>
              <w:rPr>
                <w:rFonts w:ascii="宋体" w:hAnsi="宋体" w:cs="宋体" w:eastAsia="宋体" w:hint="default"/>
                <w:spacing w:val="-5"/>
                <w:sz w:val="18"/>
                <w:szCs w:val="18"/>
              </w:rPr>
              <w:t>并至</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长期应付款</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项目；在利润表中，增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设</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项目列报研究与开发过程 </w:t>
            </w:r>
            <w:r>
              <w:rPr>
                <w:rFonts w:ascii="宋体" w:hAnsi="宋体" w:cs="宋体" w:eastAsia="宋体" w:hint="default"/>
                <w:spacing w:val="-5"/>
                <w:w w:val="100"/>
                <w:sz w:val="18"/>
                <w:szCs w:val="18"/>
              </w:rPr>
              <w:t>中发生的费用化支出，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财务费用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项目下</w:t>
            </w:r>
            <w:r>
              <w:rPr>
                <w:rFonts w:ascii="宋体" w:hAnsi="宋体" w:cs="宋体" w:eastAsia="宋体" w:hint="default"/>
                <w:spacing w:val="-81"/>
                <w:w w:val="100"/>
                <w:sz w:val="18"/>
                <w:szCs w:val="18"/>
              </w:rPr>
              <w:t> </w:t>
            </w:r>
            <w:r>
              <w:rPr>
                <w:rFonts w:ascii="宋体" w:hAnsi="宋体" w:cs="宋体" w:eastAsia="宋体" w:hint="default"/>
                <w:sz w:val="18"/>
                <w:szCs w:val="18"/>
              </w:rPr>
              <w:t>分拆</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 本集团相应追溯调整了比较数据。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right="-50"/>
              <w:jc w:val="left"/>
              <w:rPr>
                <w:rFonts w:ascii="宋体" w:hAnsi="宋体" w:cs="宋体" w:eastAsia="宋体" w:hint="default"/>
                <w:sz w:val="20"/>
                <w:szCs w:val="20"/>
              </w:rPr>
            </w:pPr>
            <w:r>
              <w:rPr>
                <w:rFonts w:ascii="宋体" w:hAnsi="宋体" w:cs="宋体" w:eastAsia="宋体" w:hint="default"/>
                <w:position w:val="-43"/>
                <w:sz w:val="20"/>
                <w:szCs w:val="20"/>
              </w:rPr>
              <w:pict>
                <v:group style="width:159pt;height:109.2pt;mso-position-horizontal-relative:char;mso-position-vertical-relative:line" coordorigin="0,0" coordsize="3180,2184">
                  <v:group style="position:absolute;left:0;top:0;width:3180;height:2184" coordorigin="0,0" coordsize="3180,2184">
                    <v:shape style="position:absolute;left:0;top:0;width:3180;height:2184" coordorigin="0,0" coordsize="3180,2184" path="m0,2184l3179,2184,3179,0,0,0,0,2184xe" filled="true" fillcolor="#ffffff" stroked="false">
                      <v:path arrowok="t"/>
                      <v:fill type="solid"/>
                    </v:shape>
                  </v:group>
                </v:group>
              </w:pict>
            </w:r>
            <w:r>
              <w:rPr>
                <w:rFonts w:ascii="宋体" w:hAnsi="宋体" w:cs="宋体" w:eastAsia="宋体" w:hint="default"/>
                <w:position w:val="-43"/>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公司四届十五次董事会审议通过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详见下表</w:t>
            </w:r>
          </w:p>
        </w:tc>
      </w:tr>
    </w:tbl>
    <w:p>
      <w:pPr>
        <w:spacing w:line="240" w:lineRule="auto" w:before="3"/>
        <w:rPr>
          <w:rFonts w:ascii="宋体" w:hAnsi="宋体" w:cs="宋体" w:eastAsia="宋体" w:hint="default"/>
          <w:sz w:val="21"/>
          <w:szCs w:val="21"/>
        </w:rPr>
      </w:pPr>
    </w:p>
    <w:p>
      <w:pPr>
        <w:pStyle w:val="BodyText"/>
        <w:spacing w:line="290" w:lineRule="auto" w:before="44"/>
        <w:ind w:right="1120" w:firstLine="420"/>
        <w:jc w:val="left"/>
      </w:pPr>
      <w:r>
        <w:rPr/>
        <w:pict>
          <v:group style="position:absolute;margin-left:216.5pt;margin-top:-123.688286pt;width:159pt;height:109.25pt;mso-position-horizontal-relative:page;mso-position-vertical-relative:paragraph;z-index:-887248" coordorigin="4330,-2474" coordsize="3180,2185">
            <v:shape style="position:absolute;left:4330;top:-2474;width:3180;height:2185" coordorigin="4330,-2474" coordsize="3180,2185" path="m4330,-289l7509,-289,7509,-2474,4330,-2474,4330,-289xe" filled="true" fillcolor="#ffffff" stroked="false">
              <v:path arrowok="t"/>
              <v:fill type="solid"/>
            </v:shape>
            <w10:wrap type="none"/>
          </v:group>
        </w:pict>
      </w:r>
      <w:r>
        <w:rPr>
          <w:spacing w:val="-1"/>
        </w:rPr>
        <w:t>根据《关于修订印发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[2018]15</w:t>
      </w:r>
      <w:r>
        <w:rPr>
          <w:spacing w:val="-1"/>
        </w:rPr>
        <w:t>号）要求，资产负债表中，将</w:t>
      </w:r>
      <w:r>
        <w:rPr>
          <w:rFonts w:ascii="Calibri" w:hAnsi="Calibri" w:cs="Calibri" w:eastAsia="Calibri" w:hint="default"/>
          <w:spacing w:val="-1"/>
        </w:rPr>
        <w:t>“</w:t>
      </w:r>
      <w:r>
        <w:rPr>
          <w:spacing w:val="-1"/>
        </w:rPr>
        <w:t>应收票据</w:t>
      </w:r>
      <w:r>
        <w:rPr>
          <w:rFonts w:ascii="Calibri" w:hAnsi="Calibri" w:cs="Calibri" w:eastAsia="Calibri" w:hint="default"/>
          <w:spacing w:val="-1"/>
        </w:rPr>
        <w:t>”</w:t>
      </w:r>
      <w:r>
        <w:rPr>
          <w:rFonts w:ascii="Calibri" w:hAnsi="Calibri" w:cs="Calibri" w:eastAsia="Calibri" w:hint="default"/>
          <w:w w:val="99"/>
        </w:rPr>
        <w:t> </w:t>
      </w:r>
      <w:r>
        <w:rPr>
          <w:spacing w:val="-1"/>
        </w:rPr>
        <w:t>和</w:t>
      </w:r>
      <w:r>
        <w:rPr>
          <w:rFonts w:ascii="Calibri" w:hAnsi="Calibri" w:cs="Calibri" w:eastAsia="Calibri" w:hint="default"/>
          <w:spacing w:val="-1"/>
        </w:rPr>
        <w:t>“</w:t>
      </w:r>
      <w:r>
        <w:rPr>
          <w:spacing w:val="-1"/>
        </w:rPr>
        <w:t>应收账款</w:t>
      </w:r>
      <w:r>
        <w:rPr>
          <w:rFonts w:ascii="Calibri" w:hAnsi="Calibri" w:cs="Calibri" w:eastAsia="Calibri" w:hint="default"/>
          <w:spacing w:val="-1"/>
        </w:rPr>
        <w:t>”</w:t>
      </w:r>
      <w:r>
        <w:rPr>
          <w:spacing w:val="-1"/>
        </w:rPr>
        <w:t>归并至新增的</w:t>
      </w:r>
      <w:r>
        <w:rPr>
          <w:rFonts w:ascii="Calibri" w:hAnsi="Calibri" w:cs="Calibri" w:eastAsia="Calibri" w:hint="default"/>
          <w:spacing w:val="-1"/>
        </w:rPr>
        <w:t>“</w:t>
      </w:r>
      <w:r>
        <w:rPr>
          <w:spacing w:val="-1"/>
        </w:rPr>
        <w:t>应收票据及应收账款</w:t>
      </w:r>
      <w:r>
        <w:rPr>
          <w:rFonts w:ascii="Calibri" w:hAnsi="Calibri" w:cs="Calibri" w:eastAsia="Calibri" w:hint="default"/>
          <w:spacing w:val="-1"/>
        </w:rPr>
        <w:t>”</w:t>
      </w:r>
      <w:r>
        <w:rPr>
          <w:spacing w:val="-1"/>
        </w:rPr>
        <w:t>项目，将</w:t>
      </w:r>
      <w:r>
        <w:rPr>
          <w:rFonts w:ascii="Calibri" w:hAnsi="Calibri" w:cs="Calibri" w:eastAsia="Calibri" w:hint="default"/>
          <w:spacing w:val="-1"/>
        </w:rPr>
        <w:t>“</w:t>
      </w:r>
      <w:r>
        <w:rPr>
          <w:spacing w:val="-1"/>
        </w:rPr>
        <w:t>应收利息</w:t>
      </w:r>
      <w:r>
        <w:rPr>
          <w:rFonts w:ascii="Calibri" w:hAnsi="Calibri" w:cs="Calibri" w:eastAsia="Calibri" w:hint="default"/>
          <w:spacing w:val="-1"/>
        </w:rPr>
        <w:t>”</w:t>
      </w:r>
      <w:r>
        <w:rPr>
          <w:spacing w:val="-1"/>
        </w:rPr>
        <w:t>和</w:t>
      </w:r>
      <w:r>
        <w:rPr>
          <w:rFonts w:ascii="Calibri" w:hAnsi="Calibri" w:cs="Calibri" w:eastAsia="Calibri" w:hint="default"/>
          <w:spacing w:val="-1"/>
        </w:rPr>
        <w:t>“</w:t>
      </w:r>
      <w:r>
        <w:rPr>
          <w:spacing w:val="-1"/>
        </w:rPr>
        <w:t>应收股利</w:t>
      </w:r>
      <w:r>
        <w:rPr>
          <w:rFonts w:ascii="Calibri" w:hAnsi="Calibri" w:cs="Calibri" w:eastAsia="Calibri" w:hint="default"/>
          <w:spacing w:val="-1"/>
        </w:rPr>
        <w:t>”</w:t>
      </w:r>
      <w:r>
        <w:rPr>
          <w:spacing w:val="-1"/>
        </w:rPr>
        <w:t>归并至</w:t>
      </w:r>
      <w:r>
        <w:rPr>
          <w:rFonts w:ascii="Calibri" w:hAnsi="Calibri" w:cs="Calibri" w:eastAsia="Calibri" w:hint="default"/>
          <w:spacing w:val="-1"/>
        </w:rPr>
        <w:t>“</w:t>
      </w:r>
      <w:r>
        <w:rPr>
          <w:spacing w:val="-1"/>
        </w:rPr>
        <w:t>其他应收款</w:t>
      </w:r>
      <w:r>
        <w:rPr>
          <w:rFonts w:ascii="Calibri" w:hAnsi="Calibri" w:cs="Calibri" w:eastAsia="Calibri" w:hint="default"/>
          <w:spacing w:val="-1"/>
        </w:rPr>
        <w:t>”</w:t>
      </w:r>
      <w:r>
        <w:rPr>
          <w:spacing w:val="-1"/>
        </w:rPr>
        <w:t>项目，将</w:t>
      </w:r>
      <w:r>
        <w:rPr>
          <w:rFonts w:ascii="Calibri" w:hAnsi="Calibri" w:cs="Calibri" w:eastAsia="Calibri" w:hint="default"/>
          <w:spacing w:val="-1"/>
        </w:rPr>
        <w:t>“</w:t>
      </w:r>
      <w:r>
        <w:rPr>
          <w:spacing w:val="-1"/>
        </w:rPr>
        <w:t>固定资产</w:t>
      </w:r>
    </w:p>
    <w:p>
      <w:pPr>
        <w:spacing w:after="0" w:line="29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90" w:lineRule="auto" w:before="44"/>
        <w:ind w:right="1129"/>
        <w:jc w:val="both"/>
      </w:pPr>
      <w:r>
        <w:rPr>
          <w:spacing w:val="-2"/>
        </w:rPr>
        <w:t>清理</w:t>
      </w:r>
      <w:r>
        <w:rPr>
          <w:rFonts w:ascii="Calibri" w:hAnsi="Calibri" w:cs="Calibri" w:eastAsia="Calibri" w:hint="default"/>
          <w:spacing w:val="-2"/>
        </w:rPr>
        <w:t>”</w:t>
      </w:r>
      <w:r>
        <w:rPr>
          <w:spacing w:val="-2"/>
        </w:rPr>
        <w:t>归并至</w:t>
      </w:r>
      <w:r>
        <w:rPr>
          <w:rFonts w:ascii="Calibri" w:hAnsi="Calibri" w:cs="Calibri" w:eastAsia="Calibri" w:hint="default"/>
          <w:spacing w:val="-2"/>
        </w:rPr>
        <w:t>“</w:t>
      </w:r>
      <w:r>
        <w:rPr>
          <w:spacing w:val="-2"/>
        </w:rPr>
        <w:t>固定资产</w:t>
      </w:r>
      <w:r>
        <w:rPr>
          <w:rFonts w:ascii="Calibri" w:hAnsi="Calibri" w:cs="Calibri" w:eastAsia="Calibri" w:hint="default"/>
          <w:spacing w:val="-2"/>
        </w:rPr>
        <w:t>”</w:t>
      </w:r>
      <w:r>
        <w:rPr>
          <w:spacing w:val="-2"/>
        </w:rPr>
        <w:t>项目，将</w:t>
      </w:r>
      <w:r>
        <w:rPr>
          <w:rFonts w:ascii="Calibri" w:hAnsi="Calibri" w:cs="Calibri" w:eastAsia="Calibri" w:hint="default"/>
          <w:spacing w:val="-2"/>
        </w:rPr>
        <w:t>“</w:t>
      </w:r>
      <w:r>
        <w:rPr>
          <w:spacing w:val="-2"/>
        </w:rPr>
        <w:t>工程物资</w:t>
      </w:r>
      <w:r>
        <w:rPr>
          <w:rFonts w:ascii="Calibri" w:hAnsi="Calibri" w:cs="Calibri" w:eastAsia="Calibri" w:hint="default"/>
          <w:spacing w:val="-2"/>
        </w:rPr>
        <w:t>”</w:t>
      </w:r>
      <w:r>
        <w:rPr>
          <w:spacing w:val="-2"/>
        </w:rPr>
        <w:t>归并至</w:t>
      </w:r>
      <w:r>
        <w:rPr>
          <w:rFonts w:ascii="Calibri" w:hAnsi="Calibri" w:cs="Calibri" w:eastAsia="Calibri" w:hint="default"/>
          <w:spacing w:val="-2"/>
        </w:rPr>
        <w:t>“</w:t>
      </w:r>
      <w:r>
        <w:rPr>
          <w:spacing w:val="-2"/>
        </w:rPr>
        <w:t>在建工程</w:t>
      </w:r>
      <w:r>
        <w:rPr>
          <w:rFonts w:ascii="Calibri" w:hAnsi="Calibri" w:cs="Calibri" w:eastAsia="Calibri" w:hint="default"/>
          <w:spacing w:val="-2"/>
        </w:rPr>
        <w:t>”</w:t>
      </w:r>
      <w:r>
        <w:rPr>
          <w:spacing w:val="-2"/>
        </w:rPr>
        <w:t>项目，将</w:t>
      </w:r>
      <w:r>
        <w:rPr>
          <w:rFonts w:ascii="Calibri" w:hAnsi="Calibri" w:cs="Calibri" w:eastAsia="Calibri" w:hint="default"/>
          <w:spacing w:val="-2"/>
        </w:rPr>
        <w:t>“</w:t>
      </w:r>
      <w:r>
        <w:rPr>
          <w:spacing w:val="-2"/>
        </w:rPr>
        <w:t>应付票据</w:t>
      </w:r>
      <w:r>
        <w:rPr>
          <w:rFonts w:ascii="Calibri" w:hAnsi="Calibri" w:cs="Calibri" w:eastAsia="Calibri" w:hint="default"/>
          <w:spacing w:val="-2"/>
        </w:rPr>
        <w:t>”</w:t>
      </w:r>
      <w:r>
        <w:rPr>
          <w:spacing w:val="-2"/>
        </w:rPr>
        <w:t>和</w:t>
      </w:r>
      <w:r>
        <w:rPr>
          <w:rFonts w:ascii="Calibri" w:hAnsi="Calibri" w:cs="Calibri" w:eastAsia="Calibri" w:hint="default"/>
          <w:spacing w:val="-2"/>
        </w:rPr>
        <w:t>“</w:t>
      </w:r>
      <w:r>
        <w:rPr>
          <w:spacing w:val="-2"/>
        </w:rPr>
        <w:t>应付账款</w:t>
      </w:r>
      <w:r>
        <w:rPr>
          <w:rFonts w:ascii="Calibri" w:hAnsi="Calibri" w:cs="Calibri" w:eastAsia="Calibri" w:hint="default"/>
          <w:spacing w:val="-2"/>
        </w:rPr>
        <w:t>”</w:t>
      </w:r>
      <w:r>
        <w:rPr>
          <w:spacing w:val="-2"/>
        </w:rPr>
        <w:t>归并至新增的</w:t>
      </w:r>
      <w:r>
        <w:rPr>
          <w:rFonts w:ascii="Calibri" w:hAnsi="Calibri" w:cs="Calibri" w:eastAsia="Calibri" w:hint="default"/>
          <w:spacing w:val="-2"/>
        </w:rPr>
        <w:t>“</w:t>
      </w:r>
      <w:r>
        <w:rPr>
          <w:spacing w:val="-2"/>
        </w:rPr>
        <w:t>应付票据及应</w:t>
      </w:r>
      <w:r>
        <w:rPr>
          <w:spacing w:val="-59"/>
        </w:rPr>
        <w:t> </w:t>
      </w:r>
      <w:r>
        <w:rPr>
          <w:spacing w:val="-59"/>
        </w:rPr>
      </w:r>
      <w:r>
        <w:rPr>
          <w:spacing w:val="-2"/>
        </w:rPr>
        <w:t>付账款</w:t>
      </w:r>
      <w:r>
        <w:rPr>
          <w:rFonts w:ascii="Calibri" w:hAnsi="Calibri" w:cs="Calibri" w:eastAsia="Calibri" w:hint="default"/>
          <w:spacing w:val="-2"/>
        </w:rPr>
        <w:t>”</w:t>
      </w:r>
      <w:r>
        <w:rPr>
          <w:spacing w:val="-2"/>
        </w:rPr>
        <w:t>项目，将</w:t>
      </w:r>
      <w:r>
        <w:rPr>
          <w:rFonts w:ascii="Calibri" w:hAnsi="Calibri" w:cs="Calibri" w:eastAsia="Calibri" w:hint="default"/>
          <w:spacing w:val="-2"/>
        </w:rPr>
        <w:t>“</w:t>
      </w:r>
      <w:r>
        <w:rPr>
          <w:spacing w:val="-2"/>
        </w:rPr>
        <w:t>专项应付款</w:t>
      </w:r>
      <w:r>
        <w:rPr>
          <w:rFonts w:ascii="Calibri" w:hAnsi="Calibri" w:cs="Calibri" w:eastAsia="Calibri" w:hint="default"/>
          <w:spacing w:val="-2"/>
        </w:rPr>
        <w:t>”</w:t>
      </w:r>
      <w:r>
        <w:rPr>
          <w:spacing w:val="-2"/>
        </w:rPr>
        <w:t>归并至</w:t>
      </w:r>
      <w:r>
        <w:rPr>
          <w:rFonts w:ascii="Calibri" w:hAnsi="Calibri" w:cs="Calibri" w:eastAsia="Calibri" w:hint="default"/>
          <w:spacing w:val="-2"/>
        </w:rPr>
        <w:t>“</w:t>
      </w:r>
      <w:r>
        <w:rPr>
          <w:spacing w:val="-2"/>
        </w:rPr>
        <w:t>长期应付款</w:t>
      </w:r>
      <w:r>
        <w:rPr>
          <w:rFonts w:ascii="Calibri" w:hAnsi="Calibri" w:cs="Calibri" w:eastAsia="Calibri" w:hint="default"/>
          <w:spacing w:val="-2"/>
        </w:rPr>
        <w:t>”</w:t>
      </w:r>
      <w:r>
        <w:rPr>
          <w:spacing w:val="-2"/>
        </w:rPr>
        <w:t>项目；在利润表中，增设</w:t>
      </w:r>
      <w:r>
        <w:rPr>
          <w:rFonts w:ascii="Calibri" w:hAnsi="Calibri" w:cs="Calibri" w:eastAsia="Calibri" w:hint="default"/>
          <w:spacing w:val="-2"/>
        </w:rPr>
        <w:t>“</w:t>
      </w:r>
      <w:r>
        <w:rPr>
          <w:spacing w:val="-2"/>
        </w:rPr>
        <w:t>研发费用</w:t>
      </w:r>
      <w:r>
        <w:rPr>
          <w:rFonts w:ascii="Calibri" w:hAnsi="Calibri" w:cs="Calibri" w:eastAsia="Calibri" w:hint="default"/>
          <w:spacing w:val="-2"/>
        </w:rPr>
        <w:t>”</w:t>
      </w:r>
      <w:r>
        <w:rPr>
          <w:spacing w:val="-2"/>
        </w:rPr>
        <w:t>项目列报研究与开发过程中发生的费</w:t>
      </w:r>
      <w:r>
        <w:rPr>
          <w:spacing w:val="-47"/>
        </w:rPr>
        <w:t> </w:t>
      </w:r>
      <w:r>
        <w:rPr/>
        <w:t>用化支出，</w:t>
      </w:r>
      <w:r>
        <w:rPr>
          <w:rFonts w:ascii="Calibri" w:hAnsi="Calibri" w:cs="Calibri" w:eastAsia="Calibri" w:hint="default"/>
        </w:rPr>
        <w:t>“</w:t>
      </w:r>
      <w:r>
        <w:rPr/>
        <w:t>财务费用</w:t>
      </w:r>
      <w:r>
        <w:rPr>
          <w:rFonts w:ascii="Calibri" w:hAnsi="Calibri" w:cs="Calibri" w:eastAsia="Calibri" w:hint="default"/>
        </w:rPr>
        <w:t>”</w:t>
      </w:r>
      <w:r>
        <w:rPr/>
        <w:t>项目下分拆</w:t>
      </w:r>
      <w:r>
        <w:rPr>
          <w:rFonts w:ascii="Calibri" w:hAnsi="Calibri" w:cs="Calibri" w:eastAsia="Calibri" w:hint="default"/>
        </w:rPr>
        <w:t>“</w:t>
      </w:r>
      <w:r>
        <w:rPr/>
        <w:t>利息费用</w:t>
      </w:r>
      <w:r>
        <w:rPr>
          <w:rFonts w:ascii="Calibri" w:hAnsi="Calibri" w:cs="Calibri" w:eastAsia="Calibri" w:hint="default"/>
        </w:rPr>
        <w:t>”</w:t>
      </w:r>
      <w:r>
        <w:rPr/>
        <w:t>和</w:t>
      </w:r>
      <w:r>
        <w:rPr>
          <w:rFonts w:ascii="Calibri" w:hAnsi="Calibri" w:cs="Calibri" w:eastAsia="Calibri" w:hint="default"/>
        </w:rPr>
        <w:t>“</w:t>
      </w:r>
      <w:r>
        <w:rPr/>
        <w:t>利息收入</w:t>
      </w:r>
      <w:r>
        <w:rPr>
          <w:rFonts w:ascii="Calibri" w:hAnsi="Calibri" w:cs="Calibri" w:eastAsia="Calibri" w:hint="default"/>
        </w:rPr>
        <w:t>”</w:t>
      </w:r>
      <w:r>
        <w:rPr/>
        <w:t>明细项目。本集团相应追溯调整了比较数据。该会计政策变更对</w:t>
      </w:r>
      <w:r>
        <w:rPr>
          <w:spacing w:val="-87"/>
        </w:rPr>
        <w:t> </w:t>
      </w:r>
      <w:r>
        <w:rPr>
          <w:spacing w:val="-87"/>
        </w:rPr>
      </w:r>
      <w:r>
        <w:rPr/>
        <w:t>合并及公司净利润和股东权益无影响。</w:t>
      </w:r>
    </w:p>
    <w:p>
      <w:pPr>
        <w:spacing w:line="240" w:lineRule="auto" w:before="11"/>
        <w:rPr>
          <w:rFonts w:ascii="宋体" w:hAnsi="宋体" w:cs="宋体" w:eastAsia="宋体" w:hint="default"/>
          <w:sz w:val="26"/>
          <w:szCs w:val="26"/>
        </w:rPr>
      </w:pPr>
    </w:p>
    <w:p>
      <w:pPr>
        <w:pStyle w:val="BodyText"/>
        <w:spacing w:line="240" w:lineRule="auto"/>
        <w:ind w:right="0"/>
        <w:jc w:val="both"/>
      </w:pPr>
      <w:r>
        <w:rPr/>
        <w:t>对合并财务报表的主要影响如下：</w:t>
      </w:r>
    </w:p>
    <w:p>
      <w:pPr>
        <w:spacing w:line="240" w:lineRule="auto" w:before="11"/>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2088"/>
        <w:gridCol w:w="1842"/>
        <w:gridCol w:w="1843"/>
        <w:gridCol w:w="1701"/>
      </w:tblGrid>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报表格式变化</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8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hAnsi="宋体" w:cs="宋体" w:eastAsia="宋体" w:hint="default"/>
                <w:sz w:val="20"/>
                <w:szCs w:val="20"/>
              </w:rPr>
              <w:t>调整</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2018</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日</w:t>
            </w:r>
          </w:p>
        </w:tc>
      </w:tr>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438,912,867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-438,912,867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0</w:t>
            </w:r>
          </w:p>
        </w:tc>
      </w:tr>
      <w:tr>
        <w:trPr>
          <w:trHeight w:val="34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438,912,867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438,912,867</w:t>
            </w:r>
          </w:p>
        </w:tc>
      </w:tr>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179,353,326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-179,353,326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0</w:t>
            </w:r>
          </w:p>
        </w:tc>
      </w:tr>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1,330,912,286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-1,330,912,286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0</w:t>
            </w:r>
          </w:p>
        </w:tc>
      </w:tr>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1,510,265,612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1,510,265,612</w:t>
            </w:r>
          </w:p>
        </w:tc>
      </w:tr>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2,580,646,278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-70,187,691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2,510,458,587</w:t>
            </w:r>
          </w:p>
        </w:tc>
      </w:tr>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276,841,049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-90,394,952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186,446,097</w:t>
            </w:r>
          </w:p>
        </w:tc>
      </w:tr>
      <w:tr>
        <w:trPr>
          <w:trHeight w:val="347"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160,582,643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160,582,643</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对公司财务报表的主要影响如下：</w:t>
      </w:r>
    </w:p>
    <w:p>
      <w:pPr>
        <w:spacing w:line="240" w:lineRule="auto" w:before="12"/>
        <w:rPr>
          <w:rFonts w:ascii="宋体" w:hAnsi="宋体" w:cs="宋体" w:eastAsia="宋体" w:hint="default"/>
          <w:sz w:val="28"/>
          <w:szCs w:val="28"/>
        </w:rPr>
      </w:pPr>
    </w:p>
    <w:tbl>
      <w:tblPr>
        <w:tblW w:w="0" w:type="auto"/>
        <w:jc w:val="left"/>
        <w:tblInd w:w="754" w:type="dxa"/>
        <w:tblLayout w:type="fixed"/>
        <w:tblCellMar>
          <w:top w:w="0" w:type="dxa"/>
          <w:left w:w="0" w:type="dxa"/>
          <w:bottom w:w="0" w:type="dxa"/>
          <w:right w:w="0" w:type="dxa"/>
        </w:tblCellMar>
        <w:tblLook w:val="01E0"/>
      </w:tblPr>
      <w:tblGrid>
        <w:gridCol w:w="2078"/>
        <w:gridCol w:w="1806"/>
        <w:gridCol w:w="1944"/>
        <w:gridCol w:w="1602"/>
      </w:tblGrid>
      <w:tr>
        <w:trPr>
          <w:trHeight w:val="348"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报表格式变化</w:t>
            </w:r>
          </w:p>
        </w:tc>
        <w:tc>
          <w:tcPr>
            <w:tcW w:w="1806"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宋体" w:hAnsi="宋体" w:cs="宋体" w:eastAsia="宋体" w:hint="default"/>
                <w:sz w:val="20"/>
                <w:szCs w:val="20"/>
              </w:rPr>
              <w:t>调整</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2018</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日</w:t>
            </w: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165,000,000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-165,000,000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0</w:t>
            </w: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2,976,204,869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-2,976,204,869</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0</w:t>
            </w: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3,141,204,869</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3,141,204,869</w:t>
            </w: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259,353,326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-259,353,326</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0</w:t>
            </w: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1,534,442,378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-1,534,442,378</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100"/>
                <w:sz w:val="20"/>
              </w:rPr>
              <w:t>0</w:t>
            </w: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1,793,795,704</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1,793,795,704</w:t>
            </w: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809,460,917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-69,843,026</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739,617,891</w:t>
            </w: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502,852,027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-40,368,922</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462,483,105</w:t>
            </w:r>
          </w:p>
        </w:tc>
      </w:tr>
      <w:tr>
        <w:trPr>
          <w:trHeight w:val="348"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100"/>
                <w:sz w:val="20"/>
              </w:rPr>
              <w:t>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110,211,948</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110,211,948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5"/>
        <w:ind w:right="0"/>
        <w:jc w:val="left"/>
        <w:rPr>
          <w:b w:val="0"/>
          <w:bCs w:val="0"/>
        </w:rPr>
      </w:pPr>
      <w:bookmarkStart w:name="（2）重要会计估计变更" w:id="206"/>
      <w:bookmarkEnd w:id="20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税项" w:id="207"/>
      <w:bookmarkEnd w:id="207"/>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08"/>
      <w:bookmarkEnd w:id="20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67" w:type="dxa"/>
            <w:tcBorders>
              <w:top w:val="single" w:sz="4" w:space="0" w:color="000000"/>
              <w:left w:val="single" w:sz="4" w:space="0" w:color="000000"/>
              <w:bottom w:val="nil" w:sz="6" w:space="0" w:color="auto"/>
              <w:right w:val="single" w:sz="13" w:space="0" w:color="FFFFFF"/>
            </w:tcBorders>
            <w:shd w:val="clear" w:color="auto" w:fill="D2D2D2"/>
          </w:tcPr>
          <w:p>
            <w:pPr/>
          </w:p>
        </w:tc>
        <w:tc>
          <w:tcPr>
            <w:tcW w:w="3202" w:type="dxa"/>
            <w:vMerge w:val="restart"/>
            <w:tcBorders>
              <w:top w:val="single" w:sz="4" w:space="0" w:color="000000"/>
              <w:left w:val="single" w:sz="13" w:space="0" w:color="FFFFFF"/>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6%-17%</w:t>
            </w:r>
            <w:r>
              <w:rPr>
                <w:rFonts w:ascii="宋体" w:hAnsi="宋体" w:cs="宋体" w:eastAsia="宋体" w:hint="default"/>
                <w:spacing w:val="-5"/>
                <w:sz w:val="18"/>
                <w:szCs w:val="18"/>
              </w:rPr>
              <w:t>计算销项税，并按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扣除当期允许抵扣的进项税额后的差额 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6%-17%</w:t>
            </w:r>
          </w:p>
        </w:tc>
      </w:tr>
      <w:tr>
        <w:trPr>
          <w:trHeight w:val="392" w:hRule="exact"/>
        </w:trPr>
        <w:tc>
          <w:tcPr>
            <w:tcW w:w="3167"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13" w:space="0" w:color="FFFFFF"/>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67" w:type="dxa"/>
            <w:tcBorders>
              <w:top w:val="nil" w:sz="6" w:space="0" w:color="auto"/>
              <w:left w:val="single" w:sz="4" w:space="0" w:color="000000"/>
              <w:bottom w:val="single" w:sz="4" w:space="0" w:color="000000"/>
              <w:right w:val="single" w:sz="13" w:space="0" w:color="FFFFFF"/>
            </w:tcBorders>
            <w:shd w:val="clear" w:color="auto" w:fill="D2D2D2"/>
          </w:tcPr>
          <w:p>
            <w:pPr/>
          </w:p>
        </w:tc>
        <w:tc>
          <w:tcPr>
            <w:tcW w:w="3202" w:type="dxa"/>
            <w:vMerge/>
            <w:tcBorders>
              <w:left w:val="single" w:sz="13" w:space="0" w:color="FFFFFF"/>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6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161" w:hRule="exact"/>
        </w:trPr>
        <w:tc>
          <w:tcPr>
            <w:tcW w:w="3167" w:type="dxa"/>
            <w:tcBorders>
              <w:top w:val="single" w:sz="4" w:space="0" w:color="000000"/>
              <w:left w:val="single" w:sz="4" w:space="0" w:color="000000"/>
              <w:bottom w:val="nil" w:sz="6" w:space="0" w:color="auto"/>
              <w:right w:val="single" w:sz="13" w:space="0" w:color="FFFFFF"/>
            </w:tcBorders>
            <w:shd w:val="clear" w:color="auto" w:fill="D2D2D2"/>
          </w:tcPr>
          <w:p>
            <w:pPr/>
          </w:p>
        </w:tc>
        <w:tc>
          <w:tcPr>
            <w:tcW w:w="3202" w:type="dxa"/>
            <w:vMerge w:val="restart"/>
            <w:tcBorders>
              <w:top w:val="single" w:sz="4" w:space="0" w:color="000000"/>
              <w:left w:val="single" w:sz="13" w:space="0" w:color="FFFFFF"/>
              <w:right w:val="single" w:sz="4" w:space="0" w:color="000000"/>
            </w:tcBorders>
          </w:tcPr>
          <w:p>
            <w:pPr>
              <w:pStyle w:val="TableParagraph"/>
              <w:spacing w:line="302"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企业所得税按应纳税所得额的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 </w:t>
            </w:r>
            <w:r>
              <w:rPr>
                <w:rFonts w:ascii="Times New Roman" w:hAnsi="Times New Roman" w:cs="Times New Roman" w:eastAsia="Times New Roman" w:hint="default"/>
                <w:sz w:val="18"/>
                <w:szCs w:val="18"/>
              </w:rPr>
              <w:t>(</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p>
        </w:tc>
      </w:tr>
      <w:tr>
        <w:trPr>
          <w:trHeight w:val="392" w:hRule="exact"/>
        </w:trPr>
        <w:tc>
          <w:tcPr>
            <w:tcW w:w="3167"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vMerge/>
            <w:tcBorders>
              <w:left w:val="single" w:sz="13" w:space="0" w:color="FFFFFF"/>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13" w:space="0" w:color="FFFFFF"/>
            </w:tcBorders>
            <w:shd w:val="clear" w:color="auto" w:fill="D2D2D2"/>
          </w:tcPr>
          <w:p>
            <w:pPr/>
          </w:p>
        </w:tc>
        <w:tc>
          <w:tcPr>
            <w:tcW w:w="3202" w:type="dxa"/>
            <w:vMerge/>
            <w:tcBorders>
              <w:left w:val="single" w:sz="13" w:space="0" w:color="FFFFFF"/>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316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2" w:type="dxa"/>
            <w:tcBorders>
              <w:top w:val="single" w:sz="4" w:space="0" w:color="000000"/>
              <w:left w:val="single" w:sz="13" w:space="0" w:color="FFFFFF"/>
              <w:bottom w:val="single" w:sz="4" w:space="0" w:color="000000"/>
              <w:right w:val="single" w:sz="4" w:space="0" w:color="000000"/>
            </w:tcBorders>
          </w:tcPr>
          <w:p>
            <w:pPr>
              <w:pStyle w:val="TableParagraph"/>
              <w:spacing w:line="302" w:lineRule="auto" w:before="51"/>
              <w:ind w:left="22" w:right="246"/>
              <w:jc w:val="left"/>
              <w:rPr>
                <w:rFonts w:ascii="宋体" w:hAnsi="宋体" w:cs="宋体" w:eastAsia="宋体" w:hint="default"/>
                <w:sz w:val="18"/>
                <w:szCs w:val="18"/>
              </w:rPr>
            </w:pPr>
            <w:r>
              <w:rPr>
                <w:rFonts w:ascii="宋体" w:hAnsi="宋体" w:cs="宋体" w:eastAsia="宋体" w:hint="default"/>
                <w:sz w:val="18"/>
                <w:szCs w:val="18"/>
              </w:rPr>
              <w:t>按实际房产原值扣除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后的余值的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计缴或按照租金收入的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09"/>
      <w:bookmarkEnd w:id="20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无税收优惠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其他" w:id="210"/>
      <w:bookmarkEnd w:id="210"/>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合并财务报表项目注释" w:id="211"/>
      <w:bookmarkEnd w:id="21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12"/>
      <w:bookmarkEnd w:id="212"/>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1,957,560.00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1,951,831.00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378,523,665.00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392,390,253.00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146,075,111.00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381,662,965.00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540,417,195.00</w:t>
            </w:r>
          </w:p>
        </w:tc>
      </w:tr>
    </w:tbl>
    <w:p>
      <w:pPr>
        <w:pStyle w:val="BodyText"/>
        <w:spacing w:line="357" w:lineRule="auto" w:before="51"/>
        <w:ind w:right="1452"/>
        <w:jc w:val="left"/>
      </w:pPr>
      <w:r>
        <w:rPr/>
        <w:t>其他说明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日，本集团的使用权受限制的货币资金为人民币</w:t>
      </w:r>
      <w:r>
        <w:rPr>
          <w:rFonts w:ascii="Times New Roman" w:hAnsi="Times New Roman" w:cs="Times New Roman" w:eastAsia="Times New Roman" w:hint="default"/>
        </w:rPr>
        <w:t>1,181,740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146,075,111</w:t>
      </w:r>
      <w:r>
        <w:rPr/>
        <w:t>元</w:t>
      </w:r>
      <w:r>
        <w:rPr>
          <w:rFonts w:ascii="Times New Roman" w:hAnsi="Times New Roman" w:cs="Times New Roman" w:eastAsia="Times New Roman" w:hint="default"/>
        </w:rPr>
        <w:t>)</w:t>
      </w:r>
      <w:r>
        <w:rPr/>
        <w:t>。</w:t>
      </w:r>
    </w:p>
    <w:p>
      <w:pPr>
        <w:spacing w:after="0" w:line="357" w:lineRule="auto"/>
        <w:jc w:val="left"/>
        <w:sectPr>
          <w:footerReference w:type="default" r:id="rId15"/>
          <w:pgSz w:w="11910" w:h="16840"/>
          <w:pgMar w:footer="979" w:header="747" w:top="1060" w:bottom="1160" w:left="980" w:right="0"/>
          <w:pgNumType w:start="95"/>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应收票据及应收账款" w:id="213"/>
      <w:bookmarkEnd w:id="213"/>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1,217,243,227.00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438,912,867.00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1,217,243,227.00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438,912,867.00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账款" w:id="214"/>
      <w:bookmarkEnd w:id="214"/>
      <w:r>
        <w:rPr>
          <w:b w:val="0"/>
          <w:bCs w:val="0"/>
        </w:rPr>
      </w: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1,302,70</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7,213.00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85,463,9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1,217,243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,227.00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476,308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,990.00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37,396,12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438,912,86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7.00</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1,302,70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7,213.00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85,463,9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86.00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1,217,243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,227.00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476,308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,990.00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37,396,12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438,912,86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7.00</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期末单项金额重大并单项计提坏账准备的应收账款：</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0"/>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38" w:lineRule="auto" w:before="43"/>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1"/>
        <w:ind w:right="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日，单项金额虽不重大但单独进行减值测试的应收账款坏账计提准备为人民币</w:t>
      </w:r>
      <w:r>
        <w:rPr>
          <w:rFonts w:ascii="Times New Roman" w:hAnsi="Times New Roman" w:cs="Times New Roman" w:eastAsia="Times New Roman" w:hint="default"/>
        </w:rPr>
        <w:t>85,463,986.00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p>
    <w:p>
      <w:pPr>
        <w:pStyle w:val="BodyText"/>
        <w:spacing w:line="240" w:lineRule="auto" w:before="63"/>
        <w:ind w:right="0"/>
        <w:jc w:val="left"/>
      </w:pP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37,396,123.00</w:t>
      </w:r>
      <w:r>
        <w:rPr/>
        <w:t>元</w:t>
      </w:r>
      <w:r>
        <w:rPr>
          <w:rFonts w:ascii="Times New Roman" w:hAnsi="Times New Roman" w:cs="Times New Roman" w:eastAsia="Times New Roman" w:hint="default"/>
        </w:rPr>
        <w:t>)</w:t>
      </w:r>
      <w:r>
        <w:rPr/>
        <w:t>。</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369"/>
        <w:jc w:val="left"/>
      </w:pPr>
      <w:r>
        <w:rPr/>
        <w:t>本期计提坏账准备金额</w:t>
      </w:r>
      <w:r>
        <w:rPr>
          <w:spacing w:val="-47"/>
        </w:rPr>
        <w:t> </w:t>
      </w:r>
      <w:r>
        <w:rPr>
          <w:rFonts w:ascii="Times New Roman" w:hAnsi="Times New Roman" w:cs="Times New Roman" w:eastAsia="Times New Roman" w:hint="default"/>
        </w:rPr>
        <w:t>48,067,863.00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pict>
          <v:group style="position:absolute;margin-left:56.460011pt;margin-top:19.601734pt;width:453.7pt;height:33.7pt;mso-position-horizontal-relative:page;mso-position-vertical-relative:paragraph;z-index:-887224" coordorigin="1129,392" coordsize="9074,674">
            <v:group style="position:absolute;left:1134;top:397;width:1551;height:2" coordorigin="1134,397" coordsize="1551,2">
              <v:shape style="position:absolute;left:1134;top:397;width:1551;height:2" coordorigin="1134,397" coordsize="1551,0" path="m1134,397l2685,397e" filled="false" stroked="true" strokeweight=".47998pt" strokecolor="#d2d2d2">
                <v:path arrowok="t"/>
              </v:shape>
            </v:group>
            <v:group style="position:absolute;left:1139;top:402;width:2;height:312" coordorigin="1139,402" coordsize="2,312">
              <v:shape style="position:absolute;left:1139;top:402;width:2;height:312" coordorigin="1139,402" coordsize="0,312" path="m1139,402l1139,714e" filled="false" stroked="true" strokeweight=".48pt" strokecolor="#d2d2d2">
                <v:path arrowok="t"/>
              </v:shape>
            </v:group>
            <v:group style="position:absolute;left:1134;top:714;width:1551;height:352" coordorigin="1134,714" coordsize="1551,352">
              <v:shape style="position:absolute;left:1134;top:714;width:1551;height:352" coordorigin="1134,714" coordsize="1551,352" path="m1134,1065l2685,1065,2685,714,1134,714,1134,1065xe" filled="true" fillcolor="#d2d2d2" stroked="false">
                <v:path arrowok="t"/>
                <v:fill type="solid"/>
              </v:shape>
            </v:group>
            <v:group style="position:absolute;left:1144;top:402;width:1542;height:312" coordorigin="1144,402" coordsize="1542,312">
              <v:shape style="position:absolute;left:1144;top:402;width:1542;height:312" coordorigin="1144,402" coordsize="1542,312" path="m1144,714l2685,714,2685,402,1144,402,1144,714xe" filled="true" fillcolor="#d2d2d2" stroked="false">
                <v:path arrowok="t"/>
                <v:fill type="solid"/>
              </v:shape>
            </v:group>
            <v:group style="position:absolute;left:2694;top:397;width:1691;height:2" coordorigin="2694,397" coordsize="1691,2">
              <v:shape style="position:absolute;left:2694;top:397;width:1691;height:2" coordorigin="2694,397" coordsize="1691,0" path="m2694,397l4385,397e" filled="false" stroked="true" strokeweight=".47998pt" strokecolor="#d2d2d2">
                <v:path arrowok="t"/>
              </v:shape>
            </v:group>
            <v:group style="position:absolute;left:2699;top:402;width:2;height:312" coordorigin="2699,402" coordsize="2,312">
              <v:shape style="position:absolute;left:2699;top:402;width:2;height:312" coordorigin="2699,402" coordsize="0,312" path="m2699,402l2699,714e" filled="false" stroked="true" strokeweight=".48pt" strokecolor="#d2d2d2">
                <v:path arrowok="t"/>
              </v:shape>
            </v:group>
            <v:group style="position:absolute;left:2694;top:714;width:1691;height:352" coordorigin="2694,714" coordsize="1691,352">
              <v:shape style="position:absolute;left:2694;top:714;width:1691;height:352" coordorigin="2694,714" coordsize="1691,352" path="m2694,1065l4385,1065,4385,714,2694,714,2694,1065xe" filled="true" fillcolor="#d2d2d2" stroked="false">
                <v:path arrowok="t"/>
                <v:fill type="solid"/>
              </v:shape>
            </v:group>
            <v:group style="position:absolute;left:2704;top:402;width:1682;height:312" coordorigin="2704,402" coordsize="1682,312">
              <v:shape style="position:absolute;left:2704;top:402;width:1682;height:312" coordorigin="2704,402" coordsize="1682,312" path="m2704,714l4385,714,4385,402,2704,402,2704,714xe" filled="true" fillcolor="#d2d2d2" stroked="false">
                <v:path arrowok="t"/>
                <v:fill type="solid"/>
              </v:shape>
            </v:group>
            <v:group style="position:absolute;left:4396;top:397;width:1549;height:2" coordorigin="4396,397" coordsize="1549,2">
              <v:shape style="position:absolute;left:4396;top:397;width:1549;height:2" coordorigin="4396,397" coordsize="1549,0" path="m4396,397l5944,397e" filled="false" stroked="true" strokeweight=".47998pt" strokecolor="#d2d2d2">
                <v:path arrowok="t"/>
              </v:shape>
            </v:group>
            <v:group style="position:absolute;left:4401;top:402;width:2;height:312" coordorigin="4401,402" coordsize="2,312">
              <v:shape style="position:absolute;left:4401;top:402;width:2;height:312" coordorigin="4401,402" coordsize="0,312" path="m4401,402l4401,714e" filled="false" stroked="true" strokeweight=".48001pt" strokecolor="#d2d2d2">
                <v:path arrowok="t"/>
              </v:shape>
            </v:group>
            <v:group style="position:absolute;left:4396;top:714;width:1549;height:352" coordorigin="4396,714" coordsize="1549,352">
              <v:shape style="position:absolute;left:4396;top:714;width:1549;height:352" coordorigin="4396,714" coordsize="1549,352" path="m4396,1065l5944,1065,5944,714,4396,714,4396,1065xe" filled="true" fillcolor="#d2d2d2" stroked="false">
                <v:path arrowok="t"/>
                <v:fill type="solid"/>
              </v:shape>
            </v:group>
            <v:group style="position:absolute;left:4406;top:402;width:1539;height:312" coordorigin="4406,402" coordsize="1539,312">
              <v:shape style="position:absolute;left:4406;top:402;width:1539;height:312" coordorigin="4406,402" coordsize="1539,312" path="m4406,714l5944,714,5944,402,4406,402,4406,714xe" filled="true" fillcolor="#d2d2d2" stroked="false">
                <v:path arrowok="t"/>
                <v:fill type="solid"/>
              </v:shape>
            </v:group>
            <v:group style="position:absolute;left:5955;top:397;width:1266;height:2" coordorigin="5955,397" coordsize="1266,2">
              <v:shape style="position:absolute;left:5955;top:397;width:1266;height:2" coordorigin="5955,397" coordsize="1266,0" path="m5955,397l7221,397e" filled="false" stroked="true" strokeweight=".47998pt" strokecolor="#d2d2d2">
                <v:path arrowok="t"/>
              </v:shape>
            </v:group>
            <v:group style="position:absolute;left:5960;top:402;width:2;height:312" coordorigin="5960,402" coordsize="2,312">
              <v:shape style="position:absolute;left:5960;top:402;width:2;height:312" coordorigin="5960,402" coordsize="0,312" path="m5960,402l5960,714e" filled="false" stroked="true" strokeweight=".48001pt" strokecolor="#d2d2d2">
                <v:path arrowok="t"/>
              </v:shape>
            </v:group>
            <v:group style="position:absolute;left:5955;top:714;width:1266;height:352" coordorigin="5955,714" coordsize="1266,352">
              <v:shape style="position:absolute;left:5955;top:714;width:1266;height:352" coordorigin="5955,714" coordsize="1266,352" path="m5955,1065l7221,1065,7221,714,5955,714,5955,1065xe" filled="true" fillcolor="#d2d2d2" stroked="false">
                <v:path arrowok="t"/>
                <v:fill type="solid"/>
              </v:shape>
            </v:group>
            <v:group style="position:absolute;left:5965;top:402;width:1257;height:312" coordorigin="5965,402" coordsize="1257,312">
              <v:shape style="position:absolute;left:5965;top:402;width:1257;height:312" coordorigin="5965,402" coordsize="1257,312" path="m5965,714l7221,714,7221,402,5965,402,5965,714xe" filled="true" fillcolor="#d2d2d2" stroked="false">
                <v:path arrowok="t"/>
                <v:fill type="solid"/>
              </v:shape>
            </v:group>
            <v:group style="position:absolute;left:7231;top:397;width:1408;height:2" coordorigin="7231,397" coordsize="1408,2">
              <v:shape style="position:absolute;left:7231;top:397;width:1408;height:2" coordorigin="7231,397" coordsize="1408,0" path="m7231,397l8639,397e" filled="false" stroked="true" strokeweight=".47998pt" strokecolor="#d2d2d2">
                <v:path arrowok="t"/>
              </v:shape>
            </v:group>
            <v:group style="position:absolute;left:7236;top:402;width:2;height:312" coordorigin="7236,402" coordsize="2,312">
              <v:shape style="position:absolute;left:7236;top:402;width:2;height:312" coordorigin="7236,402" coordsize="0,312" path="m7236,402l7236,714e" filled="false" stroked="true" strokeweight=".48001pt" strokecolor="#d2d2d2">
                <v:path arrowok="t"/>
              </v:shape>
            </v:group>
            <v:group style="position:absolute;left:7231;top:718;width:1408;height:2" coordorigin="7231,718" coordsize="1408,2">
              <v:shape style="position:absolute;left:7231;top:718;width:1408;height:2" coordorigin="7231,718" coordsize="1408,0" path="m7231,718l8639,718e" filled="false" stroked="true" strokeweight=".47998pt" strokecolor="#d2d2d2">
                <v:path arrowok="t"/>
              </v:shape>
            </v:group>
            <v:group style="position:absolute;left:7240;top:402;width:1399;height:312" coordorigin="7240,402" coordsize="1399,312">
              <v:shape style="position:absolute;left:7240;top:402;width:1399;height:312" coordorigin="7240,402" coordsize="1399,312" path="m7240,714l8639,714,8639,402,7240,402,7240,714xe" filled="true" fillcolor="#d2d2d2" stroked="false">
                <v:path arrowok="t"/>
                <v:fill type="solid"/>
              </v:shape>
            </v:group>
            <v:group style="position:absolute;left:8648;top:397;width:1550;height:2" coordorigin="8648,397" coordsize="1550,2">
              <v:shape style="position:absolute;left:8648;top:397;width:1550;height:2" coordorigin="8648,397" coordsize="1550,0" path="m8648,397l10198,397e" filled="false" stroked="true" strokeweight=".47998pt" strokecolor="#d2d2d2">
                <v:path arrowok="t"/>
              </v:shape>
            </v:group>
            <v:group style="position:absolute;left:8653;top:402;width:2;height:312" coordorigin="8653,402" coordsize="2,312">
              <v:shape style="position:absolute;left:8653;top:402;width:2;height:312" coordorigin="8653,402" coordsize="0,312" path="m8653,402l8653,714e" filled="false" stroked="true" strokeweight=".48001pt" strokecolor="#d2d2d2">
                <v:path arrowok="t"/>
              </v:shape>
            </v:group>
            <v:group style="position:absolute;left:8648;top:718;width:1550;height:2" coordorigin="8648,718" coordsize="1550,2">
              <v:shape style="position:absolute;left:8648;top:718;width:1550;height:2" coordorigin="8648,718" coordsize="1550,0" path="m8648,718l10198,718e" filled="false" stroked="true" strokeweight=".47998pt" strokecolor="#d2d2d2">
                <v:path arrowok="t"/>
              </v:shape>
            </v:group>
            <v:group style="position:absolute;left:8658;top:402;width:1540;height:312" coordorigin="8658,402" coordsize="1540,312">
              <v:shape style="position:absolute;left:8658;top:402;width:1540;height:312" coordorigin="8658,402" coordsize="1540,312" path="m8658,714l10198,714,10198,402,8658,402,8658,714xe" filled="true" fillcolor="#d2d2d2" stroked="false">
                <v:path arrowok="t"/>
                <v:fill type="solid"/>
              </v:shape>
            </v:group>
            <v:group style="position:absolute;left:1134;top:397;width:1551;height:2" coordorigin="1134,397" coordsize="1551,2">
              <v:shape style="position:absolute;left:1134;top:397;width:1551;height:2" coordorigin="1134,397" coordsize="1551,0" path="m1134,397l2685,397e" filled="false" stroked="true" strokeweight=".47998pt" strokecolor="#d2d2d2">
                <v:path arrowok="t"/>
              </v:shape>
            </v:group>
            <v:group style="position:absolute;left:2685;top:397;width:1702;height:2" coordorigin="2685,397" coordsize="1702,2">
              <v:shape style="position:absolute;left:2685;top:397;width:1702;height:2" coordorigin="2685,397" coordsize="1702,0" path="m2685,397l4386,397e" filled="false" stroked="true" strokeweight=".47998pt" strokecolor="#d2d2d2">
                <v:path arrowok="t"/>
              </v:shape>
            </v:group>
            <v:group style="position:absolute;left:4386;top:397;width:1560;height:2" coordorigin="4386,397" coordsize="1560,2">
              <v:shape style="position:absolute;left:4386;top:397;width:1560;height:2" coordorigin="4386,397" coordsize="1560,0" path="m4386,397l5946,397e" filled="false" stroked="true" strokeweight=".47998pt" strokecolor="#d2d2d2">
                <v:path arrowok="t"/>
              </v:shape>
            </v:group>
            <v:group style="position:absolute;left:5946;top:397;width:1276;height:2" coordorigin="5946,397" coordsize="1276,2">
              <v:shape style="position:absolute;left:5946;top:397;width:1276;height:2" coordorigin="5946,397" coordsize="1276,0" path="m5946,397l7221,397e" filled="false" stroked="true" strokeweight=".47998pt" strokecolor="#d2d2d2">
                <v:path arrowok="t"/>
              </v:shape>
            </v:group>
            <v:group style="position:absolute;left:7221;top:397;width:1418;height:2" coordorigin="7221,397" coordsize="1418,2">
              <v:shape style="position:absolute;left:7221;top:397;width:1418;height:2" coordorigin="7221,397" coordsize="1418,0" path="m7221,397l8639,397e" filled="false" stroked="true" strokeweight=".47998pt" strokecolor="#d2d2d2">
                <v:path arrowok="t"/>
              </v:shape>
            </v:group>
            <v:group style="position:absolute;left:8639;top:397;width:1559;height:2" coordorigin="8639,397" coordsize="1559,2">
              <v:shape style="position:absolute;left:8639;top:397;width:1559;height:2" coordorigin="8639,397" coordsize="1559,0" path="m8639,397l10198,397e" filled="false" stroked="true" strokeweight=".47998pt" strokecolor="#d2d2d2">
                <v:path arrowok="t"/>
              </v:shape>
            </v:group>
            <v:group style="position:absolute;left:7231;top:718;width:1418;height:2" coordorigin="7231,718" coordsize="1418,2">
              <v:shape style="position:absolute;left:7231;top:718;width:1418;height:2" coordorigin="7231,718" coordsize="1418,0" path="m7231,718l8648,718e" filled="false" stroked="true" strokeweight=".47998pt" strokecolor="#d2d2d2">
                <v:path arrowok="t"/>
              </v:shape>
            </v:group>
            <v:group style="position:absolute;left:7231;top:1060;width:1408;height:2" coordorigin="7231,1060" coordsize="1408,2">
              <v:shape style="position:absolute;left:7231;top:1060;width:1408;height:2" coordorigin="7231,1060" coordsize="1408,0" path="m7231,1060l8639,1060e" filled="false" stroked="true" strokeweight=".47998pt" strokecolor="#d2d2d2">
                <v:path arrowok="t"/>
              </v:shape>
            </v:group>
            <v:group style="position:absolute;left:7240;top:744;width:1399;height:312" coordorigin="7240,744" coordsize="1399,312">
              <v:shape style="position:absolute;left:7240;top:744;width:1399;height:312" coordorigin="7240,744" coordsize="1399,312" path="m7240,1056l8639,1056,8639,744,7240,744,7240,1056xe" filled="true" fillcolor="#d2d2d2" stroked="false">
                <v:path arrowok="t"/>
                <v:fill type="solid"/>
              </v:shape>
            </v:group>
            <v:group style="position:absolute;left:8648;top:1060;width:1550;height:2" coordorigin="8648,1060" coordsize="1550,2">
              <v:shape style="position:absolute;left:8648;top:1060;width:1550;height:2" coordorigin="8648,1060" coordsize="1550,0" path="m8648,1060l10198,1060e" filled="false" stroked="true" strokeweight=".47998pt" strokecolor="#d2d2d2">
                <v:path arrowok="t"/>
              </v:shape>
            </v:group>
            <v:group style="position:absolute;left:8658;top:744;width:1540;height:312" coordorigin="8658,744" coordsize="1540,312">
              <v:shape style="position:absolute;left:8658;top:744;width:1540;height:312" coordorigin="8658,744" coordsize="1540,312" path="m8658,1056l10198,1056,10198,744,8658,744,8658,1056xe" filled="true" fillcolor="#d2d2d2" stroked="false">
                <v:path arrowok="t"/>
                <v:fill type="solid"/>
              </v:shape>
            </v:group>
            <v:group style="position:absolute;left:1134;top:1060;width:1561;height:2" coordorigin="1134,1060" coordsize="1561,2">
              <v:shape style="position:absolute;left:1134;top:1060;width:1561;height:2" coordorigin="1134,1060" coordsize="1561,0" path="m1134,1060l2694,1060e" filled="false" stroked="true" strokeweight=".47998pt" strokecolor="#d2d2d2">
                <v:path arrowok="t"/>
              </v:shape>
            </v:group>
            <v:group style="position:absolute;left:2694;top:1060;width:1701;height:2" coordorigin="2694,1060" coordsize="1701,2">
              <v:shape style="position:absolute;left:2694;top:1060;width:1701;height:2" coordorigin="2694,1060" coordsize="1701,0" path="m2694,1060l4395,1060e" filled="false" stroked="true" strokeweight=".47998pt" strokecolor="#d2d2d2">
                <v:path arrowok="t"/>
              </v:shape>
            </v:group>
            <v:group style="position:absolute;left:4396;top:1060;width:1558;height:2" coordorigin="4396,1060" coordsize="1558,2">
              <v:shape style="position:absolute;left:4396;top:1060;width:1558;height:2" coordorigin="4396,1060" coordsize="1558,0" path="m4396,1060l5954,1060e" filled="false" stroked="true" strokeweight=".47998pt" strokecolor="#d2d2d2">
                <v:path arrowok="t"/>
              </v:shape>
            </v:group>
            <v:group style="position:absolute;left:5955;top:1060;width:1276;height:2" coordorigin="5955,1060" coordsize="1276,2">
              <v:shape style="position:absolute;left:5955;top:1060;width:1276;height:2" coordorigin="5955,1060" coordsize="1276,0" path="m5955,1060l7231,1060e" filled="false" stroked="true" strokeweight=".47998pt" strokecolor="#d2d2d2">
                <v:path arrowok="t"/>
              </v:shape>
            </v:group>
            <v:group style="position:absolute;left:7231;top:1060;width:1418;height:2" coordorigin="7231,1060" coordsize="1418,2">
              <v:shape style="position:absolute;left:7231;top:1060;width:1418;height:2" coordorigin="7231,1060" coordsize="1418,0" path="m7231,1060l8648,1060e" filled="false" stroked="true" strokeweight=".47998pt" strokecolor="#d2d2d2">
                <v:path arrowok="t"/>
              </v:shape>
            </v:group>
            <w10:wrap type="none"/>
          </v:group>
        </w:pict>
      </w:r>
      <w:r>
        <w:rPr>
          <w:rFonts w:ascii="Times New Roman" w:hAnsi="Times New Roman" w:cs="Times New Roman" w:eastAsia="Times New Roman" w:hint="default"/>
        </w:rPr>
        <w:t>3)</w:t>
      </w:r>
      <w:r>
        <w:rPr/>
        <w:t>按欠款方归集的期末余额前五名的应收账款情况</w:t>
      </w:r>
    </w:p>
    <w:p>
      <w:pPr>
        <w:spacing w:line="240" w:lineRule="auto" w:before="4"/>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1560"/>
        <w:gridCol w:w="1702"/>
        <w:gridCol w:w="1559"/>
        <w:gridCol w:w="1276"/>
        <w:gridCol w:w="1418"/>
        <w:gridCol w:w="1559"/>
      </w:tblGrid>
      <w:tr>
        <w:trPr>
          <w:trHeight w:val="337" w:hRule="exact"/>
        </w:trPr>
        <w:tc>
          <w:tcPr>
            <w:tcW w:w="1560" w:type="dxa"/>
            <w:vMerge w:val="restart"/>
            <w:tcBorders>
              <w:top w:val="nil" w:sz="6" w:space="0" w:color="auto"/>
              <w:left w:val="nil" w:sz="6" w:space="0" w:color="auto"/>
              <w:right w:val="single" w:sz="8" w:space="0" w:color="000000"/>
            </w:tcBorders>
            <w:shd w:val="clear" w:color="auto" w:fill="D2D2D2"/>
          </w:tcPr>
          <w:p>
            <w:pPr>
              <w:pStyle w:val="TableParagraph"/>
              <w:spacing w:line="240" w:lineRule="auto" w:before="20"/>
              <w:ind w:left="41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20"/>
              <w:ind w:left="209"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559"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20"/>
              <w:ind w:left="4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418"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占应收账款期末</w:t>
            </w:r>
          </w:p>
        </w:tc>
        <w:tc>
          <w:tcPr>
            <w:tcW w:w="1559"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left="4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7" w:hRule="exact"/>
        </w:trPr>
        <w:tc>
          <w:tcPr>
            <w:tcW w:w="1560" w:type="dxa"/>
            <w:vMerge/>
            <w:tcBorders>
              <w:left w:val="nil" w:sz="6" w:space="0" w:color="auto"/>
              <w:bottom w:val="single" w:sz="8" w:space="0" w:color="000000"/>
              <w:right w:val="single" w:sz="8" w:space="0" w:color="000000"/>
            </w:tcBorders>
            <w:shd w:val="clear" w:color="auto" w:fill="D2D2D2"/>
          </w:tcPr>
          <w:p>
            <w:pPr/>
          </w:p>
        </w:tc>
        <w:tc>
          <w:tcPr>
            <w:tcW w:w="1702" w:type="dxa"/>
            <w:vMerge/>
            <w:tcBorders>
              <w:left w:val="single" w:sz="8" w:space="0" w:color="000000"/>
              <w:bottom w:val="single" w:sz="8" w:space="0" w:color="000000"/>
              <w:right w:val="single" w:sz="8" w:space="0" w:color="000000"/>
            </w:tcBorders>
            <w:shd w:val="clear" w:color="auto" w:fill="D2D2D2"/>
          </w:tcPr>
          <w:p>
            <w:pPr/>
          </w:p>
        </w:tc>
        <w:tc>
          <w:tcPr>
            <w:tcW w:w="1559" w:type="dxa"/>
            <w:vMerge/>
            <w:tcBorders>
              <w:left w:val="single" w:sz="8" w:space="0" w:color="000000"/>
              <w:bottom w:val="single" w:sz="8" w:space="0" w:color="000000"/>
              <w:right w:val="single" w:sz="8" w:space="0" w:color="000000"/>
            </w:tcBorders>
            <w:shd w:val="clear" w:color="auto" w:fill="D2D2D2"/>
          </w:tcPr>
          <w:p>
            <w:pPr/>
          </w:p>
        </w:tc>
        <w:tc>
          <w:tcPr>
            <w:tcW w:w="1276" w:type="dxa"/>
            <w:vMerge/>
            <w:tcBorders>
              <w:left w:val="single" w:sz="8" w:space="0" w:color="000000"/>
              <w:bottom w:val="single" w:sz="8" w:space="0" w:color="000000"/>
              <w:right w:val="single" w:sz="8" w:space="0" w:color="000000"/>
            </w:tcBorders>
            <w:shd w:val="clear" w:color="auto" w:fill="D2D2D2"/>
          </w:tcPr>
          <w:p>
            <w:pPr/>
          </w:p>
        </w:tc>
        <w:tc>
          <w:tcPr>
            <w:tcW w:w="141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余额的比例</w:t>
            </w:r>
          </w:p>
        </w:tc>
        <w:tc>
          <w:tcPr>
            <w:tcW w:w="1559" w:type="dxa"/>
            <w:tcBorders>
              <w:top w:val="single" w:sz="8" w:space="0" w:color="000000"/>
              <w:left w:val="single" w:sz="8" w:space="0" w:color="000000"/>
              <w:bottom w:val="single" w:sz="8" w:space="0" w:color="000000"/>
              <w:right w:val="single" w:sz="8"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1560"/>
        <w:gridCol w:w="1702"/>
        <w:gridCol w:w="1559"/>
        <w:gridCol w:w="1276"/>
        <w:gridCol w:w="1418"/>
        <w:gridCol w:w="1559"/>
      </w:tblGrid>
      <w:tr>
        <w:trPr>
          <w:trHeight w:val="416" w:hRule="exact"/>
        </w:trPr>
        <w:tc>
          <w:tcPr>
            <w:tcW w:w="1560" w:type="dxa"/>
            <w:tcBorders>
              <w:top w:val="nil" w:sz="6" w:space="0" w:color="auto"/>
              <w:left w:val="nil" w:sz="6" w:space="0" w:color="auto"/>
              <w:bottom w:val="single" w:sz="8" w:space="0" w:color="000000"/>
              <w:right w:val="single" w:sz="8" w:space="0" w:color="000000"/>
            </w:tcBorders>
          </w:tcPr>
          <w:p>
            <w:pPr>
              <w:pStyle w:val="TableParagraph"/>
              <w:spacing w:line="240" w:lineRule="auto" w:before="56"/>
              <w:ind w:left="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02"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59"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37,784,309.00</w:t>
            </w:r>
          </w:p>
        </w:tc>
        <w:tc>
          <w:tcPr>
            <w:tcW w:w="1276"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51"/>
              <w:ind w:right="551"/>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18"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z w:val="20"/>
              </w:rPr>
              <w:t>3.00%</w:t>
            </w:r>
          </w:p>
        </w:tc>
        <w:tc>
          <w:tcPr>
            <w:tcW w:w="1559" w:type="dxa"/>
            <w:tcBorders>
              <w:top w:val="single" w:sz="4" w:space="0" w:color="FFFFFF"/>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28,541,101.00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551"/>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2.00%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25,724,793.00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551"/>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2.00%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21,303,368.00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551"/>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
              <w:jc w:val="right"/>
              <w:rPr>
                <w:rFonts w:ascii="Times New Roman" w:hAnsi="Times New Roman" w:cs="Times New Roman" w:eastAsia="Times New Roman" w:hint="default"/>
                <w:sz w:val="20"/>
                <w:szCs w:val="20"/>
              </w:rPr>
            </w:pPr>
            <w:r>
              <w:rPr>
                <w:rFonts w:ascii="Times New Roman"/>
                <w:sz w:val="20"/>
              </w:rPr>
              <w:t>2.00%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pacing w:val="-1"/>
                <w:sz w:val="18"/>
              </w:rPr>
              <w:t>16,713,785.00</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551"/>
              <w:jc w:val="right"/>
              <w:rPr>
                <w:rFonts w:ascii="宋体" w:hAnsi="宋体" w:cs="宋体" w:eastAsia="宋体" w:hint="default"/>
                <w:sz w:val="18"/>
                <w:szCs w:val="18"/>
              </w:rPr>
            </w:pPr>
            <w:r>
              <w:rPr>
                <w:rFonts w:ascii="宋体" w:hAnsi="宋体" w:cs="宋体" w:eastAsia="宋体" w:hint="default"/>
                <w:sz w:val="18"/>
                <w:szCs w:val="18"/>
              </w:rPr>
              <w:t>小于</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right="-1"/>
              <w:jc w:val="right"/>
              <w:rPr>
                <w:rFonts w:ascii="Times New Roman" w:hAnsi="Times New Roman" w:cs="Times New Roman" w:eastAsia="Times New Roman" w:hint="default"/>
                <w:sz w:val="20"/>
                <w:szCs w:val="20"/>
              </w:rPr>
            </w:pPr>
            <w:r>
              <w:rPr>
                <w:rFonts w:ascii="Times New Roman"/>
                <w:sz w:val="20"/>
              </w:rPr>
              <w:t>1.00%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0</w:t>
            </w:r>
          </w:p>
        </w:tc>
      </w:tr>
      <w:tr>
        <w:trPr>
          <w:trHeight w:val="734" w:hRule="exact"/>
        </w:trPr>
        <w:tc>
          <w:tcPr>
            <w:tcW w:w="1560"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130,067,356.00</w:t>
            </w:r>
          </w:p>
        </w:tc>
        <w:tc>
          <w:tcPr>
            <w:tcW w:w="127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1"/>
              <w:ind w:right="566"/>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10.00%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预付款项" w:id="215"/>
      <w:bookmarkEnd w:id="215"/>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16"/>
      <w:bookmarkEnd w:id="21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240,998,812.00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282,809,905.00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3,433,536.00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839,755.00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244,432,348.00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283,649,660.00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按预付对象归集的期末余额前五名的预付款情况" w:id="217"/>
      <w:bookmarkEnd w:id="21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1560"/>
        <w:gridCol w:w="1559"/>
        <w:gridCol w:w="1985"/>
        <w:gridCol w:w="2976"/>
      </w:tblGrid>
      <w:tr>
        <w:trPr>
          <w:trHeight w:val="337" w:hRule="exact"/>
        </w:trPr>
        <w:tc>
          <w:tcPr>
            <w:tcW w:w="1560" w:type="dxa"/>
            <w:tcBorders>
              <w:top w:val="nil" w:sz="6" w:space="0" w:color="auto"/>
              <w:left w:val="nil" w:sz="6" w:space="0" w:color="auto"/>
              <w:bottom w:val="single" w:sz="8" w:space="0" w:color="000000"/>
              <w:right w:val="single" w:sz="8" w:space="0" w:color="000000"/>
            </w:tcBorders>
            <w:shd w:val="clear" w:color="auto" w:fill="D2D2D2"/>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985"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left="12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76"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占预付款项期末余额的比例</w:t>
            </w:r>
          </w:p>
        </w:tc>
      </w:tr>
      <w:tr>
        <w:trPr>
          <w:trHeight w:val="739" w:hRule="exact"/>
        </w:trPr>
        <w:tc>
          <w:tcPr>
            <w:tcW w:w="1560"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50,810,000.00</w:t>
            </w:r>
          </w:p>
        </w:tc>
        <w:tc>
          <w:tcPr>
            <w:tcW w:w="29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21.00%</w:t>
            </w:r>
          </w:p>
        </w:tc>
      </w:tr>
      <w:tr>
        <w:trPr>
          <w:trHeight w:val="734"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23,100,000.00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9.00%</w:t>
            </w:r>
          </w:p>
        </w:tc>
      </w:tr>
      <w:tr>
        <w:trPr>
          <w:trHeight w:val="734"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12,023,596.00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5.00%</w:t>
            </w:r>
          </w:p>
        </w:tc>
      </w:tr>
      <w:tr>
        <w:trPr>
          <w:trHeight w:val="733"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9,166,667.00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4.00%</w:t>
            </w:r>
          </w:p>
        </w:tc>
      </w:tr>
      <w:tr>
        <w:trPr>
          <w:trHeight w:val="734" w:hRule="exact"/>
        </w:trPr>
        <w:tc>
          <w:tcPr>
            <w:tcW w:w="156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7,560,000.00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3.00%</w:t>
            </w:r>
          </w:p>
        </w:tc>
      </w:tr>
      <w:tr>
        <w:trPr>
          <w:trHeight w:val="735" w:hRule="exact"/>
        </w:trPr>
        <w:tc>
          <w:tcPr>
            <w:tcW w:w="1560"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12"/>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102,660,263.00</w:t>
            </w:r>
          </w:p>
        </w:tc>
        <w:tc>
          <w:tcPr>
            <w:tcW w:w="2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42.00%</w:t>
            </w:r>
          </w:p>
        </w:tc>
      </w:tr>
    </w:tbl>
    <w:p>
      <w:pPr>
        <w:pStyle w:val="BodyText"/>
        <w:spacing w:line="357" w:lineRule="auto" w:before="51"/>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其他应收款" w:id="218"/>
      <w:bookmarkEnd w:id="218"/>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183,712,070.00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193,376,826.00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183,712,070.00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193,376,826.00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其他应收款" w:id="219"/>
      <w:bookmarkEnd w:id="219"/>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6"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150,498,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249.00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16,786,1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133,712,0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164,521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,170.00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21,144,34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143,376,82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6.00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200,498,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249.00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16,786,1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79.00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183,712,0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70.00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214,521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,170.00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21,144,34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193,376,82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6.00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1779"/>
        <w:jc w:val="left"/>
      </w:pPr>
      <w:r>
        <w:rPr/>
        <w:t>期末单项金额重大并单项计提坏账准备的其他应收款：</w:t>
      </w:r>
    </w:p>
    <w:p>
      <w:pPr>
        <w:pStyle w:val="BodyText"/>
        <w:spacing w:line="340" w:lineRule="auto" w:before="116"/>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0"/>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3"/>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77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3"/>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4,159,281.00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10"/>
        <w:ind w:right="-20"/>
        <w:jc w:val="left"/>
      </w:pPr>
      <w:r>
        <w:rPr/>
        <w:t>无</w:t>
      </w:r>
    </w:p>
    <w:p>
      <w:pPr>
        <w:pStyle w:val="Heading3"/>
        <w:spacing w:line="240" w:lineRule="auto"/>
        <w:ind w:right="-20"/>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3715" w:space="51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198,884.00</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51"/>
        <w:ind w:right="850"/>
        <w:jc w:val="left"/>
      </w:pPr>
      <w:r>
        <w:rPr/>
        <w:t>其他应收款核销说明： 无</w:t>
      </w:r>
    </w:p>
    <w:p>
      <w:pPr>
        <w:pStyle w:val="BodyText"/>
        <w:spacing w:line="240" w:lineRule="auto" w:before="29"/>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直营店营业款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49,969,095.00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63,692,395.00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17,053,906.00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14,759,973.00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72,811,147.00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77,402,186.00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7,582,517.00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6,110,859.00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3,081,584.00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2,555,757.00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200,498,249.00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214,521,170.00</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10,600,693.00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10,600,693.00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72,750,693.00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10,600,693.00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预计收取的时间、金额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存货" w:id="220"/>
      <w:bookmarkEnd w:id="220"/>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存货分类" w:id="221"/>
      <w:bookmarkEnd w:id="22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16,760,018.00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1,532,021.00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15,227,997.00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19,362,834.00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7,436,397.00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11,926,437.00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2,777,763,015.00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446,037,961.00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2,331,725,054.00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3,119,644,350.00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568,727,968.00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2,550,916,382.00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1,868,157.00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1,868,157.00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1,835,366.00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1,835,366.00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2,796,391,190.00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447,569,982.00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2,348,821,208.00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3,140,842,550.00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576,164,365.00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2,564,678,185.00</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1"/>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22"/>
      <w:bookmarkEnd w:id="22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7,436,397.00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5,904,376.00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1,532,021.00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568,727,968.00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229,516,040.00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352,206,047.00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446,037,961.00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576,164,365.00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229,516,040.00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358,110,423.00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447,569,982.00</w:t>
            </w:r>
          </w:p>
        </w:tc>
      </w:tr>
    </w:tbl>
    <w:p>
      <w:pPr>
        <w:pStyle w:val="BodyText"/>
        <w:spacing w:line="319" w:lineRule="auto" w:before="10"/>
        <w:ind w:right="0"/>
        <w:jc w:val="left"/>
      </w:pPr>
      <w:r>
        <w:rPr>
          <w:spacing w:val="-2"/>
        </w:rPr>
        <w:t>可变现净值，是指在日常活动中，存货的估计售价减去至完工时估计将要发生的成本、估计的销售费用以及相关税费后的金</w:t>
      </w:r>
      <w:r>
        <w:rPr>
          <w:spacing w:val="-66"/>
        </w:rPr>
        <w:t> </w:t>
      </w:r>
      <w:r>
        <w:rPr>
          <w:spacing w:val="-66"/>
        </w:rPr>
      </w:r>
      <w:r>
        <w:rPr/>
        <w:t>额。计提存货跌价准备时，原材料按类别计提，产成品及商品按单个存货项目计提。 </w:t>
      </w:r>
      <w:r>
        <w:rPr>
          <w:spacing w:val="-2"/>
        </w:rPr>
        <w:t>如果以前计提存货跌价准备的影响因素已经消失，使得存货的可变现净值高于其账面价值，则在原已计提的存货跌价准备金</w:t>
      </w:r>
      <w:r>
        <w:rPr>
          <w:spacing w:val="-64"/>
        </w:rPr>
        <w:t> </w:t>
      </w:r>
      <w:r>
        <w:rPr>
          <w:spacing w:val="-64"/>
        </w:rPr>
      </w:r>
      <w:r>
        <w:rPr/>
        <w:t>额内，将以前减记的金额予以恢复，转回的金额计入当期损益。 对已经计提跌价准备的存货，如果有部分已经销售，则在结转销售成本时同时结转对其已计提的存货跌价准备。</w:t>
      </w:r>
    </w:p>
    <w:p>
      <w:pPr>
        <w:spacing w:after="0" w:line="319" w:lineRule="auto"/>
        <w:jc w:val="left"/>
        <w:sectPr>
          <w:footerReference w:type="default" r:id="rId16"/>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存货期末余额含有借款费用资本化金额的说明" w:id="223"/>
      <w:bookmarkEnd w:id="22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期末建造合同形成的已完工未结算资产情况" w:id="224"/>
      <w:bookmarkEnd w:id="22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2"/>
        <w:ind w:right="9852"/>
        <w:jc w:val="left"/>
      </w:pPr>
      <w:r>
        <w:rPr/>
        <w:t>其他说明： 不适用</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其他流动资产" w:id="225"/>
      <w:bookmarkEnd w:id="225"/>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59,973,988.00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56,680,849.00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59,973,988.00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56,680,849.00</w:t>
            </w:r>
          </w:p>
        </w:tc>
      </w:tr>
    </w:tbl>
    <w:p>
      <w:pPr>
        <w:pStyle w:val="BodyText"/>
        <w:spacing w:line="357" w:lineRule="auto" w:before="51"/>
        <w:ind w:right="985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7、长期应收款" w:id="226"/>
      <w:bookmarkEnd w:id="226"/>
      <w:r>
        <w:rPr>
          <w:b w:val="0"/>
          <w:bCs w:val="0"/>
        </w:rPr>
      </w:r>
      <w:r>
        <w:rPr>
          <w:rFonts w:ascii="Times New Roman" w:hAnsi="Times New Roman" w:cs="Times New Roman" w:eastAsia="Times New Roman" w:hint="default"/>
        </w:rPr>
        <w:t>7</w:t>
      </w:r>
      <w:r>
        <w:rPr/>
        <w:t>、长期应收款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27"/>
      <w:bookmarkEnd w:id="22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商铺保证金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159,760,415.0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159,760,415.0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126,866,806.0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126,866,806.0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2.47%-4.90%</w:t>
            </w: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加盟商资金支持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180,058,251.0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180,058,251.0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2.47%-4.90%</w:t>
            </w:r>
          </w:p>
        </w:tc>
      </w:tr>
      <w:tr>
        <w:trPr>
          <w:trHeight w:val="715"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339,818,666.0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339,818,666.0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126,866,806.0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126,866,806.0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长期股权投资" w:id="228"/>
      <w:bookmarkEnd w:id="228"/>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7"/>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48,327,96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48,327,96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48,327,96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9、投资性房地产" w:id="229"/>
      <w:bookmarkEnd w:id="229"/>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30"/>
      <w:bookmarkEnd w:id="23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146,215,590.00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3,275,494.00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149,491,084.00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265,792,614.00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265,792,614.00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265,792,614.00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265,792,614.00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87,744,884.00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3,275,494.00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91,020,378.00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87,744,884.00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3,275,494.00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91,020,378.00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324,263,320.00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324,263,320.00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36,989,847.00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865,205.00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37,855,052.00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38,874,703.00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30,191.00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38,904,894.00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4,282,757.00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30,191.00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4,312,948.00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34,591,946.00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34,591,946.00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27,622,281.00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895,396.00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28,517,677.00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27,622,281.00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895,396.00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28,517,677.00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48,242,269.00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48,242,269.00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276,021,051.00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276,021,051.00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109,225,743.00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2,410,289.00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111,636,032.00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31"/>
      <w:bookmarkEnd w:id="23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32"/>
      <w:bookmarkEnd w:id="23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0、固定资产" w:id="233"/>
      <w:bookmarkEnd w:id="233"/>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5"/>
        <w:gridCol w:w="3188"/>
        <w:gridCol w:w="3176"/>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1,211,586,636.00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1,424,671,241.00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1,211,586,636.00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1,424,671,241.00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34"/>
      <w:bookmarkEnd w:id="23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1,658,352,077.00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34,691,593.00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71,979,618.00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306,103,697.00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25,699,393.00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2,096,826,378.00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87,744,884.00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1,121,452.00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1,635,935.00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19,164,632.00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6,029,216.00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115,696,119.00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1,121,452.00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1,635,935.00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17,095,135.00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5,612,247.00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25,464,769.00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2,069,497.00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416,969.00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2,486,466.00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）投资</w:t>
            </w:r>
            <w:r>
              <w:rPr>
                <w:rFonts w:ascii="宋体" w:hAnsi="宋体" w:cs="宋体" w:eastAsia="宋体" w:hint="default"/>
                <w:sz w:val="18"/>
                <w:szCs w:val="18"/>
              </w:rPr>
              <w:t> 性房地产转入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87,744,884.00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87,744,884.00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265,792,614.00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954,647.00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761,763.00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25,189,524.00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533,304.00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293,231,852.00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954,647.00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761,763.00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25,189,524.00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533,304.00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27,439,238.00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）转出</w:t>
            </w:r>
            <w:r>
              <w:rPr>
                <w:rFonts w:ascii="宋体" w:hAnsi="宋体" w:cs="宋体" w:eastAsia="宋体" w:hint="default"/>
                <w:sz w:val="18"/>
                <w:szCs w:val="18"/>
              </w:rPr>
              <w:t> 至投资性房地产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265,792,614.00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265,792,614.00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1,480,304,347.00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34,858,398.00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72,853,790.00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300,078,805.00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31,195,305.00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1,919,290,645.00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336,951,737.00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31,846,569.00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54,439,336.00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234,869,712.00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14,047,783.00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672,155,137.00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66,664,431.00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502,346.00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3,925,710.00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19,855,717.00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2,696,172.00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93,644,376.00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39,042,150.00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502,346.00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3,925,710.00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19,855,717.00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2,696,172.00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66,022,095.00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）投资</w:t>
            </w:r>
            <w:r>
              <w:rPr>
                <w:rFonts w:ascii="宋体" w:hAnsi="宋体" w:cs="宋体" w:eastAsia="宋体" w:hint="default"/>
                <w:sz w:val="18"/>
                <w:szCs w:val="18"/>
              </w:rPr>
              <w:t> 性房地产转入</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27,622,281.00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27,622,281.00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34,591,946.00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206,986.00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640,720.00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22,428,185.00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227,667.00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58,095,504.00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206,986.00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640,720.00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22,428,185.00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227,667.00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23,503,558.00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）转出</w:t>
            </w:r>
            <w:r>
              <w:rPr>
                <w:rFonts w:ascii="宋体" w:hAnsi="宋体" w:cs="宋体" w:eastAsia="宋体" w:hint="default"/>
                <w:sz w:val="18"/>
                <w:szCs w:val="18"/>
              </w:rPr>
              <w:t> 至投资性房地产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34,591,946.00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34,591,946.00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369,024,222.00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32,141,929.00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57,724,326.00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232,297,244.00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16,516,288.00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707,704,009.00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pacing w:val="-2"/>
                <w:sz w:val="18"/>
                <w:szCs w:val="18"/>
              </w:rPr>
              <w:t> </w:t>
            </w:r>
            <w:r>
              <w:rPr>
                <w:rFonts w:ascii="宋体" w:hAnsi="宋体" w:cs="宋体" w:eastAsia="宋体" w:hint="default"/>
                <w:sz w:val="18"/>
                <w:szCs w:val="18"/>
              </w:rPr>
              <w:t>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1,111,280,125.00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2,716,469.00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15,129,464.00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67,781,561.00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14,679,017.00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1,211,586,636.00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1,321,400,340.00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2,845,024.00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17,540,282.00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71,233,985.00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11,651,610.00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1,424,671,241.00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35"/>
      <w:bookmarkEnd w:id="23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36"/>
      <w:bookmarkEnd w:id="23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37"/>
      <w:bookmarkEnd w:id="23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未办妥产权证书的固定资产情况" w:id="238"/>
      <w:bookmarkEnd w:id="23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6）固定资产清理" w:id="239"/>
      <w:bookmarkEnd w:id="239"/>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1、在建工程" w:id="240"/>
      <w:bookmarkEnd w:id="240"/>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2,109,737.00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1,570,128.00</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2,109,737.00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1,570,128.00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41"/>
      <w:bookmarkEnd w:id="24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总部办公楼改良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126,440.00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126,440.00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140,542.00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140,542.00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系统升级项目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1,587,374.00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1,587,374.00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1,111,199.00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1,111,199.00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门店装修工程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271,460.00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271,460.00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184,326.00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184,326.00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124,463.00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124,463.00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134,061.00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134,061.00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2,109,737.00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2,109,737.00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1,570,128.00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1,570,128.00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42"/>
      <w:bookmarkEnd w:id="24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总部办 公楼改 良</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140,542.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11,967,3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11,981,4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系统升 级项目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1,111,19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8,915,12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8,438,95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1,587,37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门店装 修工程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1,026,66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939,527.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271,460.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3,096,85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2,486,46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619,985.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1,570,12</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25,005,9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2,486,46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21,979,9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13.00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2,109,73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43"/>
      <w:bookmarkEnd w:id="243"/>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12、无形资产" w:id="244"/>
      <w:bookmarkEnd w:id="244"/>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45"/>
      <w:bookmarkEnd w:id="24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财务管理软件</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网络管理软件</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19,894,453.00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2,323,124.00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174,538,035.00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6,180,778.00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202,936,390.00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3,275,494.00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7,024,770.00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395,049.00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10,695,313.00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7,024,770.00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395,049.00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7,419,819.00</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）投资性房</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3,275,494.00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3,275,494.00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地产转入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23,169,947.00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2,323,124.00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181,562,805.00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6,575,827.00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213,631,703.00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5,487,084.00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1,531,692.00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124,540,969.00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3,470,424.00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135,030,169.00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1,301,059.00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284,940.00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15,936,590.00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512,420.00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18,035,009.00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405,664.00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284,940.00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15,936,590.00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512,420.00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17,139,614.00</w:t>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5"/>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）投资性房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地产转入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895,396.00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895,396.00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6,788,144.00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1,816,632.00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140,477,559.00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3,982,844.00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153,065,179.00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7"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36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16,381,803.00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506,492.00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41,085,246.00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2,592,983.00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60,566,524.00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14,407,369.00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791,432.00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49,997,066.00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2,710,354.00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67,906,221.00</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46"/>
      <w:bookmarkEnd w:id="24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3、开发支出" w:id="247"/>
      <w:bookmarkEnd w:id="247"/>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信息技术研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90,133,092.0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90,133,092.0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90,133,092.0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90,133,092.0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right="6282"/>
        <w:jc w:val="left"/>
      </w:pPr>
      <w:r>
        <w:rPr/>
        <w:t>其他说明 本期开发支出占本期研究开发项目支出总额比例的</w:t>
      </w:r>
      <w:r>
        <w:rPr>
          <w:rFonts w:ascii="Times New Roman" w:hAnsi="Times New Roman" w:cs="Times New Roman" w:eastAsia="Times New Roman" w:hint="default"/>
        </w:rPr>
        <w:t>58%</w:t>
      </w:r>
      <w:r>
        <w:rPr/>
        <w:t>。</w:t>
      </w:r>
    </w:p>
    <w:p>
      <w:pPr>
        <w:pStyle w:val="BodyText"/>
        <w:spacing w:line="214" w:lineRule="exact"/>
        <w:ind w:right="0"/>
        <w:jc w:val="left"/>
      </w:pPr>
      <w:r>
        <w:rPr/>
        <w:t>通过公司内部研发形成的无形资产占无形资产期末账面价值的</w:t>
      </w:r>
      <w:r>
        <w:rPr>
          <w:rFonts w:ascii="Times New Roman" w:hAnsi="Times New Roman" w:cs="Times New Roman" w:eastAsia="Times New Roman" w:hint="default"/>
        </w:rPr>
        <w:t>0%</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4、长期待摊费用" w:id="248"/>
      <w:bookmarkEnd w:id="248"/>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126,379,656.00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229,223,080.00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125,602,466.00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39,562,677.00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190,437,593.00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预付租金一年以上 部分</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65,003,349.00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1,001,776.00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14,884,800.00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51,120,325.00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道具及辅料</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50,409,196.00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25,498,263.00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35,711,162.00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40,196,297.00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6,220,618.00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5,674,057.00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546,561.00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248,012,819.00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255,723,119.00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181,872,485.00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39,562,677.00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282,300,776.00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5、递延所得税资产/递延所得税负债" w:id="249"/>
      <w:bookmarkEnd w:id="249"/>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50"/>
      <w:bookmarkEnd w:id="25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18,483,836.00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4,620,959.00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21,691,000.00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5,422,750.00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46,418,760.00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11,604,690.00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46,320,512.00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11,580,128.00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42,754,492.00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10,688,623.00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79,133,824.00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19,783,456.00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32,565,488.00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8,141,372.00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12,508,716.00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3,127,179.00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140,222,576.00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35,055,644.00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159,654,052.00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39,913,513.00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抵销后净额列示的递延所得税资产或负债" w:id="251"/>
      <w:bookmarkEnd w:id="251"/>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3"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35,055,644.00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39,913,513.00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未确认递延所得税资产明细" w:id="252"/>
      <w:bookmarkEnd w:id="252"/>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924,009,872.00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762,399,118.00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757,325,600.00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774,267,049.00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抵消内部交易未实现利润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206,301,039.00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175,311,312.00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1,887,636,511.00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1,711,977,479.00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的可抵扣亏损将于以下年度到期" w:id="253"/>
      <w:bookmarkEnd w:id="253"/>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164,546,134.00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73,575,679.00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102,831,610.00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280,335,961.00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281,274,984.00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47,205,939.00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47,205,939.00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152,840,120.00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178,408,382.00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203,367,901.00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757,325,600.00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774,267,049.00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6、其他非流动资产" w:id="254"/>
      <w:bookmarkEnd w:id="254"/>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博物馆藏品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7,835,724.00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7,835,724.00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7、短期借款" w:id="255"/>
      <w:bookmarkEnd w:id="255"/>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56"/>
      <w:bookmarkEnd w:id="25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1,172,000,000.00</w:t>
            </w:r>
          </w:p>
        </w:tc>
      </w:tr>
    </w:tbl>
    <w:p>
      <w:pPr>
        <w:pStyle w:val="BodyText"/>
        <w:spacing w:line="360" w:lineRule="auto" w:before="51"/>
        <w:ind w:right="3912"/>
        <w:jc w:val="left"/>
      </w:pPr>
      <w:r>
        <w:rPr/>
        <w:t>短期借款分类的说明： 本集团的抵押借款是以本集团所拥有的投资性房地产、房屋建筑物和土地使用权抵押。 本集团的票据贴现借款是以集团内应收票据贴现获取。</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已逾期未偿还的短期借款情况" w:id="257"/>
      <w:bookmarkEnd w:id="25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8、应付票据及应付账款" w:id="258"/>
      <w:bookmarkEnd w:id="258"/>
      <w:r>
        <w:rPr>
          <w:b w:val="0"/>
          <w:bCs w:val="0"/>
        </w:rPr>
      </w:r>
      <w:r>
        <w:rPr>
          <w:rFonts w:ascii="Times New Roman" w:hAnsi="Times New Roman" w:cs="Times New Roman" w:eastAsia="Times New Roman" w:hint="default"/>
        </w:rPr>
        <w:t>18</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947,880,036.00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179,353,326.00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1,393,434,021.00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1,330,912,286.00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2,341,314,057.00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1,510,265,612.00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259"/>
      <w:bookmarkEnd w:id="259"/>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422,508,015.00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525,372,021.00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169,353,326.00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947,880,036.00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179,353,326.00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应付账款列示" w:id="260"/>
      <w:bookmarkEnd w:id="260"/>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成衣供应商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1,200,529,702.00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1,164,743,278.00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面辅料供应商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86,735,483.00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97,283,449.00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106,168,836.00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68,885,559.00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1,393,434,021.00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1,330,912,286.00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261"/>
      <w:bookmarkEnd w:id="261"/>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19、预收款项" w:id="262"/>
      <w:bookmarkEnd w:id="262"/>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63"/>
      <w:bookmarkEnd w:id="26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预收销货款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60,975,433.00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58,232,872.00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60,975,433.00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58,232,872.00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264"/>
      <w:bookmarkEnd w:id="26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0、应付职工薪酬" w:id="265"/>
      <w:bookmarkEnd w:id="265"/>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66"/>
      <w:bookmarkEnd w:id="26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141,456,847.00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1,004,290,322.00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1,040,006,088.00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105,741,081.00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4,161,521.00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101,670,311.00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103,124,915.00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2,706,917.00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4,536,637.00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4,536,637.00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145,618,368.00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1,110,497,270.00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1,147,667,640.00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108,447,998.00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67"/>
      <w:bookmarkEnd w:id="26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122,482,550.00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903,486,260.00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942,850,433.00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83,118,377.00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16,963,862.00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16,046,781.00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919,919.00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1,865,940.00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50,292,037.00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49,963,558.00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2,194,419.00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1,615,065.00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43,610,647.00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43,242,424.00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1,983,288.00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2,066,079.00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2,087,178.00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29,203.00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200,573.00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4,615,311.00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4,633,956.00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181,928.00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834,341.00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24,589,795.00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24,832,234.00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591,902.00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16,271,178.00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8,958,368.00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6,313,082.00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18,916,464.00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141,456,847.00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1,004,290,322.00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1,040,006,088.00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105,741,081.00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设定提存计划列示" w:id="268"/>
      <w:bookmarkEnd w:id="26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4,046,109.00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99,217,671.00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100,654,749.00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2,609,031.00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115,412.00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2,452,640.00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2,470,166.00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97,886.00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4,161,521.00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101,670,311.00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103,124,915.00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2,706,917.00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1、应交税费" w:id="269"/>
      <w:bookmarkEnd w:id="269"/>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78,907,830.00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17,997,695.00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79,084,731.00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80,218,890.00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2,680,713.00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1,852,878.00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1,291,461.00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3,072,982.00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687,919.00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19,944,272.00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19,996,499.00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1,770,334.00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2,198,868.00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185,744,148.00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125,072,045.00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2、其他应付款" w:id="270"/>
      <w:bookmarkEnd w:id="270"/>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995,811.00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553,779,622.00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510,724,356.00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554,775,433.00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510,724,356.00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271"/>
      <w:bookmarkEnd w:id="271"/>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995,811.00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995,811.00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其他应付款" w:id="272"/>
      <w:bookmarkEnd w:id="272"/>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263,234,599.00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198,074,526.00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预提水电、运输等费用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134,482,382.00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134,289,229.00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10,643,503.00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18,376,880.00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员工持股计划募集资金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应付工程及设备款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44,754,988.00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43,901,425.00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51,787,504.00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15,146,356.00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48,876,646.00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33,885,940.00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553,779,622.00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510,724,356.00</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3、一年内到期的非流动负债" w:id="273"/>
      <w:bookmarkEnd w:id="273"/>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256,364,928.00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256,364,928.00</w:t>
            </w:r>
          </w:p>
        </w:tc>
      </w:tr>
    </w:tbl>
    <w:p>
      <w:pPr>
        <w:pStyle w:val="BodyText"/>
        <w:spacing w:line="357" w:lineRule="auto" w:before="51"/>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4、股本" w:id="274"/>
      <w:bookmarkEnd w:id="274"/>
      <w:r>
        <w:rPr>
          <w:b w:val="0"/>
          <w:bCs w:val="0"/>
        </w:rPr>
      </w: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5、资本公积" w:id="275"/>
      <w:bookmarkEnd w:id="275"/>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31,712,190.00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31,712,190.00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129,761,355.00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129,761,355.00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161,473,545.00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161,473,545.00</w:t>
            </w:r>
          </w:p>
        </w:tc>
      </w:tr>
    </w:tbl>
    <w:p>
      <w:pPr>
        <w:pStyle w:val="BodyText"/>
        <w:spacing w:line="357" w:lineRule="auto" w:before="51"/>
        <w:ind w:right="6612"/>
        <w:jc w:val="left"/>
      </w:pPr>
      <w:r>
        <w:rPr/>
        <w:t>其他说明，包括本期增减变动情况、变动原因说明：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6、其他综合收益" w:id="276"/>
      <w:bookmarkEnd w:id="276"/>
      <w:r>
        <w:rPr>
          <w:b w:val="0"/>
          <w:bCs w:val="0"/>
        </w:rPr>
      </w:r>
      <w:r>
        <w:rPr>
          <w:rFonts w:ascii="Times New Roman" w:hAnsi="Times New Roman" w:cs="Times New Roman" w:eastAsia="Times New Roman" w:hint="default"/>
        </w:rPr>
        <w:t>26</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184,510.0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190,005.00</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184,510.0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190,005.00</w:t>
            </w:r>
          </w:p>
        </w:tc>
        <w:tc>
          <w:tcPr>
            <w:tcW w:w="935"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-5,495.00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184,510.0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4092"/>
        <w:jc w:val="left"/>
      </w:pPr>
      <w:r>
        <w:rPr/>
        <w:t>其他说明，包括对现金流量套期损益的有效部分转为被套期项目初始确认金额调整：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7、盈余公积" w:id="277"/>
      <w:bookmarkEnd w:id="277"/>
      <w:r>
        <w:rPr>
          <w:b w:val="0"/>
          <w:bCs w:val="0"/>
        </w:rPr>
      </w:r>
      <w:r>
        <w:rPr>
          <w:rFonts w:ascii="Times New Roman" w:hAnsi="Times New Roman" w:cs="Times New Roman" w:eastAsia="Times New Roman" w:hint="default"/>
        </w:rPr>
        <w:t>27</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505,021,803.00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18,387,339.00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523,409,142.00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505,021,803.00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18,387,339.00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523,409,142.00</w:t>
            </w:r>
          </w:p>
        </w:tc>
      </w:tr>
    </w:tbl>
    <w:p>
      <w:pPr>
        <w:pStyle w:val="BodyText"/>
        <w:spacing w:line="357" w:lineRule="auto" w:before="51"/>
        <w:ind w:right="6252"/>
        <w:jc w:val="left"/>
      </w:pPr>
      <w:r>
        <w:rPr/>
        <w:t>盈余公积说明，包括本期增减变动情况、变动原因说明：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8、未分配利润" w:id="278"/>
      <w:bookmarkEnd w:id="278"/>
      <w:r>
        <w:rPr>
          <w:b w:val="0"/>
          <w:bCs w:val="0"/>
        </w:rPr>
      </w:r>
      <w:r>
        <w:rPr>
          <w:rFonts w:ascii="Times New Roman" w:hAnsi="Times New Roman" w:cs="Times New Roman" w:eastAsia="Times New Roman" w:hint="default"/>
        </w:rPr>
        <w:t>28</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-341,846,190.00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-37,046,434.00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-341,846,190.00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-37,046,434.00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40,361,571.00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-304,799,756.00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18,387,339.00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-319,871,958.00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-341,846,190.00</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营业收入和营业成本" w:id="279"/>
      <w:bookmarkEnd w:id="279"/>
      <w:r>
        <w:rPr>
          <w:b w:val="0"/>
          <w:bCs w:val="0"/>
        </w:rPr>
      </w:r>
      <w:r>
        <w:rPr>
          <w:rFonts w:ascii="Times New Roman" w:hAnsi="Times New Roman" w:cs="Times New Roman" w:eastAsia="Times New Roman" w:hint="default"/>
        </w:rPr>
        <w:t>29</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7,619,281,049.00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4,203,709,373.00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6,408,904,832.00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3,356,827,549.00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58,088,001.00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44,857,432.00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63,454,373.00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44,356,682.00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7,677,369,050.00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4,248,566,805.00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6,472,359,205.00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3,401,184,231.00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0、税金及附加" w:id="280"/>
      <w:bookmarkEnd w:id="280"/>
      <w:r>
        <w:rPr>
          <w:b w:val="0"/>
          <w:bCs w:val="0"/>
        </w:rPr>
      </w:r>
      <w:r>
        <w:rPr>
          <w:rFonts w:ascii="Times New Roman" w:hAnsi="Times New Roman" w:cs="Times New Roman" w:eastAsia="Times New Roman" w:hint="default"/>
        </w:rPr>
        <w:t>30</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16,524,386.00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15,889,713.00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17,491,560.00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16,779,653.00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6,311,892.00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7,553,835.00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730,651.00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661,247.00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1,266,217.00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266,133.00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1,222,563.00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992,915.00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1,010,715.00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43,373,108.00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44,383,943.00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1、销售费用" w:id="281"/>
      <w:bookmarkEnd w:id="281"/>
      <w:r>
        <w:rPr>
          <w:b w:val="0"/>
          <w:bCs w:val="0"/>
        </w:rPr>
      </w:r>
      <w:r>
        <w:rPr>
          <w:rFonts w:ascii="Times New Roman" w:hAnsi="Times New Roman" w:cs="Times New Roman" w:eastAsia="Times New Roman" w:hint="default"/>
        </w:rPr>
        <w:t>31</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921,088,184.00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838,848,210.00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936,102,687.00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858,108,478.00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159,689,646.00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155,982,346.00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61,428,758.00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71,684,878.00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176,709,173.00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159,333,282.00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95,030,291.00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64,215,851.00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43,658,446.00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48,686,326.00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74,103,485.00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64,825,401.00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77,387,860.00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75,366,759.00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35,565,502.00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38,812,043.00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34,803,625.00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37,225,149.00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9,012,446.00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5,675,347.00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86,019,634.00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91,694,517.00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2,710,599,737.00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2,510,458,587.00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2、管理费用" w:id="282"/>
      <w:bookmarkEnd w:id="282"/>
      <w:r>
        <w:rPr>
          <w:b w:val="0"/>
          <w:bCs w:val="0"/>
        </w:rPr>
      </w:r>
      <w:r>
        <w:rPr>
          <w:rFonts w:ascii="Times New Roman" w:hAnsi="Times New Roman" w:cs="Times New Roman" w:eastAsia="Times New Roman" w:hint="default"/>
        </w:rPr>
        <w:t>32</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83,589,313.00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100,615,231.00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22,783,307.00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17,872,310.00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6,801,139.00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17,851,689.00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4,883,306.00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3,642,499.00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5,924,317.00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8,513,042.00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9,815,701.00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11,509,788.00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2,950,696.00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6,707,610.00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4,633,907.00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5,368,203.00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10,291,531.00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14,365,725.00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151,673,217.00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186,446,097.00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3、研发费用" w:id="283"/>
      <w:bookmarkEnd w:id="283"/>
      <w:r>
        <w:rPr>
          <w:b w:val="0"/>
          <w:bCs w:val="0"/>
        </w:rPr>
      </w:r>
      <w:r>
        <w:rPr>
          <w:rFonts w:ascii="Times New Roman" w:hAnsi="Times New Roman" w:cs="Times New Roman" w:eastAsia="Times New Roman" w:hint="default"/>
        </w:rPr>
        <w:t>33</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105,819,773.00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114,341,276.00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16,719,956.00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17,167,251.00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3,229,108.00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3,658,211.00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11,909,904.00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13,966,890.00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13,453,704.00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8,551,003.00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4,419,949.00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2,898,012.00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155,552,394.00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160,582,643.00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4、财务费用" w:id="284"/>
      <w:bookmarkEnd w:id="284"/>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64,085,852.00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55,781,311.00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3,657,573.00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4,477,068.00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18,292,133.00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8,533,895.00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1,814,660.00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5,127,298.00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80,535,072.00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64,965,436.00</w:t>
            </w:r>
          </w:p>
        </w:tc>
      </w:tr>
    </w:tbl>
    <w:p>
      <w:pPr>
        <w:pStyle w:val="BodyText"/>
        <w:spacing w:line="357" w:lineRule="auto" w:before="51"/>
        <w:ind w:right="985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5、资产减值损失" w:id="285"/>
      <w:bookmarkEnd w:id="285"/>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43,908,582.00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15,181,537.00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229,516,040.00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368,194,226.00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39,562,677.00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70,056,859.00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312,987,299.00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453,432,622.00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6、其他收益" w:id="286"/>
      <w:bookmarkEnd w:id="286"/>
      <w:r>
        <w:rPr>
          <w:b w:val="0"/>
          <w:bCs w:val="0"/>
        </w:rPr>
      </w:r>
      <w:r>
        <w:rPr>
          <w:rFonts w:ascii="Times New Roman" w:hAnsi="Times New Roman" w:cs="Times New Roman" w:eastAsia="Times New Roman" w:hint="default"/>
        </w:rPr>
        <w:t>36</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与日常活动相关的政府补助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33,106,419.00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8,451,020.00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7、投资收益" w:id="287"/>
      <w:bookmarkEnd w:id="287"/>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48,327,961.00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38,654,940.00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48,327,961.00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38,654,940.00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8、资产处置收益" w:id="288"/>
      <w:bookmarkEnd w:id="288"/>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-2,051,450.00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-1,513,546.00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-3,564,996.00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9、营业外收入" w:id="289"/>
      <w:bookmarkEnd w:id="289"/>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违约金及罚没款收入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6,397,004.00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8,398,381.00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6,397,004.00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2,112,808.00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3,622,917.00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2,112,808.00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8,509,812.00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12,021,298.00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8,509,812.00</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0、营业外支出" w:id="290"/>
      <w:bookmarkEnd w:id="290"/>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931,737.00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574,191.00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931,737.00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违约金及罚没款支出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236,562.00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446,255.00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236,562.00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关店损失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6,282,438.00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1,035,835.00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6,282,438.00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资产毁损损失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3,078,638.00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3,078,638.00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3,988,199.00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3,214,678.00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3,988,199.00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14,517,574.00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5,270,959.00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14,517,574.00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1、所得税费用" w:id="291"/>
      <w:bookmarkEnd w:id="291"/>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292"/>
      <w:bookmarkEnd w:id="29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3,561,411.00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11,403,971.00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4,857,869.00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-5,407,266.00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8,419,280.00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5,996,705.00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293"/>
      <w:bookmarkEnd w:id="29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48,780,851.00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12,195,213.00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1,228,983.00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1,849,857.00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-56,695,878.00</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61,923,096.00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归属于联营企业的损益</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-12,081,991.00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8,419,280.00</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spacing w:line="544" w:lineRule="auto" w:before="0"/>
        <w:ind w:left="154" w:right="8855" w:firstLine="0"/>
        <w:jc w:val="left"/>
        <w:rPr>
          <w:rFonts w:ascii="宋体" w:hAnsi="宋体" w:cs="宋体" w:eastAsia="宋体" w:hint="default"/>
          <w:sz w:val="21"/>
          <w:szCs w:val="21"/>
        </w:rPr>
      </w:pPr>
      <w:bookmarkStart w:name="42、其他综合收益" w:id="294"/>
      <w:bookmarkEnd w:id="294"/>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26</w:t>
      </w:r>
      <w:r>
        <w:rPr>
          <w:rFonts w:ascii="宋体" w:hAnsi="宋体" w:cs="宋体" w:eastAsia="宋体" w:hint="default"/>
          <w:sz w:val="18"/>
          <w:szCs w:val="18"/>
        </w:rPr>
        <w:t>。 </w:t>
      </w:r>
      <w:bookmarkStart w:name="43、现金流量表项目" w:id="295"/>
      <w:bookmarkEnd w:id="295"/>
      <w:r>
        <w:rPr>
          <w:rFonts w:ascii="宋体" w:hAnsi="宋体" w:cs="宋体" w:eastAsia="宋体" w:hint="default"/>
          <w:sz w:val="18"/>
          <w:szCs w:val="18"/>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0"/>
        <w:jc w:val="left"/>
        <w:rPr>
          <w:b w:val="0"/>
          <w:bCs w:val="0"/>
        </w:rPr>
      </w:pPr>
      <w:bookmarkStart w:name="（1）收到的其他与经营活动有关的现金" w:id="296"/>
      <w:bookmarkEnd w:id="29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3,657,573.00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4,477,068.00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23,054,032.00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5,350,544.00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65,160,073.00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61,649,360.00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罚没收入及其他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10,921,316.00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12,012,064.00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102,792,994.00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83,489,036.00</w:t>
            </w:r>
          </w:p>
        </w:tc>
      </w:tr>
    </w:tbl>
    <w:p>
      <w:pPr>
        <w:pStyle w:val="BodyText"/>
        <w:spacing w:line="357" w:lineRule="auto" w:before="51"/>
        <w:ind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支付的其他与经营活动有关的现金" w:id="297"/>
      <w:bookmarkEnd w:id="29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租金及租赁押金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1,079,989,736.00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903,209,693.00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72,276,715.00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84,289,514.00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装修道具费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73,927,199.00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68,133,138.00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83,297,765.00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76,402,525.00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41,745,306.00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49,177,864.00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115,285,133.00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87,387,024.00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25,805,657.00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26,800,546.00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18,047,334.00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20,211,616.00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19,055,167.00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22,005,755.00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165,691,907.00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155,136,860.00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特许使用权费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25,503,241.00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18,637,115.00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35,247,507.00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37,268,385.00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11,257,303.00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59,174,832.00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1,767,129,970.00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1,607,834,867.00</w:t>
            </w:r>
          </w:p>
        </w:tc>
      </w:tr>
    </w:tbl>
    <w:p>
      <w:pPr>
        <w:pStyle w:val="BodyText"/>
        <w:spacing w:line="357" w:lineRule="auto" w:before="51"/>
        <w:ind w:right="7512"/>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收到的其他与投资活动有关的现金" w:id="298"/>
      <w:bookmarkEnd w:id="29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支付的其他与投资活动有关的现金" w:id="299"/>
      <w:bookmarkEnd w:id="29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7512"/>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收到的其他与筹资活动有关的现金" w:id="300"/>
      <w:bookmarkEnd w:id="30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收回综合授信额度保证金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77,843,371.00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77,843,371.00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r>
    </w:tbl>
    <w:p>
      <w:pPr>
        <w:pStyle w:val="BodyText"/>
        <w:spacing w:line="357" w:lineRule="auto" w:before="51"/>
        <w:ind w:right="7512"/>
        <w:jc w:val="left"/>
      </w:pPr>
      <w:r>
        <w:rPr/>
        <w:t>收到的其他与筹资活动有关的现金说明：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542.349976pt;width:151.25pt;height:20.8pt;mso-position-horizontal-relative:page;mso-position-vertical-relative:page;z-index:-887200" coordorigin="4467,10847" coordsize="3025,416">
            <v:group style="position:absolute;left:4478;top:10858;width:2;height:393" coordorigin="4478,10858" coordsize="2,393">
              <v:shape style="position:absolute;left:4478;top:10858;width:2;height:393" coordorigin="4478,10858" coordsize="0,393" path="m4478,10858l4478,11251e" filled="false" stroked="true" strokeweight="1.140pt" strokecolor="#ffffff">
                <v:path arrowok="t"/>
              </v:shape>
            </v:group>
            <v:group style="position:absolute;left:4490;top:10858;width:3002;height:393" coordorigin="4490,10858" coordsize="3002,393">
              <v:shape style="position:absolute;left:4490;top:10858;width:3002;height:393" coordorigin="4490,10858" coordsize="3002,393" path="m4490,11251l7491,11251,7491,10858,4490,10858,4490,11251xe" filled="true" fillcolor="#ffffff" stroked="false">
                <v:path arrowok="t"/>
                <v:fill type="solid"/>
              </v:shape>
            </v:group>
            <w10:wrap type="none"/>
          </v:group>
        </w:pict>
      </w:r>
    </w:p>
    <w:p>
      <w:pPr>
        <w:pStyle w:val="Heading4"/>
        <w:spacing w:line="240" w:lineRule="auto" w:before="35"/>
        <w:ind w:right="0"/>
        <w:jc w:val="left"/>
        <w:rPr>
          <w:b w:val="0"/>
          <w:bCs w:val="0"/>
        </w:rPr>
      </w:pPr>
      <w:bookmarkStart w:name="（6）支付的其他与筹资活动有关的现金" w:id="301"/>
      <w:bookmarkEnd w:id="30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支付综合授信额度保证金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79,025,111.00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79,025,111.00</w:t>
            </w:r>
          </w:p>
        </w:tc>
      </w:tr>
    </w:tbl>
    <w:p>
      <w:pPr>
        <w:pStyle w:val="BodyText"/>
        <w:spacing w:line="357" w:lineRule="auto" w:before="51"/>
        <w:ind w:right="7512"/>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4、现金流量表补充资料" w:id="302"/>
      <w:bookmarkEnd w:id="302"/>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03"/>
      <w:bookmarkEnd w:id="30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85"/>
        <w:gridCol w:w="198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40,361,571.00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-304,799,756.00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-45,123,124.00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190,949,889.00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70,335,043.00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69,501,847.00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17,139,614.00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17,779,152.00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181,872,485.00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170,532,799.00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648,851.00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4,600,831.00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82,377,985.00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64,315,206.00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-48,327,961.00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-38,654,940.00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1" w:right="0"/>
              <w:jc w:val="left"/>
              <w:rPr>
                <w:rFonts w:ascii="Times New Roman" w:hAnsi="Times New Roman" w:cs="Times New Roman" w:eastAsia="Times New Roman" w:hint="default"/>
                <w:sz w:val="18"/>
                <w:szCs w:val="18"/>
              </w:rPr>
            </w:pPr>
            <w:r>
              <w:rPr>
                <w:rFonts w:ascii="Times New Roman"/>
                <w:sz w:val="18"/>
              </w:rPr>
              <w:t>4,857,869.00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-5,407,266.00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344,451,360.00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-833,038,669.00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-968,349,961.00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-298,243,323.00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941,675,852.00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643,085,394.00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621,919,584.00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-319,378,836.00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380,481,225.00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394,342,084.00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394,342,084.00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747,710,800.00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-13,860,859.00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-353,368,716.00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现金和现金等价物的构成" w:id="304"/>
      <w:bookmarkEnd w:id="304"/>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380,481,225.00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394,342,084.00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1,957,560.00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1,951,831.00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378,523,665.00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392,390,253.00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380,481,225.00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394,342,084.00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5、所有权或使用权受到限制的资产" w:id="305"/>
      <w:bookmarkEnd w:id="305"/>
      <w:r>
        <w:rPr>
          <w:b w:val="0"/>
          <w:bCs w:val="0"/>
        </w:rPr>
      </w:r>
      <w:r>
        <w:rPr>
          <w:rFonts w:ascii="Times New Roman" w:hAnsi="Times New Roman" w:cs="Times New Roman" w:eastAsia="Times New Roman" w:hint="default"/>
        </w:rPr>
        <w:t>45</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1,181,740.00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用于综合授信额度的保证金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1,077,952,251.00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16,381,803.00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222,923,263.00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用于银行借款抵押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1,318,439,057.00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6、政府补助" w:id="306"/>
      <w:bookmarkEnd w:id="306"/>
      <w:r>
        <w:rPr>
          <w:b w:val="0"/>
          <w:bCs w:val="0"/>
        </w:rPr>
      </w:r>
      <w:r>
        <w:rPr>
          <w:rFonts w:ascii="Times New Roman" w:hAnsi="Times New Roman" w:cs="Times New Roman" w:eastAsia="Times New Roman" w:hint="default"/>
        </w:rPr>
        <w:t>46</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07"/>
      <w:bookmarkEnd w:id="30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51,132.00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51,132.00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10,052,387.00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10,052,387.00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422,900.00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33,106,419.00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33,106,419.00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08"/>
      <w:bookmarkEnd w:id="30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pStyle w:val="BodyText"/>
        <w:spacing w:line="240" w:lineRule="auto" w:before="39"/>
        <w:ind w:right="0"/>
        <w:jc w:val="left"/>
      </w:pPr>
      <w:r>
        <w:rPr/>
        <w:t>无</w:t>
      </w:r>
    </w:p>
    <w:p>
      <w:pPr>
        <w:spacing w:line="240" w:lineRule="auto" w:before="12"/>
        <w:rPr>
          <w:rFonts w:ascii="宋体" w:hAnsi="宋体" w:cs="宋体" w:eastAsia="宋体" w:hint="default"/>
          <w:sz w:val="26"/>
          <w:szCs w:val="26"/>
        </w:rPr>
      </w:pPr>
    </w:p>
    <w:p>
      <w:pPr>
        <w:spacing w:line="487" w:lineRule="auto" w:before="0"/>
        <w:ind w:left="154" w:right="8117" w:firstLine="0"/>
        <w:jc w:val="left"/>
        <w:rPr>
          <w:rFonts w:ascii="宋体" w:hAnsi="宋体" w:cs="宋体" w:eastAsia="宋体" w:hint="default"/>
          <w:sz w:val="21"/>
          <w:szCs w:val="21"/>
        </w:rPr>
      </w:pPr>
      <w:bookmarkStart w:name="47、其他" w:id="309"/>
      <w:bookmarkEnd w:id="309"/>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10"/>
      <w:bookmarkEnd w:id="310"/>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其他原因的合并范围变动" w:id="311"/>
      <w:bookmarkEnd w:id="31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pStyle w:val="BodyText"/>
        <w:spacing w:line="240" w:lineRule="auto" w:before="108"/>
        <w:ind w:right="0"/>
        <w:jc w:val="left"/>
      </w:pPr>
      <w:r>
        <w:rPr/>
        <w:t>说明其他原因导致的合并范围变动（如，新设子公司、清算子公司等）及其相关情况：</w:t>
      </w:r>
    </w:p>
    <w:p>
      <w:pPr>
        <w:pStyle w:val="BodyText"/>
        <w:spacing w:line="302" w:lineRule="auto" w:before="116"/>
        <w:ind w:right="1077"/>
        <w:jc w:val="left"/>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日设立子公司法人独资有限责任公司石家庄美特斯邦威服饰有限公司，注册资本为人民币</w:t>
      </w:r>
      <w:r>
        <w:rPr>
          <w:rFonts w:ascii="Times New Roman" w:hAnsi="Times New Roman" w:cs="Times New Roman" w:eastAsia="Times New Roman" w:hint="default"/>
        </w:rPr>
        <w:t>1,000</w:t>
      </w:r>
      <w:r>
        <w:rPr/>
        <w:t>万元。 公司自设立之后纳入本公司合并财务报表的合并范围。</w:t>
      </w:r>
    </w:p>
    <w:p>
      <w:pPr>
        <w:pStyle w:val="BodyText"/>
        <w:spacing w:line="302" w:lineRule="auto" w:before="68"/>
        <w:ind w:right="0"/>
        <w:jc w:val="left"/>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日设立子公司法人独资有限责任公司太原美特斯邦威服饰有限公司，注册资本为人民币</w:t>
      </w:r>
      <w:r>
        <w:rPr>
          <w:rFonts w:ascii="Times New Roman" w:hAnsi="Times New Roman" w:cs="Times New Roman" w:eastAsia="Times New Roman" w:hint="default"/>
        </w:rPr>
        <w:t>1,000</w:t>
      </w:r>
      <w:r>
        <w:rPr/>
        <w:t>万元。公</w:t>
      </w:r>
      <w:r>
        <w:rPr>
          <w:spacing w:val="-44"/>
        </w:rPr>
        <w:t> </w:t>
      </w:r>
      <w:r>
        <w:rPr>
          <w:spacing w:val="-44"/>
        </w:rPr>
      </w:r>
      <w:r>
        <w:rPr/>
        <w:t>司自设立之后纳入本公司合并财务报表的合并范围。</w:t>
      </w:r>
    </w:p>
    <w:p>
      <w:pPr>
        <w:pStyle w:val="BodyText"/>
        <w:spacing w:line="302" w:lineRule="auto" w:before="68"/>
        <w:ind w:right="0"/>
        <w:jc w:val="left"/>
      </w:pP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日设立子公司法人独资有限责任公司内蒙古美特斯邦威服饰有限公司，注册资本为人民币</w:t>
      </w:r>
      <w:r>
        <w:rPr>
          <w:rFonts w:ascii="Times New Roman" w:hAnsi="Times New Roman" w:cs="Times New Roman" w:eastAsia="Times New Roman" w:hint="default"/>
          <w:spacing w:val="-2"/>
        </w:rPr>
        <w:t>500</w:t>
      </w:r>
      <w:r>
        <w:rPr>
          <w:spacing w:val="-2"/>
        </w:rPr>
        <w:t>万元。公</w:t>
      </w:r>
      <w:r>
        <w:rPr>
          <w:spacing w:val="-54"/>
        </w:rPr>
        <w:t> </w:t>
      </w:r>
      <w:r>
        <w:rPr>
          <w:spacing w:val="-54"/>
        </w:rPr>
      </w:r>
      <w:r>
        <w:rPr/>
        <w:t>司自设立之后纳入本公司合并财务报表的合并范围。</w:t>
      </w:r>
    </w:p>
    <w:p>
      <w:pPr>
        <w:pStyle w:val="BodyText"/>
        <w:spacing w:line="240" w:lineRule="auto" w:before="71"/>
        <w:ind w:right="0"/>
        <w:jc w:val="left"/>
      </w:pPr>
      <w:r>
        <w:rPr/>
        <w:t>除以上事项之外，合并财务报表范围与上年度一致。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bookmarkStart w:name="九、在其他主体中的权益" w:id="312"/>
      <w:bookmarkEnd w:id="312"/>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13"/>
      <w:bookmarkEnd w:id="31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14"/>
      <w:bookmarkEnd w:id="31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上海美特斯邦威 服饰博物馆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批发零售业非营 利性组织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哈尔滨美特斯邦 威服饰有限公司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温州美特斯邦威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武汉美特斯邦威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长春美特斯邦威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兰州美特斯邦威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上海米安斯迪服 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上海邦购信息科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合肥美特斯邦威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上海霓尚服饰有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乌鲁木齐美特斯 邦威服饰有限公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上海华邦科创信 息科技有限公司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上海祺格服饰有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上海邦彤实业有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西宁美特斯邦威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贵阳美特斯邦威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上海美邦邦购网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上海潮范电子商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上海美潮国际贸 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有范网络科技有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郑州美特斯邦威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上海潮范智能科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上海库升服饰有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上海模共实业有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丹东市贸邦商贸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丹东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丹东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沈阳贸邦服饰商 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石家庄美特斯邦 威服饰有限公司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太原美特斯邦威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内蒙古美特斯邦 威服饰有限公司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上海美特斯邦威 服饰销售有限公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成都美特斯邦威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沈阳美特斯邦威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昆明美特斯邦威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南昌美特斯邦威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服饰有限公司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西安美特斯邦威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杭州邦威服饰有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重庆美特斯邦威 服饰有限责任公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广州美特斯邦威 服装有限公司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南京美特斯邦威 服饰有限公司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bl>
    <w:p>
      <w:pPr>
        <w:pStyle w:val="BodyText"/>
        <w:spacing w:line="357" w:lineRule="auto" w:before="51"/>
        <w:ind w:right="6972"/>
        <w:jc w:val="left"/>
      </w:pPr>
      <w:r>
        <w:rPr/>
        <w:t>在子公司的持股比例不同于表决权比例的说明： 无</w:t>
      </w:r>
    </w:p>
    <w:p>
      <w:pPr>
        <w:pStyle w:val="BodyText"/>
        <w:spacing w:line="357" w:lineRule="auto" w:before="29"/>
        <w:ind w:right="2832"/>
        <w:jc w:val="left"/>
      </w:pPr>
      <w:r>
        <w:rPr/>
        <w:t>持有半数或以下表决权但仍控制被投资单位、以及持有半数以上表决权但不控制被投资单位的依据： 无</w:t>
      </w:r>
    </w:p>
    <w:p>
      <w:pPr>
        <w:pStyle w:val="BodyText"/>
        <w:spacing w:line="357" w:lineRule="auto" w:before="29"/>
        <w:ind w:right="6432"/>
        <w:jc w:val="left"/>
      </w:pPr>
      <w:r>
        <w:rPr/>
        <w:t>对于纳入合并范围的重要的结构化主体，控制的依据： 无</w:t>
      </w:r>
    </w:p>
    <w:p>
      <w:pPr>
        <w:pStyle w:val="BodyText"/>
        <w:spacing w:line="357" w:lineRule="auto" w:before="29"/>
        <w:ind w:right="7692"/>
        <w:jc w:val="left"/>
      </w:pPr>
      <w:r>
        <w:rPr/>
        <w:t>确定公司是代理人还是委托人的依据： 不适用</w:t>
      </w:r>
    </w:p>
    <w:p>
      <w:pPr>
        <w:spacing w:line="240" w:lineRule="auto" w:before="1"/>
        <w:rPr>
          <w:rFonts w:ascii="宋体" w:hAnsi="宋体" w:cs="宋体" w:eastAsia="宋体" w:hint="default"/>
          <w:sz w:val="26"/>
          <w:szCs w:val="26"/>
        </w:rPr>
      </w:pPr>
    </w:p>
    <w:p>
      <w:pPr>
        <w:pStyle w:val="BodyText"/>
        <w:spacing w:line="357" w:lineRule="auto"/>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重要的非全资子公司" w:id="315"/>
      <w:bookmarkEnd w:id="31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2"/>
        <w:jc w:val="left"/>
      </w:pPr>
      <w:r>
        <w:rPr/>
        <w:t>子公司少数股东的持股比例不同于表决权比例的说明： 无</w:t>
      </w:r>
    </w:p>
    <w:p>
      <w:pPr>
        <w:pStyle w:val="BodyText"/>
        <w:spacing w:line="357" w:lineRule="auto" w:before="29"/>
        <w:ind w:right="9852"/>
        <w:jc w:val="left"/>
      </w:pPr>
      <w:r>
        <w:rPr/>
        <w:t>其他说明： 不适用</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重要非全资子公司的主要财务信息" w:id="316"/>
      <w:bookmarkEnd w:id="31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40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使用企业集团资产和清偿企业集团债务的重大限制" w:id="317"/>
      <w:bookmarkEnd w:id="31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向纳入合并财务报表范围的结构化主体提供的财务支持或其他支持" w:id="318"/>
      <w:bookmarkEnd w:id="31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9852"/>
        <w:jc w:val="left"/>
      </w:pPr>
      <w:r>
        <w:rPr/>
        <w:t>不适用 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在合营安排或联营企业中的权益" w:id="319"/>
      <w:bookmarkEnd w:id="319"/>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20"/>
      <w:bookmarkEnd w:id="32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上海华瑞银行股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金融银行业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right="5892"/>
        <w:jc w:val="left"/>
      </w:pPr>
      <w:r>
        <w:rPr/>
        <w:t>在合营企业或联营企业的持股比例不同于表决权比例的说明： 无</w:t>
      </w:r>
    </w:p>
    <w:p>
      <w:pPr>
        <w:spacing w:line="360" w:lineRule="auto" w:before="29"/>
        <w:ind w:left="154" w:right="1194" w:firstLine="0"/>
        <w:jc w:val="left"/>
        <w:rPr>
          <w:rFonts w:ascii="宋体" w:hAnsi="宋体" w:cs="宋体" w:eastAsia="宋体" w:hint="default"/>
          <w:sz w:val="15"/>
          <w:szCs w:val="15"/>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w:t>
      </w:r>
      <w:r>
        <w:rPr>
          <w:rFonts w:ascii="宋体" w:hAnsi="宋体" w:cs="宋体" w:eastAsia="宋体" w:hint="default"/>
          <w:spacing w:val="-2"/>
          <w:sz w:val="15"/>
          <w:szCs w:val="15"/>
        </w:rPr>
        <w:t>本公司持有上海华瑞银行股份有限公司</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简称</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该银行</w:t>
      </w:r>
      <w:r>
        <w:rPr>
          <w:rFonts w:ascii="Times New Roman" w:hAnsi="Times New Roman" w:cs="Times New Roman" w:eastAsia="Times New Roman" w:hint="default"/>
          <w:spacing w:val="-2"/>
          <w:sz w:val="15"/>
          <w:szCs w:val="15"/>
        </w:rPr>
        <w:t>”)15%</w:t>
      </w:r>
      <w:r>
        <w:rPr>
          <w:rFonts w:ascii="宋体" w:hAnsi="宋体" w:cs="宋体" w:eastAsia="宋体" w:hint="default"/>
          <w:spacing w:val="-2"/>
          <w:sz w:val="15"/>
          <w:szCs w:val="15"/>
        </w:rPr>
        <w:t>的股份，本公司是该银行的第二大股东，并且除第一和第三大股东的持股比例分别占</w:t>
      </w:r>
      <w:r>
        <w:rPr>
          <w:rFonts w:ascii="Times New Roman" w:hAnsi="Times New Roman" w:cs="Times New Roman" w:eastAsia="Times New Roman" w:hint="default"/>
          <w:spacing w:val="-2"/>
          <w:sz w:val="15"/>
          <w:szCs w:val="15"/>
        </w:rPr>
        <w:t>30%</w:t>
      </w:r>
      <w:r>
        <w:rPr>
          <w:rFonts w:ascii="Times New Roman" w:hAnsi="Times New Roman" w:cs="Times New Roman" w:eastAsia="Times New Roman" w:hint="default"/>
          <w:spacing w:val="29"/>
          <w:sz w:val="15"/>
          <w:szCs w:val="15"/>
        </w:rPr>
        <w:t> </w:t>
      </w:r>
      <w:r>
        <w:rPr>
          <w:rFonts w:ascii="宋体" w:hAnsi="宋体" w:cs="宋体" w:eastAsia="宋体" w:hint="default"/>
          <w:sz w:val="15"/>
          <w:szCs w:val="15"/>
        </w:rPr>
        <w:t>和</w:t>
      </w:r>
      <w:r>
        <w:rPr>
          <w:rFonts w:ascii="Times New Roman" w:hAnsi="Times New Roman" w:cs="Times New Roman" w:eastAsia="Times New Roman" w:hint="default"/>
          <w:sz w:val="15"/>
          <w:szCs w:val="15"/>
        </w:rPr>
        <w:t>9%</w:t>
      </w:r>
      <w:r>
        <w:rPr>
          <w:rFonts w:ascii="宋体" w:hAnsi="宋体" w:cs="宋体" w:eastAsia="宋体" w:hint="default"/>
          <w:sz w:val="15"/>
          <w:szCs w:val="15"/>
        </w:rPr>
        <w:t>外，其余股东持股比例都在</w:t>
      </w:r>
      <w:r>
        <w:rPr>
          <w:rFonts w:ascii="Times New Roman" w:hAnsi="Times New Roman" w:cs="Times New Roman" w:eastAsia="Times New Roman" w:hint="default"/>
          <w:sz w:val="15"/>
          <w:szCs w:val="15"/>
        </w:rPr>
        <w:t>10%</w:t>
      </w:r>
      <w:r>
        <w:rPr>
          <w:rFonts w:ascii="宋体" w:hAnsi="宋体" w:cs="宋体" w:eastAsia="宋体" w:hint="default"/>
          <w:sz w:val="15"/>
          <w:szCs w:val="15"/>
        </w:rPr>
        <w:t>以下。 另外，本公司的</w:t>
      </w:r>
      <w:r>
        <w:rPr>
          <w:rFonts w:ascii="Times New Roman" w:hAnsi="Times New Roman" w:cs="Times New Roman" w:eastAsia="Times New Roman" w:hint="default"/>
          <w:sz w:val="15"/>
          <w:szCs w:val="15"/>
        </w:rPr>
        <w:t>1</w:t>
      </w:r>
      <w:r>
        <w:rPr>
          <w:rFonts w:ascii="宋体" w:hAnsi="宋体" w:cs="宋体" w:eastAsia="宋体" w:hint="default"/>
          <w:sz w:val="15"/>
          <w:szCs w:val="15"/>
        </w:rPr>
        <w:t>位高管人员是该银行的董事会</w:t>
      </w:r>
      <w:r>
        <w:rPr>
          <w:rFonts w:ascii="Times New Roman" w:hAnsi="Times New Roman" w:cs="Times New Roman" w:eastAsia="Times New Roman" w:hint="default"/>
          <w:sz w:val="15"/>
          <w:szCs w:val="15"/>
        </w:rPr>
        <w:t>14</w:t>
      </w:r>
      <w:r>
        <w:rPr>
          <w:rFonts w:ascii="宋体" w:hAnsi="宋体" w:cs="宋体" w:eastAsia="宋体" w:hint="default"/>
          <w:sz w:val="15"/>
          <w:szCs w:val="15"/>
        </w:rPr>
        <w:t>名成员</w:t>
      </w:r>
      <w:r>
        <w:rPr>
          <w:rFonts w:ascii="Times New Roman" w:hAnsi="Times New Roman" w:cs="Times New Roman" w:eastAsia="Times New Roman" w:hint="default"/>
          <w:sz w:val="15"/>
          <w:szCs w:val="15"/>
        </w:rPr>
        <w:t>(</w:t>
      </w:r>
      <w:r>
        <w:rPr>
          <w:rFonts w:ascii="宋体" w:hAnsi="宋体" w:cs="宋体" w:eastAsia="宋体" w:hint="default"/>
          <w:sz w:val="15"/>
          <w:szCs w:val="15"/>
        </w:rPr>
        <w:t>其中</w:t>
      </w:r>
      <w:r>
        <w:rPr>
          <w:rFonts w:ascii="Times New Roman" w:hAnsi="Times New Roman" w:cs="Times New Roman" w:eastAsia="Times New Roman" w:hint="default"/>
          <w:sz w:val="15"/>
          <w:szCs w:val="15"/>
        </w:rPr>
        <w:t>3</w:t>
      </w:r>
      <w:r>
        <w:rPr>
          <w:rFonts w:ascii="宋体" w:hAnsi="宋体" w:cs="宋体" w:eastAsia="宋体" w:hint="default"/>
          <w:sz w:val="15"/>
          <w:szCs w:val="15"/>
        </w:rPr>
        <w:t>名为独立董事</w:t>
      </w:r>
      <w:r>
        <w:rPr>
          <w:rFonts w:ascii="Times New Roman" w:hAnsi="Times New Roman" w:cs="Times New Roman" w:eastAsia="Times New Roman" w:hint="default"/>
          <w:sz w:val="15"/>
          <w:szCs w:val="15"/>
        </w:rPr>
        <w:t>)</w:t>
      </w:r>
      <w:r>
        <w:rPr>
          <w:rFonts w:ascii="宋体" w:hAnsi="宋体" w:cs="宋体" w:eastAsia="宋体" w:hint="default"/>
          <w:sz w:val="15"/>
          <w:szCs w:val="15"/>
        </w:rPr>
        <w:t>中的一员，且提名两位</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pacing w:val="-1"/>
          <w:sz w:val="15"/>
          <w:szCs w:val="15"/>
        </w:rPr>
        <w:t>董事，本公司在华瑞银行股东大会的表决权比例为</w:t>
      </w:r>
      <w:r>
        <w:rPr>
          <w:rFonts w:ascii="Times New Roman" w:hAnsi="Times New Roman" w:cs="Times New Roman" w:eastAsia="Times New Roman" w:hint="default"/>
          <w:spacing w:val="-1"/>
          <w:sz w:val="15"/>
          <w:szCs w:val="15"/>
        </w:rPr>
        <w:t>15%</w:t>
      </w:r>
      <w:r>
        <w:rPr>
          <w:rFonts w:ascii="宋体" w:hAnsi="宋体" w:cs="宋体" w:eastAsia="宋体" w:hint="default"/>
          <w:spacing w:val="-1"/>
          <w:sz w:val="15"/>
          <w:szCs w:val="15"/>
        </w:rPr>
        <w:t>，该银行第一大股东在董事会委派</w:t>
      </w:r>
      <w:r>
        <w:rPr>
          <w:rFonts w:ascii="Times New Roman" w:hAnsi="Times New Roman" w:cs="Times New Roman" w:eastAsia="Times New Roman" w:hint="default"/>
          <w:spacing w:val="-1"/>
          <w:sz w:val="15"/>
          <w:szCs w:val="15"/>
        </w:rPr>
        <w:t>2</w:t>
      </w:r>
      <w:r>
        <w:rPr>
          <w:rFonts w:ascii="宋体" w:hAnsi="宋体" w:cs="宋体" w:eastAsia="宋体" w:hint="default"/>
          <w:spacing w:val="-1"/>
          <w:sz w:val="15"/>
          <w:szCs w:val="15"/>
        </w:rPr>
        <w:t>名董事，在股东大会的表决权比例为</w:t>
      </w:r>
      <w:r>
        <w:rPr>
          <w:rFonts w:ascii="Times New Roman" w:hAnsi="Times New Roman" w:cs="Times New Roman" w:eastAsia="Times New Roman" w:hint="default"/>
          <w:spacing w:val="-1"/>
          <w:sz w:val="15"/>
          <w:szCs w:val="15"/>
        </w:rPr>
        <w:t>30%</w:t>
      </w:r>
      <w:r>
        <w:rPr>
          <w:rFonts w:ascii="宋体" w:hAnsi="宋体" w:cs="宋体" w:eastAsia="宋体" w:hint="default"/>
          <w:spacing w:val="-1"/>
          <w:sz w:val="15"/>
          <w:szCs w:val="15"/>
        </w:rPr>
        <w:t>。根据华瑞银行</w:t>
      </w:r>
      <w:r>
        <w:rPr>
          <w:rFonts w:ascii="宋体" w:hAnsi="宋体" w:cs="宋体" w:eastAsia="宋体" w:hint="default"/>
          <w:w w:val="99"/>
          <w:sz w:val="15"/>
          <w:szCs w:val="15"/>
        </w:rPr>
        <w:t> </w:t>
      </w:r>
      <w:r>
        <w:rPr>
          <w:rFonts w:ascii="宋体" w:hAnsi="宋体" w:cs="宋体" w:eastAsia="宋体" w:hint="default"/>
          <w:spacing w:val="-1"/>
          <w:sz w:val="15"/>
          <w:szCs w:val="15"/>
        </w:rPr>
        <w:t>章程的规定，股东以其所持有股份行使表决权，每一股份享有一票表决权。股东大会和董事会对于公司决议表决需要达到</w:t>
      </w:r>
      <w:r>
        <w:rPr>
          <w:rFonts w:ascii="Times New Roman" w:hAnsi="Times New Roman" w:cs="Times New Roman" w:eastAsia="Times New Roman" w:hint="default"/>
          <w:spacing w:val="-1"/>
          <w:sz w:val="15"/>
          <w:szCs w:val="15"/>
        </w:rPr>
        <w:t>50%</w:t>
      </w:r>
      <w:r>
        <w:rPr>
          <w:rFonts w:ascii="宋体" w:hAnsi="宋体" w:cs="宋体" w:eastAsia="宋体" w:hint="default"/>
          <w:spacing w:val="-1"/>
          <w:sz w:val="15"/>
          <w:szCs w:val="15"/>
        </w:rPr>
        <w:t>以上，重大决议表决</w:t>
      </w:r>
    </w:p>
    <w:p>
      <w:pPr>
        <w:spacing w:after="0" w:line="360" w:lineRule="auto"/>
        <w:jc w:val="left"/>
        <w:rPr>
          <w:rFonts w:ascii="宋体" w:hAnsi="宋体" w:cs="宋体" w:eastAsia="宋体" w:hint="default"/>
          <w:sz w:val="15"/>
          <w:szCs w:val="15"/>
        </w:rPr>
        <w:sectPr>
          <w:pgSz w:w="11910" w:h="16840"/>
          <w:pgMar w:header="747" w:footer="979" w:top="1060" w:bottom="1160" w:left="980" w:right="0"/>
        </w:sectPr>
      </w:pPr>
    </w:p>
    <w:p>
      <w:pPr>
        <w:spacing w:line="240" w:lineRule="auto" w:before="13"/>
        <w:rPr>
          <w:rFonts w:ascii="宋体" w:hAnsi="宋体" w:cs="宋体" w:eastAsia="宋体" w:hint="default"/>
          <w:sz w:val="26"/>
          <w:szCs w:val="26"/>
        </w:rPr>
      </w:pPr>
    </w:p>
    <w:p>
      <w:pPr>
        <w:spacing w:line="360" w:lineRule="auto" w:before="53"/>
        <w:ind w:left="154" w:right="0" w:firstLine="0"/>
        <w:jc w:val="left"/>
        <w:rPr>
          <w:rFonts w:ascii="宋体" w:hAnsi="宋体" w:cs="宋体" w:eastAsia="宋体" w:hint="default"/>
          <w:sz w:val="15"/>
          <w:szCs w:val="15"/>
        </w:rPr>
      </w:pPr>
      <w:r>
        <w:rPr>
          <w:rFonts w:ascii="宋体" w:hAnsi="宋体" w:cs="宋体" w:eastAsia="宋体" w:hint="default"/>
          <w:sz w:val="15"/>
          <w:szCs w:val="15"/>
        </w:rPr>
        <w:t>需要达到</w:t>
      </w:r>
      <w:r>
        <w:rPr>
          <w:rFonts w:ascii="Times New Roman" w:hAnsi="Times New Roman" w:cs="Times New Roman" w:eastAsia="Times New Roman" w:hint="default"/>
          <w:sz w:val="15"/>
          <w:szCs w:val="15"/>
        </w:rPr>
        <w:t>2/3</w:t>
      </w:r>
      <w:r>
        <w:rPr>
          <w:rFonts w:ascii="宋体" w:hAnsi="宋体" w:cs="宋体" w:eastAsia="宋体" w:hint="default"/>
          <w:sz w:val="15"/>
          <w:szCs w:val="15"/>
        </w:rPr>
        <w:t>以上，各股东在董事会拥有席位不超过</w:t>
      </w:r>
      <w:r>
        <w:rPr>
          <w:rFonts w:ascii="Times New Roman" w:hAnsi="Times New Roman" w:cs="Times New Roman" w:eastAsia="Times New Roman" w:hint="default"/>
          <w:sz w:val="15"/>
          <w:szCs w:val="15"/>
        </w:rPr>
        <w:t>1/3</w:t>
      </w:r>
      <w:r>
        <w:rPr>
          <w:rFonts w:ascii="宋体" w:hAnsi="宋体" w:cs="宋体" w:eastAsia="宋体" w:hint="default"/>
          <w:sz w:val="15"/>
          <w:szCs w:val="15"/>
        </w:rPr>
        <w:t>；另外本公司委任的董事已参加</w:t>
      </w:r>
      <w:r>
        <w:rPr>
          <w:rFonts w:ascii="Times New Roman" w:hAnsi="Times New Roman" w:cs="Times New Roman" w:eastAsia="Times New Roman" w:hint="default"/>
          <w:sz w:val="15"/>
          <w:szCs w:val="15"/>
        </w:rPr>
        <w:t>2018</w:t>
      </w:r>
      <w:r>
        <w:rPr>
          <w:rFonts w:ascii="宋体" w:hAnsi="宋体" w:cs="宋体" w:eastAsia="宋体" w:hint="default"/>
          <w:sz w:val="15"/>
          <w:szCs w:val="15"/>
        </w:rPr>
        <w:t>年华瑞银行第一届董事会所有会议并参与表决。综上，</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本公司认为能够对该银行的运营实施重大影响，故而本公司将对该银行的投资作为对联营企业的长期股权投资来确认和计量。</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8"/>
          <w:szCs w:val="18"/>
        </w:rPr>
      </w:pPr>
    </w:p>
    <w:p>
      <w:pPr>
        <w:pStyle w:val="Heading4"/>
        <w:spacing w:line="240" w:lineRule="auto"/>
        <w:ind w:right="0"/>
        <w:jc w:val="left"/>
        <w:rPr>
          <w:b w:val="0"/>
          <w:bCs w:val="0"/>
        </w:rPr>
      </w:pPr>
      <w:bookmarkStart w:name="（2）重要联营企业的主要财务信息" w:id="321"/>
      <w:bookmarkEnd w:id="32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36,260,942,771.00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39,147,684,200.00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32,542,197,811.00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35,751,089,016.00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3,718,744,960.00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3,396,595,184.00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557,811,744.00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509,489,278.00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557,811,744.00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509,489,278.00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1,093,354,006.00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978,027,700.00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326,828,964.00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257,699,600.00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-161,790.00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1,266,700.00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326,667,174.00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258,966,300.00</w:t>
            </w: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合营企业或联营企业向本公司转移资金的能力存在重大限制的说明" w:id="322"/>
      <w:bookmarkEnd w:id="322"/>
      <w:r>
        <w:rPr>
          <w:b w:val="0"/>
          <w:bCs w:val="0"/>
        </w:rPr>
      </w:r>
      <w:r>
        <w:rPr/>
        <w:t>（</w:t>
      </w:r>
      <w:r>
        <w:rPr>
          <w:rFonts w:ascii="Times New Roman" w:hAnsi="Times New Roman" w:cs="Times New Roman" w:eastAsia="Times New Roman" w:hint="default"/>
        </w:rPr>
        <w:t>3</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合营企业或联营企业发生的超额亏损" w:id="323"/>
      <w:bookmarkEnd w:id="323"/>
      <w:r>
        <w:rPr>
          <w:b w:val="0"/>
          <w:bCs w:val="0"/>
        </w:rPr>
      </w: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与合营企业投资相关的未确认承诺" w:id="324"/>
      <w:bookmarkEnd w:id="324"/>
      <w:r>
        <w:rPr>
          <w:b w:val="0"/>
          <w:bCs w:val="0"/>
        </w:rPr>
      </w:r>
      <w:r>
        <w:rPr/>
        <w:t>（</w:t>
      </w:r>
      <w:r>
        <w:rPr>
          <w:rFonts w:ascii="Times New Roman" w:hAnsi="Times New Roman" w:cs="Times New Roman" w:eastAsia="Times New Roman" w:hint="default"/>
        </w:rPr>
        <w:t>5</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与合营企业或联营企业投资相关的或有负债" w:id="325"/>
      <w:bookmarkEnd w:id="325"/>
      <w:r>
        <w:rPr>
          <w:b w:val="0"/>
          <w:bCs w:val="0"/>
        </w:rPr>
      </w:r>
      <w:r>
        <w:rPr/>
        <w:t>（</w:t>
      </w:r>
      <w:r>
        <w:rPr>
          <w:rFonts w:ascii="Times New Roman" w:hAnsi="Times New Roman" w:cs="Times New Roman" w:eastAsia="Times New Roman" w:hint="default"/>
        </w:rPr>
        <w:t>6</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26"/>
      <w:bookmarkEnd w:id="32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spacing w:line="309" w:lineRule="auto" w:before="0"/>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金融工具分类</w:t>
      </w:r>
      <w:r>
        <w:rPr>
          <w:rFonts w:ascii="宋体" w:hAnsi="宋体" w:cs="宋体" w:eastAsia="宋体" w:hint="default"/>
          <w:b/>
          <w:bCs/>
          <w:w w:val="99"/>
          <w:sz w:val="18"/>
          <w:szCs w:val="18"/>
        </w:rPr>
        <w:t> </w:t>
      </w:r>
      <w:r>
        <w:rPr>
          <w:rFonts w:ascii="宋体" w:hAnsi="宋体" w:cs="宋体" w:eastAsia="宋体" w:hint="default"/>
          <w:sz w:val="18"/>
          <w:szCs w:val="18"/>
        </w:rPr>
        <w:t>资产负债表日的各类金融工具的账面价值如下： 金融资产：</w:t>
      </w:r>
    </w:p>
    <w:p>
      <w:pPr>
        <w:pStyle w:val="BodyText"/>
        <w:spacing w:line="240" w:lineRule="auto" w:before="24"/>
        <w:ind w:left="228" w:right="2618"/>
        <w:jc w:val="center"/>
      </w:pPr>
      <w:r>
        <w:rPr/>
        <w:t>单位：元</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85"/>
        <w:gridCol w:w="1636"/>
        <w:gridCol w:w="1960"/>
      </w:tblGrid>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7"/>
                <w:sz w:val="18"/>
                <w:szCs w:val="18"/>
              </w:rPr>
              <w:t> </w:t>
            </w:r>
            <w:r>
              <w:rPr>
                <w:rFonts w:ascii="宋体" w:hAnsi="宋体" w:cs="宋体" w:eastAsia="宋体" w:hint="default"/>
                <w:sz w:val="18"/>
                <w:szCs w:val="18"/>
              </w:rPr>
              <w:t>别</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381,662,965.00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540,417,195.00</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1,217,243,227.00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438,912,867.00</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183,712,070.00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193,376,826.00</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339,818,666.00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126,866,806.00</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18"/>
                <w:szCs w:val="18"/>
              </w:rPr>
              <w:t>小</w:t>
            </w:r>
            <w:r>
              <w:rPr>
                <w:rFonts w:ascii="宋体" w:hAnsi="宋体" w:cs="宋体" w:eastAsia="宋体" w:hint="default"/>
                <w:spacing w:val="78"/>
                <w:sz w:val="18"/>
                <w:szCs w:val="18"/>
              </w:rPr>
              <w:t> </w:t>
            </w:r>
            <w:r>
              <w:rPr>
                <w:rFonts w:ascii="宋体" w:hAnsi="宋体" w:cs="宋体" w:eastAsia="宋体" w:hint="default"/>
                <w:sz w:val="21"/>
                <w:szCs w:val="21"/>
              </w:rPr>
              <w:t>计</w:t>
            </w:r>
          </w:p>
        </w:tc>
        <w:tc>
          <w:tcPr>
            <w:tcW w:w="1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2,122,436,928.00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1,299,573,694.00</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2410"/>
        <w:gridCol w:w="1702"/>
        <w:gridCol w:w="1843"/>
      </w:tblGrid>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78"/>
                <w:sz w:val="18"/>
                <w:szCs w:val="18"/>
              </w:rPr>
              <w:t> </w:t>
            </w:r>
            <w:r>
              <w:rPr>
                <w:rFonts w:ascii="宋体" w:hAnsi="宋体" w:cs="宋体" w:eastAsia="宋体" w:hint="default"/>
                <w:sz w:val="18"/>
                <w:szCs w:val="18"/>
              </w:rPr>
              <w:t>别</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1,080,000,000.00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1,172,000,000.00</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2,341,314,057.00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1,510,265,612</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357,862,044.00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342,911,891.00</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256,364,928.00</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3,779,176,101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3,281,542,431.00</w:t>
            </w:r>
          </w:p>
        </w:tc>
      </w:tr>
    </w:tbl>
    <w:p>
      <w:pPr>
        <w:spacing w:line="240" w:lineRule="auto" w:before="3"/>
        <w:rPr>
          <w:rFonts w:ascii="宋体" w:hAnsi="宋体" w:cs="宋体" w:eastAsia="宋体" w:hint="default"/>
          <w:sz w:val="21"/>
          <w:szCs w:val="21"/>
        </w:rPr>
      </w:pPr>
    </w:p>
    <w:p>
      <w:pPr>
        <w:spacing w:line="300" w:lineRule="auto" w:before="44"/>
        <w:ind w:left="514" w:right="7512"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已转移但未整体终止确认的金融资产</w:t>
      </w:r>
      <w:r>
        <w:rPr>
          <w:rFonts w:ascii="宋体" w:hAnsi="宋体" w:cs="宋体" w:eastAsia="宋体" w:hint="default"/>
          <w:sz w:val="18"/>
          <w:szCs w:val="18"/>
        </w:rPr>
      </w:r>
    </w:p>
    <w:p>
      <w:pPr>
        <w:pStyle w:val="BodyText"/>
        <w:spacing w:line="304" w:lineRule="auto" w:before="31"/>
        <w:ind w:right="1041" w:firstLine="36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日，本集团已贴现给银行的商业承兑汇票的账面价值为人民币</w:t>
      </w:r>
      <w:r>
        <w:rPr>
          <w:rFonts w:ascii="Times New Roman" w:hAnsi="Times New Roman" w:cs="Times New Roman" w:eastAsia="Times New Roman" w:hint="default"/>
        </w:rPr>
        <w:t>185,000,000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 </w:t>
      </w:r>
      <w:r>
        <w:rPr>
          <w:rFonts w:ascii="Times New Roman" w:hAnsi="Times New Roman" w:cs="Times New Roman" w:eastAsia="Times New Roman" w:hint="default"/>
        </w:rPr>
        <w:t>245,000,000</w:t>
      </w:r>
      <w:r>
        <w:rPr/>
        <w:t>元</w:t>
      </w:r>
      <w:r>
        <w:rPr>
          <w:rFonts w:ascii="Times New Roman" w:hAnsi="Times New Roman" w:cs="Times New Roman" w:eastAsia="Times New Roman" w:hint="default"/>
        </w:rPr>
        <w:t>)</w:t>
      </w:r>
      <w:r>
        <w:rPr/>
        <w:t>。本集团认为，本集团保留了其几乎所有的风险和报酬，包括与其相关的违约风险，因此，继续全额确认其 </w:t>
      </w:r>
      <w:r>
        <w:rPr>
          <w:spacing w:val="-2"/>
        </w:rPr>
        <w:t>及与之相关的银行借款。贴现后，本集团不再保留使用该等已贴现的票据的权利，包括将其出售、转让或质押给其他第三方</w:t>
      </w:r>
      <w:r>
        <w:rPr>
          <w:spacing w:val="-66"/>
        </w:rPr>
        <w:t> </w:t>
      </w:r>
      <w:r>
        <w:rPr>
          <w:spacing w:val="-66"/>
        </w:rPr>
      </w:r>
      <w:r>
        <w:rPr>
          <w:spacing w:val="-1"/>
        </w:rPr>
        <w:t>的权利。于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日，本集团因该等票据贴现获取的银行借款账面价值总计为人民币</w:t>
      </w:r>
      <w:r>
        <w:rPr>
          <w:rFonts w:ascii="Times New Roman" w:hAnsi="Times New Roman" w:cs="Times New Roman" w:eastAsia="Times New Roman" w:hint="default"/>
          <w:spacing w:val="-1"/>
        </w:rPr>
        <w:t>185,000,000</w:t>
      </w:r>
      <w:r>
        <w:rPr>
          <w:spacing w:val="-1"/>
        </w:rPr>
        <w:t>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77"/>
        </w:rPr>
        <w:t> </w:t>
      </w:r>
      <w:r>
        <w:rPr/>
        <w:t>人民币</w:t>
      </w:r>
      <w:r>
        <w:rPr>
          <w:rFonts w:ascii="Times New Roman" w:hAnsi="Times New Roman" w:cs="Times New Roman" w:eastAsia="Times New Roman" w:hint="default"/>
        </w:rPr>
        <w:t>245,000,000</w:t>
      </w:r>
      <w:r>
        <w:rPr/>
        <w:t>元</w:t>
      </w:r>
      <w:r>
        <w:rPr>
          <w:rFonts w:ascii="Times New Roman" w:hAnsi="Times New Roman" w:cs="Times New Roman" w:eastAsia="Times New Roman" w:hint="default"/>
        </w:rPr>
        <w:t>)</w:t>
      </w:r>
      <w:r>
        <w:rPr/>
        <w:t>。</w:t>
      </w:r>
    </w:p>
    <w:p>
      <w:pPr>
        <w:pStyle w:val="BodyText"/>
        <w:spacing w:line="240" w:lineRule="auto" w:before="9"/>
        <w:ind w:right="0"/>
        <w:jc w:val="left"/>
      </w:pPr>
      <w:r>
        <w:rPr/>
        <w:t>本集团无已整体终止确认但继续涉入的已转移金融资产。</w:t>
      </w:r>
    </w:p>
    <w:p>
      <w:pPr>
        <w:spacing w:line="240" w:lineRule="auto" w:before="0"/>
        <w:rPr>
          <w:rFonts w:ascii="宋体" w:hAnsi="宋体" w:cs="宋体" w:eastAsia="宋体" w:hint="default"/>
          <w:sz w:val="18"/>
          <w:szCs w:val="18"/>
        </w:rPr>
      </w:pPr>
    </w:p>
    <w:p>
      <w:pPr>
        <w:pStyle w:val="BodyText"/>
        <w:spacing w:line="300" w:lineRule="auto" w:before="153"/>
        <w:ind w:left="514" w:right="1118" w:hanging="360"/>
        <w:jc w:val="left"/>
      </w:pPr>
      <w:r>
        <w:rPr>
          <w:rFonts w:ascii="Times New Roman" w:hAnsi="Times New Roman" w:cs="Times New Roman" w:eastAsia="Times New Roman" w:hint="default"/>
          <w:b/>
          <w:bCs/>
        </w:rPr>
        <w:t>3.</w:t>
      </w:r>
      <w:r>
        <w:rPr>
          <w:rFonts w:ascii="宋体" w:hAnsi="宋体" w:cs="宋体" w:eastAsia="宋体" w:hint="default"/>
          <w:b/>
          <w:bCs/>
        </w:rPr>
        <w:t>金融工具风险</w:t>
      </w:r>
      <w:r>
        <w:rPr>
          <w:rFonts w:ascii="宋体" w:hAnsi="宋体" w:cs="宋体" w:eastAsia="宋体" w:hint="default"/>
          <w:b/>
          <w:bCs/>
          <w:w w:val="99"/>
        </w:rPr>
        <w:t> </w:t>
      </w:r>
      <w:r>
        <w:rPr>
          <w:spacing w:val="-2"/>
        </w:rPr>
        <w:t>本集团的主要金融工具，包括银行借款、应付短期融资券、应付长期债券和货币资金等。这些金融工具的主要目的在于</w:t>
      </w:r>
    </w:p>
    <w:p>
      <w:pPr>
        <w:pStyle w:val="BodyText"/>
        <w:spacing w:line="316" w:lineRule="auto" w:before="32"/>
        <w:ind w:right="1032"/>
        <w:jc w:val="left"/>
      </w:pPr>
      <w:r>
        <w:rPr/>
        <w:t>为本集团的运营融资。本集团具有多种因经营而直接产生的其他金融资产和负债，如应收账款、其他应收款、长期应收款、 应付账款、应付票据和其他应付款等。</w:t>
      </w:r>
    </w:p>
    <w:p>
      <w:pPr>
        <w:pStyle w:val="BodyText"/>
        <w:spacing w:line="240" w:lineRule="auto" w:before="19"/>
        <w:ind w:left="574" w:right="0"/>
        <w:jc w:val="left"/>
      </w:pPr>
      <w:r>
        <w:rPr/>
        <w:t>本集团的金融工具导致的主要风险是信用风险和流动风险。本集团对此的风险管理政策概述如下：</w:t>
      </w:r>
    </w:p>
    <w:p>
      <w:pPr>
        <w:pStyle w:val="Heading5"/>
        <w:spacing w:line="240" w:lineRule="auto" w:before="76"/>
        <w:ind w:right="0"/>
        <w:jc w:val="left"/>
        <w:rPr>
          <w:b w:val="0"/>
          <w:bCs w:val="0"/>
        </w:rPr>
      </w:pPr>
      <w:r>
        <w:rPr/>
        <w:t>（</w:t>
      </w:r>
      <w:r>
        <w:rPr>
          <w:rFonts w:ascii="Times New Roman" w:hAnsi="Times New Roman" w:cs="Times New Roman" w:eastAsia="Times New Roman" w:hint="default"/>
        </w:rPr>
        <w:t>1</w:t>
      </w:r>
      <w:r>
        <w:rPr/>
        <w:t>）信用风险</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6" w:lineRule="auto" w:before="44"/>
        <w:ind w:right="1131" w:firstLine="290"/>
        <w:jc w:val="both"/>
      </w:pPr>
      <w:r>
        <w:rPr>
          <w:spacing w:val="-1"/>
        </w:rPr>
        <w:t>本集团仅与经认可的、信誉良好的第三方进行交易。按照本集团的政策，需对所有要求采用信用方式进行交易的客户进</w:t>
      </w:r>
      <w:r>
        <w:rPr/>
        <w:t> </w:t>
      </w:r>
      <w:r>
        <w:rPr>
          <w:spacing w:val="-2"/>
        </w:rPr>
        <w:t>行信用审核。另外，本集团对应收账款余额进行持续监控，以确保本集团不致面临重大坏账风险。对于未采用相关经营单位</w:t>
      </w:r>
      <w:r>
        <w:rPr>
          <w:spacing w:val="-66"/>
        </w:rPr>
        <w:t> </w:t>
      </w:r>
      <w:r>
        <w:rPr>
          <w:spacing w:val="-66"/>
        </w:rPr>
      </w:r>
      <w:r>
        <w:rPr/>
        <w:t>的记账本位币结算的交易，除非本集团信用控制部门特别批准，否则本集团不提供信用交易条件。</w:t>
      </w:r>
    </w:p>
    <w:p>
      <w:pPr>
        <w:pStyle w:val="BodyText"/>
        <w:spacing w:line="319" w:lineRule="auto" w:before="19"/>
        <w:ind w:right="0" w:firstLine="290"/>
        <w:jc w:val="left"/>
      </w:pPr>
      <w:r>
        <w:rPr>
          <w:spacing w:val="-1"/>
        </w:rPr>
        <w:t>本集团其他金融资产包括货币资金、应收票据、其他应收款、应收股利和长期应收款，这些金融资产的信用风险源自交</w:t>
      </w:r>
      <w:r>
        <w:rPr/>
        <w:t> 易对手违约，最大风险敞口等于这些工具的账面金额。本集团通过选择信誉良好的第三方进行交易来控制此项风险。</w:t>
      </w:r>
    </w:p>
    <w:p>
      <w:pPr>
        <w:pStyle w:val="BodyText"/>
        <w:spacing w:line="309" w:lineRule="auto" w:before="17"/>
        <w:ind w:right="1052" w:firstLine="290"/>
        <w:jc w:val="left"/>
      </w:pPr>
      <w:r>
        <w:rPr/>
        <w:t>由于本集团仅与经认可的且信誉良好的第三方进行交易，所以无需担保物。信用风险集中按照客户</w:t>
      </w:r>
      <w:r>
        <w:rPr>
          <w:rFonts w:ascii="Times New Roman" w:hAnsi="Times New Roman" w:cs="Times New Roman" w:eastAsia="Times New Roman" w:hint="default"/>
        </w:rPr>
        <w:t>/</w:t>
      </w:r>
      <w:r>
        <w:rPr/>
        <w:t>交易对手进行管理。 </w:t>
      </w:r>
      <w:r>
        <w:rPr>
          <w:spacing w:val="-2"/>
        </w:rPr>
        <w:t>由于本集团的应收账款客户群广泛地分散于不同的单位和地区中，因此在本集团内部不存在重大信用风险集中。本集团对应</w:t>
      </w:r>
      <w:r>
        <w:rPr>
          <w:spacing w:val="-64"/>
        </w:rPr>
        <w:t> </w:t>
      </w:r>
      <w:r>
        <w:rPr>
          <w:spacing w:val="-64"/>
        </w:rPr>
      </w:r>
      <w:r>
        <w:rPr/>
        <w:t>收账款余额未持有任何担保物或其他信用增级。</w:t>
      </w:r>
    </w:p>
    <w:p>
      <w:pPr>
        <w:pStyle w:val="BodyText"/>
        <w:spacing w:line="240" w:lineRule="auto" w:before="24"/>
        <w:ind w:left="444" w:right="0"/>
        <w:jc w:val="left"/>
      </w:pPr>
      <w:r>
        <w:rPr/>
        <w:t>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日，认为单独或组合均未发生减值的金融资产的期限分析如下：</w:t>
      </w:r>
    </w:p>
    <w:p>
      <w:pPr>
        <w:spacing w:line="240" w:lineRule="auto" w:before="11"/>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150"/>
        <w:gridCol w:w="1828"/>
        <w:gridCol w:w="1985"/>
        <w:gridCol w:w="1150"/>
        <w:gridCol w:w="1416"/>
        <w:gridCol w:w="1418"/>
      </w:tblGrid>
      <w:tr>
        <w:trPr>
          <w:trHeight w:val="347" w:hRule="exact"/>
        </w:trPr>
        <w:tc>
          <w:tcPr>
            <w:tcW w:w="1150" w:type="dxa"/>
            <w:vMerge w:val="restart"/>
            <w:tcBorders>
              <w:top w:val="single" w:sz="6" w:space="0" w:color="000000"/>
              <w:left w:val="single" w:sz="6" w:space="0" w:color="000000"/>
              <w:right w:val="single" w:sz="6" w:space="0" w:color="000000"/>
            </w:tcBorders>
          </w:tcPr>
          <w:p>
            <w:pPr>
              <w:pStyle w:val="TableParagraph"/>
              <w:spacing w:line="271" w:lineRule="exact"/>
              <w:ind w:left="287" w:right="0"/>
              <w:jc w:val="left"/>
              <w:rPr>
                <w:rFonts w:ascii="宋体" w:hAnsi="宋体" w:cs="宋体" w:eastAsia="宋体" w:hint="default"/>
                <w:sz w:val="21"/>
                <w:szCs w:val="21"/>
              </w:rPr>
            </w:pPr>
            <w:r>
              <w:rPr>
                <w:rFonts w:ascii="宋体" w:hAnsi="宋体" w:cs="宋体" w:eastAsia="宋体" w:hint="default"/>
                <w:sz w:val="18"/>
                <w:szCs w:val="18"/>
              </w:rPr>
              <w:t>类</w:t>
            </w:r>
            <w:r>
              <w:rPr>
                <w:rFonts w:ascii="宋体" w:hAnsi="宋体" w:cs="宋体" w:eastAsia="宋体" w:hint="default"/>
                <w:spacing w:val="78"/>
                <w:sz w:val="18"/>
                <w:szCs w:val="18"/>
              </w:rPr>
              <w:t> </w:t>
            </w:r>
            <w:r>
              <w:rPr>
                <w:rFonts w:ascii="宋体" w:hAnsi="宋体" w:cs="宋体" w:eastAsia="宋体" w:hint="default"/>
                <w:sz w:val="21"/>
                <w:szCs w:val="21"/>
              </w:rPr>
              <w:t>别</w:t>
            </w:r>
          </w:p>
        </w:tc>
        <w:tc>
          <w:tcPr>
            <w:tcW w:w="1828"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21"/>
              <w:ind w:left="445"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98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逾期</w:t>
            </w:r>
          </w:p>
        </w:tc>
      </w:tr>
      <w:tr>
        <w:trPr>
          <w:trHeight w:val="347" w:hRule="exact"/>
        </w:trPr>
        <w:tc>
          <w:tcPr>
            <w:tcW w:w="1150" w:type="dxa"/>
            <w:vMerge/>
            <w:tcBorders>
              <w:left w:val="single" w:sz="6" w:space="0" w:color="000000"/>
              <w:bottom w:val="single" w:sz="6" w:space="0" w:color="000000"/>
              <w:right w:val="single" w:sz="6" w:space="0" w:color="000000"/>
            </w:tcBorders>
          </w:tcPr>
          <w:p>
            <w:pPr/>
          </w:p>
        </w:tc>
        <w:tc>
          <w:tcPr>
            <w:tcW w:w="1828" w:type="dxa"/>
            <w:vMerge/>
            <w:tcBorders>
              <w:left w:val="single" w:sz="6" w:space="0" w:color="000000"/>
              <w:bottom w:val="single" w:sz="6" w:space="0" w:color="000000"/>
              <w:right w:val="single" w:sz="6" w:space="0" w:color="000000"/>
            </w:tcBorders>
          </w:tcPr>
          <w:p>
            <w:pPr/>
          </w:p>
        </w:tc>
        <w:tc>
          <w:tcPr>
            <w:tcW w:w="1985" w:type="dxa"/>
            <w:vMerge/>
            <w:tcBorders>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至</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r>
      <w:tr>
        <w:trPr>
          <w:trHeight w:val="347"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381,662,965.00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381,662,965.00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48"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1,217,243,227.00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1,217,243,227.00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47"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183,712,070.00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183,712,070.00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47" w:hRule="exact"/>
        </w:trPr>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339,818,666.00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339,818,666.00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48" w:hRule="exact"/>
        </w:trPr>
        <w:tc>
          <w:tcPr>
            <w:tcW w:w="1150" w:type="dxa"/>
            <w:tcBorders>
              <w:top w:val="single" w:sz="6" w:space="0" w:color="000000"/>
              <w:left w:val="single" w:sz="6" w:space="0" w:color="000000"/>
              <w:bottom w:val="single" w:sz="6" w:space="0" w:color="000000"/>
              <w:right w:val="single" w:sz="6" w:space="0" w:color="000000"/>
            </w:tcBorders>
          </w:tcPr>
          <w:p>
            <w:pPr/>
          </w:p>
        </w:tc>
        <w:tc>
          <w:tcPr>
            <w:tcW w:w="1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2,122,436,928.00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2,122,436,928.00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300" w:lineRule="auto" w:before="44"/>
        <w:ind w:right="0" w:firstLine="360"/>
        <w:jc w:val="left"/>
      </w:pP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日，尚未逾期和发生减值的应收账款、应收票据、其他应收款、应收股利和长期应收款与大量的近期无</w:t>
      </w:r>
      <w:r>
        <w:rPr/>
        <w:t> 违约记录的分散化的客户有关。</w:t>
      </w:r>
    </w:p>
    <w:p>
      <w:pPr>
        <w:pStyle w:val="BodyText"/>
        <w:spacing w:line="300" w:lineRule="auto" w:before="32"/>
        <w:ind w:left="514" w:right="0"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）流动性风险</w:t>
      </w:r>
      <w:r>
        <w:rPr>
          <w:rFonts w:ascii="宋体" w:hAnsi="宋体" w:cs="宋体" w:eastAsia="宋体" w:hint="default"/>
          <w:b/>
          <w:bCs/>
          <w:w w:val="99"/>
        </w:rPr>
        <w:t> </w:t>
      </w:r>
      <w:r>
        <w:rPr>
          <w:spacing w:val="-2"/>
        </w:rPr>
        <w:t>本集团采用循环流动性计划工具管理资金短缺风险。该工具既考虑其金融工具的到期日，也考虑本集团运营产生的预计</w:t>
      </w:r>
    </w:p>
    <w:p>
      <w:pPr>
        <w:pStyle w:val="BodyText"/>
        <w:spacing w:line="240" w:lineRule="auto" w:before="31"/>
        <w:ind w:right="0"/>
        <w:jc w:val="left"/>
      </w:pPr>
      <w:r>
        <w:rPr/>
        <w:t>现金流量。</w:t>
      </w:r>
    </w:p>
    <w:p>
      <w:pPr>
        <w:pStyle w:val="BodyText"/>
        <w:spacing w:line="316" w:lineRule="auto" w:before="76"/>
        <w:ind w:right="0" w:firstLine="360"/>
        <w:jc w:val="left"/>
      </w:pPr>
      <w:r>
        <w:rPr>
          <w:spacing w:val="-4"/>
        </w:rPr>
        <w:t>本集团的目标是运用银行借款、短期融资券、长期债券和票据贴现等多种融资手段以保持融资的持续性与灵活性的平衡。</w:t>
      </w:r>
      <w:r>
        <w:rPr/>
        <w:t> 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w:t>
      </w:r>
      <w:r>
        <w:rPr>
          <w:rFonts w:ascii="Times New Roman" w:hAnsi="Times New Roman" w:cs="Times New Roman" w:eastAsia="Times New Roman" w:hint="default"/>
        </w:rPr>
        <w:t>100%(2017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100%)</w:t>
      </w:r>
      <w:r>
        <w:rPr/>
        <w:t>的债务在不足</w:t>
      </w:r>
      <w:r>
        <w:rPr>
          <w:rFonts w:ascii="Times New Roman" w:hAnsi="Times New Roman" w:cs="Times New Roman" w:eastAsia="Times New Roman" w:hint="default"/>
        </w:rPr>
        <w:t>1</w:t>
      </w:r>
      <w:r>
        <w:rPr/>
        <w:t>年内到期。</w:t>
      </w:r>
    </w:p>
    <w:p>
      <w:pPr>
        <w:pStyle w:val="BodyText"/>
        <w:spacing w:line="235" w:lineRule="exact"/>
        <w:ind w:left="514" w:right="0"/>
        <w:jc w:val="left"/>
      </w:pPr>
      <w:r>
        <w:rPr/>
        <w:t>下表概括了金融负债按未折现的合同现金流量所作的到期期限分析：</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844"/>
        <w:gridCol w:w="1777"/>
        <w:gridCol w:w="1960"/>
        <w:gridCol w:w="1420"/>
        <w:gridCol w:w="1560"/>
      </w:tblGrid>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78"/>
                <w:sz w:val="18"/>
                <w:szCs w:val="18"/>
              </w:rPr>
              <w:t> </w:t>
            </w:r>
            <w:r>
              <w:rPr>
                <w:rFonts w:ascii="宋体" w:hAnsi="宋体" w:cs="宋体" w:eastAsia="宋体" w:hint="default"/>
                <w:sz w:val="18"/>
                <w:szCs w:val="18"/>
              </w:rPr>
              <w:t>别</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个月以上至</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486,099,615.00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622,158,709.00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1,108,258,324.00</w:t>
            </w: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2,341,314,057.00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2,341,314,057.00</w:t>
            </w:r>
          </w:p>
        </w:tc>
      </w:tr>
      <w:tr>
        <w:trPr>
          <w:trHeight w:val="34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94,627,445.00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263,234,599.00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357,862,044.00</w:t>
            </w:r>
          </w:p>
        </w:tc>
      </w:tr>
      <w:tr>
        <w:trPr>
          <w:trHeight w:val="348" w:hRule="exact"/>
        </w:trPr>
        <w:tc>
          <w:tcPr>
            <w:tcW w:w="1844" w:type="dxa"/>
            <w:tcBorders>
              <w:top w:val="single" w:sz="6" w:space="0" w:color="000000"/>
              <w:left w:val="single" w:sz="6" w:space="0" w:color="000000"/>
              <w:bottom w:val="single" w:sz="6" w:space="0" w:color="000000"/>
              <w:right w:val="single" w:sz="6" w:space="0" w:color="000000"/>
            </w:tcBorders>
          </w:tcPr>
          <w:p>
            <w:pPr/>
          </w:p>
        </w:tc>
        <w:tc>
          <w:tcPr>
            <w:tcW w:w="1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2,922,041,117.00</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885,393,308.00</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3,807,434,425.00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300" w:lineRule="auto" w:before="44"/>
        <w:ind w:left="514" w:right="5172"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）市场风险</w:t>
      </w:r>
      <w:r>
        <w:rPr>
          <w:rFonts w:ascii="宋体" w:hAnsi="宋体" w:cs="宋体" w:eastAsia="宋体" w:hint="default"/>
          <w:b/>
          <w:bCs/>
          <w:w w:val="99"/>
          <w:sz w:val="18"/>
          <w:szCs w:val="18"/>
        </w:rPr>
        <w:t> </w:t>
      </w:r>
      <w:r>
        <w:rPr>
          <w:rFonts w:ascii="宋体" w:hAnsi="宋体" w:cs="宋体" w:eastAsia="宋体" w:hint="default"/>
          <w:sz w:val="18"/>
          <w:szCs w:val="18"/>
        </w:rPr>
        <w:t>利率风险：本集团无以浮动利率计息的长期负债，故无利率风险。</w:t>
      </w:r>
    </w:p>
    <w:p>
      <w:pPr>
        <w:pStyle w:val="BodyText"/>
        <w:spacing w:line="240" w:lineRule="auto" w:before="31"/>
        <w:ind w:left="514" w:right="0"/>
        <w:jc w:val="left"/>
      </w:pPr>
      <w:r>
        <w:rPr/>
        <w:t>汇率风险：本集团主要业务均发生在中国境内，以人民币计价核算，因此管理层认为本集团无汇率风险。</w:t>
      </w:r>
    </w:p>
    <w:p>
      <w:pPr>
        <w:spacing w:line="240" w:lineRule="auto" w:before="0"/>
        <w:rPr>
          <w:rFonts w:ascii="宋体" w:hAnsi="宋体" w:cs="宋体" w:eastAsia="宋体" w:hint="default"/>
          <w:sz w:val="18"/>
          <w:szCs w:val="18"/>
        </w:rPr>
      </w:pPr>
    </w:p>
    <w:p>
      <w:pPr>
        <w:pStyle w:val="Heading5"/>
        <w:spacing w:line="240" w:lineRule="auto" w:before="153"/>
        <w:ind w:right="0"/>
        <w:jc w:val="left"/>
        <w:rPr>
          <w:b w:val="0"/>
          <w:bCs w:val="0"/>
        </w:rPr>
      </w:pPr>
      <w:r>
        <w:rPr>
          <w:rFonts w:ascii="Times New Roman" w:hAnsi="Times New Roman" w:cs="Times New Roman" w:eastAsia="Times New Roman" w:hint="default"/>
        </w:rPr>
        <w:t>4.</w:t>
      </w:r>
      <w:r>
        <w:rPr/>
        <w:t>资本管理</w:t>
      </w:r>
      <w:r>
        <w:rPr>
          <w:b w:val="0"/>
          <w:bCs w:val="0"/>
        </w:rPr>
      </w:r>
    </w:p>
    <w:p>
      <w:pPr>
        <w:pStyle w:val="BodyText"/>
        <w:spacing w:line="316" w:lineRule="auto" w:before="63"/>
        <w:ind w:right="1118" w:firstLine="360"/>
        <w:jc w:val="left"/>
      </w:pPr>
      <w:r>
        <w:rPr>
          <w:spacing w:val="-2"/>
        </w:rPr>
        <w:t>本集团资本管理的主要目标是确保本集团持续经营的能力，并保持健康的资本比率，以支持业务发展并使股东价值最大</w:t>
      </w:r>
      <w:r>
        <w:rPr/>
        <w:t> 化。</w:t>
      </w:r>
    </w:p>
    <w:p>
      <w:pPr>
        <w:pStyle w:val="BodyText"/>
        <w:spacing w:line="316" w:lineRule="auto" w:before="19"/>
        <w:ind w:right="0" w:firstLine="360"/>
        <w:jc w:val="left"/>
      </w:pPr>
      <w:r>
        <w:rPr>
          <w:spacing w:val="-2"/>
        </w:rPr>
        <w:t>本集团管理资本结构并根据经济形势以及相关资产的风险特征的变化对其进行调整。为维持或调整资本结构，本集团可</w:t>
      </w:r>
      <w:r>
        <w:rPr/>
        <w:t> </w:t>
      </w:r>
      <w:r>
        <w:rPr>
          <w:spacing w:val="-2"/>
        </w:rPr>
        <w:t>以调整对股东的利润分配、向股东归还资本或发行新股。本集团不受外部强制性资本要求约束。</w:t>
      </w:r>
      <w:r>
        <w:rPr>
          <w:rFonts w:ascii="Times New Roman" w:hAnsi="Times New Roman" w:cs="Times New Roman" w:eastAsia="Times New Roman" w:hint="default"/>
          <w:spacing w:val="-2"/>
        </w:rPr>
        <w:t>2018</w:t>
      </w:r>
      <w:r>
        <w:rPr>
          <w:spacing w:val="-2"/>
        </w:rPr>
        <w:t>年度月和</w:t>
      </w:r>
      <w:r>
        <w:rPr>
          <w:rFonts w:ascii="Times New Roman" w:hAnsi="Times New Roman" w:cs="Times New Roman" w:eastAsia="Times New Roman" w:hint="default"/>
          <w:spacing w:val="-2"/>
        </w:rPr>
        <w:t>2017</w:t>
      </w:r>
      <w:r>
        <w:rPr>
          <w:spacing w:val="-2"/>
        </w:rPr>
        <w:t>年度，资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本管理目标、政策或程序未发生变化。</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327"/>
      <w:bookmarkEnd w:id="327"/>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其他" w:id="328"/>
      <w:bookmarkEnd w:id="328"/>
      <w:r>
        <w:rPr>
          <w:b w:val="0"/>
          <w:bCs w:val="0"/>
        </w:rPr>
      </w: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货币资金、应收票据、应收账款、其他应收款和短期借款、一年内到期的应付长期债券、应付票据、应付账款、其他应付款</w:t>
      </w:r>
      <w:r>
        <w:rPr>
          <w:spacing w:val="-72"/>
        </w:rPr>
        <w:t> </w:t>
      </w:r>
      <w:r>
        <w:rPr>
          <w:spacing w:val="-72"/>
        </w:rPr>
      </w:r>
      <w:r>
        <w:rPr/>
        <w:t>等，因剩余期限不长，公允价值与账面价值相若。</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19" w:lineRule="auto"/>
        <w:ind w:right="0"/>
        <w:jc w:val="left"/>
      </w:pPr>
      <w:r>
        <w:rPr>
          <w:spacing w:val="-2"/>
        </w:rPr>
        <w:t>长期应收款和应付长期债券，采用未来现金流量折现法确定公允价值，以合同条款和特征在实质上相同的其他金融工具的市</w:t>
      </w:r>
      <w:r>
        <w:rPr>
          <w:spacing w:val="-64"/>
        </w:rPr>
        <w:t> </w:t>
      </w:r>
      <w:r>
        <w:rPr>
          <w:spacing w:val="-64"/>
        </w:rPr>
      </w:r>
      <w:r>
        <w:rPr/>
        <w:t>场收益率作为折现率，公允价值与账面价值相若。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十二、关联方及关联交易" w:id="329"/>
      <w:bookmarkEnd w:id="329"/>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30"/>
      <w:bookmarkEnd w:id="330"/>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34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实业投资、投资管 </w:t>
            </w:r>
            <w:r>
              <w:rPr>
                <w:rFonts w:ascii="宋体" w:hAnsi="宋体" w:cs="宋体" w:eastAsia="宋体" w:hint="default"/>
                <w:spacing w:val="-10"/>
                <w:sz w:val="18"/>
                <w:szCs w:val="18"/>
              </w:rPr>
              <w:t>理、企业管理、咨询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投资、信息咨询企业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策划、景观设计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335,285,714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50.65%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50.65%</w:t>
            </w:r>
          </w:p>
        </w:tc>
      </w:tr>
    </w:tbl>
    <w:p>
      <w:pPr>
        <w:pStyle w:val="BodyText"/>
        <w:spacing w:line="357" w:lineRule="auto" w:before="51"/>
        <w:ind w:right="5742"/>
        <w:jc w:val="left"/>
      </w:pPr>
      <w:r>
        <w:rPr/>
        <w:t>本企业的母公司情况的说明 周成建先生持有华服投资</w:t>
      </w:r>
      <w:r>
        <w:rPr>
          <w:rFonts w:ascii="Times New Roman" w:hAnsi="Times New Roman" w:cs="Times New Roman" w:eastAsia="Times New Roman" w:hint="default"/>
        </w:rPr>
        <w:t>70%</w:t>
      </w:r>
      <w:r>
        <w:rPr/>
        <w:t>的股权，是本公司的实际控制人。</w:t>
      </w:r>
    </w:p>
    <w:p>
      <w:pPr>
        <w:spacing w:line="240" w:lineRule="auto" w:before="4"/>
        <w:rPr>
          <w:rFonts w:ascii="宋体" w:hAnsi="宋体" w:cs="宋体" w:eastAsia="宋体" w:hint="default"/>
          <w:sz w:val="24"/>
          <w:szCs w:val="24"/>
        </w:rPr>
      </w:pPr>
    </w:p>
    <w:p>
      <w:pPr>
        <w:pStyle w:val="BodyText"/>
        <w:spacing w:line="360" w:lineRule="auto"/>
        <w:ind w:right="8412"/>
        <w:jc w:val="left"/>
      </w:pPr>
      <w:r>
        <w:rPr/>
        <w:t>本企业最终控制方是周成建。 其他说明：</w:t>
      </w:r>
    </w:p>
    <w:p>
      <w:pPr>
        <w:pStyle w:val="BodyText"/>
        <w:spacing w:line="240" w:lineRule="auto" w:before="25"/>
        <w:ind w:right="0"/>
        <w:jc w:val="left"/>
      </w:pPr>
      <w:r>
        <w:rPr/>
        <w:t>无</w:t>
      </w:r>
    </w:p>
    <w:p>
      <w:pPr>
        <w:spacing w:line="240" w:lineRule="auto" w:before="12"/>
        <w:rPr>
          <w:rFonts w:ascii="宋体" w:hAnsi="宋体" w:cs="宋体" w:eastAsia="宋体" w:hint="default"/>
          <w:sz w:val="26"/>
          <w:szCs w:val="26"/>
        </w:rPr>
      </w:pPr>
    </w:p>
    <w:p>
      <w:pPr>
        <w:spacing w:line="547" w:lineRule="auto" w:before="0"/>
        <w:ind w:left="154" w:right="6792" w:firstLine="0"/>
        <w:jc w:val="left"/>
        <w:rPr>
          <w:rFonts w:ascii="宋体" w:hAnsi="宋体" w:cs="宋体" w:eastAsia="宋体" w:hint="default"/>
          <w:sz w:val="21"/>
          <w:szCs w:val="21"/>
        </w:rPr>
      </w:pPr>
      <w:bookmarkStart w:name="2、本企业的子公司情况" w:id="331"/>
      <w:bookmarkEnd w:id="33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32"/>
      <w:bookmarkEnd w:id="332"/>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2"/>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2"/>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其他关联方情况" w:id="333"/>
      <w:bookmarkEnd w:id="33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美特斯邦威集团有限公司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「美邦集团」</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上海祺格实业有限公司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上海康桥实业发展</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「康桥实业」</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本公司母公司的联营公司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上海美特斯邦威企业发展有限公司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「上海企发」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本公司母公司的联营公司控制的公司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沈阳邦送物流有限公司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「沈阳邦送」</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本公司母公司的联营公司控制的公司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周献妹</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本公司最终控股股东的姐姐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周建花</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黄岑期</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本公司最终控股股东的妹夫</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胡佳佳</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本公司最终控股股东的女儿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本集团的关键高级管理人员</w:t>
            </w:r>
          </w:p>
        </w:tc>
      </w:tr>
    </w:tbl>
    <w:p>
      <w:pPr>
        <w:pStyle w:val="BodyText"/>
        <w:spacing w:line="240" w:lineRule="auto" w:before="51"/>
        <w:ind w:right="0"/>
        <w:jc w:val="left"/>
      </w:pPr>
      <w:r>
        <w:rPr/>
        <w:t>其他说明</w:t>
      </w:r>
    </w:p>
    <w:p>
      <w:pPr>
        <w:pStyle w:val="BodyText"/>
        <w:spacing w:line="319" w:lineRule="auto" w:before="116"/>
        <w:ind w:right="2872"/>
        <w:jc w:val="left"/>
      </w:pPr>
      <w:r>
        <w:rPr/>
        <w:t>注</w:t>
      </w:r>
      <w:r>
        <w:rPr>
          <w:rFonts w:ascii="Times New Roman" w:hAnsi="Times New Roman" w:cs="Times New Roman" w:eastAsia="Times New Roman" w:hint="default"/>
        </w:rPr>
        <w:t>1:2018</w:t>
      </w:r>
      <w:r>
        <w:rPr/>
        <w:t>年</w:t>
      </w:r>
      <w:r>
        <w:rPr>
          <w:rFonts w:ascii="Times New Roman" w:hAnsi="Times New Roman" w:cs="Times New Roman" w:eastAsia="Times New Roman" w:hint="default"/>
        </w:rPr>
        <w:t>11</w:t>
      </w:r>
      <w:r>
        <w:rPr/>
        <w:t>月华服投资处置了康桥实业，康桥实业及其子公司上海企发自处置日起不再是关联方。 注</w:t>
      </w:r>
      <w:r>
        <w:rPr>
          <w:rFonts w:ascii="Times New Roman" w:hAnsi="Times New Roman" w:cs="Times New Roman" w:eastAsia="Times New Roman" w:hint="default"/>
        </w:rPr>
        <w:t>2:2017</w:t>
      </w:r>
      <w:r>
        <w:rPr/>
        <w:t>年</w:t>
      </w:r>
      <w:r>
        <w:rPr>
          <w:rFonts w:ascii="Times New Roman" w:hAnsi="Times New Roman" w:cs="Times New Roman" w:eastAsia="Times New Roman" w:hint="default"/>
        </w:rPr>
        <w:t>12</w:t>
      </w:r>
      <w:r>
        <w:rPr/>
        <w:t>月康桥实业处置了沈阳邦送，沈阳邦送自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日起不再是关联方。 注</w:t>
      </w:r>
      <w:r>
        <w:rPr>
          <w:rFonts w:ascii="Times New Roman" w:hAnsi="Times New Roman" w:cs="Times New Roman" w:eastAsia="Times New Roman" w:hint="default"/>
        </w:rPr>
        <w:t>3</w:t>
      </w:r>
      <w:r>
        <w:rPr/>
        <w:t>：周献妹，周建花与黄岑期系本集团加盟商。</w:t>
      </w:r>
    </w:p>
    <w:p>
      <w:pPr>
        <w:pStyle w:val="BodyText"/>
        <w:spacing w:line="240" w:lineRule="auto" w:before="38"/>
        <w:ind w:right="0"/>
        <w:jc w:val="left"/>
      </w:pPr>
      <w:r>
        <w:rPr/>
        <w:t>注</w:t>
      </w:r>
      <w:r>
        <w:rPr>
          <w:rFonts w:ascii="Times New Roman" w:hAnsi="Times New Roman" w:cs="Times New Roman" w:eastAsia="Times New Roman" w:hint="default"/>
        </w:rPr>
        <w:t>4</w:t>
      </w:r>
      <w:r>
        <w:rPr/>
        <w:t>：胡佳佳系持有本公司</w:t>
      </w:r>
      <w:r>
        <w:rPr>
          <w:rFonts w:ascii="Times New Roman" w:hAnsi="Times New Roman" w:cs="Times New Roman" w:eastAsia="Times New Roman" w:hint="default"/>
        </w:rPr>
        <w:t>5%</w:t>
      </w:r>
      <w:r>
        <w:rPr/>
        <w:t>以上表决权股份的股东及本公司的董事长。</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关联交易情况" w:id="334"/>
      <w:bookmarkEnd w:id="33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35"/>
      <w:bookmarkEnd w:id="33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46,813,840.00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50,346,049.00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12,009,401.00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17,515,250.00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7,798,555.00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9,067,105.00</w:t>
            </w:r>
          </w:p>
        </w:tc>
      </w:tr>
    </w:tbl>
    <w:p>
      <w:pPr>
        <w:pStyle w:val="BodyText"/>
        <w:spacing w:line="240" w:lineRule="auto" w:before="51"/>
        <w:ind w:right="0"/>
        <w:jc w:val="left"/>
      </w:pPr>
      <w:r>
        <w:rPr/>
        <w:t>购销商品、提供和接受劳务的关联交易说明</w:t>
      </w:r>
    </w:p>
    <w:p>
      <w:pPr>
        <w:pStyle w:val="BodyText"/>
        <w:spacing w:line="300" w:lineRule="auto" w:before="116"/>
        <w:ind w:right="0"/>
        <w:jc w:val="left"/>
      </w:pPr>
      <w:r>
        <w:rPr>
          <w:spacing w:val="-1"/>
        </w:rPr>
        <w:t>本年度，本集团向关联方黄岑期、周献妹及周建花销售服装人民币</w:t>
      </w:r>
      <w:r>
        <w:rPr>
          <w:rFonts w:ascii="Times New Roman" w:hAnsi="Times New Roman" w:cs="Times New Roman" w:eastAsia="Times New Roman" w:hint="default"/>
          <w:spacing w:val="-1"/>
        </w:rPr>
        <w:t>65,435,983</w:t>
      </w:r>
      <w:r>
        <w:rPr>
          <w:spacing w:val="-1"/>
        </w:rPr>
        <w:t>元</w:t>
      </w:r>
      <w:r>
        <w:rPr>
          <w:rFonts w:ascii="Times New Roman" w:hAnsi="Times New Roman" w:cs="Times New Roman" w:eastAsia="Times New Roman" w:hint="default"/>
          <w:spacing w:val="-1"/>
        </w:rPr>
        <w:t>(2017</w:t>
      </w:r>
      <w:r>
        <w:rPr>
          <w:spacing w:val="-1"/>
        </w:rPr>
        <w:t>年：人民币</w:t>
      </w:r>
      <w:r>
        <w:rPr>
          <w:rFonts w:ascii="Times New Roman" w:hAnsi="Times New Roman" w:cs="Times New Roman" w:eastAsia="Times New Roman" w:hint="default"/>
          <w:spacing w:val="-1"/>
        </w:rPr>
        <w:t>74,403,881</w:t>
      </w:r>
      <w:r>
        <w:rPr>
          <w:spacing w:val="-1"/>
        </w:rPr>
        <w:t>元</w:t>
      </w:r>
      <w:r>
        <w:rPr>
          <w:rFonts w:ascii="Times New Roman" w:hAnsi="Times New Roman" w:cs="Times New Roman" w:eastAsia="Times New Roman" w:hint="default"/>
          <w:spacing w:val="-1"/>
        </w:rPr>
        <w:t>)</w:t>
      </w:r>
      <w:r>
        <w:rPr>
          <w:spacing w:val="-1"/>
        </w:rPr>
        <w:t>及销售辅料人</w:t>
      </w:r>
      <w:r>
        <w:rPr>
          <w:spacing w:val="-53"/>
        </w:rPr>
        <w:t> </w:t>
      </w:r>
      <w:r>
        <w:rPr>
          <w:spacing w:val="-53"/>
        </w:rPr>
      </w:r>
      <w:r>
        <w:rPr/>
        <w:t>民币</w:t>
      </w:r>
      <w:r>
        <w:rPr>
          <w:rFonts w:ascii="Times New Roman" w:hAnsi="Times New Roman" w:cs="Times New Roman" w:eastAsia="Times New Roman" w:hint="default"/>
        </w:rPr>
        <w:t>1,185,813</w:t>
      </w:r>
      <w:r>
        <w:rPr/>
        <w:t>元</w:t>
      </w:r>
      <w:r>
        <w:rPr>
          <w:rFonts w:ascii="Times New Roman" w:hAnsi="Times New Roman" w:cs="Times New Roman" w:eastAsia="Times New Roman" w:hint="default"/>
        </w:rPr>
        <w:t>(2017</w:t>
      </w:r>
      <w:r>
        <w:rPr/>
        <w:t>年：人民币</w:t>
      </w:r>
      <w:r>
        <w:rPr>
          <w:rFonts w:ascii="Times New Roman" w:hAnsi="Times New Roman" w:cs="Times New Roman" w:eastAsia="Times New Roman" w:hint="default"/>
        </w:rPr>
        <w:t>2,524,523</w:t>
      </w:r>
      <w:r>
        <w:rPr/>
        <w:t>元</w:t>
      </w:r>
      <w:r>
        <w:rPr>
          <w:rFonts w:ascii="Times New Roman" w:hAnsi="Times New Roman" w:cs="Times New Roman" w:eastAsia="Times New Roman" w:hint="default"/>
        </w:rPr>
        <w:t>)</w:t>
      </w:r>
      <w:r>
        <w:rPr/>
        <w:t>。上述销售价格与本集团销售给第三方加盟商的价格制定基础一致。</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关联受托管理/承包及委托管理/出包情况" w:id="336"/>
      <w:bookmarkEnd w:id="33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7822"/>
        <w:jc w:val="left"/>
      </w:pPr>
      <w:r>
        <w:rPr/>
        <w:t>关联托管</w:t>
      </w:r>
      <w:r>
        <w:rPr>
          <w:rFonts w:ascii="Times New Roman" w:hAnsi="Times New Roman" w:cs="Times New Roman" w:eastAsia="Times New Roman" w:hint="default"/>
        </w:rPr>
        <w:t>/</w:t>
      </w:r>
      <w:r>
        <w:rPr/>
        <w:t>承包情况说明 报告期内不存在关联托管</w:t>
      </w:r>
      <w:r>
        <w:rPr>
          <w:rFonts w:ascii="Times New Roman" w:hAnsi="Times New Roman" w:cs="Times New Roman" w:eastAsia="Times New Roman" w:hint="default"/>
        </w:rPr>
        <w:t>/</w:t>
      </w:r>
      <w:r>
        <w:rPr/>
        <w:t>承包情况。</w:t>
      </w:r>
    </w:p>
    <w:p>
      <w:pPr>
        <w:spacing w:line="240" w:lineRule="auto" w:before="2"/>
        <w:rPr>
          <w:rFonts w:ascii="宋体" w:hAnsi="宋体" w:cs="宋体" w:eastAsia="宋体" w:hint="default"/>
          <w:sz w:val="22"/>
          <w:szCs w:val="22"/>
        </w:rPr>
      </w:pPr>
    </w:p>
    <w:p>
      <w:pPr>
        <w:pStyle w:val="BodyText"/>
        <w:spacing w:line="240" w:lineRule="auto" w:before="44"/>
        <w:ind w:right="0"/>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7822"/>
        <w:jc w:val="left"/>
      </w:pPr>
      <w:r>
        <w:rPr/>
        <w:t>关联管理</w:t>
      </w:r>
      <w:r>
        <w:rPr>
          <w:rFonts w:ascii="Times New Roman" w:hAnsi="Times New Roman" w:cs="Times New Roman" w:eastAsia="Times New Roman" w:hint="default"/>
        </w:rPr>
        <w:t>/</w:t>
      </w:r>
      <w:r>
        <w:rPr/>
        <w:t>出包情况说明 报告期内不存在委托关联</w:t>
      </w:r>
      <w:r>
        <w:rPr>
          <w:rFonts w:ascii="Times New Roman" w:hAnsi="Times New Roman" w:cs="Times New Roman" w:eastAsia="Times New Roman" w:hint="default"/>
        </w:rPr>
        <w:t>/</w:t>
      </w:r>
      <w:r>
        <w:rPr/>
        <w:t>出包情况。</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337"/>
      <w:bookmarkEnd w:id="33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13,625,277.00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沈阳邦送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11,071,620.00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68,319,094.00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65,717,232.00</w:t>
            </w:r>
          </w:p>
        </w:tc>
      </w:tr>
    </w:tbl>
    <w:p>
      <w:pPr>
        <w:pStyle w:val="BodyText"/>
        <w:spacing w:line="338" w:lineRule="auto" w:before="51"/>
        <w:ind w:right="1092"/>
        <w:jc w:val="left"/>
      </w:pPr>
      <w:r>
        <w:rPr/>
        <w:t>关联租赁情况说明 </w:t>
      </w:r>
      <w:r>
        <w:rPr>
          <w:spacing w:val="-2"/>
        </w:rPr>
        <w:t>本年度，本公司向上海企发租入一处房产，本集团向美邦集团租入五处房产以及本集团向上海企发租入一处房产，根据租赁</w:t>
      </w:r>
      <w:r>
        <w:rPr>
          <w:spacing w:val="-66"/>
        </w:rPr>
        <w:t> </w:t>
      </w:r>
      <w:r>
        <w:rPr>
          <w:spacing w:val="-66"/>
        </w:rPr>
      </w:r>
      <w:r>
        <w:rPr/>
        <w:t>合同发生租赁费用人民币</w:t>
      </w:r>
      <w:r>
        <w:rPr>
          <w:rFonts w:ascii="Times New Roman" w:hAnsi="Times New Roman" w:cs="Times New Roman" w:eastAsia="Times New Roman" w:hint="default"/>
        </w:rPr>
        <w:t>82,049,094</w:t>
      </w:r>
      <w:r>
        <w:rPr/>
        <w:t>元</w:t>
      </w:r>
      <w:r>
        <w:rPr>
          <w:rFonts w:ascii="Times New Roman" w:hAnsi="Times New Roman" w:cs="Times New Roman" w:eastAsia="Times New Roman" w:hint="default"/>
        </w:rPr>
        <w:t>(2017</w:t>
      </w:r>
      <w:r>
        <w:rPr/>
        <w:t>年：人民币</w:t>
      </w:r>
      <w:r>
        <w:rPr>
          <w:rFonts w:ascii="Times New Roman" w:hAnsi="Times New Roman" w:cs="Times New Roman" w:eastAsia="Times New Roman" w:hint="default"/>
        </w:rPr>
        <w:t>90,414,129</w:t>
      </w:r>
      <w:r>
        <w:rPr/>
        <w:t>元</w:t>
      </w:r>
      <w:r>
        <w:rPr>
          <w:rFonts w:ascii="Times New Roman" w:hAnsi="Times New Roman" w:cs="Times New Roman" w:eastAsia="Times New Roman" w:hint="default"/>
        </w:rPr>
        <w:t>)</w:t>
      </w:r>
      <w:r>
        <w:rPr/>
        <w:t>。上述租赁价格由双方参考市场价格商谈及协商决定。</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bookmarkStart w:name="（4）关联担保情况" w:id="338"/>
      <w:bookmarkEnd w:id="33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本公司作为担保方</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312"/>
        <w:jc w:val="left"/>
      </w:pPr>
      <w:r>
        <w:rPr/>
        <w:t>关联担保情况说明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关联方资金拆借" w:id="339"/>
      <w:bookmarkEnd w:id="33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340"/>
      <w:bookmarkEnd w:id="34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341"/>
      <w:bookmarkEnd w:id="34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9,153,979.00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9,828,845.00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342"/>
      <w:bookmarkEnd w:id="34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8"/>
        <w:jc w:val="left"/>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日，本公司在联营企业华瑞银行办理存款业务形成的货币资金余额为</w:t>
      </w:r>
      <w:r>
        <w:rPr>
          <w:rFonts w:ascii="Times New Roman" w:hAnsi="Times New Roman" w:cs="Times New Roman" w:eastAsia="Times New Roman" w:hint="default"/>
          <w:spacing w:val="-1"/>
        </w:rPr>
        <w:t>48,002.00</w:t>
      </w:r>
      <w:r>
        <w:rPr>
          <w:spacing w:val="-1"/>
        </w:rPr>
        <w:t>元，本年度共收取利息</w:t>
      </w:r>
      <w:r>
        <w:rPr>
          <w:rFonts w:ascii="Times New Roman" w:hAnsi="Times New Roman" w:cs="Times New Roman" w:eastAsia="Times New Roman" w:hint="default"/>
          <w:spacing w:val="-1"/>
        </w:rPr>
        <w:t>168.00</w:t>
      </w:r>
      <w:r>
        <w:rPr>
          <w:rFonts w:ascii="Times New Roman" w:hAnsi="Times New Roman" w:cs="Times New Roman" w:eastAsia="Times New Roman" w:hint="default"/>
          <w:spacing w:val="-17"/>
        </w:rPr>
        <w:t> </w:t>
      </w:r>
      <w:r>
        <w:rPr/>
        <w:t>元。</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关联方应收应付款项" w:id="343"/>
      <w:bookmarkEnd w:id="34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44"/>
      <w:bookmarkEnd w:id="34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6,884,842.00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10,133,174.00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37,784,309.00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26,905,040.00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3,914,845.00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3,034,584.00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345"/>
      <w:bookmarkEnd w:id="34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776,861.00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864,054.00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346"/>
      <w:bookmarkEnd w:id="34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347"/>
      <w:bookmarkEnd w:id="34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348"/>
      <w:bookmarkEnd w:id="348"/>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349"/>
      <w:bookmarkEnd w:id="34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350"/>
      <w:bookmarkEnd w:id="35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351"/>
      <w:bookmarkEnd w:id="35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52"/>
      <w:bookmarkEnd w:id="35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24"/>
        <w:ind w:right="0"/>
        <w:jc w:val="left"/>
        <w:rPr>
          <w:b w:val="0"/>
          <w:bCs w:val="0"/>
        </w:rPr>
      </w:pPr>
      <w:bookmarkStart w:name="5、其他" w:id="353"/>
      <w:bookmarkEnd w:id="353"/>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四、承诺及或有事项" w:id="354"/>
      <w:bookmarkEnd w:id="354"/>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55"/>
      <w:bookmarkEnd w:id="35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资产负债表日存在的重要承诺</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right="-20"/>
        <w:jc w:val="left"/>
      </w:pPr>
      <w:r>
        <w:rPr/>
        <w:t>资本承诺</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2929" w:val="left" w:leader="none"/>
        </w:tabs>
        <w:spacing w:line="240" w:lineRule="auto" w:before="159"/>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spacing w:val="-20"/>
        </w:rPr>
        <w:t> </w:t>
      </w:r>
      <w:r>
        <w:rPr>
          <w:rFonts w:ascii="Times New Roman" w:hAnsi="Times New Roman" w:cs="Times New Roman" w:eastAsia="Times New Roman" w:hint="default"/>
        </w:rPr>
        <w:t>31</w:t>
      </w:r>
      <w:r>
        <w:rPr/>
        <w:t>日</w:t>
        <w:tab/>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240" w:lineRule="auto"/>
        <w:jc w:val="left"/>
        <w:sectPr>
          <w:type w:val="continuous"/>
          <w:pgSz w:w="11910" w:h="16840"/>
          <w:pgMar w:top="1060" w:bottom="1160" w:left="980" w:right="0"/>
          <w:cols w:num="2" w:equalWidth="0">
            <w:col w:w="2495" w:space="176"/>
            <w:col w:w="8259"/>
          </w:cols>
        </w:sectPr>
      </w:pPr>
    </w:p>
    <w:p>
      <w:pPr>
        <w:pStyle w:val="BodyText"/>
        <w:tabs>
          <w:tab w:pos="3003" w:val="left" w:leader="none"/>
          <w:tab w:pos="5162" w:val="left" w:leader="none"/>
        </w:tabs>
        <w:spacing w:line="240" w:lineRule="auto" w:before="76"/>
        <w:ind w:left="516" w:right="0"/>
        <w:jc w:val="left"/>
        <w:rPr>
          <w:rFonts w:ascii="Times New Roman" w:hAnsi="Times New Roman" w:cs="Times New Roman" w:eastAsia="Times New Roman" w:hint="default"/>
        </w:rPr>
      </w:pPr>
      <w:r>
        <w:rPr>
          <w:spacing w:val="-1"/>
        </w:rPr>
        <w:t>已签约但未拨付</w:t>
        <w:tab/>
      </w:r>
      <w:r>
        <w:rPr>
          <w:rFonts w:ascii="Times New Roman" w:hAnsi="Times New Roman" w:cs="Times New Roman" w:eastAsia="Times New Roman" w:hint="default"/>
          <w:spacing w:val="-1"/>
        </w:rPr>
        <w:t>5,738,297</w:t>
        <w:tab/>
        <w:t>7,515,939.00</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pStyle w:val="Heading4"/>
        <w:spacing w:line="240" w:lineRule="auto"/>
        <w:ind w:right="0"/>
        <w:jc w:val="left"/>
        <w:rPr>
          <w:b w:val="0"/>
          <w:bCs w:val="0"/>
        </w:rPr>
      </w:pPr>
      <w:bookmarkStart w:name="2、或有事项" w:id="356"/>
      <w:bookmarkEnd w:id="35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57"/>
      <w:bookmarkEnd w:id="35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截至资产负债表日，本集团并无需作披露的或有事项。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公司没有需要披露的重要或有事项，也应予以说明" w:id="358"/>
      <w:bookmarkEnd w:id="35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359"/>
      <w:bookmarkEnd w:id="35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360"/>
      <w:bookmarkEnd w:id="36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361"/>
      <w:bookmarkEnd w:id="36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销售退回" w:id="362"/>
      <w:bookmarkEnd w:id="362"/>
      <w:r>
        <w:rPr>
          <w:b w:val="0"/>
          <w:bCs w:val="0"/>
        </w:rPr>
      </w:r>
      <w:r>
        <w:rPr>
          <w:rFonts w:ascii="Times New Roman" w:hAnsi="Times New Roman" w:cs="Times New Roman" w:eastAsia="Times New Roman" w:hint="default"/>
        </w:rPr>
        <w:t>2</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其他资产负债表日后事项说明" w:id="363"/>
      <w:bookmarkEnd w:id="363"/>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其他重要事项" w:id="364"/>
      <w:bookmarkEnd w:id="364"/>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365"/>
      <w:bookmarkEnd w:id="36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366"/>
      <w:bookmarkEnd w:id="366"/>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367"/>
      <w:bookmarkEnd w:id="367"/>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368"/>
      <w:bookmarkEnd w:id="36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年金计划" w:id="369"/>
      <w:bookmarkEnd w:id="369"/>
      <w:r>
        <w:rPr>
          <w:b w:val="0"/>
          <w:bCs w:val="0"/>
        </w:rPr>
      </w:r>
      <w:r>
        <w:rPr>
          <w:rFonts w:ascii="Times New Roman" w:hAnsi="Times New Roman" w:cs="Times New Roman" w:eastAsia="Times New Roman" w:hint="default"/>
        </w:rPr>
        <w:t>3</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分部信息" w:id="370"/>
      <w:bookmarkEnd w:id="370"/>
      <w:r>
        <w:rPr>
          <w:b w:val="0"/>
          <w:bCs w:val="0"/>
        </w:rPr>
      </w:r>
      <w:r>
        <w:rPr>
          <w:rFonts w:ascii="Times New Roman" w:hAnsi="Times New Roman" w:cs="Times New Roman" w:eastAsia="Times New Roman" w:hint="default"/>
        </w:rPr>
        <w:t>4</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371"/>
      <w:bookmarkEnd w:id="37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jc w:val="left"/>
      </w:pPr>
      <w:r>
        <w:rPr/>
        <w:t>经营分部 </w:t>
      </w:r>
      <w:r>
        <w:rPr>
          <w:spacing w:val="-2"/>
        </w:rPr>
        <w:t>本集团的经营业务根据业务的性质以及所提供的产品和劳务的方式分开组织和管理。本集团的每个业务分部提供面临不同于</w:t>
      </w:r>
      <w:r>
        <w:rPr>
          <w:spacing w:val="-64"/>
        </w:rPr>
        <w:t> </w:t>
      </w:r>
      <w:r>
        <w:rPr>
          <w:spacing w:val="-64"/>
        </w:rPr>
      </w:r>
      <w:r>
        <w:rPr/>
        <w:t>其他业务分部的风险并取得不同于其他业务分部的报酬的产品和服务。以下是对业务分部详细信息的概括： </w:t>
      </w:r>
      <w:r>
        <w:rPr>
          <w:rFonts w:ascii="Times New Roman" w:hAnsi="Times New Roman" w:cs="Times New Roman" w:eastAsia="Times New Roman" w:hint="default"/>
        </w:rPr>
        <w:t>a)</w:t>
      </w:r>
      <w:r>
        <w:rPr/>
        <w:t>批发业务为主要向加盟商销售服饰产品；</w:t>
      </w:r>
    </w:p>
    <w:p>
      <w:pPr>
        <w:pStyle w:val="BodyText"/>
        <w:spacing w:line="300" w:lineRule="auto"/>
        <w:ind w:right="5742"/>
        <w:jc w:val="left"/>
      </w:pPr>
      <w:r>
        <w:rPr>
          <w:rFonts w:ascii="Times New Roman" w:hAnsi="Times New Roman" w:cs="Times New Roman" w:eastAsia="Times New Roman" w:hint="default"/>
        </w:rPr>
        <w:t>b)</w:t>
      </w:r>
      <w:r>
        <w:rPr/>
        <w:t>零售业务为主要通过直营店、专柜和电商平台销售服饰产品。</w:t>
      </w:r>
      <w:r>
        <w:rPr>
          <w:w w:val="99"/>
        </w:rPr>
        <w:t> </w:t>
      </w:r>
      <w:r>
        <w:rPr/>
        <w:t>分部间交易的价格为成本加成。</w:t>
      </w:r>
    </w:p>
    <w:p>
      <w:pPr>
        <w:pStyle w:val="BodyText"/>
        <w:spacing w:line="316" w:lineRule="auto" w:before="72"/>
        <w:ind w:right="1132"/>
        <w:jc w:val="both"/>
      </w:pPr>
      <w:r>
        <w:rPr>
          <w:spacing w:val="-2"/>
        </w:rPr>
        <w:t>零售业务系直营渠道的销售交易；批发业务系除直营渠道外的销售交易，包括加盟渠道及集团合并范围内公司之间的销售交</w:t>
      </w:r>
      <w:r>
        <w:rPr>
          <w:spacing w:val="-64"/>
        </w:rPr>
        <w:t> </w:t>
      </w:r>
      <w:r>
        <w:rPr>
          <w:spacing w:val="-64"/>
        </w:rPr>
      </w:r>
      <w:r>
        <w:rPr>
          <w:spacing w:val="-2"/>
        </w:rPr>
        <w:t>易，其中合并范围内各公司间的销售交易、资产及负债已全额抵消。销售费用与管理费用扣除直接归属于直营渠道的费用后</w:t>
      </w:r>
      <w:r>
        <w:rPr>
          <w:spacing w:val="-66"/>
        </w:rPr>
        <w:t> </w:t>
      </w:r>
      <w:r>
        <w:rPr>
          <w:spacing w:val="-66"/>
        </w:rPr>
      </w:r>
      <w:r>
        <w:rPr/>
        <w:t>余额按收入比重在分部间分配，财务费用、营业外收支等不进行分配。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4"/>
        <w:spacing w:line="240" w:lineRule="auto"/>
        <w:ind w:right="0"/>
        <w:jc w:val="left"/>
        <w:rPr>
          <w:b w:val="0"/>
          <w:bCs w:val="0"/>
        </w:rPr>
      </w:pPr>
      <w:bookmarkStart w:name="（2）报告分部的财务信息" w:id="372"/>
      <w:bookmarkEnd w:id="37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6"/>
        <w:gridCol w:w="1903"/>
        <w:gridCol w:w="1925"/>
        <w:gridCol w:w="1903"/>
        <w:gridCol w:w="1903"/>
      </w:tblGrid>
      <w:tr>
        <w:trPr>
          <w:trHeight w:val="402" w:hRule="exact"/>
        </w:trPr>
        <w:tc>
          <w:tcPr>
            <w:tcW w:w="1926"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批发业务</w:t>
            </w:r>
          </w:p>
        </w:tc>
        <w:tc>
          <w:tcPr>
            <w:tcW w:w="1925"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零售业务</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3,011,101,536.00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4,608,179,513.00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58,088,001.00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7,677,369,050.00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经营成果</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分部利润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98,855,214.00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-57,469,292.00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13,402,692.00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54,788,614.00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其他披露</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113,485,587.00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173,677,954.00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287,163,541.00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106,456,566.00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162,920,766.00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269,377,332.00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123,691,006.00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189,296,293.00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312,987,299.00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373"/>
      <w:bookmarkEnd w:id="37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4）其他说明" w:id="374"/>
      <w:bookmarkEnd w:id="37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spacing w:line="487" w:lineRule="auto" w:before="0"/>
        <w:ind w:left="154" w:right="6792" w:firstLine="0"/>
        <w:jc w:val="left"/>
        <w:rPr>
          <w:rFonts w:ascii="宋体" w:hAnsi="宋体" w:cs="宋体" w:eastAsia="宋体" w:hint="default"/>
          <w:sz w:val="21"/>
          <w:szCs w:val="21"/>
        </w:rPr>
      </w:pPr>
      <w:bookmarkStart w:name="5、其他" w:id="375"/>
      <w:bookmarkEnd w:id="37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376"/>
      <w:bookmarkEnd w:id="37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4"/>
          <w:w w:val="95"/>
          <w:sz w:val="24"/>
          <w:szCs w:val="24"/>
        </w:rPr>
        <w:t> </w:t>
      </w:r>
      <w:r>
        <w:rPr>
          <w:rFonts w:ascii="宋体" w:hAnsi="宋体" w:cs="宋体" w:eastAsia="宋体" w:hint="default"/>
          <w:b/>
          <w:bCs/>
          <w:spacing w:val="64"/>
          <w:w w:val="95"/>
          <w:sz w:val="24"/>
          <w:szCs w:val="24"/>
        </w:rPr>
      </w:r>
      <w:bookmarkStart w:name="1、应收票据及应收账款" w:id="377"/>
      <w:bookmarkEnd w:id="377"/>
      <w:r>
        <w:rPr>
          <w:rFonts w:ascii="宋体" w:hAnsi="宋体" w:cs="宋体" w:eastAsia="宋体" w:hint="default"/>
          <w:b/>
          <w:bCs/>
          <w:spacing w:val="6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3,796,179,031.00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2,976,204,869.00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3,956,179,031.00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3,141,204,869.00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378"/>
      <w:bookmarkEnd w:id="37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收账款" w:id="379"/>
      <w:bookmarkEnd w:id="37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3,833,03</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9,452.00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36,860,4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3,796,179</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,031.00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18,257.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25,813,38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2,976,204,8</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69.00</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3,833,03</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9,452.00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36,860,4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21.00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3,796,179</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,031.00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18,257.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25,813,38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2,976,204,8</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69.00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期末单项金额重大并单项计提坏账准备的应收账款：</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39"/>
        <w:ind w:right="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日，单项金额虽不重大但单独计提坏账准备为人民币</w:t>
      </w:r>
      <w:r>
        <w:rPr>
          <w:rFonts w:ascii="Times New Roman" w:hAnsi="Times New Roman" w:cs="Times New Roman" w:eastAsia="Times New Roman" w:hint="default"/>
        </w:rPr>
        <w:t>36,860,421</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25,813,388</w:t>
      </w:r>
      <w:r>
        <w:rPr/>
        <w:t>元</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7" w:footer="979" w:top="1060" w:bottom="116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9"/>
        </w:rPr>
        <w:t> </w:t>
      </w:r>
      <w:r>
        <w:rPr>
          <w:rFonts w:ascii="Times New Roman" w:hAnsi="Times New Roman" w:cs="Times New Roman" w:eastAsia="Times New Roman" w:hint="default"/>
        </w:rPr>
        <w:t>11,047,033.00</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537" w:space="2293"/>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132"/>
        <w:jc w:val="left"/>
      </w:pPr>
      <w:r>
        <w:rPr/>
        <w:t>应收账款核销说明： 无</w:t>
      </w:r>
    </w:p>
    <w:p>
      <w:pPr>
        <w:pStyle w:val="BodyText"/>
        <w:spacing w:line="240" w:lineRule="auto" w:before="29"/>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1080"/>
        <w:gridCol w:w="1756"/>
        <w:gridCol w:w="1842"/>
        <w:gridCol w:w="1560"/>
        <w:gridCol w:w="1560"/>
      </w:tblGrid>
      <w:tr>
        <w:trPr>
          <w:trHeight w:val="341" w:hRule="exact"/>
        </w:trPr>
        <w:tc>
          <w:tcPr>
            <w:tcW w:w="1080" w:type="dxa"/>
            <w:vMerge w:val="restart"/>
            <w:tcBorders>
              <w:top w:val="nil" w:sz="6" w:space="0" w:color="auto"/>
              <w:left w:val="nil" w:sz="6" w:space="0" w:color="auto"/>
              <w:right w:val="single" w:sz="8" w:space="0" w:color="000000"/>
            </w:tcBorders>
            <w:shd w:val="clear" w:color="auto" w:fill="D2D2D2"/>
          </w:tcPr>
          <w:p>
            <w:pPr>
              <w:pStyle w:val="TableParagraph"/>
              <w:spacing w:line="240" w:lineRule="auto" w:before="20"/>
              <w:ind w:left="1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56"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1842"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20"/>
              <w:ind w:left="5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占应收账款期末</w:t>
            </w:r>
          </w:p>
        </w:tc>
        <w:tc>
          <w:tcPr>
            <w:tcW w:w="1560"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20"/>
              <w:ind w:left="4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2" w:hRule="exact"/>
        </w:trPr>
        <w:tc>
          <w:tcPr>
            <w:tcW w:w="1080" w:type="dxa"/>
            <w:vMerge/>
            <w:tcBorders>
              <w:left w:val="nil" w:sz="6" w:space="0" w:color="auto"/>
              <w:bottom w:val="single" w:sz="8" w:space="0" w:color="000000"/>
              <w:right w:val="single" w:sz="8" w:space="0" w:color="000000"/>
            </w:tcBorders>
            <w:shd w:val="clear" w:color="auto" w:fill="D2D2D2"/>
          </w:tcPr>
          <w:p>
            <w:pPr/>
          </w:p>
        </w:tc>
        <w:tc>
          <w:tcPr>
            <w:tcW w:w="1756" w:type="dxa"/>
            <w:vMerge/>
            <w:tcBorders>
              <w:left w:val="single" w:sz="8" w:space="0" w:color="000000"/>
              <w:bottom w:val="single" w:sz="8" w:space="0" w:color="000000"/>
              <w:right w:val="single" w:sz="8" w:space="0" w:color="000000"/>
            </w:tcBorders>
            <w:shd w:val="clear" w:color="auto" w:fill="D2D2D2"/>
          </w:tcPr>
          <w:p>
            <w:pPr/>
          </w:p>
        </w:tc>
        <w:tc>
          <w:tcPr>
            <w:tcW w:w="1842" w:type="dxa"/>
            <w:vMerge/>
            <w:tcBorders>
              <w:left w:val="single" w:sz="8" w:space="0" w:color="000000"/>
              <w:bottom w:val="single" w:sz="8" w:space="0" w:color="000000"/>
              <w:right w:val="single" w:sz="8" w:space="0" w:color="000000"/>
            </w:tcBorders>
            <w:shd w:val="clear" w:color="auto" w:fill="D2D2D2"/>
          </w:tcPr>
          <w:p>
            <w:pPr/>
          </w:p>
        </w:tc>
        <w:tc>
          <w:tcPr>
            <w:tcW w:w="156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sz w:val="18"/>
                <w:szCs w:val="18"/>
              </w:rPr>
              <w:t>余额的比例</w:t>
            </w:r>
          </w:p>
        </w:tc>
        <w:tc>
          <w:tcPr>
            <w:tcW w:w="1560" w:type="dxa"/>
            <w:vMerge/>
            <w:tcBorders>
              <w:left w:val="single" w:sz="8" w:space="0" w:color="000000"/>
              <w:bottom w:val="single" w:sz="8" w:space="0" w:color="000000"/>
              <w:right w:val="single" w:sz="8" w:space="0" w:color="000000"/>
            </w:tcBorders>
            <w:shd w:val="clear" w:color="auto" w:fill="D2D2D2"/>
          </w:tcPr>
          <w:p>
            <w:pPr/>
          </w:p>
        </w:tc>
      </w:tr>
      <w:tr>
        <w:trPr>
          <w:trHeight w:val="422"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307,788,216.00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8.00%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250,790,606.00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7.00%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0</w:t>
            </w:r>
          </w:p>
        </w:tc>
      </w:tr>
      <w:tr>
        <w:trPr>
          <w:trHeight w:val="421"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220,741,390.00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213,514,949.00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5.00%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1080"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pacing w:val="-1"/>
                <w:sz w:val="18"/>
              </w:rPr>
              <w:t>212,977,349.00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right"/>
              <w:rPr>
                <w:rFonts w:ascii="Times New Roman" w:hAnsi="Times New Roman" w:cs="Times New Roman" w:eastAsia="Times New Roman" w:hint="default"/>
                <w:sz w:val="18"/>
                <w:szCs w:val="18"/>
              </w:rPr>
            </w:pPr>
            <w:r>
              <w:rPr>
                <w:rFonts w:ascii="Times New Roman"/>
                <w:sz w:val="18"/>
              </w:rPr>
              <w:t>5.00%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1080" w:type="dxa"/>
            <w:tcBorders>
              <w:top w:val="single" w:sz="8" w:space="0" w:color="000000"/>
              <w:left w:val="nil" w:sz="6" w:space="0" w:color="auto"/>
              <w:bottom w:val="single" w:sz="8" w:space="0" w:color="000000"/>
              <w:right w:val="single" w:sz="8" w:space="0" w:color="000000"/>
            </w:tcBorders>
            <w:shd w:val="clear" w:color="auto" w:fill="D2D2D2"/>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1,205,812,510.00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31.00%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其他应收款" w:id="380"/>
      <w:bookmarkEnd w:id="38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758,053,575.00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582,885,505.00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758,053,575.00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582,885,505.00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其他应收款" w:id="381"/>
      <w:bookmarkEnd w:id="381"/>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383,361,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136.00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383,361,1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183,893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,269.00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183,893,26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9.00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386,752,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617.00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12,060,1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374,692,4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39.00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415,410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,579.00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16,418,34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398,992,23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6.00</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770,113,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753.00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12,060,1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78.00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758,053,5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75.00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599,303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,848.00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16,418,34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582,885,50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5.00</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779"/>
        <w:jc w:val="left"/>
      </w:pPr>
      <w:r>
        <w:rPr/>
        <w:t>期末单项金额重大并单项计提坏账准备的其他应收款：</w:t>
      </w:r>
    </w:p>
    <w:p>
      <w:pPr>
        <w:pStyle w:val="BodyText"/>
        <w:spacing w:line="340" w:lineRule="auto" w:before="116"/>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0"/>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3"/>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779"/>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2"/>
        <w:ind w:right="-14"/>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4,159,281.00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8"/>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240" w:lineRule="auto" w:before="10"/>
        <w:ind w:right="-20"/>
        <w:jc w:val="left"/>
      </w:pPr>
      <w:r>
        <w:rPr/>
        <w:t>无</w:t>
      </w:r>
    </w:p>
    <w:p>
      <w:pPr>
        <w:pStyle w:val="Heading3"/>
        <w:spacing w:line="240" w:lineRule="auto"/>
        <w:ind w:right="-20"/>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3715" w:space="511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198,884.00</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57" w:lineRule="auto" w:before="51"/>
        <w:ind w:right="850"/>
        <w:jc w:val="left"/>
      </w:pPr>
      <w:r>
        <w:rPr/>
        <w:t>其他应收款核销说明： 无</w:t>
      </w:r>
    </w:p>
    <w:p>
      <w:pPr>
        <w:pStyle w:val="BodyText"/>
        <w:spacing w:line="240" w:lineRule="auto" w:before="29"/>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704,976,760.00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526,557,325.00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10,614,504.00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14,759,974.00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4,503,760.00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7,752,357.00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18,729.00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234,192.00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770,113,753.00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599,303,848.00</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295,384,061.00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87,977,075.00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50,243,936.00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46,991,781.00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530,596,853.00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6"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长期股权投资" w:id="382"/>
      <w:bookmarkEnd w:id="38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731,750,718.00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731,750,718.00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729,700,718.00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729,700,718.00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557,811,744.00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557,811,744.00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509,489,278.00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509,489,278.00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1,289,562,462.00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1,289,562,462.00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1,239,189,996.00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1,239,189,996.00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383"/>
      <w:bookmarkEnd w:id="38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上海销售</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12,874,493.00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12,874,493.00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6,624,104.00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6,624,104.00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7,288,749.00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7,288,749.00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6,595,832.00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6,595,832.00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8,518,137.00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8,518,137.00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9,242,077.00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9,242,077.00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2,570,026.00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2,570,026.00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3,707,383.00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3,707,383.00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3,099,917.00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3,099,917.00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上海米安斯迪</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杭州美特斯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郑州美邦</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沈阳贸邦</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丹东市贸邦商贸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上海模共</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上海库升</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180,870,000.00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石家庄美邦</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太原美邦</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729,700,718.00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731,750,718.00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对联营、合营企业投资" w:id="384"/>
      <w:bookmarkEnd w:id="38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48,327,96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48,327,96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509,489,2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48,327,96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385"/>
      <w:bookmarkEnd w:id="38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营业收入和营业成本" w:id="386"/>
      <w:bookmarkEnd w:id="38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6,001,589,199.00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4,530,151,587.00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5,184,095,087.00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3,697,371,592.00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73,200,306.00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48,422,302.00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56,350,020.00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47,447,229.00</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6,074,789,505.00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4,578,573,889.00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5,240,445,107.00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3,744,818,821.00</w:t>
            </w:r>
          </w:p>
        </w:tc>
      </w:tr>
    </w:tbl>
    <w:p>
      <w:pPr>
        <w:pStyle w:val="BodyText"/>
        <w:spacing w:line="357" w:lineRule="auto" w:before="51"/>
        <w:ind w:right="9852"/>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投资收益" w:id="387"/>
      <w:bookmarkEnd w:id="38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48,327,961.00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38,654,940.00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48,327,961.00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38,654,940.00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其他" w:id="388"/>
      <w:bookmarkEnd w:id="388"/>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补充资料" w:id="389"/>
      <w:bookmarkEnd w:id="38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90"/>
      <w:bookmarkEnd w:id="39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33,106,419.00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4,159,281.00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-6,007,763.00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处置子公司产生投资收益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2,857,757.00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27,672,995.00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91"/>
      <w:bookmarkEnd w:id="39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392"/>
      <w:bookmarkEnd w:id="392"/>
      <w:r>
        <w:rPr>
          <w:b w:val="0"/>
          <w:bCs w:val="0"/>
        </w:rPr>
      </w:r>
      <w:bookmarkStart w:name="_bookmark11" w:id="393"/>
      <w:bookmarkEnd w:id="393"/>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t>（一）载有法定代表人、财务负责人、会计机构负责人签名并盖章的会计报表。</w:t>
      </w:r>
    </w:p>
    <w:p>
      <w:pPr>
        <w:pStyle w:val="BodyText"/>
        <w:spacing w:line="240" w:lineRule="auto" w:before="76"/>
        <w:ind w:right="0"/>
        <w:jc w:val="left"/>
      </w:pPr>
      <w:r>
        <w:rPr/>
        <w:t>（二）载有会计师事务所盖章、注册会计师签名并盖章的审计报告原件。</w:t>
      </w:r>
    </w:p>
    <w:p>
      <w:pPr>
        <w:pStyle w:val="BodyText"/>
        <w:spacing w:line="316" w:lineRule="auto" w:before="76"/>
        <w:ind w:right="1118"/>
        <w:jc w:val="left"/>
      </w:pPr>
      <w:r>
        <w:rPr>
          <w:spacing w:val="-2"/>
        </w:rPr>
        <w:t>（三）报告期内在《证券时报》、《上海证券报》、《中国证券报》及《证券日报》公开披露过的所有公司文件的正本及公</w:t>
      </w:r>
      <w:r>
        <w:rPr>
          <w:spacing w:val="-72"/>
        </w:rPr>
        <w:t> </w:t>
      </w:r>
      <w:r>
        <w:rPr>
          <w:spacing w:val="-72"/>
        </w:rPr>
      </w:r>
      <w:r>
        <w:rPr/>
        <w:t>告的原稿。</w:t>
      </w:r>
    </w:p>
    <w:p>
      <w:pPr>
        <w:pStyle w:val="BodyText"/>
        <w:spacing w:line="240" w:lineRule="auto" w:before="19"/>
        <w:ind w:right="0"/>
        <w:jc w:val="left"/>
      </w:pPr>
      <w:r>
        <w:rPr/>
        <w:t>（四）载有董事长签名的</w:t>
      </w:r>
      <w:r>
        <w:rPr>
          <w:rFonts w:ascii="Times New Roman" w:hAnsi="Times New Roman" w:cs="Times New Roman" w:eastAsia="Times New Roman" w:hint="default"/>
        </w:rPr>
        <w:t>2018</w:t>
      </w:r>
      <w:r>
        <w:rPr/>
        <w:t>年年度报告文本原件。</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7560" type="#_x0000_t75" stroked="false">
          <v:imagedata r:id="rId1" o:title=""/>
        </v:shape>
      </w:pict>
    </w:r>
    <w:r>
      <w:rPr/>
      <w:pict>
        <v:shape style="position:absolute;margin-left:533.179993pt;margin-top:795.517944pt;width:6.5pt;height:11pt;mso-position-horizontal-relative:page;mso-position-vertical-relative:page;z-index:-8875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7512" type="#_x0000_t75" stroked="false">
          <v:imagedata r:id="rId1" o:title=""/>
        </v:shape>
      </w:pict>
    </w:r>
    <w:r>
      <w:rPr/>
      <w:pict>
        <v:shape style="position:absolute;margin-left:527.679993pt;margin-top:781.957947pt;width:13pt;height:11pt;mso-position-horizontal-relative:page;mso-position-vertical-relative:page;z-index:-887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7464" type="#_x0000_t75" stroked="false">
          <v:imagedata r:id="rId1" o:title=""/>
        </v:shape>
      </w:pict>
    </w:r>
    <w:r>
      <w:rPr/>
      <w:pict>
        <v:shape style="position:absolute;margin-left:527.679993pt;margin-top:781.957947pt;width:13pt;height:11pt;mso-position-horizontal-relative:page;mso-position-vertical-relative:page;z-index:-887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7416" type="#_x0000_t75" stroked="false">
          <v:imagedata r:id="rId1" o:title=""/>
        </v:shape>
      </w:pict>
    </w:r>
    <w:r>
      <w:rPr/>
      <w:pict>
        <v:shape style="position:absolute;margin-left:527.679993pt;margin-top:781.957947pt;width:13pt;height:11pt;mso-position-horizontal-relative:page;mso-position-vertical-relative:page;z-index:-887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7368" type="#_x0000_t75" stroked="false">
          <v:imagedata r:id="rId1" o:title=""/>
        </v:shape>
      </w:pict>
    </w:r>
    <w:r>
      <w:rPr/>
      <w:pict>
        <v:shape style="position:absolute;margin-left:524.179993pt;margin-top:781.957947pt;width:15.5pt;height:11pt;mso-position-horizontal-relative:page;mso-position-vertical-relative:page;z-index:-8873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887320" type="#_x0000_t75" stroked="false">
          <v:imagedata r:id="rId1" o:title=""/>
        </v:shape>
      </w:pict>
    </w:r>
    <w:r>
      <w:rPr/>
      <w:pict>
        <v:shape style="position:absolute;margin-left:523.179993pt;margin-top:781.957947pt;width:17.5pt;height:11pt;mso-position-horizontal-relative:page;mso-position-vertical-relative:page;z-index:-887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60004pt;margin-top:36.325607pt;width:222.55pt;height:11.5pt;mso-position-horizontal-relative:page;mso-position-vertical-relative:page;z-index:-887584" type="#_x0000_t202" filled="false" stroked="false">
          <v:textbox inset="0,0,0,0">
            <w:txbxContent>
              <w:p>
                <w:pPr>
                  <w:pStyle w:val="BodyText"/>
                  <w:spacing w:line="214" w:lineRule="exact"/>
                  <w:ind w:left="20" w:right="0"/>
                  <w:jc w:val="left"/>
                </w:pPr>
                <w:r>
                  <w:rPr/>
                  <w:t>上海美特斯邦威服饰股份有限公司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640"/>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26"/>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corp.metersbonwe.com/" TargetMode="External"/><Relationship Id="rId10" Type="http://schemas.openxmlformats.org/officeDocument/2006/relationships/hyperlink" Target="mailto:Corporate@metersbonwe.com" TargetMode="External"/><Relationship Id="rId11" Type="http://schemas.openxmlformats.org/officeDocument/2006/relationships/hyperlink" Target="http://www.cninfo.com.cn/" TargetMode="External"/><Relationship Id="rId12" Type="http://schemas.openxmlformats.org/officeDocument/2006/relationships/hyperlink" Target="http://www.szse.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上海美特斯邦威服饰股份有限公司</dc:creator>
  <dc:title>上海美特斯邦威服饰股份有限公司2018年年度报告全文</dc:title>
  <dcterms:created xsi:type="dcterms:W3CDTF">2020-05-04T22:21:48Z</dcterms:created>
  <dcterms:modified xsi:type="dcterms:W3CDTF">2020-05-04T22:21:48Z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2019-04-08T00:00:00Z</vt:filetime>
  </property>
  <property fmtid="{D5CDD505-2E9C-101B-9397-08002B2CF9AE}" pid="3" name="Creator">
    <vt:lpwstr>Microsoft® Office Word 2007</vt:lpwstr>
  </property>
  <property fmtid="{D5CDD505-2E9C-101B-9397-08002B2CF9AE}" pid="4" name="LastSaved">
    <vt:filetime>2020-05-04T00:00:00Z</vt:filetime>
  </property>
</Properties>
</file>