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11"/>
        <w:ind w:left="2233" w:right="3215" w:firstLine="0"/>
        <w:jc w:val="center"/>
        <w:rPr>
          <w:rFonts w:ascii="宋体" w:hAnsi="宋体" w:cs="宋体" w:eastAsia="宋体" w:hint="default"/>
          <w:sz w:val="36"/>
          <w:szCs w:val="36"/>
        </w:rPr>
      </w:pPr>
      <w:r>
        <w:rPr/>
        <w:pict>
          <v:group style="position:absolute;margin-left:55.575001pt;margin-top:-84.151588pt;width:485.85pt;height:.1pt;mso-position-horizontal-relative:page;mso-position-vertical-relative:paragraph;z-index:0" coordorigin="1112,-1683" coordsize="9717,2">
            <v:shape style="position:absolute;left:1112;top:-1683;width:9717;height:2" coordorigin="1112,-1683" coordsize="9717,0" path="m1112,-1683l10829,-1683e" filled="false" stroked="true" strokeweight=".75pt" strokecolor="#000000">
              <v:path arrowok="t"/>
            </v:shape>
            <w10:wrap type="none"/>
          </v:group>
        </w:pict>
      </w:r>
      <w:r>
        <w:rPr>
          <w:rFonts w:ascii="宋体" w:hAnsi="宋体" w:cs="宋体" w:eastAsia="宋体" w:hint="default"/>
          <w:b/>
          <w:bCs/>
          <w:sz w:val="36"/>
          <w:szCs w:val="36"/>
        </w:rPr>
        <w:t>上海美特斯邦威服饰股份有限公司</w:t>
      </w:r>
      <w:r>
        <w:rPr>
          <w:rFonts w:ascii="宋体" w:hAnsi="宋体" w:cs="宋体" w:eastAsia="宋体" w:hint="default"/>
          <w:sz w:val="36"/>
          <w:szCs w:val="36"/>
        </w:rPr>
      </w:r>
    </w:p>
    <w:p>
      <w:pPr>
        <w:spacing w:line="240" w:lineRule="auto" w:before="7"/>
        <w:rPr>
          <w:rFonts w:ascii="宋体" w:hAnsi="宋体" w:cs="宋体" w:eastAsia="宋体" w:hint="default"/>
          <w:b/>
          <w:bCs/>
          <w:sz w:val="31"/>
          <w:szCs w:val="31"/>
        </w:rPr>
      </w:pPr>
    </w:p>
    <w:p>
      <w:pPr>
        <w:spacing w:before="0"/>
        <w:ind w:left="2233" w:right="3200"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2019</w:t>
      </w:r>
      <w:r>
        <w:rPr>
          <w:rFonts w:ascii="Times New Roman" w:hAnsi="Times New Roman" w:cs="Times New Roman" w:eastAsia="Times New Roman" w:hint="default"/>
          <w:b/>
          <w:bCs/>
          <w:spacing w:val="30"/>
          <w:sz w:val="31"/>
          <w:szCs w:val="31"/>
        </w:rPr>
        <w:t> </w:t>
      </w:r>
      <w:r>
        <w:rPr>
          <w:rFonts w:ascii="宋体" w:hAnsi="宋体" w:cs="宋体" w:eastAsia="宋体" w:hint="default"/>
          <w:b/>
          <w:bCs/>
          <w:spacing w:val="5"/>
          <w:sz w:val="31"/>
          <w:szCs w:val="31"/>
        </w:rPr>
        <w:t>年年度报告</w:t>
      </w:r>
      <w:r>
        <w:rPr>
          <w:rFonts w:ascii="宋体" w:hAnsi="宋体" w:cs="宋体" w:eastAsia="宋体" w:hint="default"/>
          <w:spacing w:val="5"/>
          <w:sz w:val="31"/>
          <w:szCs w:val="31"/>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42"/>
          <w:szCs w:val="42"/>
        </w:rPr>
      </w:pPr>
    </w:p>
    <w:p>
      <w:pPr>
        <w:spacing w:before="0"/>
        <w:ind w:left="2233" w:right="3200" w:firstLine="0"/>
        <w:jc w:val="center"/>
        <w:rPr>
          <w:rFonts w:ascii="宋体" w:hAnsi="宋体" w:cs="宋体" w:eastAsia="宋体" w:hint="default"/>
          <w:sz w:val="31"/>
          <w:szCs w:val="31"/>
        </w:rPr>
      </w:pPr>
      <w:r>
        <w:rPr>
          <w:rFonts w:ascii="Times New Roman" w:hAnsi="Times New Roman" w:cs="Times New Roman" w:eastAsia="Times New Roman" w:hint="default"/>
          <w:b/>
          <w:bCs/>
          <w:spacing w:val="4"/>
          <w:sz w:val="31"/>
          <w:szCs w:val="31"/>
        </w:rPr>
        <w:t>2020 </w:t>
      </w:r>
      <w:r>
        <w:rPr>
          <w:rFonts w:ascii="宋体" w:hAnsi="宋体" w:cs="宋体" w:eastAsia="宋体" w:hint="default"/>
          <w:b/>
          <w:bCs/>
          <w:sz w:val="31"/>
          <w:szCs w:val="31"/>
        </w:rPr>
        <w:t>年 </w:t>
      </w:r>
      <w:r>
        <w:rPr>
          <w:rFonts w:ascii="Times New Roman" w:hAnsi="Times New Roman" w:cs="Times New Roman" w:eastAsia="Times New Roman" w:hint="default"/>
          <w:b/>
          <w:bCs/>
          <w:spacing w:val="3"/>
          <w:sz w:val="31"/>
          <w:szCs w:val="31"/>
        </w:rPr>
        <w:t>04</w:t>
      </w:r>
      <w:r>
        <w:rPr>
          <w:rFonts w:ascii="Times New Roman" w:hAnsi="Times New Roman" w:cs="Times New Roman" w:eastAsia="Times New Roman" w:hint="default"/>
          <w:b/>
          <w:bCs/>
          <w:spacing w:val="-45"/>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10" w:h="16850"/>
          <w:pgMar w:header="731" w:footer="981" w:top="1040" w:bottom="1180" w:left="1000" w:right="0"/>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8"/>
          <w:szCs w:val="18"/>
        </w:rPr>
      </w:pPr>
    </w:p>
    <w:p>
      <w:pPr>
        <w:pStyle w:val="Heading1"/>
        <w:spacing w:line="240" w:lineRule="auto"/>
        <w:ind w:left="2875" w:right="0"/>
        <w:jc w:val="left"/>
        <w:rPr>
          <w:b w:val="0"/>
          <w:bCs w:val="0"/>
        </w:rPr>
      </w:pPr>
      <w:bookmarkStart w:name="第一节重要提示、目录和释义" w:id="1"/>
      <w:bookmarkEnd w:id="1"/>
      <w:r>
        <w:rPr>
          <w:b w:val="0"/>
          <w:bCs w:val="0"/>
        </w:rPr>
      </w:r>
      <w:bookmarkStart w:name="_bookmark0" w:id="2"/>
      <w:bookmarkEnd w:id="2"/>
      <w:r>
        <w:rPr>
          <w:b w:val="0"/>
          <w:bCs w:val="0"/>
        </w:rPr>
      </w:r>
      <w:r>
        <w:rPr>
          <w:spacing w:val="6"/>
        </w:rPr>
        <w:t>第一节重要提示、目录和释义</w:t>
      </w:r>
      <w:r>
        <w:rPr>
          <w:b w:val="0"/>
          <w:bCs w:val="0"/>
          <w:spacing w:val="6"/>
        </w:rPr>
      </w:r>
    </w:p>
    <w:p>
      <w:pPr>
        <w:spacing w:line="240" w:lineRule="auto" w:before="0"/>
        <w:rPr>
          <w:rFonts w:ascii="宋体" w:hAnsi="宋体" w:cs="宋体" w:eastAsia="宋体" w:hint="default"/>
          <w:b/>
          <w:bCs/>
          <w:sz w:val="32"/>
          <w:szCs w:val="32"/>
        </w:rPr>
      </w:pPr>
    </w:p>
    <w:p>
      <w:pPr>
        <w:spacing w:line="408" w:lineRule="auto" w:before="216"/>
        <w:ind w:left="141" w:right="1089" w:firstLine="555"/>
        <w:jc w:val="both"/>
        <w:rPr>
          <w:rFonts w:ascii="宋体" w:hAnsi="宋体" w:cs="宋体" w:eastAsia="宋体" w:hint="default"/>
          <w:sz w:val="28"/>
          <w:szCs w:val="28"/>
        </w:rPr>
      </w:pPr>
      <w:r>
        <w:rPr>
          <w:rFonts w:ascii="宋体" w:hAnsi="宋体" w:cs="宋体" w:eastAsia="宋体" w:hint="default"/>
          <w:b/>
          <w:bCs/>
          <w:spacing w:val="-1"/>
          <w:sz w:val="28"/>
          <w:szCs w:val="28"/>
        </w:rPr>
        <w:t>公司董事会、监事会及董事、监事、高级管理人员保证年度报告内容的真</w:t>
      </w:r>
      <w:r>
        <w:rPr>
          <w:rFonts w:ascii="宋体" w:hAnsi="宋体" w:cs="宋体" w:eastAsia="宋体" w:hint="default"/>
          <w:b/>
          <w:bCs/>
          <w:w w:val="101"/>
          <w:sz w:val="28"/>
          <w:szCs w:val="28"/>
        </w:rPr>
        <w:t> </w:t>
      </w:r>
      <w:r>
        <w:rPr>
          <w:rFonts w:ascii="宋体" w:hAnsi="宋体" w:cs="宋体" w:eastAsia="宋体" w:hint="default"/>
          <w:b/>
          <w:bCs/>
          <w:spacing w:val="-1"/>
          <w:sz w:val="28"/>
          <w:szCs w:val="28"/>
        </w:rPr>
        <w:t>实、准确、完整，不存在虚假记载、误导性陈述或重大遗漏，并承担个别和连</w:t>
      </w:r>
      <w:r>
        <w:rPr>
          <w:rFonts w:ascii="宋体" w:hAnsi="宋体" w:cs="宋体" w:eastAsia="宋体" w:hint="default"/>
          <w:b/>
          <w:bCs/>
          <w:spacing w:val="10"/>
          <w:sz w:val="28"/>
          <w:szCs w:val="28"/>
        </w:rPr>
        <w:t> </w:t>
      </w:r>
      <w:r>
        <w:rPr>
          <w:rFonts w:ascii="宋体" w:hAnsi="宋体" w:cs="宋体" w:eastAsia="宋体" w:hint="default"/>
          <w:b/>
          <w:bCs/>
          <w:spacing w:val="10"/>
          <w:sz w:val="28"/>
          <w:szCs w:val="28"/>
        </w:rPr>
      </w:r>
      <w:r>
        <w:rPr>
          <w:rFonts w:ascii="宋体" w:hAnsi="宋体" w:cs="宋体" w:eastAsia="宋体" w:hint="default"/>
          <w:b/>
          <w:bCs/>
          <w:spacing w:val="-3"/>
          <w:sz w:val="28"/>
          <w:szCs w:val="28"/>
        </w:rPr>
        <w:t>带的法律责任。</w:t>
      </w:r>
      <w:r>
        <w:rPr>
          <w:rFonts w:ascii="宋体" w:hAnsi="宋体" w:cs="宋体" w:eastAsia="宋体" w:hint="default"/>
          <w:spacing w:val="-3"/>
          <w:sz w:val="28"/>
          <w:szCs w:val="28"/>
        </w:rPr>
      </w:r>
    </w:p>
    <w:p>
      <w:pPr>
        <w:spacing w:line="391" w:lineRule="auto" w:before="158"/>
        <w:ind w:left="141" w:right="1108" w:firstLine="555"/>
        <w:jc w:val="both"/>
        <w:rPr>
          <w:rFonts w:ascii="宋体" w:hAnsi="宋体" w:cs="宋体" w:eastAsia="宋体" w:hint="default"/>
          <w:sz w:val="28"/>
          <w:szCs w:val="28"/>
        </w:rPr>
      </w:pPr>
      <w:r>
        <w:rPr>
          <w:rFonts w:ascii="宋体" w:hAnsi="宋体" w:cs="宋体" w:eastAsia="宋体" w:hint="default"/>
          <w:b/>
          <w:bCs/>
          <w:spacing w:val="-5"/>
          <w:sz w:val="28"/>
          <w:szCs w:val="28"/>
        </w:rPr>
        <w:t>公司负责人胡佳佳、主管会计工作负责人胡周斌及会计机构负责人</w:t>
      </w:r>
      <w:r>
        <w:rPr>
          <w:rFonts w:ascii="Times New Roman" w:hAnsi="Times New Roman" w:cs="Times New Roman" w:eastAsia="Times New Roman" w:hint="default"/>
          <w:b/>
          <w:bCs/>
          <w:spacing w:val="-5"/>
          <w:sz w:val="28"/>
          <w:szCs w:val="28"/>
        </w:rPr>
        <w:t>(</w:t>
      </w:r>
      <w:r>
        <w:rPr>
          <w:rFonts w:ascii="宋体" w:hAnsi="宋体" w:cs="宋体" w:eastAsia="宋体" w:hint="default"/>
          <w:b/>
          <w:bCs/>
          <w:spacing w:val="-5"/>
          <w:sz w:val="28"/>
          <w:szCs w:val="28"/>
        </w:rPr>
        <w:t>会计主</w:t>
      </w:r>
      <w:r>
        <w:rPr>
          <w:rFonts w:ascii="宋体" w:hAnsi="宋体" w:cs="宋体" w:eastAsia="宋体" w:hint="default"/>
          <w:b/>
          <w:bCs/>
          <w:w w:val="101"/>
          <w:sz w:val="28"/>
          <w:szCs w:val="28"/>
        </w:rPr>
        <w:t> </w:t>
      </w:r>
      <w:r>
        <w:rPr>
          <w:rFonts w:ascii="宋体" w:hAnsi="宋体" w:cs="宋体" w:eastAsia="宋体" w:hint="default"/>
          <w:b/>
          <w:bCs/>
          <w:spacing w:val="-4"/>
          <w:sz w:val="28"/>
          <w:szCs w:val="28"/>
        </w:rPr>
        <w:t>管人员</w:t>
      </w:r>
      <w:r>
        <w:rPr>
          <w:rFonts w:ascii="Times New Roman" w:hAnsi="Times New Roman" w:cs="Times New Roman" w:eastAsia="Times New Roman" w:hint="default"/>
          <w:b/>
          <w:bCs/>
          <w:spacing w:val="-4"/>
          <w:sz w:val="28"/>
          <w:szCs w:val="28"/>
        </w:rPr>
        <w:t>)</w:t>
      </w:r>
      <w:r>
        <w:rPr>
          <w:rFonts w:ascii="宋体" w:hAnsi="宋体" w:cs="宋体" w:eastAsia="宋体" w:hint="default"/>
          <w:b/>
          <w:bCs/>
          <w:spacing w:val="-4"/>
          <w:sz w:val="28"/>
          <w:szCs w:val="28"/>
        </w:rPr>
        <w:t>曾焕滨声明：保证年度报告中财务报告的真实、准确、完整。</w:t>
      </w:r>
      <w:r>
        <w:rPr>
          <w:rFonts w:ascii="宋体" w:hAnsi="宋体" w:cs="宋体" w:eastAsia="宋体" w:hint="default"/>
          <w:spacing w:val="-4"/>
          <w:sz w:val="28"/>
          <w:szCs w:val="28"/>
        </w:rPr>
      </w:r>
    </w:p>
    <w:p>
      <w:pPr>
        <w:spacing w:line="477" w:lineRule="auto" w:before="138"/>
        <w:ind w:left="696" w:right="0" w:firstLine="0"/>
        <w:jc w:val="left"/>
        <w:rPr>
          <w:rFonts w:ascii="宋体" w:hAnsi="宋体" w:cs="宋体" w:eastAsia="宋体" w:hint="default"/>
          <w:sz w:val="28"/>
          <w:szCs w:val="28"/>
        </w:rPr>
      </w:pPr>
      <w:r>
        <w:rPr>
          <w:rFonts w:ascii="宋体" w:hAnsi="宋体" w:cs="宋体" w:eastAsia="宋体" w:hint="default"/>
          <w:b/>
          <w:bCs/>
          <w:spacing w:val="-4"/>
          <w:sz w:val="28"/>
          <w:szCs w:val="28"/>
        </w:rPr>
        <w:t>所有董事均已出席了审议本报告的董事会会议。</w:t>
      </w:r>
      <w:r>
        <w:rPr>
          <w:rFonts w:ascii="宋体" w:hAnsi="宋体" w:cs="宋体" w:eastAsia="宋体" w:hint="default"/>
          <w:b/>
          <w:bCs/>
          <w:spacing w:val="-29"/>
          <w:sz w:val="28"/>
          <w:szCs w:val="28"/>
        </w:rPr>
        <w:t> </w:t>
      </w:r>
      <w:r>
        <w:rPr>
          <w:rFonts w:ascii="宋体" w:hAnsi="宋体" w:cs="宋体" w:eastAsia="宋体" w:hint="default"/>
          <w:b/>
          <w:bCs/>
          <w:spacing w:val="-29"/>
          <w:sz w:val="28"/>
          <w:szCs w:val="28"/>
        </w:rPr>
      </w:r>
      <w:r>
        <w:rPr>
          <w:rFonts w:ascii="宋体" w:hAnsi="宋体" w:cs="宋体" w:eastAsia="宋体" w:hint="default"/>
          <w:b/>
          <w:bCs/>
          <w:spacing w:val="-4"/>
          <w:sz w:val="28"/>
          <w:szCs w:val="28"/>
        </w:rPr>
        <w:t>公司不属于特殊行业，无需遵守特殊行业的披露要求。</w:t>
      </w:r>
      <w:r>
        <w:rPr>
          <w:rFonts w:ascii="宋体" w:hAnsi="宋体" w:cs="宋体" w:eastAsia="宋体" w:hint="default"/>
          <w:b/>
          <w:bCs/>
          <w:spacing w:val="-23"/>
          <w:sz w:val="28"/>
          <w:szCs w:val="28"/>
        </w:rPr>
        <w:t> </w:t>
      </w:r>
      <w:r>
        <w:rPr>
          <w:rFonts w:ascii="宋体" w:hAnsi="宋体" w:cs="宋体" w:eastAsia="宋体" w:hint="default"/>
          <w:b/>
          <w:bCs/>
          <w:spacing w:val="-23"/>
          <w:sz w:val="28"/>
          <w:szCs w:val="28"/>
        </w:rPr>
      </w:r>
      <w:r>
        <w:rPr>
          <w:rFonts w:ascii="宋体" w:hAnsi="宋体" w:cs="宋体" w:eastAsia="宋体" w:hint="default"/>
          <w:b/>
          <w:bCs/>
          <w:spacing w:val="-4"/>
          <w:sz w:val="28"/>
          <w:szCs w:val="28"/>
        </w:rPr>
        <w:t>公司计划不派发现金红利，不送红股，不以公积金转增股本。</w:t>
      </w:r>
      <w:r>
        <w:rPr>
          <w:rFonts w:ascii="宋体" w:hAnsi="宋体" w:cs="宋体" w:eastAsia="宋体" w:hint="default"/>
          <w:spacing w:val="-4"/>
          <w:sz w:val="28"/>
          <w:szCs w:val="28"/>
        </w:rPr>
      </w:r>
    </w:p>
    <w:p>
      <w:pPr>
        <w:spacing w:after="0" w:line="477" w:lineRule="auto"/>
        <w:jc w:val="left"/>
        <w:rPr>
          <w:rFonts w:ascii="宋体" w:hAnsi="宋体" w:cs="宋体" w:eastAsia="宋体" w:hint="default"/>
          <w:sz w:val="28"/>
          <w:szCs w:val="28"/>
        </w:rPr>
        <w:sectPr>
          <w:footerReference w:type="default" r:id="rId7"/>
          <w:pgSz w:w="11910" w:h="16850"/>
          <w:pgMar w:footer="981" w:header="731" w:top="1040" w:bottom="1180" w:left="1000" w:right="0"/>
          <w:pgNumType w:start="2"/>
        </w:sectPr>
      </w:pPr>
    </w:p>
    <w:p>
      <w:pPr>
        <w:spacing w:line="240" w:lineRule="auto" w:before="2"/>
        <w:rPr>
          <w:rFonts w:ascii="宋体" w:hAnsi="宋体" w:cs="宋体" w:eastAsia="宋体" w:hint="default"/>
          <w:b/>
          <w:bCs/>
          <w:sz w:val="4"/>
          <w:szCs w:val="4"/>
        </w:rPr>
      </w:pPr>
    </w:p>
    <w:p>
      <w:pPr>
        <w:spacing w:line="20" w:lineRule="exact"/>
        <w:ind w:left="104" w:right="0" w:firstLine="0"/>
        <w:rPr>
          <w:rFonts w:ascii="宋体" w:hAnsi="宋体" w:cs="宋体" w:eastAsia="宋体" w:hint="default"/>
          <w:sz w:val="2"/>
          <w:szCs w:val="2"/>
        </w:rPr>
      </w:pPr>
      <w:r>
        <w:rPr>
          <w:rFonts w:ascii="宋体" w:hAnsi="宋体" w:cs="宋体" w:eastAsia="宋体" w:hint="default"/>
          <w:sz w:val="2"/>
          <w:szCs w:val="2"/>
        </w:rPr>
        <w:pict>
          <v:group style="width:486.6pt;height:.75pt;mso-position-horizontal-relative:char;mso-position-vertical-relative:line" coordorigin="0,0" coordsize="9732,15">
            <v:group style="position:absolute;left:8;top:8;width:9717;height:2" coordorigin="8,8" coordsize="9717,2">
              <v:shape style="position:absolute;left:8;top:8;width:9717;height:2" coordorigin="8,8" coordsize="9717,0" path="m8,8l9725,8e" filled="false" stroked="true" strokeweight=".75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6"/>
          <w:szCs w:val="26"/>
        </w:rPr>
      </w:pPr>
    </w:p>
    <w:p>
      <w:pPr>
        <w:spacing w:line="460" w:lineRule="exact" w:before="0"/>
        <w:ind w:left="2231" w:right="321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0"/>
          <w:szCs w:val="50"/>
        </w:rPr>
      </w:pPr>
    </w:p>
    <w:sdt>
      <w:sdtPr>
        <w:docPartObj>
          <w:docPartGallery w:val="Table of Contents"/>
          <w:docPartUnique/>
        </w:docPartObj>
      </w:sdtPr>
      <w:sdtEndPr/>
      <w:sdtContent>
        <w:p>
          <w:pPr>
            <w:pStyle w:val="TOC1"/>
            <w:tabs>
              <w:tab w:pos="9791"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spacing w:val="-3"/>
              </w:rPr>
              <w:t>第一节重要提示、目录和释义</w:t>
            </w:r>
            <w:r>
              <w:rPr>
                <w:rFonts w:ascii="Times New Roman" w:hAnsi="Times New Roman" w:cs="Times New Roman" w:eastAsia="Times New Roman" w:hint="default"/>
                <w:spacing w:val="-3"/>
              </w:rPr>
              <w:tab/>
            </w:r>
            <w:r>
              <w:rPr>
                <w:rFonts w:ascii="Times New Roman" w:hAnsi="Times New Roman" w:cs="Times New Roman" w:eastAsia="Times New Roman" w:hint="default"/>
              </w:rPr>
              <w:t>2</w:t>
            </w:r>
            <w:r>
              <w:rPr>
                <w:rFonts w:ascii="Times New Roman" w:hAnsi="Times New Roman" w:cs="Times New Roman" w:eastAsia="Times New Roman" w:hint="default"/>
                <w:b w:val="0"/>
                <w:bCs w:val="0"/>
              </w:rPr>
            </w:r>
          </w:hyperlink>
        </w:p>
        <w:p>
          <w:pPr>
            <w:pStyle w:val="TOC1"/>
            <w:tabs>
              <w:tab w:pos="9791"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spacing w:val="-4"/>
              </w:rPr>
              <w:t>第二节公司简介和主要财务指标</w:t>
            </w:r>
            <w:r>
              <w:rPr>
                <w:rFonts w:ascii="Times New Roman" w:hAnsi="Times New Roman" w:cs="Times New Roman" w:eastAsia="Times New Roman" w:hint="default"/>
                <w:spacing w:val="-4"/>
              </w:rPr>
              <w:tab/>
            </w:r>
            <w:r>
              <w:rPr>
                <w:rFonts w:ascii="Times New Roman" w:hAnsi="Times New Roman" w:cs="Times New Roman" w:eastAsia="Times New Roman" w:hint="default"/>
              </w:rPr>
              <w:t>6</w:t>
            </w:r>
            <w:r>
              <w:rPr>
                <w:rFonts w:ascii="Times New Roman" w:hAnsi="Times New Roman" w:cs="Times New Roman" w:eastAsia="Times New Roman" w:hint="default"/>
                <w:b w:val="0"/>
                <w:bCs w:val="0"/>
              </w:rPr>
            </w:r>
          </w:hyperlink>
        </w:p>
        <w:p>
          <w:pPr>
            <w:pStyle w:val="TOC1"/>
            <w:tabs>
              <w:tab w:pos="9797"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6"/>
              </w:rPr>
              <w:t>10</w:t>
            </w:r>
            <w:r>
              <w:rPr>
                <w:rFonts w:ascii="Times New Roman" w:hAnsi="Times New Roman" w:cs="Times New Roman" w:eastAsia="Times New Roman" w:hint="default"/>
                <w:b w:val="0"/>
                <w:bCs w:val="0"/>
              </w:rPr>
            </w:r>
          </w:hyperlink>
        </w:p>
        <w:p>
          <w:pPr>
            <w:pStyle w:val="TOC1"/>
            <w:tabs>
              <w:tab w:pos="9797"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spacing w:val="-3"/>
              </w:rPr>
              <w:t>第四节经营情况讨论与分析</w:t>
            </w:r>
            <w:r>
              <w:rPr>
                <w:rFonts w:ascii="Times New Roman" w:hAnsi="Times New Roman" w:cs="Times New Roman" w:eastAsia="Times New Roman" w:hint="default"/>
                <w:spacing w:val="-3"/>
              </w:rPr>
              <w:tab/>
            </w:r>
            <w:r>
              <w:rPr>
                <w:rFonts w:ascii="Times New Roman" w:hAnsi="Times New Roman" w:cs="Times New Roman" w:eastAsia="Times New Roman" w:hint="default"/>
                <w:spacing w:val="6"/>
              </w:rPr>
              <w:t>13</w:t>
            </w:r>
            <w:r>
              <w:rPr>
                <w:rFonts w:ascii="Times New Roman" w:hAnsi="Times New Roman" w:cs="Times New Roman" w:eastAsia="Times New Roman" w:hint="default"/>
                <w:b w:val="0"/>
                <w:bCs w:val="0"/>
              </w:rPr>
            </w:r>
          </w:hyperlink>
        </w:p>
        <w:p>
          <w:pPr>
            <w:pStyle w:val="TOC1"/>
            <w:tabs>
              <w:tab w:pos="9797" w:val="right" w:leader="dot"/>
            </w:tabs>
            <w:spacing w:line="240" w:lineRule="auto" w:before="288"/>
            <w:ind w:right="0"/>
            <w:jc w:val="left"/>
            <w:rPr>
              <w:rFonts w:ascii="Times New Roman" w:hAnsi="Times New Roman" w:cs="Times New Roman" w:eastAsia="Times New Roman" w:hint="default"/>
              <w:b w:val="0"/>
              <w:bCs w:val="0"/>
            </w:rPr>
          </w:pPr>
          <w:hyperlink w:history="true" w:anchor="_bookmark4">
            <w:r>
              <w:rPr>
                <w:spacing w:val="-3"/>
              </w:rPr>
              <w:t>第五节重要事项</w:t>
            </w:r>
            <w:r>
              <w:rPr>
                <w:rFonts w:ascii="Times New Roman" w:hAnsi="Times New Roman" w:cs="Times New Roman" w:eastAsia="Times New Roman" w:hint="default"/>
                <w:spacing w:val="-3"/>
              </w:rPr>
              <w:tab/>
            </w:r>
            <w:r>
              <w:rPr>
                <w:rFonts w:ascii="Times New Roman" w:hAnsi="Times New Roman" w:cs="Times New Roman" w:eastAsia="Times New Roman" w:hint="default"/>
                <w:spacing w:val="6"/>
              </w:rPr>
              <w:t>23</w:t>
            </w:r>
            <w:r>
              <w:rPr>
                <w:rFonts w:ascii="Times New Roman" w:hAnsi="Times New Roman" w:cs="Times New Roman" w:eastAsia="Times New Roman" w:hint="default"/>
                <w:b w:val="0"/>
                <w:bCs w:val="0"/>
              </w:rPr>
            </w:r>
          </w:hyperlink>
        </w:p>
        <w:p>
          <w:pPr>
            <w:pStyle w:val="TOC1"/>
            <w:tabs>
              <w:tab w:pos="9797"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spacing w:val="-3"/>
              </w:rPr>
              <w:t>第六节股份变动及股东情况</w:t>
            </w:r>
            <w:r>
              <w:rPr>
                <w:rFonts w:ascii="Times New Roman" w:hAnsi="Times New Roman" w:cs="Times New Roman" w:eastAsia="Times New Roman" w:hint="default"/>
                <w:spacing w:val="-3"/>
              </w:rPr>
              <w:tab/>
            </w:r>
            <w:r>
              <w:rPr>
                <w:rFonts w:ascii="Times New Roman" w:hAnsi="Times New Roman" w:cs="Times New Roman" w:eastAsia="Times New Roman" w:hint="default"/>
                <w:spacing w:val="6"/>
              </w:rPr>
              <w:t>33</w:t>
            </w:r>
            <w:r>
              <w:rPr>
                <w:rFonts w:ascii="Times New Roman" w:hAnsi="Times New Roman" w:cs="Times New Roman" w:eastAsia="Times New Roman" w:hint="default"/>
                <w:b w:val="0"/>
                <w:bCs w:val="0"/>
              </w:rPr>
            </w:r>
          </w:hyperlink>
        </w:p>
        <w:p>
          <w:pPr>
            <w:pStyle w:val="TOC1"/>
            <w:tabs>
              <w:tab w:pos="9797"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spacing w:val="-4"/>
              </w:rPr>
              <w:t>第七节优先股相关情况</w:t>
            </w:r>
            <w:r>
              <w:rPr>
                <w:rFonts w:ascii="Times New Roman" w:hAnsi="Times New Roman" w:cs="Times New Roman" w:eastAsia="Times New Roman" w:hint="default"/>
                <w:spacing w:val="-4"/>
              </w:rPr>
              <w:tab/>
            </w:r>
            <w:r>
              <w:rPr>
                <w:rFonts w:ascii="Times New Roman" w:hAnsi="Times New Roman" w:cs="Times New Roman" w:eastAsia="Times New Roman" w:hint="default"/>
                <w:spacing w:val="6"/>
              </w:rPr>
              <w:t>39</w:t>
            </w:r>
            <w:r>
              <w:rPr>
                <w:rFonts w:ascii="Times New Roman" w:hAnsi="Times New Roman" w:cs="Times New Roman" w:eastAsia="Times New Roman" w:hint="default"/>
                <w:b w:val="0"/>
                <w:bCs w:val="0"/>
              </w:rPr>
            </w:r>
          </w:hyperlink>
        </w:p>
        <w:p>
          <w:pPr>
            <w:pStyle w:val="TOC1"/>
            <w:tabs>
              <w:tab w:pos="9797" w:val="right" w:leader="dot"/>
            </w:tabs>
            <w:spacing w:line="240" w:lineRule="auto"/>
            <w:ind w:right="0"/>
            <w:jc w:val="left"/>
            <w:rPr>
              <w:rFonts w:ascii="Times New Roman" w:hAnsi="Times New Roman" w:cs="Times New Roman" w:eastAsia="Times New Roman" w:hint="default"/>
              <w:b w:val="0"/>
              <w:bCs w:val="0"/>
            </w:rPr>
          </w:pPr>
          <w:hyperlink w:history="true" w:anchor="_bookmark7">
            <w:r>
              <w:rPr>
                <w:spacing w:val="-4"/>
              </w:rPr>
              <w:t>第八节可转换公司债券相关情况</w:t>
            </w:r>
            <w:r>
              <w:rPr>
                <w:rFonts w:ascii="Times New Roman" w:hAnsi="Times New Roman" w:cs="Times New Roman" w:eastAsia="Times New Roman" w:hint="default"/>
                <w:spacing w:val="-4"/>
              </w:rPr>
              <w:tab/>
            </w:r>
            <w:r>
              <w:rPr>
                <w:rFonts w:ascii="Times New Roman" w:hAnsi="Times New Roman" w:cs="Times New Roman" w:eastAsia="Times New Roman" w:hint="default"/>
                <w:spacing w:val="6"/>
              </w:rPr>
              <w:t>40</w:t>
            </w:r>
            <w:r>
              <w:rPr>
                <w:rFonts w:ascii="Times New Roman" w:hAnsi="Times New Roman" w:cs="Times New Roman" w:eastAsia="Times New Roman" w:hint="default"/>
                <w:b w:val="0"/>
                <w:bCs w:val="0"/>
              </w:rPr>
            </w:r>
          </w:hyperlink>
        </w:p>
        <w:p>
          <w:pPr>
            <w:pStyle w:val="TOC1"/>
            <w:tabs>
              <w:tab w:pos="9797" w:val="right" w:leader="dot"/>
            </w:tabs>
            <w:spacing w:line="240" w:lineRule="auto" w:before="288"/>
            <w:ind w:right="0"/>
            <w:jc w:val="left"/>
            <w:rPr>
              <w:rFonts w:ascii="Times New Roman" w:hAnsi="Times New Roman" w:cs="Times New Roman" w:eastAsia="Times New Roman" w:hint="default"/>
              <w:b w:val="0"/>
              <w:bCs w:val="0"/>
            </w:rPr>
          </w:pPr>
          <w:hyperlink w:history="true" w:anchor="_bookmark8">
            <w:r>
              <w:rPr>
                <w:spacing w:val="-4"/>
              </w:rPr>
              <w:t>第九节董事、监事、高级管理人员和员工情况</w:t>
            </w:r>
            <w:r>
              <w:rPr>
                <w:rFonts w:ascii="Times New Roman" w:hAnsi="Times New Roman" w:cs="Times New Roman" w:eastAsia="Times New Roman" w:hint="default"/>
                <w:spacing w:val="-4"/>
              </w:rPr>
              <w:tab/>
            </w:r>
            <w:r>
              <w:rPr>
                <w:rFonts w:ascii="Times New Roman" w:hAnsi="Times New Roman" w:cs="Times New Roman" w:eastAsia="Times New Roman" w:hint="default"/>
                <w:spacing w:val="6"/>
              </w:rPr>
              <w:t>41</w:t>
            </w:r>
            <w:r>
              <w:rPr>
                <w:rFonts w:ascii="Times New Roman" w:hAnsi="Times New Roman" w:cs="Times New Roman" w:eastAsia="Times New Roman" w:hint="default"/>
                <w:b w:val="0"/>
                <w:bCs w:val="0"/>
              </w:rPr>
            </w:r>
          </w:hyperlink>
        </w:p>
        <w:p>
          <w:pPr>
            <w:pStyle w:val="TOC1"/>
            <w:tabs>
              <w:tab w:pos="9797"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spacing w:val="-3"/>
              </w:rPr>
              <w:t>第十节公司治理</w:t>
            </w:r>
            <w:r>
              <w:rPr>
                <w:rFonts w:ascii="Times New Roman" w:hAnsi="Times New Roman" w:cs="Times New Roman" w:eastAsia="Times New Roman" w:hint="default"/>
                <w:spacing w:val="-3"/>
              </w:rPr>
              <w:tab/>
            </w:r>
            <w:r>
              <w:rPr>
                <w:rFonts w:ascii="Times New Roman" w:hAnsi="Times New Roman" w:cs="Times New Roman" w:eastAsia="Times New Roman" w:hint="default"/>
                <w:spacing w:val="6"/>
              </w:rPr>
              <w:t>48</w:t>
            </w:r>
            <w:r>
              <w:rPr>
                <w:rFonts w:ascii="Times New Roman" w:hAnsi="Times New Roman" w:cs="Times New Roman" w:eastAsia="Times New Roman" w:hint="default"/>
                <w:b w:val="0"/>
                <w:bCs w:val="0"/>
              </w:rPr>
            </w:r>
          </w:hyperlink>
        </w:p>
        <w:p>
          <w:pPr>
            <w:pStyle w:val="TOC1"/>
            <w:tabs>
              <w:tab w:pos="9797"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spacing w:val="-3"/>
              </w:rPr>
              <w:t>第十一节公司债券相关情况</w:t>
            </w:r>
            <w:r>
              <w:rPr>
                <w:rFonts w:ascii="Times New Roman" w:hAnsi="Times New Roman" w:cs="Times New Roman" w:eastAsia="Times New Roman" w:hint="default"/>
                <w:spacing w:val="-3"/>
              </w:rPr>
              <w:tab/>
            </w:r>
            <w:r>
              <w:rPr>
                <w:rFonts w:ascii="Times New Roman" w:hAnsi="Times New Roman" w:cs="Times New Roman" w:eastAsia="Times New Roman" w:hint="default"/>
                <w:spacing w:val="6"/>
              </w:rPr>
              <w:t>54</w:t>
            </w:r>
            <w:r>
              <w:rPr>
                <w:rFonts w:ascii="Times New Roman" w:hAnsi="Times New Roman" w:cs="Times New Roman" w:eastAsia="Times New Roman" w:hint="default"/>
                <w:b w:val="0"/>
                <w:bCs w:val="0"/>
              </w:rPr>
            </w:r>
          </w:hyperlink>
        </w:p>
        <w:p>
          <w:pPr>
            <w:pStyle w:val="TOC1"/>
            <w:tabs>
              <w:tab w:pos="9797" w:val="right" w:leader="dot"/>
            </w:tabs>
            <w:spacing w:line="240" w:lineRule="auto" w:before="288"/>
            <w:ind w:right="0"/>
            <w:jc w:val="left"/>
            <w:rPr>
              <w:rFonts w:ascii="Times New Roman" w:hAnsi="Times New Roman" w:cs="Times New Roman" w:eastAsia="Times New Roman" w:hint="default"/>
              <w:b w:val="0"/>
              <w:bCs w:val="0"/>
            </w:rPr>
          </w:pPr>
          <w:hyperlink w:history="true" w:anchor="_bookmark11">
            <w:r>
              <w:rPr/>
              <w:t>第十二节</w:t>
            </w:r>
            <w:r>
              <w:rPr>
                <w:spacing w:val="-7"/>
              </w:rPr>
              <w:t> </w:t>
            </w:r>
            <w:r>
              <w:rPr>
                <w:spacing w:val="-4"/>
              </w:rPr>
              <w:t>财务报告</w:t>
            </w:r>
            <w:r>
              <w:rPr>
                <w:rFonts w:ascii="Times New Roman" w:hAnsi="Times New Roman" w:cs="Times New Roman" w:eastAsia="Times New Roman" w:hint="default"/>
                <w:spacing w:val="-4"/>
              </w:rPr>
              <w:tab/>
            </w:r>
            <w:r>
              <w:rPr>
                <w:rFonts w:ascii="Times New Roman" w:hAnsi="Times New Roman" w:cs="Times New Roman" w:eastAsia="Times New Roman" w:hint="default"/>
                <w:spacing w:val="6"/>
              </w:rPr>
              <w:t>55</w:t>
            </w:r>
            <w:r>
              <w:rPr>
                <w:rFonts w:ascii="Times New Roman" w:hAnsi="Times New Roman" w:cs="Times New Roman" w:eastAsia="Times New Roman" w:hint="default"/>
                <w:b w:val="0"/>
                <w:bCs w:val="0"/>
              </w:rPr>
            </w:r>
          </w:hyperlink>
        </w:p>
        <w:p>
          <w:pPr>
            <w:pStyle w:val="TOC1"/>
            <w:tabs>
              <w:tab w:pos="9790"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w:t>
            </w:r>
            <w:r>
              <w:rPr>
                <w:spacing w:val="-6"/>
              </w:rPr>
              <w:t> </w:t>
            </w:r>
            <w:r>
              <w:rPr>
                <w:spacing w:val="-3"/>
              </w:rPr>
              <w:t>备查文件目录</w:t>
            </w:r>
            <w:r>
              <w:rPr>
                <w:rFonts w:ascii="Times New Roman" w:hAnsi="Times New Roman" w:cs="Times New Roman" w:eastAsia="Times New Roman" w:hint="default"/>
                <w:spacing w:val="-3"/>
              </w:rPr>
              <w:tab/>
            </w:r>
            <w:r>
              <w:rPr>
                <w:rFonts w:ascii="Times New Roman" w:hAnsi="Times New Roman" w:cs="Times New Roman" w:eastAsia="Times New Roman" w:hint="default"/>
              </w:rPr>
              <w:t>165</w:t>
            </w:r>
            <w:r>
              <w:rPr>
                <w:rFonts w:ascii="Times New Roman" w:hAnsi="Times New Roman" w:cs="Times New Roman" w:eastAsia="Times New Roman" w:hint="default"/>
                <w:b w:val="0"/>
                <w:bCs w:val="0"/>
              </w:rPr>
            </w:r>
          </w:hyperlink>
        </w:p>
        <w:p>
          <w:pPr/>
          <w:r>
            <w:fldChar w:fldCharType="end"/>
          </w:r>
        </w:p>
      </w:sdtContent>
    </w:sdt>
    <w:p>
      <w:pPr>
        <w:spacing w:after="0"/>
        <w:sectPr>
          <w:pgSz w:w="11910" w:h="16850"/>
          <w:pgMar w:header="731" w:footer="981" w:top="1040" w:bottom="1180" w:left="1000" w:right="0"/>
        </w:sectPr>
      </w:pPr>
    </w:p>
    <w:p>
      <w:pPr>
        <w:spacing w:before="953"/>
        <w:ind w:left="2233" w:right="3187" w:firstLine="0"/>
        <w:jc w:val="center"/>
        <w:rPr>
          <w:rFonts w:ascii="宋体" w:hAnsi="宋体" w:cs="宋体" w:eastAsia="宋体" w:hint="default"/>
          <w:sz w:val="31"/>
          <w:szCs w:val="31"/>
        </w:rPr>
      </w:pPr>
      <w:r>
        <w:rPr>
          <w:rFonts w:ascii="宋体" w:hAnsi="宋体" w:cs="宋体" w:eastAsia="宋体" w:hint="default"/>
          <w:b/>
          <w:bCs/>
          <w:spacing w:val="14"/>
          <w:sz w:val="31"/>
          <w:szCs w:val="31"/>
        </w:rPr>
        <w:t>释义</w:t>
      </w:r>
      <w:r>
        <w:rPr>
          <w:rFonts w:ascii="宋体" w:hAnsi="宋体" w:cs="宋体" w:eastAsia="宋体" w:hint="default"/>
          <w:sz w:val="31"/>
          <w:szCs w:val="3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545"/>
        <w:gridCol w:w="593"/>
        <w:gridCol w:w="5444"/>
      </w:tblGrid>
      <w:tr>
        <w:trPr>
          <w:trHeight w:val="405" w:hRule="exact"/>
        </w:trPr>
        <w:tc>
          <w:tcPr>
            <w:tcW w:w="354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美邦服饰、本公司、本集团</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w:t>
            </w: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上海美特斯邦威企业发展有限公司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上海销售</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上海美特斯邦威服饰销售有限公司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成都美邦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成都美特斯邦威服饰有限公司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沈阳美邦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沈阳美特斯邦威服饰有限公司</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天津美邦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天津美特斯邦威服饰有限公司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济南美邦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济南美特斯邦威服饰有限公司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福州美邦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福州美特斯邦威服饰有限公司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昆明美邦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昆明美特斯邦威服饰有限责任公司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哈尔滨美邦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哈尔滨美特斯邦威服饰有限公司</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南昌美邦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南昌美特斯邦威服饰有限公司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西安美邦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西安美特斯邦威服饰有限公司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杭州美邦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杭州美特斯邦威服饰有限公司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北京美邦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北京美特斯邦威服饰有限公司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上海库升</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上海库升服饰有限公司</w:t>
            </w: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上海模共</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上海模共实业有限公司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丹东贸邦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丹东市贸邦商贸有限公司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沈阳贸邦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沈阳贸邦服饰商贸有限公司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重庆美邦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重庆美特斯邦威服饰有限公司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广州美邦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广州美特斯邦威服装有限公司</w:t>
            </w:r>
          </w:p>
        </w:tc>
      </w:tr>
      <w:tr>
        <w:trPr>
          <w:trHeight w:val="390"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宁波美邦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宁波美特斯邦威服饰有限公司</w:t>
            </w:r>
          </w:p>
        </w:tc>
      </w:tr>
      <w:tr>
        <w:trPr>
          <w:trHeight w:val="406"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温州美特斯邦威服饰有限公司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南京美邦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南京美特斯邦威服饰有限公司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武汉美邦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武汉美特斯邦威服饰有限公司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广西美邦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广西美特斯邦威服饰有限责任公司</w:t>
            </w:r>
          </w:p>
        </w:tc>
      </w:tr>
      <w:tr>
        <w:trPr>
          <w:trHeight w:val="391"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长春美邦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长春美特斯邦威服饰有限公司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兰州美邦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兰州美特斯邦威服饰有限公司</w:t>
            </w:r>
          </w:p>
        </w:tc>
      </w:tr>
      <w:tr>
        <w:trPr>
          <w:trHeight w:val="405" w:hRule="exact"/>
        </w:trPr>
        <w:tc>
          <w:tcPr>
            <w:tcW w:w="3545"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深圳美邦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指</w:t>
            </w:r>
          </w:p>
        </w:tc>
        <w:tc>
          <w:tcPr>
            <w:tcW w:w="544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深圳美特斯邦威服饰有限公司</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3530"/>
        <w:gridCol w:w="593"/>
        <w:gridCol w:w="5459"/>
      </w:tblGrid>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上海米安斯迪</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上海米安斯迪服饰有限公司</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苏州美邦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45" w:right="0"/>
              <w:jc w:val="left"/>
              <w:rPr>
                <w:rFonts w:ascii="宋体" w:hAnsi="宋体" w:cs="宋体" w:eastAsia="宋体" w:hint="default"/>
                <w:sz w:val="18"/>
                <w:szCs w:val="18"/>
              </w:rPr>
            </w:pPr>
            <w:r>
              <w:rPr>
                <w:rFonts w:ascii="宋体" w:hAnsi="宋体" w:cs="宋体" w:eastAsia="宋体" w:hint="default"/>
                <w:sz w:val="18"/>
                <w:szCs w:val="18"/>
              </w:rPr>
              <w:t>苏州美特斯邦威服饰有限公司</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上海邦购</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上海邦购信息科技有限公司</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合肥美邦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合肥美特斯邦威服饰有限公司</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上海霓尚</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上海霓尚服饰有限公司</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乌鲁木齐美邦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乌鲁木齐美特斯邦威服饰有限公司</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华邦科创</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上海华邦科创信息科技有限公司</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祺格服饰</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上海祺格服饰有限公司</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上海邦彤</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上海邦彤实业有限公司</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西宁美邦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西宁美特斯邦威服饰有限责任公司</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贵阳美邦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贵阳美特斯邦威服饰有限责任公司</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郑州美邦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45" w:right="0"/>
              <w:jc w:val="left"/>
              <w:rPr>
                <w:rFonts w:ascii="宋体" w:hAnsi="宋体" w:cs="宋体" w:eastAsia="宋体" w:hint="default"/>
                <w:sz w:val="18"/>
                <w:szCs w:val="18"/>
              </w:rPr>
            </w:pPr>
            <w:r>
              <w:rPr>
                <w:rFonts w:ascii="宋体" w:hAnsi="宋体" w:cs="宋体" w:eastAsia="宋体" w:hint="default"/>
                <w:sz w:val="18"/>
                <w:szCs w:val="18"/>
              </w:rPr>
              <w:t>郑州美特斯邦威服饰有限公司</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石家庄美邦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石家庄美特斯邦威服饰有限公司</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太原美邦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太原美特斯邦威服饰有限公司</w:t>
            </w:r>
          </w:p>
        </w:tc>
      </w:tr>
      <w:tr>
        <w:trPr>
          <w:trHeight w:val="406"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内蒙古美邦</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内蒙古美特斯邦威服饰有限公司</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美潮贸易</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45" w:right="0"/>
              <w:jc w:val="left"/>
              <w:rPr>
                <w:rFonts w:ascii="宋体" w:hAnsi="宋体" w:cs="宋体" w:eastAsia="宋体" w:hint="default"/>
                <w:sz w:val="18"/>
                <w:szCs w:val="18"/>
              </w:rPr>
            </w:pPr>
            <w:r>
              <w:rPr>
                <w:rFonts w:ascii="宋体" w:hAnsi="宋体" w:cs="宋体" w:eastAsia="宋体" w:hint="default"/>
                <w:sz w:val="18"/>
                <w:szCs w:val="18"/>
              </w:rPr>
              <w:t>上海美潮国际贸易有限公司</w:t>
            </w:r>
          </w:p>
        </w:tc>
      </w:tr>
      <w:tr>
        <w:trPr>
          <w:trHeight w:val="405"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安永华明</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390" w:hRule="exact"/>
        </w:trPr>
        <w:tc>
          <w:tcPr>
            <w:tcW w:w="3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华瑞银行</w:t>
            </w:r>
          </w:p>
        </w:tc>
        <w:tc>
          <w:tcPr>
            <w:tcW w:w="5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5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45" w:right="0"/>
              <w:jc w:val="left"/>
              <w:rPr>
                <w:rFonts w:ascii="宋体" w:hAnsi="宋体" w:cs="宋体" w:eastAsia="宋体" w:hint="default"/>
                <w:sz w:val="18"/>
                <w:szCs w:val="18"/>
              </w:rPr>
            </w:pPr>
            <w:r>
              <w:rPr>
                <w:rFonts w:ascii="宋体" w:hAnsi="宋体" w:cs="宋体" w:eastAsia="宋体" w:hint="default"/>
                <w:sz w:val="18"/>
                <w:szCs w:val="18"/>
              </w:rPr>
              <w:t>上海华瑞银行股份有限公司</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171.229996pt;margin-top:273.25pt;width:363.45pt;height:19.5pt;mso-position-horizontal-relative:page;mso-position-vertical-relative:page;z-index:-926344" coordorigin="3425,5465" coordsize="7269,390">
            <v:group style="position:absolute;left:3425;top:5465;width:30;height:390" coordorigin="3425,5465" coordsize="30,390">
              <v:shape style="position:absolute;left:3425;top:5465;width:30;height:390" coordorigin="3425,5465" coordsize="30,390" path="m3425,5855l3455,5855,3455,5465,3425,5465,3425,5855xe" filled="true" fillcolor="#ffffff" stroked="false">
                <v:path arrowok="t"/>
                <v:fill type="solid"/>
              </v:shape>
            </v:group>
            <v:group style="position:absolute;left:3455;top:5465;width:7239;height:390" coordorigin="3455,5465" coordsize="7239,390">
              <v:shape style="position:absolute;left:3455;top:5465;width:7239;height:390" coordorigin="3455,5465" coordsize="7239,390" path="m3455,5855l10694,5855,10694,5465,3455,5465,3455,5855xe" filled="true" fillcolor="#ffffff" stroked="false">
                <v:path arrowok="t"/>
                <v:fill type="solid"/>
              </v:shape>
            </v:group>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29"/>
        <w:ind w:left="2709" w:right="0"/>
        <w:jc w:val="left"/>
        <w:rPr>
          <w:b w:val="0"/>
          <w:bCs w:val="0"/>
        </w:rPr>
      </w:pPr>
      <w:bookmarkStart w:name="第二节公司简介和主要财务指标" w:id="3"/>
      <w:bookmarkEnd w:id="3"/>
      <w:r>
        <w:rPr>
          <w:b w:val="0"/>
          <w:bCs w:val="0"/>
        </w:rPr>
      </w:r>
      <w:bookmarkStart w:name="_bookmark1" w:id="4"/>
      <w:bookmarkEnd w:id="4"/>
      <w:r>
        <w:rPr>
          <w:b w:val="0"/>
          <w:bCs w:val="0"/>
        </w:rPr>
      </w:r>
      <w:r>
        <w:rPr>
          <w:spacing w:val="5"/>
        </w:rPr>
        <w:t>第二节公司简介和主要财务指标</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信息" w:id="5"/>
      <w:bookmarkEnd w:id="5"/>
      <w:r>
        <w:rPr>
          <w:b w:val="0"/>
          <w:bCs w:val="0"/>
        </w:rPr>
      </w:r>
      <w:r>
        <w:rPr/>
        <w:t>一、公司信息</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2275"/>
        <w:gridCol w:w="2966"/>
        <w:gridCol w:w="2162"/>
        <w:gridCol w:w="2178"/>
      </w:tblGrid>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美邦服饰</w:t>
            </w:r>
          </w:p>
        </w:tc>
        <w:tc>
          <w:tcPr>
            <w:tcW w:w="21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002269</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美邦服饰</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Shanghai </w:t>
            </w:r>
            <w:r>
              <w:rPr>
                <w:rFonts w:ascii="Times New Roman"/>
                <w:spacing w:val="2"/>
                <w:sz w:val="18"/>
              </w:rPr>
              <w:t>Metersbonwe </w:t>
            </w:r>
            <w:r>
              <w:rPr>
                <w:rFonts w:ascii="Times New Roman"/>
                <w:sz w:val="18"/>
              </w:rPr>
              <w:t>Fashion&amp;Accessories</w:t>
            </w:r>
            <w:r>
              <w:rPr>
                <w:rFonts w:ascii="Times New Roman"/>
                <w:spacing w:val="-29"/>
                <w:sz w:val="18"/>
              </w:rPr>
              <w:t> </w:t>
            </w:r>
            <w:r>
              <w:rPr>
                <w:rFonts w:ascii="Times New Roman"/>
                <w:sz w:val="18"/>
              </w:rPr>
              <w:t>Co.,Ltd</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公司的外文名称缩写（如有</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9"/>
              <w:ind w:left="-96" w:right="0"/>
              <w:jc w:val="left"/>
              <w:rPr>
                <w:rFonts w:ascii="Times New Roman" w:hAnsi="Times New Roman" w:cs="Times New Roman" w:eastAsia="Times New Roman" w:hint="default"/>
                <w:sz w:val="18"/>
                <w:szCs w:val="18"/>
              </w:rPr>
            </w:pPr>
            <w:r>
              <w:rPr>
                <w:rFonts w:ascii="宋体" w:hAnsi="宋体" w:cs="宋体" w:eastAsia="宋体" w:hint="default"/>
                <w:spacing w:val="-27"/>
                <w:position w:val="1"/>
                <w:sz w:val="18"/>
                <w:szCs w:val="18"/>
              </w:rPr>
              <w:t>）</w:t>
            </w:r>
            <w:r>
              <w:rPr>
                <w:rFonts w:ascii="Times New Roman" w:hAnsi="Times New Roman" w:cs="Times New Roman" w:eastAsia="Times New Roman" w:hint="default"/>
                <w:spacing w:val="-27"/>
                <w:sz w:val="18"/>
                <w:szCs w:val="18"/>
              </w:rPr>
              <w:t>M</w:t>
            </w:r>
            <w:r>
              <w:rPr>
                <w:rFonts w:ascii="Times New Roman" w:hAnsi="Times New Roman" w:cs="Times New Roman" w:eastAsia="Times New Roman" w:hint="default"/>
                <w:spacing w:val="-35"/>
                <w:sz w:val="18"/>
                <w:szCs w:val="18"/>
              </w:rPr>
              <w:t> </w:t>
            </w:r>
            <w:r>
              <w:rPr>
                <w:rFonts w:ascii="Times New Roman" w:hAnsi="Times New Roman" w:cs="Times New Roman" w:eastAsia="Times New Roman" w:hint="default"/>
                <w:sz w:val="18"/>
                <w:szCs w:val="18"/>
              </w:rPr>
              <w:t>etersbonwe</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胡佳佳</w:t>
            </w:r>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中国（上海）自由贸易试验区康桥东路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z w:val="18"/>
                <w:szCs w:val="18"/>
              </w:rPr>
              <w:t>号</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201315</w:t>
            </w:r>
          </w:p>
        </w:tc>
      </w:tr>
      <w:tr>
        <w:trPr>
          <w:trHeight w:val="406"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中国（上海）自由贸易试验区康桥东路</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800 </w:t>
            </w:r>
            <w:r>
              <w:rPr>
                <w:rFonts w:ascii="宋体" w:hAnsi="宋体" w:cs="宋体" w:eastAsia="宋体" w:hint="default"/>
                <w:sz w:val="18"/>
                <w:szCs w:val="18"/>
              </w:rPr>
              <w:t>号</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201315</w:t>
            </w:r>
          </w:p>
        </w:tc>
      </w:tr>
      <w:tr>
        <w:trPr>
          <w:trHeight w:val="405"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8">
              <w:r>
                <w:rPr>
                  <w:rFonts w:ascii="Times New Roman"/>
                  <w:sz w:val="18"/>
                </w:rPr>
                <w:t>http://corp.metersbonwe.com</w:t>
              </w:r>
            </w:hyperlink>
          </w:p>
        </w:tc>
      </w:tr>
      <w:tr>
        <w:trPr>
          <w:trHeight w:val="390" w:hRule="exact"/>
        </w:trPr>
        <w:tc>
          <w:tcPr>
            <w:tcW w:w="22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7"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hyperlink r:id="rId9">
              <w:r>
                <w:rPr>
                  <w:rFonts w:ascii="Times New Roman"/>
                  <w:sz w:val="18"/>
                </w:rPr>
                <w:t>Corporate@metersbonwe.com</w:t>
              </w:r>
            </w:hyperlink>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2"/>
        <w:rPr>
          <w:rFonts w:ascii="宋体" w:hAnsi="宋体" w:cs="宋体" w:eastAsia="宋体" w:hint="default"/>
          <w:b/>
          <w:bCs/>
          <w:sz w:val="26"/>
          <w:szCs w:val="26"/>
        </w:rPr>
      </w:pPr>
    </w:p>
    <w:tbl>
      <w:tblPr>
        <w:tblW w:w="0" w:type="auto"/>
        <w:jc w:val="left"/>
        <w:tblInd w:w="133" w:type="dxa"/>
        <w:tblLayout w:type="fixed"/>
        <w:tblCellMar>
          <w:top w:w="0" w:type="dxa"/>
          <w:left w:w="0" w:type="dxa"/>
          <w:bottom w:w="0" w:type="dxa"/>
          <w:right w:w="0" w:type="dxa"/>
        </w:tblCellMar>
        <w:tblLook w:val="01E0"/>
      </w:tblPr>
      <w:tblGrid>
        <w:gridCol w:w="3192"/>
        <w:gridCol w:w="3184"/>
        <w:gridCol w:w="3199"/>
      </w:tblGrid>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 w:right="0"/>
              <w:jc w:val="left"/>
              <w:rPr>
                <w:rFonts w:ascii="宋体" w:hAnsi="宋体" w:cs="宋体" w:eastAsia="宋体" w:hint="default"/>
                <w:sz w:val="18"/>
                <w:szCs w:val="18"/>
              </w:rPr>
            </w:pPr>
            <w:r>
              <w:rPr>
                <w:rFonts w:ascii="宋体" w:hAnsi="宋体" w:cs="宋体" w:eastAsia="宋体" w:hint="default"/>
                <w:sz w:val="18"/>
                <w:szCs w:val="18"/>
              </w:rPr>
              <w:t>胡周斌</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31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vMerge w:val="restart"/>
            <w:tcBorders>
              <w:top w:val="single" w:sz="6" w:space="0" w:color="000000"/>
              <w:left w:val="single" w:sz="18" w:space="0" w:color="D2D2D2"/>
              <w:right w:val="single" w:sz="6" w:space="0" w:color="000000"/>
            </w:tcBorders>
          </w:tcPr>
          <w:p>
            <w:pPr>
              <w:pStyle w:val="TableParagraph"/>
              <w:spacing w:line="240" w:lineRule="auto" w:before="30"/>
              <w:ind w:left="-1" w:right="0"/>
              <w:jc w:val="left"/>
              <w:rPr>
                <w:rFonts w:ascii="宋体" w:hAnsi="宋体" w:cs="宋体" w:eastAsia="宋体" w:hint="default"/>
                <w:sz w:val="18"/>
                <w:szCs w:val="18"/>
              </w:rPr>
            </w:pPr>
            <w:r>
              <w:rPr>
                <w:rFonts w:ascii="宋体" w:hAnsi="宋体" w:cs="宋体" w:eastAsia="宋体" w:hint="default"/>
                <w:sz w:val="18"/>
                <w:szCs w:val="18"/>
              </w:rPr>
              <w:t>中国（上海）自由贸易试验区康桥东路</w:t>
            </w:r>
          </w:p>
          <w:p>
            <w:pPr>
              <w:pStyle w:val="TableParagraph"/>
              <w:spacing w:line="240" w:lineRule="auto" w:before="94"/>
              <w:ind w:left="-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800 </w:t>
            </w:r>
            <w:r>
              <w:rPr>
                <w:rFonts w:ascii="宋体" w:hAnsi="宋体" w:cs="宋体" w:eastAsia="宋体" w:hint="default"/>
                <w:sz w:val="18"/>
                <w:szCs w:val="18"/>
              </w:rPr>
              <w:t>号</w:t>
            </w:r>
          </w:p>
        </w:tc>
        <w:tc>
          <w:tcPr>
            <w:tcW w:w="3199" w:type="dxa"/>
            <w:vMerge w:val="restart"/>
            <w:tcBorders>
              <w:top w:val="single" w:sz="6" w:space="0" w:color="000000"/>
              <w:left w:val="single" w:sz="6" w:space="0" w:color="000000"/>
              <w:right w:val="single" w:sz="6" w:space="0" w:color="000000"/>
            </w:tcBorders>
          </w:tcPr>
          <w:p>
            <w:pPr/>
          </w:p>
        </w:tc>
      </w:tr>
      <w:tr>
        <w:trPr>
          <w:trHeight w:val="390" w:hRule="exact"/>
        </w:trPr>
        <w:tc>
          <w:tcPr>
            <w:tcW w:w="31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84" w:type="dxa"/>
            <w:vMerge/>
            <w:tcBorders>
              <w:left w:val="single" w:sz="18"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158" w:hRule="exact"/>
        </w:trPr>
        <w:tc>
          <w:tcPr>
            <w:tcW w:w="319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18"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021-38119999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 w:right="0"/>
              <w:jc w:val="left"/>
              <w:rPr>
                <w:rFonts w:ascii="Times New Roman" w:hAnsi="Times New Roman" w:cs="Times New Roman" w:eastAsia="Times New Roman" w:hint="default"/>
                <w:sz w:val="18"/>
                <w:szCs w:val="18"/>
              </w:rPr>
            </w:pPr>
            <w:r>
              <w:rPr>
                <w:rFonts w:ascii="Times New Roman"/>
                <w:sz w:val="18"/>
              </w:rPr>
              <w:t>021-68183939</w:t>
            </w:r>
          </w:p>
        </w:tc>
        <w:tc>
          <w:tcPr>
            <w:tcW w:w="319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left="-1" w:right="0"/>
              <w:jc w:val="left"/>
              <w:rPr>
                <w:rFonts w:ascii="Times New Roman" w:hAnsi="Times New Roman" w:cs="Times New Roman" w:eastAsia="Times New Roman" w:hint="default"/>
                <w:sz w:val="18"/>
                <w:szCs w:val="18"/>
              </w:rPr>
            </w:pPr>
            <w:hyperlink r:id="rId10">
              <w:r>
                <w:rPr>
                  <w:rFonts w:ascii="Times New Roman"/>
                  <w:sz w:val="18"/>
                </w:rPr>
                <w:t>corporate@metersbonwe.com</w:t>
              </w:r>
            </w:hyperlink>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988"/>
        <w:gridCol w:w="5594"/>
      </w:tblGrid>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7" w:right="0"/>
              <w:jc w:val="left"/>
              <w:rPr>
                <w:rFonts w:ascii="宋体" w:hAnsi="宋体" w:cs="宋体" w:eastAsia="宋体" w:hint="default"/>
                <w:sz w:val="18"/>
                <w:szCs w:val="18"/>
              </w:rPr>
            </w:pPr>
            <w:r>
              <w:rPr>
                <w:rFonts w:ascii="宋体" w:hAnsi="宋体" w:cs="宋体" w:eastAsia="宋体" w:hint="default"/>
                <w:sz w:val="18"/>
                <w:szCs w:val="18"/>
              </w:rPr>
              <w:t>证券时报、上海证券报、中国证券报、证券日报</w:t>
            </w:r>
          </w:p>
        </w:tc>
      </w:tr>
      <w:tr>
        <w:trPr>
          <w:trHeight w:val="405"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7"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390" w:hRule="exact"/>
        </w:trPr>
        <w:tc>
          <w:tcPr>
            <w:tcW w:w="39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7" w:right="0"/>
              <w:jc w:val="left"/>
              <w:rPr>
                <w:rFonts w:ascii="宋体" w:hAnsi="宋体" w:cs="宋体" w:eastAsia="宋体" w:hint="default"/>
                <w:sz w:val="18"/>
                <w:szCs w:val="18"/>
              </w:rPr>
            </w:pPr>
            <w:r>
              <w:rPr>
                <w:rFonts w:ascii="宋体" w:hAnsi="宋体" w:cs="宋体" w:eastAsia="宋体" w:hint="default"/>
                <w:sz w:val="18"/>
                <w:szCs w:val="18"/>
              </w:rPr>
              <w:t>深圳证券交易所、公司董事会办公室</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b/>
          <w:bCs/>
          <w:sz w:val="24"/>
          <w:szCs w:val="24"/>
        </w:rPr>
      </w:pPr>
    </w:p>
    <w:p>
      <w:pPr>
        <w:pStyle w:val="Heading2"/>
        <w:spacing w:line="240" w:lineRule="auto" w:before="26"/>
        <w:ind w:right="0"/>
        <w:jc w:val="left"/>
        <w:rPr>
          <w:b w:val="0"/>
          <w:bCs w:val="0"/>
        </w:rPr>
      </w:pPr>
      <w:bookmarkStart w:name="四、注册变更情况" w:id="8"/>
      <w:bookmarkEnd w:id="8"/>
      <w:r>
        <w:rPr>
          <w:b w:val="0"/>
          <w:bCs w:val="0"/>
        </w:rPr>
      </w:r>
      <w:r>
        <w:rPr/>
        <w:t>四、注册变更情况</w:t>
      </w:r>
      <w:r>
        <w:rPr>
          <w:b w:val="0"/>
          <w:bCs w:val="0"/>
        </w:rPr>
      </w:r>
    </w:p>
    <w:p>
      <w:pPr>
        <w:spacing w:line="240" w:lineRule="auto" w:before="1"/>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3184"/>
        <w:gridCol w:w="6398"/>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913100001321787408</w:t>
            </w:r>
          </w:p>
        </w:tc>
      </w:tr>
      <w:tr>
        <w:trPr>
          <w:trHeight w:val="7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92"/>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98"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五、其他有关资料" w:id="9"/>
      <w:bookmarkEnd w:id="9"/>
      <w:r>
        <w:rPr>
          <w:b w:val="0"/>
          <w:bCs w:val="0"/>
        </w:rPr>
      </w:r>
      <w:r>
        <w:rPr/>
        <w:t>五、其他有关资料</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北京市东城区东长安街</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号东方广场安永大楼</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层</w:t>
            </w:r>
          </w:p>
        </w:tc>
      </w:tr>
      <w:tr>
        <w:trPr>
          <w:trHeight w:val="391"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董彦亮、柳婧</w:t>
            </w:r>
          </w:p>
        </w:tc>
      </w:tr>
    </w:tbl>
    <w:p>
      <w:pPr>
        <w:pStyle w:val="BodyText"/>
        <w:spacing w:line="240" w:lineRule="auto" w:before="44"/>
        <w:ind w:right="0"/>
        <w:jc w:val="left"/>
      </w:pPr>
      <w:r>
        <w:rPr/>
        <w:t>公司聘请的报告期内履行持续督导职责的保荐机构</w:t>
      </w:r>
    </w:p>
    <w:p>
      <w:pPr>
        <w:pStyle w:val="BodyText"/>
        <w:spacing w:line="331"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公司聘请的报告期内履行持续督导职责的财务顾问</w:t>
      </w:r>
    </w:p>
    <w:p>
      <w:pPr>
        <w:pStyle w:val="BodyText"/>
        <w:spacing w:line="240" w:lineRule="auto" w:before="5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right="0"/>
        <w:jc w:val="left"/>
      </w:pPr>
      <w:r>
        <w:rPr/>
        <w:t>公司是否需追溯调整或重述以前年度会计数据</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27"/>
        <w:gridCol w:w="1742"/>
        <w:gridCol w:w="1742"/>
      </w:tblGrid>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5,463,291,977.00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7,677,369,050.00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-28.84%</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6,472,359,205.00</w:t>
            </w:r>
          </w:p>
        </w:tc>
      </w:tr>
      <w:tr>
        <w:trPr>
          <w:trHeight w:val="72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9"/>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-825,472,850.00</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40,361,571.00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-2,145.20%</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-304,799,756.00</w:t>
            </w:r>
            <w:r>
              <w:rPr>
                <w:rFonts w:ascii="Times New Roman"/>
                <w:sz w:val="18"/>
              </w:rPr>
            </w:r>
          </w:p>
        </w:tc>
      </w:tr>
      <w:tr>
        <w:trPr>
          <w:trHeight w:val="72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-822,790,774.00</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12,688,576.00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-6,584.50%</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-321,080,778.00</w:t>
            </w:r>
            <w:r>
              <w:rPr>
                <w:rFonts w:ascii="Times New Roman"/>
                <w:sz w:val="18"/>
              </w:rPr>
            </w:r>
          </w:p>
        </w:tc>
      </w:tr>
      <w:tr>
        <w:trPr>
          <w:trHeight w:val="7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116,608,127.00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621,919,584.00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-81.25%</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-319,378,836.00</w:t>
            </w:r>
            <w:r>
              <w:rPr>
                <w:rFonts w:ascii="Times New Roman"/>
                <w:sz w:val="18"/>
              </w:rPr>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-0.33</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-1,750.00%</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-0.33</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-1,750.00%</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-0.12</w:t>
            </w:r>
            <w:r>
              <w:rPr>
                <w:rFonts w:ascii="Times New Roman"/>
                <w:sz w:val="18"/>
              </w:rPr>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-40.00%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2.00%</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-10.00%</w:t>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年末</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5"/>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年末</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6,377,798,596.00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7,208,952,308.00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-11.53%</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6,615,617,344.00</w:t>
            </w:r>
          </w:p>
        </w:tc>
      </w:tr>
      <w:tr>
        <w:trPr>
          <w:trHeight w:val="721"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65"/>
              <w:ind w:left="1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2,039,820,092.00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2,877,695,239.00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-29.12%</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2,837,339,163.00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15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公司报告期不存在按照国际会计准则与按照中国会计准则披露的财务报告中净利润和净资产差异情况。</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26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公司报告期不存在按照境外会计准则与按照中国会计准则披露的财务报告中净利润和净资产差异情况。</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7"/>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613"/>
        <w:gridCol w:w="1757"/>
        <w:gridCol w:w="1742"/>
        <w:gridCol w:w="1742"/>
        <w:gridCol w:w="1727"/>
      </w:tblGrid>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7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10"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9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9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5"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1,727,614,244.00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971,330,560.00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1,335,453,942.00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1,428,893,231.00</w:t>
            </w:r>
          </w:p>
        </w:tc>
      </w:tr>
      <w:tr>
        <w:trPr>
          <w:trHeight w:val="406"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38,348,040.00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-176,238,250.00</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-99,902,790.00</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-587,679,850.00</w:t>
            </w:r>
            <w:r>
              <w:rPr>
                <w:rFonts w:ascii="Times New Roman"/>
                <w:sz w:val="18"/>
              </w:rPr>
            </w:r>
          </w:p>
        </w:tc>
      </w:tr>
      <w:tr>
        <w:trPr>
          <w:trHeight w:val="72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6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36,698,926.00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-184,733,701.00</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w w:val="95"/>
                <w:sz w:val="18"/>
              </w:rPr>
              <w:t>-100,429,256.00</w:t>
            </w:r>
            <w:r>
              <w:rPr>
                <w:rFonts w:ascii="Times New Roman"/>
                <w:sz w:val="18"/>
              </w:rPr>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-574,326,743.00</w:t>
            </w:r>
            <w:r>
              <w:rPr>
                <w:rFonts w:ascii="Times New Roman"/>
                <w:sz w:val="18"/>
              </w:rPr>
            </w:r>
          </w:p>
        </w:tc>
      </w:tr>
      <w:tr>
        <w:trPr>
          <w:trHeight w:val="390" w:hRule="exact"/>
        </w:trPr>
        <w:tc>
          <w:tcPr>
            <w:tcW w:w="26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248,312,086.00</w:t>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-287,134,318.00</w:t>
            </w:r>
            <w:r>
              <w:rPr>
                <w:rFonts w:ascii="Times New Roman"/>
                <w:sz w:val="18"/>
              </w:rPr>
            </w:r>
          </w:p>
        </w:tc>
        <w:tc>
          <w:tcPr>
            <w:tcW w:w="1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89,388,660.00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66,041,699.00</w:t>
            </w:r>
          </w:p>
        </w:tc>
      </w:tr>
    </w:tbl>
    <w:p>
      <w:pPr>
        <w:pStyle w:val="BodyText"/>
        <w:spacing w:line="240" w:lineRule="auto" w:before="44"/>
        <w:ind w:right="0"/>
        <w:jc w:val="left"/>
      </w:pPr>
      <w:r>
        <w:rPr/>
        <w:t>上述财务指标或其加总数是否与公司已披露季度报告、半年度报告相关财务指标存在重大差异</w:t>
      </w:r>
    </w:p>
    <w:p>
      <w:pPr>
        <w:pStyle w:val="BodyText"/>
        <w:spacing w:line="240" w:lineRule="auto" w:before="12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9"/>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289"/>
        <w:gridCol w:w="1532"/>
        <w:gridCol w:w="1517"/>
        <w:gridCol w:w="1532"/>
        <w:gridCol w:w="1712"/>
      </w:tblGrid>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年金额</w:t>
            </w:r>
          </w:p>
        </w:tc>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年金额</w:t>
            </w:r>
          </w:p>
        </w:tc>
        <w:tc>
          <w:tcPr>
            <w:tcW w:w="15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年金额</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3"/>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7"/>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4,349,379.00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w w:val="95"/>
                <w:sz w:val="18"/>
              </w:rPr>
              <w:t>-727,185.00</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-3,564,996.00</w:t>
            </w:r>
            <w:r>
              <w:rPr>
                <w:rFonts w:ascii="Times New Roman"/>
                <w:sz w:val="18"/>
              </w:rPr>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27,616,969.00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33,106,419.00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8,451,020.00</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7"/>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1532" w:type="dxa"/>
            <w:tcBorders>
              <w:top w:val="single" w:sz="6" w:space="0" w:color="000000"/>
              <w:left w:val="single" w:sz="18" w:space="0" w:color="D2D2D2"/>
              <w:bottom w:val="single" w:sz="6" w:space="0" w:color="000000"/>
              <w:right w:val="single" w:sz="6" w:space="0" w:color="000000"/>
            </w:tcBorders>
          </w:tcPr>
          <w:p>
            <w:pP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4,159,281.00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4,831,126.00</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-33,754,259.00</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-6,007,763.00</w:t>
            </w:r>
            <w:r>
              <w:rPr>
                <w:rFonts w:ascii="Times New Roman"/>
                <w:sz w:val="18"/>
              </w:rPr>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6,750,339.00</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894,165.00</w:t>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2,857,757.00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186,467.00</w:t>
            </w: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517" w:type="dxa"/>
            <w:tcBorders>
              <w:top w:val="single" w:sz="6" w:space="0" w:color="000000"/>
              <w:left w:val="single" w:sz="6" w:space="0" w:color="000000"/>
              <w:bottom w:val="single" w:sz="6" w:space="0" w:color="000000"/>
              <w:right w:val="single" w:sz="6" w:space="0" w:color="000000"/>
            </w:tcBorders>
          </w:tcPr>
          <w:p>
            <w:pPr/>
          </w:p>
        </w:tc>
        <w:tc>
          <w:tcPr>
            <w:tcW w:w="153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-2,682,076.00</w:t>
            </w:r>
            <w:r>
              <w:rPr>
                <w:rFonts w:ascii="Times New Roman"/>
                <w:sz w:val="18"/>
              </w:rPr>
            </w:r>
          </w:p>
        </w:tc>
        <w:tc>
          <w:tcPr>
            <w:tcW w:w="15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27,672,995.00</w:t>
            </w:r>
          </w:p>
        </w:tc>
        <w:tc>
          <w:tcPr>
            <w:tcW w:w="15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16,281,022.00</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2"/>
        <w:rPr>
          <w:rFonts w:ascii="宋体" w:hAnsi="宋体" w:cs="宋体" w:eastAsia="宋体" w:hint="default"/>
          <w:sz w:val="27"/>
          <w:szCs w:val="27"/>
        </w:rPr>
      </w:pPr>
    </w:p>
    <w:p>
      <w:pPr>
        <w:pStyle w:val="BodyText"/>
        <w:spacing w:line="240" w:lineRule="auto" w:before="44"/>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0" w:lineRule="auto" w:before="66"/>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8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BodyText"/>
        <w:spacing w:line="276" w:lineRule="auto" w:before="11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2"/>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276"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520" w:right="0"/>
        <w:jc w:val="left"/>
        <w:rPr>
          <w:b w:val="0"/>
          <w:bCs w:val="0"/>
        </w:rPr>
      </w:pPr>
      <w:bookmarkStart w:name="第三节公司业务概要" w:id="16"/>
      <w:bookmarkEnd w:id="16"/>
      <w:r>
        <w:rPr>
          <w:b w:val="0"/>
          <w:bCs w:val="0"/>
        </w:rPr>
      </w:r>
      <w:bookmarkStart w:name="_bookmark2" w:id="17"/>
      <w:bookmarkEnd w:id="17"/>
      <w:r>
        <w:rPr>
          <w:b w:val="0"/>
          <w:bCs w:val="0"/>
        </w:rPr>
      </w:r>
      <w:r>
        <w:rPr>
          <w:spacing w:val="5"/>
        </w:rPr>
        <w:t>第三节公司业务概要</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1"/>
        <w:rPr>
          <w:rFonts w:ascii="宋体" w:hAnsi="宋体" w:cs="宋体" w:eastAsia="宋体" w:hint="default"/>
          <w:b/>
          <w:bCs/>
          <w:sz w:val="26"/>
          <w:szCs w:val="26"/>
        </w:rPr>
      </w:pPr>
    </w:p>
    <w:p>
      <w:pPr>
        <w:pStyle w:val="BodyText"/>
        <w:spacing w:line="312" w:lineRule="auto"/>
        <w:ind w:right="1113" w:firstLine="420"/>
        <w:jc w:val="both"/>
      </w:pPr>
      <w:r>
        <w:rPr/>
        <w:t>公司采用产品自主设计、生产外包、直营与加盟销售相结合的经营模式，致力于品牌建设与推广、营销网络建设和供 应链管理，组织旗下</w:t>
      </w:r>
      <w:r>
        <w:rPr>
          <w:rFonts w:ascii="Times New Roman" w:hAnsi="Times New Roman" w:cs="Times New Roman" w:eastAsia="Times New Roman" w:hint="default"/>
        </w:rPr>
        <w:t>Metersbonwe</w:t>
      </w:r>
      <w:r>
        <w:rPr/>
        <w:t>、</w:t>
      </w:r>
      <w:r>
        <w:rPr>
          <w:rFonts w:ascii="Times New Roman" w:hAnsi="Times New Roman" w:cs="Times New Roman" w:eastAsia="Times New Roman" w:hint="default"/>
        </w:rPr>
        <w:t>ME&amp;CITY</w:t>
      </w:r>
      <w:r>
        <w:rPr/>
        <w:t>、</w:t>
      </w:r>
      <w:r>
        <w:rPr>
          <w:rFonts w:ascii="Times New Roman" w:hAnsi="Times New Roman" w:cs="Times New Roman" w:eastAsia="Times New Roman" w:hint="default"/>
        </w:rPr>
        <w:t>Moomoo</w:t>
      </w:r>
      <w:r>
        <w:rPr/>
        <w:t>、</w:t>
      </w:r>
      <w:r>
        <w:rPr>
          <w:rFonts w:ascii="Times New Roman" w:hAnsi="Times New Roman" w:cs="Times New Roman" w:eastAsia="Times New Roman" w:hint="default"/>
        </w:rPr>
        <w:t>ME&amp;CITY KIDS</w:t>
      </w:r>
      <w:r>
        <w:rPr/>
        <w:t>、</w:t>
      </w:r>
      <w:r>
        <w:rPr>
          <w:rFonts w:ascii="Times New Roman" w:hAnsi="Times New Roman" w:cs="Times New Roman" w:eastAsia="Times New Roman" w:hint="default"/>
        </w:rPr>
        <w:t>CH'IN</w:t>
      </w:r>
      <w:r>
        <w:rPr/>
        <w:t>祺等品牌时尚休闲服饰产品的设计和销</w:t>
      </w:r>
      <w:r>
        <w:rPr>
          <w:spacing w:val="-89"/>
        </w:rPr>
        <w:t> </w:t>
      </w:r>
      <w:r>
        <w:rPr/>
        <w:t>售，并通过线下店铺渠道和互联网电子商务平台开展自有品牌的推广和相关时尚休闲商品的销售。</w:t>
      </w:r>
    </w:p>
    <w:p>
      <w:pPr>
        <w:pStyle w:val="BodyText"/>
        <w:spacing w:line="319" w:lineRule="auto" w:before="10"/>
        <w:ind w:right="1089" w:firstLine="420"/>
        <w:jc w:val="left"/>
      </w:pPr>
      <w:r>
        <w:rPr/>
        <w:t>服装行业主要分为服装设计研发、生产制造、品牌推广、终端销售等环节，公司设计其中的设计研发、品牌推广以及 终端销售环节。根据中国证监会颁布的《上市公司行业分类指引》（</w:t>
      </w:r>
      <w:r>
        <w:rPr>
          <w:rFonts w:ascii="Times New Roman" w:hAnsi="Times New Roman" w:cs="Times New Roman" w:eastAsia="Times New Roman" w:hint="default"/>
        </w:rPr>
        <w:t>2012</w:t>
      </w:r>
      <w:r>
        <w:rPr/>
        <w:t>年修订），本公司属于</w:t>
      </w:r>
      <w:r>
        <w:rPr>
          <w:rFonts w:ascii="Times New Roman" w:hAnsi="Times New Roman" w:cs="Times New Roman" w:eastAsia="Times New Roman" w:hint="default"/>
        </w:rPr>
        <w:t>“C</w:t>
      </w:r>
      <w:r>
        <w:rPr/>
        <w:t>制造业</w:t>
      </w:r>
      <w:r>
        <w:rPr>
          <w:rFonts w:ascii="Times New Roman" w:hAnsi="Times New Roman" w:cs="Times New Roman" w:eastAsia="Times New Roman" w:hint="default"/>
        </w:rPr>
        <w:t>”</w:t>
      </w:r>
      <w:r>
        <w:rPr/>
        <w:t>大类下的</w:t>
      </w:r>
      <w:r>
        <w:rPr>
          <w:rFonts w:ascii="Times New Roman" w:hAnsi="Times New Roman" w:cs="Times New Roman" w:eastAsia="Times New Roman" w:hint="default"/>
        </w:rPr>
        <w:t>“C18</w:t>
      </w:r>
      <w:r>
        <w:rPr/>
        <w:t>纺</w:t>
      </w:r>
      <w:r>
        <w:rPr>
          <w:spacing w:val="-82"/>
        </w:rPr>
        <w:t> </w:t>
      </w:r>
      <w:r>
        <w:rPr/>
        <w:t>织服装、服饰业</w:t>
      </w:r>
      <w:r>
        <w:rPr>
          <w:rFonts w:ascii="Times New Roman" w:hAnsi="Times New Roman" w:cs="Times New Roman" w:eastAsia="Times New Roman" w:hint="default"/>
        </w:rPr>
        <w:t>”</w:t>
      </w:r>
      <w:r>
        <w:rPr/>
        <w:t>。</w:t>
      </w:r>
    </w:p>
    <w:p>
      <w:pPr>
        <w:spacing w:line="240" w:lineRule="auto" w:before="10"/>
        <w:rPr>
          <w:rFonts w:ascii="宋体" w:hAnsi="宋体" w:cs="宋体" w:eastAsia="宋体" w:hint="default"/>
          <w:sz w:val="18"/>
          <w:szCs w:val="18"/>
        </w:rPr>
      </w:pPr>
    </w:p>
    <w:p>
      <w:pPr>
        <w:pStyle w:val="Heading2"/>
        <w:spacing w:line="240" w:lineRule="auto"/>
        <w:ind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3"/>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3034"/>
        <w:gridCol w:w="6541"/>
      </w:tblGrid>
      <w:tr>
        <w:trPr>
          <w:trHeight w:val="173" w:hRule="exact"/>
        </w:trPr>
        <w:tc>
          <w:tcPr>
            <w:tcW w:w="3034" w:type="dxa"/>
            <w:tcBorders>
              <w:top w:val="single" w:sz="6" w:space="0" w:color="000000"/>
              <w:left w:val="single" w:sz="6" w:space="0" w:color="000000"/>
              <w:bottom w:val="nil" w:sz="6" w:space="0" w:color="auto"/>
              <w:right w:val="single" w:sz="6" w:space="0" w:color="000000"/>
            </w:tcBorders>
            <w:shd w:val="clear" w:color="auto" w:fill="D2D2D2"/>
          </w:tcPr>
          <w:p>
            <w:pPr/>
          </w:p>
        </w:tc>
        <w:tc>
          <w:tcPr>
            <w:tcW w:w="654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1" w:hRule="exact"/>
        </w:trPr>
        <w:tc>
          <w:tcPr>
            <w:tcW w:w="303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4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5"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8" w:hRule="exact"/>
        </w:trPr>
        <w:tc>
          <w:tcPr>
            <w:tcW w:w="3034" w:type="dxa"/>
            <w:tcBorders>
              <w:top w:val="nil" w:sz="6" w:space="0" w:color="auto"/>
              <w:left w:val="single" w:sz="6" w:space="0" w:color="000000"/>
              <w:bottom w:val="single" w:sz="6" w:space="0" w:color="000000"/>
              <w:right w:val="single" w:sz="6" w:space="0" w:color="000000"/>
            </w:tcBorders>
            <w:shd w:val="clear" w:color="auto" w:fill="D2D2D2"/>
          </w:tcPr>
          <w:p>
            <w:pPr/>
          </w:p>
        </w:tc>
        <w:tc>
          <w:tcPr>
            <w:tcW w:w="654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5" w:hRule="exact"/>
        </w:trPr>
        <w:tc>
          <w:tcPr>
            <w:tcW w:w="30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4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7.26%</w:t>
            </w:r>
            <w:r>
              <w:rPr>
                <w:rFonts w:ascii="宋体" w:hAnsi="宋体" w:cs="宋体" w:eastAsia="宋体" w:hint="default"/>
                <w:sz w:val="18"/>
                <w:szCs w:val="18"/>
              </w:rPr>
              <w:t>，主要系确认联营企业华瑞银行投资收益所致。</w:t>
            </w:r>
          </w:p>
        </w:tc>
      </w:tr>
      <w:tr>
        <w:trPr>
          <w:trHeight w:val="405" w:hRule="exact"/>
        </w:trPr>
        <w:tc>
          <w:tcPr>
            <w:tcW w:w="30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4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较年初下降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8.74%</w:t>
            </w:r>
            <w:r>
              <w:rPr>
                <w:rFonts w:ascii="宋体" w:hAnsi="宋体" w:cs="宋体" w:eastAsia="宋体" w:hint="default"/>
                <w:sz w:val="18"/>
                <w:szCs w:val="18"/>
              </w:rPr>
              <w:t>，主要系固定资产折旧与减值计提所致。</w:t>
            </w:r>
          </w:p>
        </w:tc>
      </w:tr>
      <w:tr>
        <w:trPr>
          <w:trHeight w:val="406" w:hRule="exact"/>
        </w:trPr>
        <w:tc>
          <w:tcPr>
            <w:tcW w:w="30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4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较年初下降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38.79%</w:t>
            </w:r>
            <w:r>
              <w:rPr>
                <w:rFonts w:ascii="宋体" w:hAnsi="宋体" w:cs="宋体" w:eastAsia="宋体" w:hint="default"/>
                <w:sz w:val="18"/>
                <w:szCs w:val="18"/>
              </w:rPr>
              <w:t>，主要系无形资产摊销与减值计提所致。</w:t>
            </w:r>
          </w:p>
        </w:tc>
      </w:tr>
      <w:tr>
        <w:trPr>
          <w:trHeight w:val="390" w:hRule="exact"/>
        </w:trPr>
        <w:tc>
          <w:tcPr>
            <w:tcW w:w="30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4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较年初增加</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62.81%</w:t>
            </w:r>
            <w:r>
              <w:rPr>
                <w:rFonts w:ascii="宋体" w:hAnsi="宋体" w:cs="宋体" w:eastAsia="宋体" w:hint="default"/>
                <w:sz w:val="18"/>
                <w:szCs w:val="18"/>
              </w:rPr>
              <w:t>，主要是由于系统升级项目与总部办公楼改良。</w:t>
            </w:r>
          </w:p>
        </w:tc>
      </w:tr>
    </w:tbl>
    <w:p>
      <w:pPr>
        <w:spacing w:line="240" w:lineRule="auto" w:before="11"/>
        <w:rPr>
          <w:rFonts w:ascii="宋体" w:hAnsi="宋体" w:cs="宋体" w:eastAsia="宋体" w:hint="default"/>
          <w:b/>
          <w:bCs/>
          <w:sz w:val="19"/>
          <w:szCs w:val="19"/>
        </w:rPr>
      </w:pPr>
    </w:p>
    <w:p>
      <w:pPr>
        <w:pStyle w:val="Heading5"/>
        <w:spacing w:line="240" w:lineRule="auto" w:before="35"/>
        <w:ind w:right="0"/>
        <w:jc w:val="both"/>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both"/>
        <w:rPr>
          <w:b w:val="0"/>
          <w:bCs w:val="0"/>
        </w:rPr>
      </w:pPr>
      <w:bookmarkStart w:name="三、核心竞争力分析" w:id="22"/>
      <w:bookmarkEnd w:id="22"/>
      <w:r>
        <w:rPr>
          <w:b w:val="0"/>
          <w:bCs w:val="0"/>
        </w:rPr>
      </w:r>
      <w:r>
        <w:rPr/>
        <w:t>三、核心竞争力分析</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left="561" w:right="0"/>
        <w:jc w:val="left"/>
      </w:pPr>
      <w:r>
        <w:rPr>
          <w:rFonts w:ascii="宋体" w:hAnsi="宋体" w:cs="宋体" w:eastAsia="宋体" w:hint="default"/>
        </w:rPr>
        <w:t>1</w:t>
      </w:r>
      <w:r>
        <w:rPr/>
        <w:t>、品牌优势</w:t>
      </w:r>
    </w:p>
    <w:p>
      <w:pPr>
        <w:pStyle w:val="BodyText"/>
        <w:spacing w:line="316" w:lineRule="auto" w:before="80"/>
        <w:ind w:right="0" w:firstLine="420"/>
        <w:jc w:val="left"/>
      </w:pPr>
      <w:r>
        <w:rPr/>
        <w:t>本公司紧密地围绕</w:t>
      </w:r>
      <w:r>
        <w:rPr>
          <w:rFonts w:ascii="宋体" w:hAnsi="宋体" w:cs="宋体" w:eastAsia="宋体" w:hint="default"/>
        </w:rPr>
        <w:t>Metersbonwe</w:t>
      </w:r>
      <w:r>
        <w:rPr/>
        <w:t>、</w:t>
      </w:r>
      <w:r>
        <w:rPr>
          <w:rFonts w:ascii="宋体" w:hAnsi="宋体" w:cs="宋体" w:eastAsia="宋体" w:hint="default"/>
        </w:rPr>
        <w:t>ME&amp;CITY</w:t>
      </w:r>
      <w:r>
        <w:rPr/>
        <w:t>、</w:t>
      </w:r>
      <w:r>
        <w:rPr>
          <w:rFonts w:ascii="宋体" w:hAnsi="宋体" w:cs="宋体" w:eastAsia="宋体" w:hint="default"/>
        </w:rPr>
        <w:t>Moomoo</w:t>
      </w:r>
      <w:r>
        <w:rPr/>
        <w:t>、</w:t>
      </w:r>
      <w:r>
        <w:rPr>
          <w:rFonts w:ascii="宋体" w:hAnsi="宋体" w:cs="宋体" w:eastAsia="宋体" w:hint="default"/>
        </w:rPr>
        <w:t>ME&amp;CITY</w:t>
      </w:r>
      <w:r>
        <w:rPr>
          <w:rFonts w:ascii="宋体" w:hAnsi="宋体" w:cs="宋体" w:eastAsia="宋体" w:hint="default"/>
          <w:spacing w:val="-43"/>
        </w:rPr>
        <w:t> </w:t>
      </w:r>
      <w:r>
        <w:rPr>
          <w:rFonts w:ascii="宋体" w:hAnsi="宋体" w:cs="宋体" w:eastAsia="宋体" w:hint="default"/>
        </w:rPr>
        <w:t>KIDS</w:t>
      </w:r>
      <w:r>
        <w:rPr/>
        <w:t>、</w:t>
      </w:r>
      <w:r>
        <w:rPr>
          <w:rFonts w:ascii="宋体" w:hAnsi="宋体" w:cs="宋体" w:eastAsia="宋体" w:hint="default"/>
        </w:rPr>
        <w:t>CH'IN</w:t>
      </w:r>
      <w:r>
        <w:rPr/>
        <w:t>祺这五大品牌的定位、价值与个性，通过产 </w:t>
      </w:r>
      <w:r>
        <w:rPr>
          <w:spacing w:val="-2"/>
        </w:rPr>
        <w:t>品设计、产品陈列、店铺设计、广告投放、签约代言和各类营销活动塑造品牌特性，借助目标消费群体所关注的国内外各类</w:t>
      </w:r>
      <w:r>
        <w:rPr>
          <w:spacing w:val="-57"/>
        </w:rPr>
        <w:t> </w:t>
      </w:r>
      <w:r>
        <w:rPr>
          <w:spacing w:val="-57"/>
        </w:rPr>
      </w:r>
      <w:r>
        <w:rPr/>
        <w:t>公众、时尚事件，进行高频率、多层次的整合营销活动，不断提升五大品牌的品牌形象，</w:t>
      </w:r>
      <w:r>
        <w:rPr>
          <w:rFonts w:ascii="宋体" w:hAnsi="宋体" w:cs="宋体" w:eastAsia="宋体" w:hint="default"/>
        </w:rPr>
        <w:t>Metersbonwe</w:t>
      </w:r>
      <w:r>
        <w:rPr/>
        <w:t>品牌不仅在市场调研</w:t>
      </w:r>
      <w:r>
        <w:rPr>
          <w:spacing w:val="-81"/>
        </w:rPr>
        <w:t> </w:t>
      </w:r>
      <w:r>
        <w:rPr>
          <w:spacing w:val="-2"/>
        </w:rPr>
        <w:t>结果中名列前茅，也同时获得了国内及国际各类权威机构的认可，并于</w:t>
      </w:r>
      <w:r>
        <w:rPr>
          <w:rFonts w:ascii="宋体" w:hAnsi="宋体" w:cs="宋体" w:eastAsia="宋体" w:hint="default"/>
          <w:spacing w:val="-2"/>
        </w:rPr>
        <w:t>2006</w:t>
      </w:r>
      <w:r>
        <w:rPr>
          <w:spacing w:val="-2"/>
        </w:rPr>
        <w:t>年</w:t>
      </w:r>
      <w:r>
        <w:rPr>
          <w:rFonts w:ascii="宋体" w:hAnsi="宋体" w:cs="宋体" w:eastAsia="宋体" w:hint="default"/>
          <w:spacing w:val="-2"/>
        </w:rPr>
        <w:t>3</w:t>
      </w:r>
      <w:r>
        <w:rPr>
          <w:spacing w:val="-2"/>
        </w:rPr>
        <w:t>月获得了国家商标局颁发的“中国驰名商标”</w:t>
      </w:r>
      <w:r>
        <w:rPr>
          <w:spacing w:val="-62"/>
        </w:rPr>
        <w:t> </w:t>
      </w:r>
      <w:r>
        <w:rPr>
          <w:spacing w:val="-62"/>
        </w:rPr>
      </w:r>
      <w:r>
        <w:rPr/>
        <w:t>称号。同时，本公司实现</w:t>
      </w:r>
      <w:r>
        <w:rPr>
          <w:rFonts w:ascii="宋体" w:hAnsi="宋体" w:cs="宋体" w:eastAsia="宋体" w:hint="default"/>
        </w:rPr>
        <w:t>Metersbonwe</w:t>
      </w:r>
      <w:r>
        <w:rPr/>
        <w:t>品牌升级裂变，全面向风格化及品质化推进。</w:t>
      </w:r>
    </w:p>
    <w:p>
      <w:pPr>
        <w:spacing w:line="240" w:lineRule="auto" w:before="10"/>
        <w:rPr>
          <w:rFonts w:ascii="宋体" w:hAnsi="宋体" w:cs="宋体" w:eastAsia="宋体" w:hint="default"/>
          <w:sz w:val="25"/>
          <w:szCs w:val="25"/>
        </w:rPr>
      </w:pPr>
    </w:p>
    <w:p>
      <w:pPr>
        <w:pStyle w:val="BodyText"/>
        <w:spacing w:line="307" w:lineRule="auto"/>
        <w:ind w:left="561" w:right="1149"/>
        <w:jc w:val="left"/>
      </w:pPr>
      <w:r>
        <w:rPr>
          <w:rFonts w:ascii="宋体" w:hAnsi="宋体" w:cs="宋体" w:eastAsia="宋体" w:hint="default"/>
        </w:rPr>
        <w:t>2</w:t>
      </w:r>
      <w:r>
        <w:rPr/>
        <w:t>、产品设计开发优势 公司的设计团队多年来始终坚持国际化与本土化相结合，以自主培养设计师为主的原则组建设计团队。设计团队自建</w:t>
      </w:r>
    </w:p>
    <w:p>
      <w:pPr>
        <w:pStyle w:val="BodyText"/>
        <w:spacing w:line="321" w:lineRule="auto" w:before="29"/>
        <w:ind w:right="1106"/>
        <w:jc w:val="both"/>
      </w:pPr>
      <w:r>
        <w:rPr>
          <w:spacing w:val="-2"/>
        </w:rPr>
        <w:t>设伊始一直保持了很好的稳定性，设计人员年龄结构分布均匀，使得设计团队在保持年轻活力的同时也令国际化资深设计师</w:t>
      </w:r>
      <w:r>
        <w:rPr>
          <w:spacing w:val="-72"/>
        </w:rPr>
        <w:t> </w:t>
      </w:r>
      <w:r>
        <w:rPr>
          <w:spacing w:val="-72"/>
        </w:rPr>
      </w:r>
      <w:r>
        <w:rPr>
          <w:spacing w:val="-2"/>
        </w:rPr>
        <w:t>经验得到了有效传承。公司产品设计的最大特点在于保持了感性与理性的平衡，不仅从国际、国内的流行时尚情况、对自有</w:t>
      </w:r>
      <w:r>
        <w:rPr>
          <w:spacing w:val="-42"/>
        </w:rPr>
        <w:t> </w:t>
      </w:r>
      <w:r>
        <w:rPr>
          <w:spacing w:val="-42"/>
        </w:rPr>
      </w:r>
      <w:r>
        <w:rPr>
          <w:spacing w:val="-2"/>
        </w:rPr>
        <w:t>品牌定位、国内不同区域消费者对服装款式的不同需求、竞争对手的产品设计和过往公司各类产品的销售情况出发，也综合</w:t>
      </w:r>
      <w:r>
        <w:rPr>
          <w:spacing w:val="-75"/>
        </w:rPr>
        <w:t> </w:t>
      </w:r>
      <w:r>
        <w:rPr>
          <w:spacing w:val="-75"/>
        </w:rPr>
      </w:r>
      <w:r>
        <w:rPr/>
        <w:t>考虑了供应链下游各加盟商所处的各地市场和其店铺情况的独特性，以及对供应链上游供应商的生产成本控制的要求。</w:t>
      </w:r>
    </w:p>
    <w:p>
      <w:pPr>
        <w:spacing w:after="0" w:line="321"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240" w:lineRule="auto"/>
        <w:ind w:left="561" w:right="0"/>
        <w:jc w:val="left"/>
      </w:pPr>
      <w:r>
        <w:rPr>
          <w:rFonts w:ascii="宋体" w:hAnsi="宋体" w:cs="宋体" w:eastAsia="宋体" w:hint="default"/>
        </w:rPr>
        <w:t>3</w:t>
      </w:r>
      <w:r>
        <w:rPr/>
        <w:t>、营销网络优势</w:t>
      </w:r>
    </w:p>
    <w:p>
      <w:pPr>
        <w:pStyle w:val="BodyText"/>
        <w:spacing w:line="307" w:lineRule="auto" w:before="80"/>
        <w:ind w:left="561" w:right="1149"/>
        <w:jc w:val="left"/>
      </w:pPr>
      <w:r>
        <w:rPr/>
        <w:t>（</w:t>
      </w:r>
      <w:r>
        <w:rPr>
          <w:rFonts w:ascii="宋体" w:hAnsi="宋体" w:cs="宋体" w:eastAsia="宋体" w:hint="default"/>
        </w:rPr>
        <w:t>1</w:t>
      </w:r>
      <w:r>
        <w:rPr/>
        <w:t>）营销网络布局优势 本公司直营店与加盟店营销网络遍布全国，其中直营店在公司营销网络布局战略中发挥着重要的作用。公司通过在重</w:t>
      </w:r>
    </w:p>
    <w:p>
      <w:pPr>
        <w:pStyle w:val="BodyText"/>
        <w:spacing w:line="319" w:lineRule="auto" w:before="29"/>
        <w:ind w:right="1128"/>
        <w:jc w:val="both"/>
      </w:pPr>
      <w:r>
        <w:rPr>
          <w:spacing w:val="-2"/>
        </w:rPr>
        <w:t>点一线城市建立销售子公司并开设直营店的方式，有效地提升品牌的影响力和知名度，并能够更加深入的推动管理创新和品</w:t>
      </w:r>
      <w:r>
        <w:rPr>
          <w:spacing w:val="-72"/>
        </w:rPr>
        <w:t> </w:t>
      </w:r>
      <w:r>
        <w:rPr>
          <w:spacing w:val="-72"/>
        </w:rPr>
      </w:r>
      <w:r>
        <w:rPr>
          <w:spacing w:val="-2"/>
        </w:rPr>
        <w:t>牌升级，从而对一线城市周边和二、三线市场产生有力的辐射作用。公司品牌和产品形象的提升吸引了更多优质加盟商的加</w:t>
      </w:r>
      <w:r>
        <w:rPr>
          <w:spacing w:val="-75"/>
        </w:rPr>
        <w:t> </w:t>
      </w:r>
      <w:r>
        <w:rPr>
          <w:spacing w:val="-75"/>
        </w:rPr>
      </w:r>
      <w:r>
        <w:rPr>
          <w:spacing w:val="-2"/>
        </w:rPr>
        <w:t>入，使得公司可以借助加盟商的人力、物力和财力进行迅速的市场拓展与渗透。通过在直营店和加盟店数量和销售面积上的</w:t>
      </w:r>
      <w:r>
        <w:rPr>
          <w:spacing w:val="-66"/>
        </w:rPr>
        <w:t> </w:t>
      </w:r>
      <w:r>
        <w:rPr>
          <w:spacing w:val="-66"/>
        </w:rPr>
      </w:r>
      <w:r>
        <w:rPr>
          <w:spacing w:val="-2"/>
        </w:rPr>
        <w:t>合理配比，满足市场消费者的差异化需求的同时达到了提升销售业绩与拓展销售渠道的有效平衡；通过直营店和加盟店在时</w:t>
      </w:r>
      <w:r>
        <w:rPr>
          <w:spacing w:val="-72"/>
        </w:rPr>
        <w:t> </w:t>
      </w:r>
      <w:r>
        <w:rPr>
          <w:spacing w:val="-72"/>
        </w:rPr>
      </w:r>
      <w:r>
        <w:rPr>
          <w:spacing w:val="-2"/>
        </w:rPr>
        <w:t>间和空间上的战略性布局，覆盖了全国大部分重点省市，并在某些地区占据了市场主导地位，为未来进一步扩大市场份额打</w:t>
      </w:r>
      <w:r>
        <w:rPr>
          <w:spacing w:val="-75"/>
        </w:rPr>
        <w:t> </w:t>
      </w:r>
      <w:r>
        <w:rPr>
          <w:spacing w:val="-75"/>
        </w:rPr>
      </w:r>
      <w:r>
        <w:rPr/>
        <w:t>下了坚实的基础。</w:t>
      </w:r>
    </w:p>
    <w:p>
      <w:pPr>
        <w:spacing w:line="240" w:lineRule="auto" w:before="8"/>
        <w:rPr>
          <w:rFonts w:ascii="宋体" w:hAnsi="宋体" w:cs="宋体" w:eastAsia="宋体" w:hint="default"/>
          <w:sz w:val="25"/>
          <w:szCs w:val="25"/>
        </w:rPr>
      </w:pPr>
    </w:p>
    <w:p>
      <w:pPr>
        <w:pStyle w:val="BodyText"/>
        <w:spacing w:line="321" w:lineRule="auto"/>
        <w:ind w:left="561" w:right="1149"/>
        <w:jc w:val="left"/>
      </w:pPr>
      <w:r>
        <w:rPr/>
        <w:t>（</w:t>
      </w:r>
      <w:r>
        <w:rPr>
          <w:rFonts w:ascii="宋体" w:hAnsi="宋体" w:cs="宋体" w:eastAsia="宋体" w:hint="default"/>
        </w:rPr>
        <w:t>2</w:t>
      </w:r>
      <w:r>
        <w:rPr/>
        <w:t>）营销网络管理能力优势 借助多年来营销网络建设和管理经验，公司已发展出一套针对由直营店和加盟店所组成的混合营销网络的成熟管理方</w:t>
      </w:r>
    </w:p>
    <w:p>
      <w:pPr>
        <w:pStyle w:val="BodyText"/>
        <w:spacing w:line="319" w:lineRule="auto" w:before="3"/>
        <w:ind w:right="1029"/>
        <w:jc w:val="left"/>
      </w:pPr>
      <w:r>
        <w:rPr>
          <w:spacing w:val="-2"/>
        </w:rPr>
        <w:t>法，有力地支持了公司营销网络的拓展与维护。在终端管理方面，直营和加盟渠道开始全面实施的终端形象升级、店铺管理</w:t>
      </w:r>
      <w:r>
        <w:rPr>
          <w:spacing w:val="-42"/>
        </w:rPr>
        <w:t> </w:t>
      </w:r>
      <w:r>
        <w:rPr>
          <w:spacing w:val="-42"/>
        </w:rPr>
      </w:r>
      <w:r>
        <w:rPr>
          <w:spacing w:val="-2"/>
        </w:rPr>
        <w:t>标准化、精细化、促销管理精细化已经取得了显著成效。通过店铺形象升级、新渠道的开发、标准店铺模块化管理、授权店</w:t>
      </w:r>
      <w:r>
        <w:rPr>
          <w:spacing w:val="-71"/>
        </w:rPr>
        <w:t> </w:t>
      </w:r>
      <w:r>
        <w:rPr>
          <w:spacing w:val="-71"/>
        </w:rPr>
      </w:r>
      <w:r>
        <w:rPr/>
        <w:t>经理负责制等举措，店铺更时尚精致，店铺运作与消费者需求紧密结合。在加盟商管理方面，公司在店铺开设、日常运营、 </w:t>
      </w:r>
      <w:r>
        <w:rPr>
          <w:spacing w:val="-2"/>
        </w:rPr>
        <w:t>信息系统运用、销售培训、信用支持、物流运输等方面给予加盟商全方位的支持，着力培育有潜力的加盟商，全力激发加盟</w:t>
      </w:r>
      <w:r>
        <w:rPr>
          <w:spacing w:val="-57"/>
        </w:rPr>
        <w:t> </w:t>
      </w:r>
      <w:r>
        <w:rPr>
          <w:spacing w:val="-57"/>
        </w:rPr>
      </w:r>
      <w:r>
        <w:rPr>
          <w:spacing w:val="-2"/>
        </w:rPr>
        <w:t>商的网络拓展热情，注重长期战略伙伴关系的建立。公司通过覆盖所有直营和加盟店铺的信息管理系统及时获取并分析销售</w:t>
      </w:r>
      <w:r>
        <w:rPr>
          <w:spacing w:val="-72"/>
        </w:rPr>
        <w:t> </w:t>
      </w:r>
      <w:r>
        <w:rPr>
          <w:spacing w:val="-72"/>
        </w:rPr>
      </w:r>
      <w:r>
        <w:rPr/>
        <w:t>终端的情况，形成了公司优秀的营销网络管理能力。</w:t>
      </w:r>
    </w:p>
    <w:p>
      <w:pPr>
        <w:spacing w:line="240" w:lineRule="auto" w:before="8"/>
        <w:rPr>
          <w:rFonts w:ascii="宋体" w:hAnsi="宋体" w:cs="宋体" w:eastAsia="宋体" w:hint="default"/>
          <w:sz w:val="25"/>
          <w:szCs w:val="25"/>
        </w:rPr>
      </w:pPr>
    </w:p>
    <w:p>
      <w:pPr>
        <w:pStyle w:val="BodyText"/>
        <w:spacing w:line="321" w:lineRule="auto"/>
        <w:ind w:left="561" w:right="1149"/>
        <w:jc w:val="left"/>
      </w:pPr>
      <w:r>
        <w:rPr>
          <w:rFonts w:ascii="宋体" w:hAnsi="宋体" w:cs="宋体" w:eastAsia="宋体" w:hint="default"/>
        </w:rPr>
        <w:t>4</w:t>
      </w:r>
      <w:r>
        <w:rPr/>
        <w:t>、供应链管理能力优势 经过近年努力，公司始终不断探索并建立一条能充分适应国内休闲服装业情况以及公司业务现状与未来发展方向的供</w:t>
      </w:r>
    </w:p>
    <w:p>
      <w:pPr>
        <w:pStyle w:val="BodyText"/>
        <w:spacing w:line="316" w:lineRule="auto" w:before="18"/>
        <w:ind w:right="1106"/>
        <w:jc w:val="both"/>
      </w:pPr>
      <w:r>
        <w:rPr>
          <w:spacing w:val="-2"/>
        </w:rPr>
        <w:t>应链和相应的供应链管理方法，构筑起强大的供应链管理能力。公司的供应链基本实现了商务流、信息流、物流和资金流的</w:t>
      </w:r>
      <w:r>
        <w:rPr>
          <w:spacing w:val="-42"/>
        </w:rPr>
        <w:t> </w:t>
      </w:r>
      <w:r>
        <w:rPr>
          <w:spacing w:val="-42"/>
        </w:rPr>
      </w:r>
      <w:r>
        <w:rPr>
          <w:spacing w:val="-2"/>
        </w:rPr>
        <w:t>结合与同步，不断把国际化管理的标准引入到我们供应链管理中去，加快整合供应链资源，建立从源头到终端一致性、标准</w:t>
      </w:r>
      <w:r>
        <w:rPr>
          <w:spacing w:val="-42"/>
        </w:rPr>
        <w:t> </w:t>
      </w:r>
      <w:r>
        <w:rPr>
          <w:spacing w:val="-42"/>
        </w:rPr>
      </w:r>
      <w:r>
        <w:rPr>
          <w:spacing w:val="-2"/>
        </w:rPr>
        <w:t>化的管理体系。通过对直营和加盟店的差异化管理，以及各方在硬件和软件上的标准化，正逐步构建起一条能适应休闲服装</w:t>
      </w:r>
      <w:r>
        <w:rPr>
          <w:spacing w:val="-75"/>
        </w:rPr>
        <w:t> </w:t>
      </w:r>
      <w:r>
        <w:rPr>
          <w:spacing w:val="-75"/>
        </w:rPr>
      </w:r>
      <w:r>
        <w:rPr/>
        <w:t>零售业特征的，具备对客户需求快速反应的敏捷型供应链。</w:t>
      </w:r>
    </w:p>
    <w:p>
      <w:pPr>
        <w:spacing w:line="240" w:lineRule="auto" w:before="10"/>
        <w:rPr>
          <w:rFonts w:ascii="宋体" w:hAnsi="宋体" w:cs="宋体" w:eastAsia="宋体" w:hint="default"/>
          <w:sz w:val="25"/>
          <w:szCs w:val="25"/>
        </w:rPr>
      </w:pPr>
    </w:p>
    <w:p>
      <w:pPr>
        <w:pStyle w:val="BodyText"/>
        <w:spacing w:line="304" w:lineRule="auto"/>
        <w:ind w:left="561" w:right="1149"/>
        <w:jc w:val="left"/>
      </w:pPr>
      <w:r>
        <w:rPr>
          <w:rFonts w:ascii="宋体" w:hAnsi="宋体" w:cs="宋体" w:eastAsia="宋体" w:hint="default"/>
        </w:rPr>
        <w:t>5</w:t>
      </w:r>
      <w:r>
        <w:rPr/>
        <w:t>、信息管理系统优势 一直以来，本公司的信息化战略与企业的发展保持着高度的融合，信息技术的运用以及信息化战略的制定与执行均与</w:t>
      </w:r>
    </w:p>
    <w:p>
      <w:pPr>
        <w:pStyle w:val="BodyText"/>
        <w:spacing w:line="321" w:lineRule="auto" w:before="31"/>
        <w:ind w:right="1029"/>
        <w:jc w:val="left"/>
      </w:pPr>
      <w:r>
        <w:rPr/>
        <w:t>公司的业务深度结合。公司持续对信息系统进行投入和改进，紧密围绕公司核心业务，优化和完善公司在全国的营销网络； 同时改进公司信息管理系统，对日益增长的业务起到有效支持和推进作用。</w:t>
      </w:r>
    </w:p>
    <w:p>
      <w:pPr>
        <w:pStyle w:val="BodyText"/>
        <w:spacing w:line="314" w:lineRule="auto" w:before="19"/>
        <w:ind w:right="1115" w:firstLine="420"/>
        <w:jc w:val="left"/>
      </w:pPr>
      <w:r>
        <w:rPr/>
        <w:t>公司目前使用的同时具备标准化和针对供应链各方差异化的信息管理系统，建立在休闲服装零售业整条供应链的基础 </w:t>
      </w:r>
      <w:r>
        <w:rPr>
          <w:spacing w:val="-2"/>
        </w:rPr>
        <w:t>之上，在数据库和软件应用底层完全整合；大幅度提升了公司的运营效率，增强了持续发展能力，核心竞争力亦获得到进一</w:t>
      </w:r>
      <w:r>
        <w:rPr>
          <w:spacing w:val="-42"/>
        </w:rPr>
        <w:t> </w:t>
      </w:r>
      <w:r>
        <w:rPr>
          <w:spacing w:val="-42"/>
        </w:rPr>
      </w:r>
      <w:r>
        <w:rPr/>
        <w:t>步提高。</w:t>
      </w:r>
    </w:p>
    <w:p>
      <w:pPr>
        <w:spacing w:line="240" w:lineRule="auto" w:before="12"/>
        <w:rPr>
          <w:rFonts w:ascii="宋体" w:hAnsi="宋体" w:cs="宋体" w:eastAsia="宋体" w:hint="default"/>
          <w:sz w:val="25"/>
          <w:szCs w:val="25"/>
        </w:rPr>
      </w:pPr>
    </w:p>
    <w:p>
      <w:pPr>
        <w:pStyle w:val="BodyText"/>
        <w:spacing w:line="321" w:lineRule="auto"/>
        <w:ind w:left="561" w:right="0"/>
        <w:jc w:val="left"/>
      </w:pPr>
      <w:r>
        <w:rPr>
          <w:rFonts w:ascii="宋体" w:hAnsi="宋体" w:cs="宋体" w:eastAsia="宋体" w:hint="default"/>
        </w:rPr>
        <w:t>6</w:t>
      </w:r>
      <w:r>
        <w:rPr/>
        <w:t>、物流系统优势 </w:t>
      </w:r>
      <w:r>
        <w:rPr>
          <w:spacing w:val="-1"/>
        </w:rPr>
        <w:t>公司目前拥有</w:t>
      </w:r>
      <w:r>
        <w:rPr>
          <w:rFonts w:ascii="宋体" w:hAnsi="宋体" w:cs="宋体" w:eastAsia="宋体" w:hint="default"/>
          <w:spacing w:val="-1"/>
        </w:rPr>
        <w:t>8</w:t>
      </w:r>
      <w:r>
        <w:rPr>
          <w:spacing w:val="-1"/>
        </w:rPr>
        <w:t>大区域物流中心：上海、温州、沈阳、东莞、西安、成都、天津和武汉，主要负责所辖区域内货物的存</w:t>
      </w:r>
    </w:p>
    <w:p>
      <w:pPr>
        <w:pStyle w:val="BodyText"/>
        <w:spacing w:line="314" w:lineRule="auto" w:before="18"/>
        <w:ind w:right="1029"/>
        <w:jc w:val="left"/>
      </w:pPr>
      <w:r>
        <w:rPr/>
        <w:t>放和配送，形成运行高效的三级配送体系：从工厂运送至区域物流中心，然后分拣配送至分公司仓库，最后配送至各店铺。 </w:t>
      </w:r>
      <w:r>
        <w:rPr>
          <w:spacing w:val="-2"/>
        </w:rPr>
        <w:t>上海六灶物流中心日均可达到</w:t>
      </w:r>
      <w:r>
        <w:rPr>
          <w:rFonts w:ascii="宋体" w:hAnsi="宋体" w:cs="宋体" w:eastAsia="宋体" w:hint="default"/>
          <w:spacing w:val="-2"/>
        </w:rPr>
        <w:t>50</w:t>
      </w:r>
      <w:r>
        <w:rPr>
          <w:spacing w:val="-2"/>
        </w:rPr>
        <w:t>万件服饰产品的物流处理能力，大大提高了交叉转运的运作能力，实摘果拣选模式和播种拣</w:t>
      </w:r>
      <w:r>
        <w:rPr>
          <w:spacing w:val="-67"/>
        </w:rPr>
        <w:t> </w:t>
      </w:r>
      <w:r>
        <w:rPr>
          <w:spacing w:val="-67"/>
        </w:rPr>
      </w:r>
      <w:r>
        <w:rPr/>
        <w:t>选模式的兼容转换，大幅度的提升了供应链物流的快速流通能力和效率，有效支持了企业的战略发展。</w:t>
      </w:r>
    </w:p>
    <w:p>
      <w:pPr>
        <w:spacing w:line="240" w:lineRule="auto" w:before="12"/>
        <w:rPr>
          <w:rFonts w:ascii="宋体" w:hAnsi="宋体" w:cs="宋体" w:eastAsia="宋体" w:hint="default"/>
          <w:sz w:val="25"/>
          <w:szCs w:val="25"/>
        </w:rPr>
      </w:pPr>
    </w:p>
    <w:p>
      <w:pPr>
        <w:pStyle w:val="BodyText"/>
        <w:spacing w:line="321" w:lineRule="auto"/>
        <w:ind w:left="561" w:right="1149"/>
        <w:jc w:val="left"/>
      </w:pPr>
      <w:r>
        <w:rPr>
          <w:rFonts w:ascii="宋体" w:hAnsi="宋体" w:cs="宋体" w:eastAsia="宋体" w:hint="default"/>
        </w:rPr>
        <w:t>7</w:t>
      </w:r>
      <w:r>
        <w:rPr/>
        <w:t>、较强的风险管控能力 公司深刻认识到风险管控对于企业长远发展的重要意义，并能针对经营过程中面临的各种风险采取相应的应对措施，</w:t>
      </w:r>
    </w:p>
    <w:p>
      <w:pPr>
        <w:pStyle w:val="BodyText"/>
        <w:spacing w:line="240" w:lineRule="auto" w:before="3"/>
        <w:ind w:right="0"/>
        <w:jc w:val="left"/>
      </w:pPr>
      <w:r>
        <w:rPr>
          <w:spacing w:val="-4"/>
        </w:rPr>
        <w:t>体现了较强的风险管控能力。公司针对可能的财务风险，一直保持稳健谨慎的财务策略，努力提升资产质量、丰富融资渠道，</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left="561" w:right="1509" w:hanging="421"/>
        <w:jc w:val="left"/>
      </w:pPr>
      <w:r>
        <w:rPr/>
        <w:t>在银行间市场及合作的商业银行均建立良好的信誉。 经营风险方面，公司针对注重时尚活力的年轻消费者群体以大众化的价格不断挖掘该细分市场的不同需求。目前</w:t>
      </w:r>
    </w:p>
    <w:p>
      <w:pPr>
        <w:pStyle w:val="BodyText"/>
        <w:spacing w:line="316" w:lineRule="auto" w:before="18"/>
        <w:ind w:right="1096"/>
        <w:jc w:val="both"/>
      </w:pPr>
      <w:r>
        <w:rPr>
          <w:rFonts w:ascii="宋体" w:hAnsi="宋体" w:cs="宋体" w:eastAsia="宋体" w:hint="default"/>
        </w:rPr>
        <w:t>Metersbonwe</w:t>
      </w:r>
      <w:r>
        <w:rPr/>
        <w:t>、</w:t>
      </w:r>
      <w:r>
        <w:rPr>
          <w:rFonts w:ascii="宋体" w:hAnsi="宋体" w:cs="宋体" w:eastAsia="宋体" w:hint="default"/>
        </w:rPr>
        <w:t>ME&amp;CITY</w:t>
      </w:r>
      <w:r>
        <w:rPr/>
        <w:t>、</w:t>
      </w:r>
      <w:r>
        <w:rPr>
          <w:rFonts w:ascii="宋体" w:hAnsi="宋体" w:cs="宋体" w:eastAsia="宋体" w:hint="default"/>
        </w:rPr>
        <w:t>Moomoo</w:t>
      </w:r>
      <w:r>
        <w:rPr/>
        <w:t>、</w:t>
      </w:r>
      <w:r>
        <w:rPr>
          <w:rFonts w:ascii="宋体" w:hAnsi="宋体" w:cs="宋体" w:eastAsia="宋体" w:hint="default"/>
        </w:rPr>
        <w:t>ME&amp;CITY KIDS</w:t>
      </w:r>
      <w:r>
        <w:rPr/>
        <w:t>、</w:t>
      </w:r>
      <w:r>
        <w:rPr>
          <w:rFonts w:ascii="宋体" w:hAnsi="宋体" w:cs="宋体" w:eastAsia="宋体" w:hint="default"/>
        </w:rPr>
        <w:t>CH'IN</w:t>
      </w:r>
      <w:r>
        <w:rPr/>
        <w:t>祺品牌清晰的市场定位使公司从产品开发、设计到生产、销售都紧 </w:t>
      </w:r>
      <w:r>
        <w:rPr>
          <w:spacing w:val="-1"/>
        </w:rPr>
        <w:t>紧围绕目标消费群的需求。同时，针对服装行业经营业绩季节性波动的风险，公司主动采取了稳健经营的策略，采取深度款</w:t>
      </w:r>
      <w:r>
        <w:rPr>
          <w:spacing w:val="-85"/>
        </w:rPr>
        <w:t> </w:t>
      </w:r>
      <w:r>
        <w:rPr>
          <w:spacing w:val="-85"/>
        </w:rPr>
      </w:r>
      <w:r>
        <w:rPr>
          <w:spacing w:val="-2"/>
        </w:rPr>
        <w:t>挖掘、精选畅销款式以及有效降低服饰成本等方式降低经营风险，并根据南北方温差情况适度灵活调配货品的货量供应及上</w:t>
      </w:r>
      <w:r>
        <w:rPr>
          <w:spacing w:val="-72"/>
        </w:rPr>
        <w:t> </w:t>
      </w:r>
      <w:r>
        <w:rPr>
          <w:spacing w:val="-72"/>
        </w:rPr>
      </w:r>
      <w:r>
        <w:rPr/>
        <w:t>市节奏。</w:t>
      </w:r>
    </w:p>
    <w:p>
      <w:pPr>
        <w:pStyle w:val="BodyText"/>
        <w:spacing w:line="314" w:lineRule="auto" w:before="22"/>
        <w:ind w:right="1029" w:firstLine="420"/>
        <w:jc w:val="left"/>
      </w:pPr>
      <w:r>
        <w:rPr/>
        <w:t>管理风险方面，对于直营体系，由各自分属的销售子公司负责管理。为充分发挥直营店在提升公司形象和支持市场拓 展战略方面的作用，公司针对直营店制定了全方位的管理体系；对于加盟渠道，针对加盟建立与直营一样的高效管理团队， 在充分借鉴直营管理经验的基础上，帮助加盟商与直营一样持续提高管理能力，实现可持续的发展。</w:t>
      </w:r>
    </w:p>
    <w:p>
      <w:pPr>
        <w:spacing w:after="0" w:line="314"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left="3040" w:right="0"/>
        <w:jc w:val="left"/>
        <w:rPr>
          <w:b w:val="0"/>
          <w:bCs w:val="0"/>
        </w:rPr>
      </w:pPr>
      <w:bookmarkStart w:name="第四节经营情况讨论与分析" w:id="23"/>
      <w:bookmarkEnd w:id="23"/>
      <w:r>
        <w:rPr>
          <w:b w:val="0"/>
          <w:bCs w:val="0"/>
        </w:rPr>
      </w:r>
      <w:bookmarkStart w:name="_bookmark3" w:id="24"/>
      <w:bookmarkEnd w:id="24"/>
      <w:r>
        <w:rPr>
          <w:b w:val="0"/>
          <w:bCs w:val="0"/>
        </w:rPr>
      </w:r>
      <w:r>
        <w:rPr>
          <w:spacing w:val="5"/>
        </w:rPr>
        <w:t>第四节经营情况讨论与分析</w:t>
      </w:r>
      <w:r>
        <w:rPr>
          <w:b w:val="0"/>
          <w:bCs w:val="0"/>
          <w:spacing w:val="5"/>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7"/>
          <w:szCs w:val="17"/>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1"/>
        <w:rPr>
          <w:rFonts w:ascii="宋体" w:hAnsi="宋体" w:cs="宋体" w:eastAsia="宋体" w:hint="default"/>
          <w:b/>
          <w:bCs/>
          <w:sz w:val="26"/>
          <w:szCs w:val="26"/>
        </w:rPr>
      </w:pPr>
    </w:p>
    <w:p>
      <w:pPr>
        <w:pStyle w:val="BodyText"/>
        <w:spacing w:line="307" w:lineRule="auto"/>
        <w:ind w:right="1136" w:firstLine="420"/>
        <w:jc w:val="both"/>
      </w:pPr>
      <w:r>
        <w:rPr/>
        <w:t>报告期内，公司围绕五大品牌发展，持续完善品牌升级、产品升级、渠道升级以及零售升级。同时，积极拥抱消费业 态变化，全面启动以大数据为基础的数字化能力变革、新零售策略升级及供应链模式创新。</w:t>
      </w:r>
    </w:p>
    <w:p>
      <w:pPr>
        <w:pStyle w:val="BodyText"/>
        <w:spacing w:line="288" w:lineRule="auto" w:before="44"/>
        <w:ind w:left="636" w:right="1125"/>
        <w:jc w:val="left"/>
      </w:pPr>
      <w:r>
        <w:rPr>
          <w:rFonts w:ascii="Times New Roman" w:hAnsi="Times New Roman" w:cs="Times New Roman" w:eastAsia="Times New Roman" w:hint="default"/>
        </w:rPr>
        <w:t>1</w:t>
      </w:r>
      <w:r>
        <w:rPr/>
        <w:t>、</w:t>
      </w:r>
      <w:r>
        <w:rPr>
          <w:spacing w:val="60"/>
        </w:rPr>
        <w:t> </w:t>
      </w:r>
      <w:r>
        <w:rPr>
          <w:rFonts w:ascii="Times New Roman" w:hAnsi="Times New Roman" w:cs="Times New Roman" w:eastAsia="Times New Roman" w:hint="default"/>
        </w:rPr>
        <w:t>“</w:t>
      </w:r>
      <w:r>
        <w:rPr/>
        <w:t>以消费者需求</w:t>
      </w:r>
      <w:r>
        <w:rPr>
          <w:rFonts w:ascii="Times New Roman" w:hAnsi="Times New Roman" w:cs="Times New Roman" w:eastAsia="Times New Roman" w:hint="default"/>
        </w:rPr>
        <w:t>”</w:t>
      </w:r>
      <w:r>
        <w:rPr/>
        <w:t>驱动的数字化能力变革</w:t>
      </w:r>
      <w:r>
        <w:rPr>
          <w:spacing w:val="-85"/>
        </w:rPr>
        <w:t> </w:t>
      </w:r>
      <w:r>
        <w:rPr>
          <w:spacing w:val="-1"/>
        </w:rPr>
        <w:t>公司基于数字化能力，精准挖掘品牌目标消费人群需求，深度透视目标消费人群市场机会，通过全域统一营销企划方</w:t>
      </w:r>
    </w:p>
    <w:p>
      <w:pPr>
        <w:pStyle w:val="BodyText"/>
        <w:spacing w:line="240" w:lineRule="auto" w:before="44"/>
        <w:ind w:right="0"/>
        <w:jc w:val="left"/>
      </w:pPr>
      <w:r>
        <w:rPr/>
        <w:t>案，提供线上线下全渠道、同节奏及同价格的更优消费体验。</w:t>
      </w:r>
    </w:p>
    <w:p>
      <w:pPr>
        <w:pStyle w:val="BodyText"/>
        <w:spacing w:line="300" w:lineRule="auto" w:before="94"/>
        <w:ind w:right="1100" w:firstLine="495"/>
        <w:jc w:val="both"/>
      </w:pPr>
      <w:r>
        <w:rPr>
          <w:rFonts w:ascii="Times New Roman" w:hAnsi="Times New Roman" w:cs="Times New Roman" w:eastAsia="Times New Roman" w:hint="default"/>
        </w:rPr>
        <w:t>“</w:t>
      </w:r>
      <w:r>
        <w:rPr/>
        <w:t>双</w:t>
      </w:r>
      <w:r>
        <w:rPr>
          <w:rFonts w:ascii="Times New Roman" w:hAnsi="Times New Roman" w:cs="Times New Roman" w:eastAsia="Times New Roman" w:hint="default"/>
        </w:rPr>
        <w:t>11”</w:t>
      </w:r>
      <w:r>
        <w:rPr/>
        <w:t>期间，公司通过以上策略实施，旗下五大品牌</w:t>
      </w:r>
      <w:r>
        <w:rPr>
          <w:rFonts w:ascii="Times New Roman" w:hAnsi="Times New Roman" w:cs="Times New Roman" w:eastAsia="Times New Roman" w:hint="default"/>
        </w:rPr>
        <w:t>Metersbonwe</w:t>
      </w:r>
      <w:r>
        <w:rPr/>
        <w:t>、</w:t>
      </w:r>
      <w:r>
        <w:rPr>
          <w:rFonts w:ascii="Times New Roman" w:hAnsi="Times New Roman" w:cs="Times New Roman" w:eastAsia="Times New Roman" w:hint="default"/>
        </w:rPr>
        <w:t>ME&amp;CITY</w:t>
      </w:r>
      <w:r>
        <w:rPr/>
        <w:t>、</w:t>
      </w:r>
      <w:r>
        <w:rPr>
          <w:rFonts w:ascii="Times New Roman" w:hAnsi="Times New Roman" w:cs="Times New Roman" w:eastAsia="Times New Roman" w:hint="default"/>
        </w:rPr>
        <w:t>Moomoo</w:t>
      </w:r>
      <w:r>
        <w:rPr/>
        <w:t>、</w:t>
      </w:r>
      <w:r>
        <w:rPr>
          <w:rFonts w:ascii="Times New Roman" w:hAnsi="Times New Roman" w:cs="Times New Roman" w:eastAsia="Times New Roman" w:hint="default"/>
        </w:rPr>
        <w:t>ME&amp;CITY KIDS</w:t>
      </w:r>
      <w:r>
        <w:rPr/>
        <w:t>、</w:t>
      </w:r>
      <w:r>
        <w:rPr>
          <w:rFonts w:ascii="Times New Roman" w:hAnsi="Times New Roman" w:cs="Times New Roman" w:eastAsia="Times New Roman" w:hint="default"/>
        </w:rPr>
        <w:t>CH’IN</w:t>
      </w:r>
      <w:r>
        <w:rPr>
          <w:rFonts w:ascii="Times New Roman" w:hAnsi="Times New Roman" w:cs="Times New Roman" w:eastAsia="Times New Roman" w:hint="default"/>
          <w:w w:val="99"/>
        </w:rPr>
        <w:t> </w:t>
      </w:r>
      <w:r>
        <w:rPr/>
        <w:t>皆实现线上渠道及线下门店销售收入两位数以上增长。其中</w:t>
      </w:r>
      <w:r>
        <w:rPr>
          <w:rFonts w:ascii="Times New Roman" w:hAnsi="Times New Roman" w:cs="Times New Roman" w:eastAsia="Times New Roman" w:hint="default"/>
        </w:rPr>
        <w:t>Metersbonwe</w:t>
      </w:r>
      <w:r>
        <w:rPr/>
        <w:t>品牌线上销售增长</w:t>
      </w:r>
      <w:r>
        <w:rPr>
          <w:rFonts w:ascii="Times New Roman" w:hAnsi="Times New Roman" w:cs="Times New Roman" w:eastAsia="Times New Roman" w:hint="default"/>
        </w:rPr>
        <w:t>11%</w:t>
      </w:r>
      <w:r>
        <w:rPr/>
        <w:t>，线下门店销售增长</w:t>
      </w:r>
      <w:r>
        <w:rPr>
          <w:rFonts w:ascii="Times New Roman" w:hAnsi="Times New Roman" w:cs="Times New Roman" w:eastAsia="Times New Roman" w:hint="default"/>
        </w:rPr>
        <w:t>15%</w:t>
      </w:r>
      <w:r>
        <w:rPr/>
        <w:t>；</w:t>
      </w:r>
      <w:r>
        <w:rPr>
          <w:spacing w:val="-17"/>
        </w:rPr>
        <w:t> </w:t>
      </w:r>
      <w:r>
        <w:rPr>
          <w:rFonts w:ascii="Times New Roman" w:hAnsi="Times New Roman" w:cs="Times New Roman" w:eastAsia="Times New Roman" w:hint="default"/>
        </w:rPr>
        <w:t>ME&amp;CITY</w:t>
      </w:r>
      <w:r>
        <w:rPr/>
        <w:t>线上销售增长</w:t>
      </w:r>
      <w:r>
        <w:rPr>
          <w:rFonts w:ascii="Times New Roman" w:hAnsi="Times New Roman" w:cs="Times New Roman" w:eastAsia="Times New Roman" w:hint="default"/>
        </w:rPr>
        <w:t>23%</w:t>
      </w:r>
      <w:r>
        <w:rPr/>
        <w:t>，线下门店销售增长</w:t>
      </w:r>
      <w:r>
        <w:rPr>
          <w:rFonts w:ascii="Times New Roman" w:hAnsi="Times New Roman" w:cs="Times New Roman" w:eastAsia="Times New Roman" w:hint="default"/>
        </w:rPr>
        <w:t>30%</w:t>
      </w:r>
      <w:r>
        <w:rPr/>
        <w:t>；两个童装品牌</w:t>
      </w:r>
      <w:r>
        <w:rPr>
          <w:rFonts w:ascii="Times New Roman" w:hAnsi="Times New Roman" w:cs="Times New Roman" w:eastAsia="Times New Roman" w:hint="default"/>
        </w:rPr>
        <w:t>Moomoo</w:t>
      </w:r>
      <w:r>
        <w:rPr/>
        <w:t>及</w:t>
      </w:r>
      <w:r>
        <w:rPr>
          <w:rFonts w:ascii="Times New Roman" w:hAnsi="Times New Roman" w:cs="Times New Roman" w:eastAsia="Times New Roman" w:hint="default"/>
        </w:rPr>
        <w:t>ME&amp;CITY KIDS</w:t>
      </w:r>
      <w:r>
        <w:rPr/>
        <w:t>均实现线上销售增长超过</w:t>
      </w:r>
      <w:r>
        <w:rPr>
          <w:spacing w:val="-71"/>
        </w:rPr>
        <w:t> </w:t>
      </w:r>
      <w:r>
        <w:rPr>
          <w:rFonts w:ascii="Times New Roman" w:hAnsi="Times New Roman" w:cs="Times New Roman" w:eastAsia="Times New Roman" w:hint="default"/>
        </w:rPr>
        <w:t>100%</w:t>
      </w:r>
      <w:r>
        <w:rPr/>
        <w:t>，线下门店销售增长超过</w:t>
      </w:r>
      <w:r>
        <w:rPr>
          <w:rFonts w:ascii="Times New Roman" w:hAnsi="Times New Roman" w:cs="Times New Roman" w:eastAsia="Times New Roman" w:hint="default"/>
        </w:rPr>
        <w:t>50%</w:t>
      </w:r>
      <w:r>
        <w:rPr/>
        <w:t>。</w:t>
      </w:r>
    </w:p>
    <w:p>
      <w:pPr>
        <w:pStyle w:val="BodyText"/>
        <w:spacing w:line="290" w:lineRule="auto" w:before="16"/>
        <w:ind w:left="636" w:right="1125"/>
        <w:jc w:val="left"/>
      </w:pPr>
      <w:r>
        <w:rPr>
          <w:rFonts w:ascii="Times New Roman" w:hAnsi="Times New Roman" w:cs="Times New Roman" w:eastAsia="Times New Roman" w:hint="default"/>
        </w:rPr>
        <w:t>2</w:t>
      </w:r>
      <w:r>
        <w:rPr/>
        <w:t>、</w:t>
      </w:r>
      <w:r>
        <w:rPr>
          <w:spacing w:val="60"/>
        </w:rPr>
        <w:t> </w:t>
      </w:r>
      <w:r>
        <w:rPr/>
        <w:t>新零售策略升级</w:t>
      </w:r>
      <w:r>
        <w:rPr/>
        <w:t> </w:t>
      </w:r>
      <w:r>
        <w:rPr>
          <w:spacing w:val="-1"/>
        </w:rPr>
        <w:t>公司全面启动新零售策略升级。以传统平台电商为基础，结合社交零售、直播及微商城等新业务场景共同打造企业新</w:t>
      </w:r>
    </w:p>
    <w:p>
      <w:pPr>
        <w:pStyle w:val="BodyText"/>
        <w:spacing w:line="240" w:lineRule="auto" w:before="27"/>
        <w:ind w:right="0"/>
        <w:jc w:val="left"/>
      </w:pPr>
      <w:r>
        <w:rPr/>
        <w:t>零售生态。同时，公司进一步完善企业数据中台，为企业数字化能力转型构建更多元的数字获取和分析运用场景。</w:t>
      </w:r>
    </w:p>
    <w:p>
      <w:pPr>
        <w:pStyle w:val="BodyText"/>
        <w:spacing w:line="290" w:lineRule="auto" w:before="94"/>
        <w:ind w:left="636" w:right="0"/>
        <w:jc w:val="left"/>
      </w:pPr>
      <w:r>
        <w:rPr>
          <w:rFonts w:ascii="Times New Roman" w:hAnsi="Times New Roman" w:cs="Times New Roman" w:eastAsia="Times New Roman" w:hint="default"/>
        </w:rPr>
        <w:t>3</w:t>
      </w:r>
      <w:r>
        <w:rPr/>
        <w:t>、</w:t>
      </w:r>
      <w:r>
        <w:rPr>
          <w:spacing w:val="60"/>
        </w:rPr>
        <w:t> </w:t>
      </w:r>
      <w:r>
        <w:rPr/>
        <w:t>供应链模式创新</w:t>
      </w:r>
      <w:r>
        <w:rPr/>
        <w:t> </w:t>
      </w:r>
      <w:r>
        <w:rPr>
          <w:spacing w:val="-1"/>
        </w:rPr>
        <w:t>公司发挥行业平台价值以及品牌价值，通过提供品牌赋能、渠道赋能、营销赋能、营运赋能、物流赋能、大数据赋能</w:t>
      </w:r>
    </w:p>
    <w:p>
      <w:pPr>
        <w:pStyle w:val="BodyText"/>
        <w:spacing w:line="290" w:lineRule="auto" w:before="56"/>
        <w:ind w:right="1106"/>
        <w:jc w:val="left"/>
      </w:pPr>
      <w:r>
        <w:rPr>
          <w:spacing w:val="-2"/>
        </w:rPr>
        <w:t>及信息化平台赋能等方式，结合供应商的产品创新能力及生产供应能力，打造</w:t>
      </w:r>
      <w:r>
        <w:rPr>
          <w:rFonts w:ascii="Times New Roman" w:hAnsi="Times New Roman" w:cs="Times New Roman" w:eastAsia="Times New Roman" w:hint="default"/>
          <w:spacing w:val="-2"/>
        </w:rPr>
        <w:t>“M</w:t>
      </w:r>
      <w:r>
        <w:rPr>
          <w:rFonts w:ascii="Times New Roman" w:hAnsi="Times New Roman" w:cs="Times New Roman" w:eastAsia="Times New Roman" w:hint="default"/>
        </w:rPr>
        <w:t> </w:t>
      </w:r>
      <w:r>
        <w:rPr>
          <w:rFonts w:ascii="Times New Roman" w:hAnsi="Times New Roman" w:cs="Times New Roman" w:eastAsia="Times New Roman" w:hint="default"/>
          <w:spacing w:val="-2"/>
        </w:rPr>
        <w:t>2C”</w:t>
      </w:r>
      <w:r>
        <w:rPr>
          <w:spacing w:val="-2"/>
        </w:rPr>
        <w:t>供应链模式。为消费者提供更具性价比</w:t>
      </w:r>
      <w:r>
        <w:rPr>
          <w:spacing w:val="-86"/>
        </w:rPr>
        <w:t> </w:t>
      </w:r>
      <w:r>
        <w:rPr>
          <w:spacing w:val="-86"/>
        </w:rPr>
      </w:r>
      <w:r>
        <w:rPr/>
        <w:t>的时尚产品及优质的购物体验。</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1"/>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487" w:firstLine="420"/>
        <w:jc w:val="left"/>
      </w:pPr>
      <w:r>
        <w:rPr/>
        <w:t>报告期内，公司实现营业收入</w:t>
      </w:r>
      <w:r>
        <w:rPr>
          <w:rFonts w:ascii="宋体" w:hAnsi="宋体" w:cs="宋体" w:eastAsia="宋体" w:hint="default"/>
        </w:rPr>
        <w:t>5,463,291,977</w:t>
      </w:r>
      <w:r>
        <w:rPr/>
        <w:t>元，较上年同期下降</w:t>
      </w:r>
      <w:r>
        <w:rPr>
          <w:rFonts w:ascii="宋体" w:hAnsi="宋体" w:cs="宋体" w:eastAsia="宋体" w:hint="default"/>
        </w:rPr>
        <w:t>28.84%</w:t>
      </w:r>
      <w:r>
        <w:rPr/>
        <w:t>；实现归属于上市公司股东的净亏损 </w:t>
      </w:r>
      <w:r>
        <w:rPr>
          <w:rFonts w:ascii="宋体" w:hAnsi="宋体" w:cs="宋体" w:eastAsia="宋体" w:hint="default"/>
        </w:rPr>
        <w:t>825,472,850</w:t>
      </w:r>
      <w:r>
        <w:rPr/>
        <w:t>元，同比下降</w:t>
      </w:r>
      <w:r>
        <w:rPr>
          <w:rFonts w:ascii="宋体" w:hAnsi="宋体" w:cs="宋体" w:eastAsia="宋体" w:hint="default"/>
        </w:rPr>
        <w:t>2145.20%</w:t>
      </w:r>
      <w:r>
        <w:rPr/>
        <w:t>；实现每股收益</w:t>
      </w:r>
      <w:r>
        <w:rPr>
          <w:rFonts w:ascii="宋体" w:hAnsi="宋体" w:cs="宋体" w:eastAsia="宋体" w:hint="default"/>
        </w:rPr>
        <w:t>-0.33</w:t>
      </w:r>
      <w:r>
        <w:rPr/>
        <w:t>元</w:t>
      </w:r>
      <w:r>
        <w:rPr>
          <w:rFonts w:ascii="宋体" w:hAnsi="宋体" w:cs="宋体" w:eastAsia="宋体" w:hint="default"/>
        </w:rPr>
        <w:t>/</w:t>
      </w:r>
      <w:r>
        <w:rPr/>
        <w:t>股，较上年同期下降</w:t>
      </w:r>
      <w:r>
        <w:rPr>
          <w:rFonts w:ascii="宋体" w:hAnsi="宋体" w:cs="宋体" w:eastAsia="宋体" w:hint="default"/>
        </w:rPr>
        <w:t>1750%</w:t>
      </w:r>
      <w:r>
        <w:rPr/>
        <w:t>。</w:t>
      </w:r>
      <w:r>
        <w:rPr>
          <w:spacing w:val="5"/>
        </w:rPr>
        <w:t> </w:t>
      </w:r>
      <w:r>
        <w:rPr/>
        <w:t>截至报告期末，公司总资产</w:t>
      </w:r>
    </w:p>
    <w:p>
      <w:pPr>
        <w:pStyle w:val="BodyText"/>
        <w:spacing w:line="240" w:lineRule="auto" w:before="19"/>
        <w:ind w:right="0"/>
        <w:jc w:val="left"/>
      </w:pPr>
      <w:r>
        <w:rPr>
          <w:rFonts w:ascii="宋体" w:hAnsi="宋体" w:cs="宋体" w:eastAsia="宋体" w:hint="default"/>
        </w:rPr>
        <w:t>6,377,798,596.00</w:t>
      </w:r>
      <w:r>
        <w:rPr/>
        <w:t>元，较年初下降</w:t>
      </w:r>
      <w:r>
        <w:rPr>
          <w:rFonts w:ascii="宋体" w:hAnsi="宋体" w:cs="宋体" w:eastAsia="宋体" w:hint="default"/>
        </w:rPr>
        <w:t>11.53%</w:t>
      </w:r>
      <w:r>
        <w:rPr/>
        <w:t>；归属于上市公司股东的所有者权益</w:t>
      </w:r>
      <w:r>
        <w:rPr>
          <w:rFonts w:ascii="宋体" w:hAnsi="宋体" w:cs="宋体" w:eastAsia="宋体" w:hint="default"/>
        </w:rPr>
        <w:t>2,039,820,092.00</w:t>
      </w:r>
      <w:r>
        <w:rPr/>
        <w:t>元，较年初下降</w:t>
      </w:r>
      <w:r>
        <w:rPr>
          <w:rFonts w:ascii="宋体" w:hAnsi="宋体" w:cs="宋体" w:eastAsia="宋体" w:hint="default"/>
        </w:rPr>
        <w:t>29.12%</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92"/>
        <w:gridCol w:w="1607"/>
        <w:gridCol w:w="1585"/>
        <w:gridCol w:w="1607"/>
        <w:gridCol w:w="1585"/>
        <w:gridCol w:w="1599"/>
      </w:tblGrid>
      <w:tr>
        <w:trPr>
          <w:trHeight w:val="217" w:hRule="exact"/>
        </w:trPr>
        <w:tc>
          <w:tcPr>
            <w:tcW w:w="15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319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9"/>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599"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88" w:hRule="exact"/>
        </w:trPr>
        <w:tc>
          <w:tcPr>
            <w:tcW w:w="1592" w:type="dxa"/>
            <w:vMerge w:val="restart"/>
            <w:tcBorders>
              <w:top w:val="nil" w:sz="6" w:space="0" w:color="auto"/>
              <w:left w:val="single" w:sz="6" w:space="0" w:color="000000"/>
              <w:right w:val="single" w:sz="6" w:space="0" w:color="000000"/>
            </w:tcBorders>
            <w:shd w:val="clear" w:color="auto" w:fill="D2D2D2"/>
          </w:tcPr>
          <w:p>
            <w:pPr/>
          </w:p>
        </w:tc>
        <w:tc>
          <w:tcPr>
            <w:tcW w:w="3192" w:type="dxa"/>
            <w:gridSpan w:val="2"/>
            <w:vMerge/>
            <w:tcBorders>
              <w:left w:val="single" w:sz="6" w:space="0" w:color="000000"/>
              <w:bottom w:val="single" w:sz="6" w:space="0" w:color="000000"/>
              <w:right w:val="single" w:sz="6" w:space="0" w:color="000000"/>
            </w:tcBorders>
            <w:shd w:val="clear" w:color="auto" w:fill="D2D2D2"/>
          </w:tcPr>
          <w:p>
            <w:pPr/>
          </w:p>
        </w:tc>
        <w:tc>
          <w:tcPr>
            <w:tcW w:w="3192" w:type="dxa"/>
            <w:gridSpan w:val="2"/>
            <w:vMerge/>
            <w:tcBorders>
              <w:left w:val="single" w:sz="6" w:space="0" w:color="000000"/>
              <w:bottom w:val="single" w:sz="6" w:space="0" w:color="000000"/>
              <w:right w:val="single" w:sz="6" w:space="0" w:color="000000"/>
            </w:tcBorders>
            <w:shd w:val="clear" w:color="auto" w:fill="D2D2D2"/>
          </w:tcPr>
          <w:p>
            <w:pPr/>
          </w:p>
        </w:tc>
        <w:tc>
          <w:tcPr>
            <w:tcW w:w="159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42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3" w:hRule="exact"/>
        </w:trPr>
        <w:tc>
          <w:tcPr>
            <w:tcW w:w="1592" w:type="dxa"/>
            <w:vMerge/>
            <w:tcBorders>
              <w:left w:val="single" w:sz="6" w:space="0" w:color="000000"/>
              <w:bottom w:val="nil" w:sz="6" w:space="0" w:color="auto"/>
              <w:right w:val="single" w:sz="6" w:space="0" w:color="000000"/>
            </w:tcBorders>
            <w:shd w:val="clear" w:color="auto" w:fill="D2D2D2"/>
          </w:tcPr>
          <w:p>
            <w:pP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金额</w:t>
            </w:r>
          </w:p>
        </w:tc>
        <w:tc>
          <w:tcPr>
            <w:tcW w:w="158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9" w:type="dxa"/>
            <w:vMerge/>
            <w:tcBorders>
              <w:left w:val="single" w:sz="6" w:space="0" w:color="000000"/>
              <w:bottom w:val="nil" w:sz="6" w:space="0" w:color="auto"/>
              <w:right w:val="single" w:sz="6" w:space="0" w:color="000000"/>
            </w:tcBorders>
            <w:shd w:val="clear" w:color="auto" w:fill="D2D2D2"/>
          </w:tcPr>
          <w:p>
            <w:pPr/>
          </w:p>
        </w:tc>
      </w:tr>
      <w:tr>
        <w:trPr>
          <w:trHeight w:val="203" w:hRule="exact"/>
        </w:trPr>
        <w:tc>
          <w:tcPr>
            <w:tcW w:w="1592" w:type="dxa"/>
            <w:tcBorders>
              <w:top w:val="nil" w:sz="6" w:space="0" w:color="auto"/>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85"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85" w:type="dxa"/>
            <w:vMerge/>
            <w:tcBorders>
              <w:left w:val="single" w:sz="6" w:space="0" w:color="000000"/>
              <w:bottom w:val="single" w:sz="6" w:space="0" w:color="000000"/>
              <w:right w:val="single" w:sz="6" w:space="0" w:color="000000"/>
            </w:tcBorders>
            <w:shd w:val="clear" w:color="auto" w:fill="D2D2D2"/>
          </w:tcPr>
          <w:p>
            <w:pPr/>
          </w:p>
        </w:tc>
        <w:tc>
          <w:tcPr>
            <w:tcW w:w="1599"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13"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7" w:type="dxa"/>
            <w:tcBorders>
              <w:top w:val="single" w:sz="6" w:space="0" w:color="000000"/>
              <w:left w:val="single" w:sz="12" w:space="0" w:color="D2D2D2"/>
              <w:bottom w:val="single" w:sz="6" w:space="0" w:color="000000"/>
              <w:right w:val="single" w:sz="12" w:space="0" w:color="000000"/>
            </w:tcBorders>
          </w:tcPr>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5,463,291,977.00</w:t>
            </w:r>
          </w:p>
        </w:tc>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607" w:type="dxa"/>
            <w:tcBorders>
              <w:top w:val="single" w:sz="6" w:space="0" w:color="000000"/>
              <w:left w:val="single" w:sz="12" w:space="0" w:color="000000"/>
              <w:bottom w:val="single" w:sz="6" w:space="0" w:color="000000"/>
              <w:right w:val="single" w:sz="18" w:space="0" w:color="D2D2D2"/>
            </w:tcBorders>
          </w:tcPr>
          <w:p>
            <w:pPr>
              <w:pStyle w:val="TableParagraph"/>
              <w:spacing w:line="240" w:lineRule="auto" w:before="102"/>
              <w:ind w:left="292" w:right="0"/>
              <w:jc w:val="left"/>
              <w:rPr>
                <w:rFonts w:ascii="Times New Roman" w:hAnsi="Times New Roman" w:cs="Times New Roman" w:eastAsia="Times New Roman" w:hint="default"/>
                <w:sz w:val="18"/>
                <w:szCs w:val="18"/>
              </w:rPr>
            </w:pPr>
            <w:r>
              <w:rPr>
                <w:rFonts w:ascii="Times New Roman"/>
                <w:sz w:val="18"/>
              </w:rPr>
              <w:t>7,677,369,050.00</w:t>
            </w:r>
          </w:p>
        </w:tc>
        <w:tc>
          <w:tcPr>
            <w:tcW w:w="158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6"/>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946" w:right="0"/>
              <w:jc w:val="left"/>
              <w:rPr>
                <w:rFonts w:ascii="Times New Roman" w:hAnsi="Times New Roman" w:cs="Times New Roman" w:eastAsia="Times New Roman" w:hint="default"/>
                <w:sz w:val="18"/>
                <w:szCs w:val="18"/>
              </w:rPr>
            </w:pPr>
            <w:r>
              <w:rPr>
                <w:rFonts w:ascii="Times New Roman"/>
                <w:sz w:val="18"/>
              </w:rPr>
              <w:t>-28.84%</w:t>
            </w:r>
          </w:p>
        </w:tc>
      </w:tr>
      <w:tr>
        <w:trPr>
          <w:trHeight w:val="383" w:hRule="exact"/>
        </w:trPr>
        <w:tc>
          <w:tcPr>
            <w:tcW w:w="9574"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7"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5,409,769,553.00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99.02%</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7,619,281,049.00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99.24%</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-29.00%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53,522,424.00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0.98%</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58,088,001.00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0.76%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-7.86%</w:t>
            </w:r>
          </w:p>
        </w:tc>
      </w:tr>
      <w:tr>
        <w:trPr>
          <w:trHeight w:val="390"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3,025,513,302.00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55.38%</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4,211,828,068.00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54.86%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-28.17%</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女装</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1,902,803,422.00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34.83%</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2,802,429,593.00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36.50%</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-32.10%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481,452,829.00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8.81%</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605,023,388.00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7.88%</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-20.42%</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53,522,424.00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0.98%</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58,088,001.00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0.76%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-7.86%</w:t>
            </w:r>
          </w:p>
        </w:tc>
      </w:tr>
      <w:tr>
        <w:trPr>
          <w:trHeight w:val="390" w:hRule="exact"/>
        </w:trPr>
        <w:tc>
          <w:tcPr>
            <w:tcW w:w="9582"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东区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3,325,367,125.00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60.87%</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4,304,147,668.00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56.06%</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-22.74%</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679,939,543.00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12.45%</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1,113,958,481.00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14.51%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-38.96%</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南区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649,014,375.00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11.88%</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1,131,634,242.00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14.74%</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-42.65%</w:t>
            </w:r>
          </w:p>
        </w:tc>
      </w:tr>
      <w:tr>
        <w:trPr>
          <w:trHeight w:val="39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北区</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808,970,934.00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14.81%</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1,127,628,659.00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w w:val="95"/>
                <w:sz w:val="18"/>
              </w:rPr>
              <w:t>14.69%</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-28.26%</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5"/>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67"/>
        <w:gridCol w:w="1382"/>
        <w:gridCol w:w="1367"/>
        <w:gridCol w:w="1367"/>
      </w:tblGrid>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14" w:right="59"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00" w:right="59"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05" w:right="44" w:hanging="361"/>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391"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5,409,769,553.00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3,328,669,603.00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38.47%</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-20.82%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-6.36%</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男装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3,025,513,302.00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1,834,773,495.00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39.36%</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-28.17%</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-20.64%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-5.75%</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女装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1,902,803,422.00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1,177,450,416.00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38.12%</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-32.10%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-23.44%</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-7.00%</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481,452,829.00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316,445,692.00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34.27%</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-20.42%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8"/>
              <w:jc w:val="right"/>
              <w:rPr>
                <w:rFonts w:ascii="Times New Roman" w:hAnsi="Times New Roman" w:cs="Times New Roman" w:eastAsia="Times New Roman" w:hint="default"/>
                <w:sz w:val="18"/>
                <w:szCs w:val="18"/>
              </w:rPr>
            </w:pPr>
            <w:r>
              <w:rPr>
                <w:rFonts w:ascii="Times New Roman"/>
                <w:sz w:val="18"/>
              </w:rPr>
              <w:t>-10.56%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-7.25%</w:t>
            </w:r>
          </w:p>
        </w:tc>
      </w:tr>
      <w:tr>
        <w:trPr>
          <w:trHeight w:val="405" w:hRule="exact"/>
        </w:trPr>
        <w:tc>
          <w:tcPr>
            <w:tcW w:w="9582" w:type="dxa"/>
            <w:gridSpan w:val="7"/>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东区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3,325,367,125.00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2,117,631,507.00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36.32%</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-22.31%</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-13.12%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-6.73%</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西区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679,939,543.00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371,667,441.00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45.34%</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-37.66%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-36.62%</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-0.89%</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南区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649,014,375.00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342,209,471.00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47.27%</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-42.36%</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-39.69%</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-2.33%</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北区</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808,970,934.00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497,161,183.00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38.54%</w:t>
            </w:r>
            <w:r>
              <w:rPr>
                <w:rFonts w:ascii="Times New Roman"/>
                <w:sz w:val="18"/>
              </w:rPr>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-27.93%</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-18.80%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-6.91%</w:t>
            </w:r>
          </w:p>
        </w:tc>
      </w:tr>
    </w:tbl>
    <w:p>
      <w:pPr>
        <w:pStyle w:val="BodyText"/>
        <w:spacing w:line="240" w:lineRule="auto" w:before="59"/>
        <w:ind w:right="0"/>
        <w:jc w:val="left"/>
      </w:pPr>
      <w:r>
        <w:rPr/>
        <w:t>公司主营业务数据统计口径在报告期发生调整的情况下，公司最近</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9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07"/>
        <w:gridCol w:w="1577"/>
        <w:gridCol w:w="1607"/>
        <w:gridCol w:w="1592"/>
        <w:gridCol w:w="1592"/>
        <w:gridCol w:w="1607"/>
      </w:tblGrid>
      <w:tr>
        <w:trPr>
          <w:trHeight w:val="405" w:hRule="exact"/>
        </w:trPr>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单位</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607" w:type="dxa"/>
            <w:vMerge w:val="restart"/>
            <w:tcBorders>
              <w:top w:val="single" w:sz="6" w:space="0" w:color="000000"/>
              <w:left w:val="single" w:sz="6" w:space="0" w:color="000000"/>
              <w:right w:val="single" w:sz="18"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服装批发零售</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60,530,388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82,155,459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-26.32%</w:t>
            </w:r>
          </w:p>
        </w:tc>
      </w:tr>
      <w:tr>
        <w:trPr>
          <w:trHeight w:val="390" w:hRule="exact"/>
        </w:trPr>
        <w:tc>
          <w:tcPr>
            <w:tcW w:w="1607" w:type="dxa"/>
            <w:vMerge/>
            <w:tcBorders>
              <w:left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52,244,178</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76,606,011</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-31.80%</w:t>
            </w:r>
          </w:p>
        </w:tc>
      </w:tr>
      <w:tr>
        <w:trPr>
          <w:trHeight w:val="405" w:hRule="exact"/>
        </w:trPr>
        <w:tc>
          <w:tcPr>
            <w:tcW w:w="1607" w:type="dxa"/>
            <w:vMerge/>
            <w:tcBorders>
              <w:left w:val="single" w:sz="6" w:space="0" w:color="000000"/>
              <w:bottom w:val="single" w:sz="6" w:space="0" w:color="000000"/>
              <w:right w:val="single" w:sz="18" w:space="0" w:color="D2D2D2"/>
            </w:tcBorders>
          </w:tcPr>
          <w:p>
            <w:pP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件</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37,069,287</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45,355,497</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-18.27%</w:t>
            </w:r>
          </w:p>
        </w:tc>
      </w:tr>
    </w:tbl>
    <w:p>
      <w:pPr>
        <w:pStyle w:val="BodyText"/>
        <w:spacing w:line="240" w:lineRule="auto" w:before="60"/>
        <w:ind w:right="0"/>
        <w:jc w:val="left"/>
      </w:pPr>
      <w:r>
        <w:rPr/>
        <w:t>相关数据同比发生变动</w:t>
      </w:r>
      <w:r>
        <w:rPr>
          <w:spacing w:val="-43"/>
        </w:rPr>
        <w:t> </w:t>
      </w:r>
      <w:r>
        <w:rPr>
          <w:rFonts w:ascii="Times New Roman" w:hAnsi="Times New Roman" w:cs="Times New Roman" w:eastAsia="Times New Roman" w:hint="default"/>
        </w:rPr>
        <w:t>30%</w:t>
      </w:r>
      <w:r>
        <w:rPr/>
        <w:t>以上的原因说明</w:t>
      </w:r>
    </w:p>
    <w:p>
      <w:pPr>
        <w:pStyle w:val="BodyText"/>
        <w:spacing w:line="312" w:lineRule="auto" w:before="9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公司为进一步提升商品运营效率，</w:t>
      </w:r>
      <w:r>
        <w:rPr>
          <w:rFonts w:ascii="Times New Roman" w:hAnsi="Times New Roman" w:cs="Times New Roman" w:eastAsia="Times New Roman" w:hint="default"/>
          <w:spacing w:val="-2"/>
        </w:rPr>
        <w:t>2019</w:t>
      </w:r>
      <w:r>
        <w:rPr>
          <w:spacing w:val="-2"/>
        </w:rPr>
        <w:t>年商品销售计划预留出更大的存量商品消化空间，适度减少了新品生产量规划，新品</w:t>
      </w:r>
      <w:r>
        <w:rPr>
          <w:spacing w:val="-67"/>
        </w:rPr>
        <w:t> </w:t>
      </w:r>
      <w:r>
        <w:rPr>
          <w:spacing w:val="-67"/>
        </w:rPr>
      </w:r>
      <w:r>
        <w:rPr/>
        <w:t>生产量较同期减少。</w:t>
      </w:r>
    </w:p>
    <w:p>
      <w:pPr>
        <w:spacing w:line="240" w:lineRule="auto" w:before="7"/>
        <w:rPr>
          <w:rFonts w:ascii="宋体" w:hAnsi="宋体" w:cs="宋体" w:eastAsia="宋体" w:hint="default"/>
          <w:sz w:val="24"/>
          <w:szCs w:val="24"/>
        </w:rPr>
      </w:pPr>
    </w:p>
    <w:p>
      <w:pPr>
        <w:pStyle w:val="Heading5"/>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0"/>
        <w:jc w:val="left"/>
      </w:pPr>
      <w:r>
        <w:rPr/>
        <w:t>行业和产品分类</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0"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3,328,669,603.00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98.60%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4,203,709,373.00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98.94%</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-20.82%</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47,410,429.00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1.40%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44,857,432.00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1.06%</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5.69%</w:t>
            </w:r>
            <w:r>
              <w:rPr>
                <w:rFonts w:ascii="Times New Roman"/>
                <w:sz w:val="18"/>
              </w:rPr>
            </w:r>
          </w:p>
        </w:tc>
      </w:tr>
    </w:tbl>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391"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1"/>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59"/>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男装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1,834,773,495.00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54.35%</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2,311,858,270.00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54.42%</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-20.64%</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女装</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1,177,450,416.00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34.88%</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1,538,027,533.00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36.20%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-23.44%</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其他产品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服饰</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316,445,692.00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9.37%</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353,823,570.00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8.33%</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-10.56%</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47,410,429.00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1.40%</w:t>
            </w:r>
            <w:r>
              <w:rPr>
                <w:rFonts w:ascii="Times New Roman"/>
                <w:sz w:val="18"/>
              </w:rPr>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44,857,432.00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1.06%</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5.69%</w:t>
            </w:r>
            <w:r>
              <w:rPr>
                <w:rFonts w:ascii="Times New Roman"/>
                <w:sz w:val="18"/>
              </w:rPr>
            </w:r>
          </w:p>
        </w:tc>
      </w:tr>
    </w:tbl>
    <w:p>
      <w:pPr>
        <w:pStyle w:val="BodyText"/>
        <w:spacing w:line="240" w:lineRule="auto" w:before="44"/>
        <w:ind w:right="0"/>
        <w:jc w:val="left"/>
      </w:pPr>
      <w:r>
        <w:rPr/>
        <w:t>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92" w:lineRule="auto" w:before="111"/>
        <w:ind w:right="1066"/>
        <w:jc w:val="left"/>
      </w:pP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w:t>
      </w:r>
      <w:r>
        <w:rPr>
          <w:spacing w:val="-44"/>
        </w:rPr>
        <w:t> </w:t>
      </w:r>
      <w:r>
        <w:rPr/>
        <w:t>注销子公司法人独资有限责任公司上海潮范智能科技有限公司，注册资本为人民币</w:t>
      </w:r>
      <w:r>
        <w:rPr>
          <w:rFonts w:ascii="Times New Roman" w:hAnsi="Times New Roman" w:cs="Times New Roman" w:eastAsia="Times New Roman" w:hint="default"/>
        </w:rPr>
        <w:t>1,000</w:t>
      </w:r>
      <w:r>
        <w:rPr/>
        <w:t>万元。</w:t>
      </w:r>
      <w:r>
        <w:rPr>
          <w:spacing w:val="-83"/>
        </w:rPr>
        <w:t> </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w:t>
      </w:r>
      <w:r>
        <w:rPr>
          <w:spacing w:val="-37"/>
        </w:rPr>
        <w:t> </w:t>
      </w:r>
      <w:r>
        <w:rPr/>
        <w:t>注销子公司法人独资有限责任公司石家庄美特斯邦威服饰有限公司，注册资本为人民币</w:t>
      </w:r>
      <w:r>
        <w:rPr>
          <w:rFonts w:ascii="Times New Roman" w:hAnsi="Times New Roman" w:cs="Times New Roman" w:eastAsia="Times New Roman" w:hint="default"/>
        </w:rPr>
        <w:t>1000</w:t>
      </w:r>
      <w:r>
        <w:rPr/>
        <w:t>万元。 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w:t>
      </w:r>
      <w:r>
        <w:rPr>
          <w:spacing w:val="-43"/>
        </w:rPr>
        <w:t> </w:t>
      </w:r>
      <w:r>
        <w:rPr/>
        <w:t>注销子公司法人独资有限责任公司内蒙古美特斯邦威服饰有限公司，注册资本为人民币</w:t>
      </w:r>
      <w:r>
        <w:rPr>
          <w:rFonts w:ascii="Times New Roman" w:hAnsi="Times New Roman" w:cs="Times New Roman" w:eastAsia="Times New Roman" w:hint="default"/>
        </w:rPr>
        <w:t>500</w:t>
      </w:r>
      <w:r>
        <w:rPr/>
        <w:t>万元。</w:t>
      </w:r>
      <w:r>
        <w:rPr>
          <w:spacing w:val="-84"/>
        </w:rPr>
        <w:t> </w:t>
      </w:r>
      <w:r>
        <w:rPr/>
        <w:t>除以上事项之外，合并财务报表范围与上年度一致。</w:t>
      </w:r>
    </w:p>
    <w:p>
      <w:pPr>
        <w:spacing w:after="0" w:line="292"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公司主要销售客户情况</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293,466,390.00</w:t>
            </w:r>
          </w:p>
        </w:tc>
      </w:tr>
      <w:tr>
        <w:trPr>
          <w:trHeight w:val="4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5.42%</w:t>
            </w:r>
          </w:p>
        </w:tc>
      </w:tr>
      <w:tr>
        <w:trPr>
          <w:trHeight w:val="7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85"/>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0.56%</w:t>
            </w:r>
          </w:p>
        </w:tc>
      </w:tr>
    </w:tbl>
    <w:p>
      <w:pPr>
        <w:pStyle w:val="BodyText"/>
        <w:spacing w:line="240" w:lineRule="auto" w:before="60"/>
        <w:ind w:right="0"/>
        <w:jc w:val="left"/>
      </w:pPr>
      <w:r>
        <w:rPr/>
        <w:t>公司前</w:t>
      </w:r>
      <w:r>
        <w:rPr>
          <w:spacing w:val="-45"/>
        </w:rPr>
        <w:t> </w:t>
      </w:r>
      <w:r>
        <w:rPr>
          <w:rFonts w:ascii="Times New Roman" w:hAnsi="Times New Roman" w:cs="Times New Roman" w:eastAsia="Times New Roman" w:hint="default"/>
        </w:rPr>
        <w:t>5 </w:t>
      </w:r>
      <w:r>
        <w:rPr/>
        <w:t>大客户资料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781"/>
        <w:gridCol w:w="3327"/>
        <w:gridCol w:w="2313"/>
        <w:gridCol w:w="3154"/>
      </w:tblGrid>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0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1</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179,066,963.00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3.31%</w:t>
            </w:r>
            <w:r>
              <w:rPr>
                <w:rFonts w:ascii="Times New Roman"/>
                <w:sz w:val="18"/>
              </w:rPr>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2</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30,493,681.00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0.56%</w:t>
            </w:r>
            <w:r>
              <w:rPr>
                <w:rFonts w:ascii="Times New Roman"/>
                <w:sz w:val="18"/>
              </w:rPr>
            </w:r>
          </w:p>
        </w:tc>
      </w:tr>
      <w:tr>
        <w:trPr>
          <w:trHeight w:val="406"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3</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29,717,819.00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0.55%</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4</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29,178,932.00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0.54%</w:t>
            </w:r>
            <w:r>
              <w:rPr>
                <w:rFonts w:ascii="Times New Roman"/>
                <w:sz w:val="18"/>
              </w:rPr>
            </w:r>
          </w:p>
        </w:tc>
      </w:tr>
      <w:tr>
        <w:trPr>
          <w:trHeight w:val="405"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32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25,008,994.00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0.46%</w:t>
            </w:r>
            <w:r>
              <w:rPr>
                <w:rFonts w:ascii="Times New Roman"/>
                <w:sz w:val="18"/>
              </w:rPr>
            </w:r>
          </w:p>
        </w:tc>
      </w:tr>
      <w:tr>
        <w:trPr>
          <w:trHeight w:val="390" w:hRule="exact"/>
        </w:trPr>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293,466,390.00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5.42%</w:t>
            </w:r>
            <w:r>
              <w:rPr>
                <w:rFonts w:ascii="Times New Roman"/>
                <w:sz w:val="18"/>
              </w:rPr>
            </w:r>
          </w:p>
        </w:tc>
      </w:tr>
    </w:tbl>
    <w:p>
      <w:pPr>
        <w:pStyle w:val="BodyText"/>
        <w:spacing w:line="240" w:lineRule="auto" w:before="44"/>
        <w:ind w:right="0"/>
        <w:jc w:val="left"/>
      </w:pPr>
      <w:r>
        <w:rPr/>
        <w:t>主要客户其他情况说明</w:t>
      </w:r>
    </w:p>
    <w:p>
      <w:pPr>
        <w:pStyle w:val="BodyText"/>
        <w:spacing w:line="331"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公司主要供应商情况</w:t>
      </w:r>
    </w:p>
    <w:p>
      <w:pPr>
        <w:spacing w:line="240" w:lineRule="auto" w:before="3"/>
        <w:rPr>
          <w:rFonts w:ascii="宋体" w:hAnsi="宋体" w:cs="宋体" w:eastAsia="宋体" w:hint="default"/>
          <w:sz w:val="3"/>
          <w:szCs w:val="3"/>
        </w:rPr>
      </w:pPr>
    </w:p>
    <w:tbl>
      <w:tblPr>
        <w:tblW w:w="0" w:type="auto"/>
        <w:jc w:val="left"/>
        <w:tblInd w:w="126" w:type="dxa"/>
        <w:tblLayout w:type="fixed"/>
        <w:tblCellMar>
          <w:top w:w="0" w:type="dxa"/>
          <w:left w:w="0" w:type="dxa"/>
          <w:bottom w:w="0" w:type="dxa"/>
          <w:right w:w="0" w:type="dxa"/>
        </w:tblCellMar>
        <w:tblLook w:val="01E0"/>
      </w:tblPr>
      <w:tblGrid>
        <w:gridCol w:w="4258"/>
        <w:gridCol w:w="5324"/>
      </w:tblGrid>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558,483,488.00</w:t>
            </w:r>
          </w:p>
        </w:tc>
      </w:tr>
      <w:tr>
        <w:trPr>
          <w:trHeight w:val="405"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18.61%</w:t>
            </w:r>
            <w:r>
              <w:rPr>
                <w:rFonts w:ascii="Times New Roman"/>
                <w:sz w:val="18"/>
              </w:rPr>
            </w:r>
          </w:p>
        </w:tc>
      </w:tr>
      <w:tr>
        <w:trPr>
          <w:trHeight w:val="706" w:hRule="exact"/>
        </w:trPr>
        <w:tc>
          <w:tcPr>
            <w:tcW w:w="42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85"/>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0"/>
        <w:ind w:right="0"/>
        <w:jc w:val="left"/>
      </w:pPr>
      <w:r>
        <w:rPr/>
        <w:t>公司前</w:t>
      </w:r>
      <w:r>
        <w:rPr>
          <w:spacing w:val="-45"/>
        </w:rPr>
        <w:t> </w:t>
      </w:r>
      <w:r>
        <w:rPr>
          <w:rFonts w:ascii="Times New Roman" w:hAnsi="Times New Roman" w:cs="Times New Roman" w:eastAsia="Times New Roman" w:hint="default"/>
        </w:rPr>
        <w:t>5 </w:t>
      </w:r>
      <w:r>
        <w:rPr/>
        <w:t>名供应商资料</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916"/>
        <w:gridCol w:w="3192"/>
        <w:gridCol w:w="2313"/>
        <w:gridCol w:w="3154"/>
      </w:tblGrid>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62"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1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6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1</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126,955,539.00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4.23%</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2</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122,796,234.00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4.09%</w:t>
            </w:r>
            <w:r>
              <w:rPr>
                <w:rFonts w:ascii="Times New Roman"/>
                <w:sz w:val="18"/>
              </w:rPr>
            </w:r>
          </w:p>
        </w:tc>
      </w:tr>
      <w:tr>
        <w:trPr>
          <w:trHeight w:val="406"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3</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108,946,255.00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3.63%</w:t>
            </w:r>
            <w:r>
              <w:rPr>
                <w:rFonts w:ascii="Times New Roman"/>
                <w:sz w:val="18"/>
              </w:rPr>
            </w:r>
          </w:p>
        </w:tc>
      </w:tr>
      <w:tr>
        <w:trPr>
          <w:trHeight w:val="390"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left="7" w:right="0"/>
              <w:jc w:val="left"/>
              <w:rPr>
                <w:rFonts w:ascii="Times New Roman" w:hAnsi="Times New Roman" w:cs="Times New Roman" w:eastAsia="Times New Roman" w:hint="default"/>
                <w:sz w:val="18"/>
                <w:szCs w:val="18"/>
              </w:rPr>
            </w:pPr>
            <w:r>
              <w:rPr>
                <w:rFonts w:ascii="Times New Roman"/>
                <w:sz w:val="18"/>
              </w:rPr>
              <w:t>4</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100,004,927.00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3.33%</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7" w:right="0"/>
              <w:jc w:val="left"/>
              <w:rPr>
                <w:rFonts w:ascii="Times New Roman" w:hAnsi="Times New Roman" w:cs="Times New Roman" w:eastAsia="Times New Roman" w:hint="default"/>
                <w:sz w:val="18"/>
                <w:szCs w:val="18"/>
              </w:rPr>
            </w:pPr>
            <w:r>
              <w:rPr>
                <w:rFonts w:ascii="Times New Roman"/>
                <w:sz w:val="18"/>
              </w:rPr>
              <w:t>5</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99,780,533.00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3.32%</w:t>
            </w:r>
            <w:r>
              <w:rPr>
                <w:rFonts w:ascii="Times New Roman"/>
                <w:sz w:val="18"/>
              </w:rPr>
            </w:r>
          </w:p>
        </w:tc>
      </w:tr>
      <w:tr>
        <w:trPr>
          <w:trHeight w:val="405" w:hRule="exact"/>
        </w:trPr>
        <w:tc>
          <w:tcPr>
            <w:tcW w:w="9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5"/>
              <w:jc w:val="center"/>
              <w:rPr>
                <w:rFonts w:ascii="Times New Roman" w:hAnsi="Times New Roman" w:cs="Times New Roman" w:eastAsia="Times New Roman" w:hint="default"/>
                <w:sz w:val="18"/>
                <w:szCs w:val="18"/>
              </w:rPr>
            </w:pPr>
            <w:r>
              <w:rPr>
                <w:rFonts w:ascii="Times New Roman"/>
                <w:sz w:val="18"/>
              </w:rPr>
              <w:t>--</w:t>
            </w:r>
          </w:p>
        </w:tc>
        <w:tc>
          <w:tcPr>
            <w:tcW w:w="2313"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558,483,488.00</w:t>
            </w:r>
          </w:p>
        </w:tc>
        <w:tc>
          <w:tcPr>
            <w:tcW w:w="31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18.61%</w:t>
            </w:r>
            <w:r>
              <w:rPr>
                <w:rFonts w:ascii="Times New Roman"/>
                <w:sz w:val="18"/>
              </w:rPr>
            </w:r>
          </w:p>
        </w:tc>
      </w:tr>
    </w:tbl>
    <w:p>
      <w:pPr>
        <w:pStyle w:val="BodyText"/>
        <w:spacing w:line="240" w:lineRule="auto" w:before="45"/>
        <w:ind w:right="0"/>
        <w:jc w:val="left"/>
      </w:pPr>
      <w:r>
        <w:rPr/>
        <w:t>主要供应商其他情况说明</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5"/>
        <w:spacing w:line="240" w:lineRule="auto" w:before="35"/>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0"/>
        <w:gridCol w:w="1652"/>
        <w:gridCol w:w="1637"/>
        <w:gridCol w:w="1457"/>
        <w:gridCol w:w="2929"/>
      </w:tblGrid>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6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0"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2,128,197,247.00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2,710,599,737.00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-21.49%</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147,517,126.00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151,673,217.00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-2.74%</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5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90,067,694.00</w:t>
            </w:r>
          </w:p>
        </w:tc>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80,535,072.00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11.84%</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158"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52" w:type="dxa"/>
            <w:vMerge w:val="restart"/>
            <w:tcBorders>
              <w:top w:val="single" w:sz="6" w:space="0" w:color="000000"/>
              <w:left w:val="single" w:sz="18"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108,913,317.00</w:t>
            </w:r>
          </w:p>
        </w:tc>
        <w:tc>
          <w:tcPr>
            <w:tcW w:w="163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65" w:right="0"/>
              <w:jc w:val="left"/>
              <w:rPr>
                <w:rFonts w:ascii="Times New Roman" w:hAnsi="Times New Roman" w:cs="Times New Roman" w:eastAsia="Times New Roman" w:hint="default"/>
                <w:sz w:val="18"/>
                <w:szCs w:val="18"/>
              </w:rPr>
            </w:pPr>
            <w:r>
              <w:rPr>
                <w:rFonts w:ascii="Times New Roman"/>
                <w:sz w:val="18"/>
              </w:rPr>
              <w:t>155,552,394.00</w:t>
            </w:r>
          </w:p>
        </w:tc>
        <w:tc>
          <w:tcPr>
            <w:tcW w:w="1457"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11" w:right="0"/>
              <w:jc w:val="left"/>
              <w:rPr>
                <w:rFonts w:ascii="Times New Roman" w:hAnsi="Times New Roman" w:cs="Times New Roman" w:eastAsia="Times New Roman" w:hint="default"/>
                <w:sz w:val="18"/>
                <w:szCs w:val="18"/>
              </w:rPr>
            </w:pPr>
            <w:r>
              <w:rPr>
                <w:rFonts w:ascii="Times New Roman"/>
                <w:sz w:val="18"/>
              </w:rPr>
              <w:t>-29.98%</w:t>
            </w:r>
          </w:p>
        </w:tc>
        <w:tc>
          <w:tcPr>
            <w:tcW w:w="2929" w:type="dxa"/>
            <w:vMerge w:val="restart"/>
            <w:tcBorders>
              <w:top w:val="single" w:sz="6" w:space="0" w:color="000000"/>
              <w:left w:val="single" w:sz="6" w:space="0" w:color="000000"/>
              <w:right w:val="single" w:sz="6" w:space="0" w:color="000000"/>
            </w:tcBorders>
          </w:tcPr>
          <w:p>
            <w:pPr>
              <w:pStyle w:val="TableParagraph"/>
              <w:spacing w:line="321" w:lineRule="auto" w:before="30"/>
              <w:ind w:left="30" w:right="181"/>
              <w:jc w:val="left"/>
              <w:rPr>
                <w:rFonts w:ascii="宋体" w:hAnsi="宋体" w:cs="宋体" w:eastAsia="宋体" w:hint="default"/>
                <w:sz w:val="18"/>
                <w:szCs w:val="18"/>
              </w:rPr>
            </w:pPr>
            <w:r>
              <w:rPr>
                <w:rFonts w:ascii="宋体" w:hAnsi="宋体" w:cs="宋体" w:eastAsia="宋体" w:hint="default"/>
                <w:sz w:val="18"/>
                <w:szCs w:val="18"/>
              </w:rPr>
              <w:t>主要是由于本年度研发人员薪酬支 出下降</w:t>
            </w:r>
          </w:p>
        </w:tc>
      </w:tr>
      <w:tr>
        <w:trPr>
          <w:trHeight w:val="391" w:hRule="exact"/>
        </w:trPr>
        <w:tc>
          <w:tcPr>
            <w:tcW w:w="19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52" w:type="dxa"/>
            <w:vMerge/>
            <w:tcBorders>
              <w:left w:val="single" w:sz="18" w:space="0" w:color="D2D2D2"/>
              <w:right w:val="single" w:sz="6" w:space="0" w:color="000000"/>
            </w:tcBorders>
          </w:tcPr>
          <w:p>
            <w:pPr/>
          </w:p>
        </w:tc>
        <w:tc>
          <w:tcPr>
            <w:tcW w:w="1637" w:type="dxa"/>
            <w:vMerge/>
            <w:tcBorders>
              <w:left w:val="single" w:sz="6" w:space="0" w:color="000000"/>
              <w:right w:val="single" w:sz="6" w:space="0" w:color="000000"/>
            </w:tcBorders>
          </w:tcPr>
          <w:p>
            <w:pPr/>
          </w:p>
        </w:tc>
        <w:tc>
          <w:tcPr>
            <w:tcW w:w="1457" w:type="dxa"/>
            <w:vMerge/>
            <w:tcBorders>
              <w:left w:val="single" w:sz="6" w:space="0" w:color="000000"/>
              <w:right w:val="single" w:sz="6" w:space="0" w:color="000000"/>
            </w:tcBorders>
          </w:tcPr>
          <w:p>
            <w:pPr/>
          </w:p>
        </w:tc>
        <w:tc>
          <w:tcPr>
            <w:tcW w:w="2929" w:type="dxa"/>
            <w:vMerge/>
            <w:tcBorders>
              <w:left w:val="single" w:sz="6" w:space="0" w:color="000000"/>
              <w:right w:val="single" w:sz="6" w:space="0" w:color="000000"/>
            </w:tcBorders>
          </w:tcPr>
          <w:p>
            <w:pPr/>
          </w:p>
        </w:tc>
      </w:tr>
      <w:tr>
        <w:trPr>
          <w:trHeight w:val="158"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52" w:type="dxa"/>
            <w:vMerge/>
            <w:tcBorders>
              <w:left w:val="single" w:sz="18" w:space="0" w:color="D2D2D2"/>
              <w:bottom w:val="single" w:sz="6" w:space="0" w:color="000000"/>
              <w:right w:val="single" w:sz="6" w:space="0" w:color="000000"/>
            </w:tcBorders>
          </w:tcPr>
          <w:p>
            <w:pPr/>
          </w:p>
        </w:tc>
        <w:tc>
          <w:tcPr>
            <w:tcW w:w="1637" w:type="dxa"/>
            <w:vMerge/>
            <w:tcBorders>
              <w:left w:val="single" w:sz="6" w:space="0" w:color="000000"/>
              <w:bottom w:val="single" w:sz="6" w:space="0" w:color="000000"/>
              <w:right w:val="single" w:sz="6" w:space="0" w:color="000000"/>
            </w:tcBorders>
          </w:tcPr>
          <w:p>
            <w:pPr/>
          </w:p>
        </w:tc>
        <w:tc>
          <w:tcPr>
            <w:tcW w:w="1457" w:type="dxa"/>
            <w:vMerge/>
            <w:tcBorders>
              <w:left w:val="single" w:sz="6" w:space="0" w:color="000000"/>
              <w:bottom w:val="single" w:sz="6" w:space="0" w:color="000000"/>
              <w:right w:val="single" w:sz="6" w:space="0" w:color="000000"/>
            </w:tcBorders>
          </w:tcPr>
          <w:p>
            <w:pPr/>
          </w:p>
        </w:tc>
        <w:tc>
          <w:tcPr>
            <w:tcW w:w="2929" w:type="dxa"/>
            <w:vMerge/>
            <w:tcBorders>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both"/>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95" w:lineRule="auto" w:before="96"/>
        <w:ind w:right="1051"/>
        <w:jc w:val="both"/>
      </w:pPr>
      <w:r>
        <w:rPr/>
        <w:t>公司的研发支出主要用于信息技术研发和产品设计研发，本报告期内公司两</w:t>
      </w:r>
      <w:r>
        <w:rPr>
          <w:spacing w:val="-6"/>
        </w:rPr>
        <w:t> </w:t>
      </w:r>
      <w:r>
        <w:rPr/>
        <w:t>项研发支出金额分别为</w:t>
      </w:r>
      <w:r>
        <w:rPr>
          <w:rFonts w:ascii="Times New Roman" w:hAnsi="Times New Roman" w:cs="Times New Roman" w:eastAsia="Times New Roman" w:hint="default"/>
        </w:rPr>
        <w:t>6,343</w:t>
      </w:r>
      <w:r>
        <w:rPr/>
        <w:t>万元、</w:t>
      </w:r>
      <w:r>
        <w:rPr>
          <w:rFonts w:ascii="Times New Roman" w:hAnsi="Times New Roman" w:cs="Times New Roman" w:eastAsia="Times New Roman" w:hint="default"/>
        </w:rPr>
        <w:t>4,548</w:t>
      </w:r>
      <w:r>
        <w:rPr/>
        <w:t>万元， 总计约</w:t>
      </w:r>
      <w:r>
        <w:rPr>
          <w:rFonts w:ascii="Times New Roman" w:hAnsi="Times New Roman" w:cs="Times New Roman" w:eastAsia="Times New Roman" w:hint="default"/>
        </w:rPr>
        <w:t>10,891</w:t>
      </w:r>
      <w:r>
        <w:rPr/>
        <w:t>万元。本年度 公司信息技术研发投入主要为自有电商平台开发和公司信息管理系统研发支</w:t>
      </w:r>
      <w:r>
        <w:rPr>
          <w:spacing w:val="-22"/>
        </w:rPr>
        <w:t> </w:t>
      </w:r>
      <w:r>
        <w:rPr/>
        <w:t>出，产品设计研发</w:t>
      </w:r>
      <w:r>
        <w:rPr/>
        <w:t> 主要为公司设计及工艺部门的费用支出。</w:t>
      </w:r>
    </w:p>
    <w:p>
      <w:pPr>
        <w:spacing w:line="240" w:lineRule="auto" w:before="0"/>
        <w:rPr>
          <w:rFonts w:ascii="宋体" w:hAnsi="宋体" w:cs="宋体" w:eastAsia="宋体" w:hint="default"/>
          <w:sz w:val="18"/>
          <w:szCs w:val="18"/>
        </w:rPr>
      </w:pPr>
    </w:p>
    <w:p>
      <w:pPr>
        <w:pStyle w:val="BodyText"/>
        <w:spacing w:line="240" w:lineRule="auto" w:before="148"/>
        <w:ind w:right="0"/>
        <w:jc w:val="both"/>
      </w:pPr>
      <w:r>
        <w:rPr/>
        <w:t>公司研发投入情况</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373"/>
        <w:gridCol w:w="2411"/>
        <w:gridCol w:w="2388"/>
        <w:gridCol w:w="2403"/>
      </w:tblGrid>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243</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329</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-26.14%</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4.60%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4.13%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0.47%</w:t>
            </w:r>
            <w:r>
              <w:rPr>
                <w:rFonts w:ascii="Times New Roman"/>
                <w:sz w:val="18"/>
              </w:rPr>
            </w:r>
          </w:p>
        </w:tc>
      </w:tr>
      <w:tr>
        <w:trPr>
          <w:trHeight w:val="405"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108,913,317.00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155,552,394.00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-29.98%</w:t>
            </w:r>
          </w:p>
        </w:tc>
      </w:tr>
      <w:tr>
        <w:trPr>
          <w:trHeight w:val="406"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1.99%</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2.03%</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-0.04%</w:t>
            </w:r>
          </w:p>
        </w:tc>
      </w:tr>
      <w:tr>
        <w:trPr>
          <w:trHeight w:val="390"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721" w:hRule="exact"/>
        </w:trPr>
        <w:tc>
          <w:tcPr>
            <w:tcW w:w="237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88"/>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pStyle w:val="BodyText"/>
        <w:spacing w:line="240" w:lineRule="auto" w:before="44"/>
        <w:ind w:right="0"/>
        <w:jc w:val="left"/>
      </w:pPr>
      <w:r>
        <w:rPr/>
        <w:t>研发投入总额占营业收入的比重较上年发生显著变化的原因</w:t>
      </w:r>
    </w:p>
    <w:p>
      <w:pPr>
        <w:pStyle w:val="BodyText"/>
        <w:spacing w:line="319"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研发投入资本化率大幅变动的原因及其合理性说明</w:t>
      </w:r>
    </w:p>
    <w:p>
      <w:pPr>
        <w:pStyle w:val="BodyText"/>
        <w:spacing w:line="240" w:lineRule="auto" w:before="8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388"/>
        <w:gridCol w:w="2396"/>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7,010,552,246.00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8,354,787,710.00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-16.09%</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6,893,944,119.00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7,732,868,126.00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-10.85%</w:t>
            </w:r>
          </w:p>
        </w:tc>
      </w:tr>
      <w:tr>
        <w:trPr>
          <w:trHeight w:val="7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203"/>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116,608,127.00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621,919,584.00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-81.25%</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381"/>
        <w:gridCol w:w="2411"/>
        <w:gridCol w:w="2388"/>
        <w:gridCol w:w="2403"/>
      </w:tblGrid>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8,970,006.00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3,286,829.00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172.91%</w:t>
            </w:r>
            <w:r>
              <w:rPr>
                <w:rFonts w:ascii="Times New Roman"/>
                <w:sz w:val="18"/>
              </w:rPr>
            </w: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138,393,408.00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287,163,541.00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-51.81%</w:t>
            </w:r>
          </w:p>
        </w:tc>
      </w:tr>
      <w:tr>
        <w:trPr>
          <w:trHeight w:val="7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86"/>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-129,423,402.00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-283,876,712.00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54.41%</w:t>
            </w:r>
            <w:r>
              <w:rPr>
                <w:rFonts w:ascii="Times New Roman"/>
                <w:sz w:val="18"/>
              </w:rPr>
            </w:r>
          </w:p>
        </w:tc>
      </w:tr>
      <w:tr>
        <w:trPr>
          <w:trHeight w:val="406"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2,558,486,363.00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1,859,843,371.00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37.56%</w:t>
            </w:r>
            <w:r>
              <w:rPr>
                <w:rFonts w:ascii="Times New Roman"/>
                <w:sz w:val="18"/>
              </w:rPr>
            </w: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2,636,099,870.00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2,211,747,102.00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19.19%</w:t>
            </w:r>
            <w:r>
              <w:rPr>
                <w:rFonts w:ascii="Times New Roman"/>
                <w:sz w:val="18"/>
              </w:rPr>
            </w:r>
          </w:p>
        </w:tc>
      </w:tr>
      <w:tr>
        <w:trPr>
          <w:trHeight w:val="706"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88"/>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-77,613,507.00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-351,903,731.00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77.94%</w:t>
            </w:r>
            <w:r>
              <w:rPr>
                <w:rFonts w:ascii="Times New Roman"/>
                <w:sz w:val="18"/>
              </w:rPr>
            </w:r>
          </w:p>
        </w:tc>
      </w:tr>
      <w:tr>
        <w:trPr>
          <w:trHeight w:val="405" w:hRule="exact"/>
        </w:trPr>
        <w:tc>
          <w:tcPr>
            <w:tcW w:w="23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-90,428,782.00</w:t>
            </w:r>
            <w:r>
              <w:rPr>
                <w:rFonts w:ascii="Times New Roman"/>
                <w:sz w:val="18"/>
              </w:rPr>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-13,860,859.00</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-552.40%</w:t>
            </w:r>
            <w:r>
              <w:rPr>
                <w:rFonts w:ascii="Times New Roman"/>
                <w:sz w:val="18"/>
              </w:rPr>
            </w:r>
          </w:p>
        </w:tc>
      </w:tr>
    </w:tbl>
    <w:p>
      <w:pPr>
        <w:pStyle w:val="BodyText"/>
        <w:spacing w:line="240" w:lineRule="auto" w:before="44"/>
        <w:ind w:right="0"/>
        <w:jc w:val="left"/>
      </w:pPr>
      <w:r>
        <w:rPr/>
        <w:t>相关数据同比发生重大变动的主要影响因素说明</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90" w:lineRule="auto" w:before="96"/>
        <w:ind w:right="1104"/>
        <w:jc w:val="left"/>
      </w:pPr>
      <w:r>
        <w:rPr/>
        <w:t>（</w:t>
      </w:r>
      <w:r>
        <w:rPr>
          <w:rFonts w:ascii="Times New Roman" w:hAnsi="Times New Roman" w:cs="Times New Roman" w:eastAsia="Times New Roman" w:hint="default"/>
        </w:rPr>
        <w:t>1</w:t>
      </w:r>
      <w:r>
        <w:rPr/>
        <w:t>）经营活动产生的现金流量净额与上年同比减少</w:t>
      </w:r>
      <w:r>
        <w:rPr>
          <w:rFonts w:ascii="Times New Roman" w:hAnsi="Times New Roman" w:cs="Times New Roman" w:eastAsia="Times New Roman" w:hint="default"/>
        </w:rPr>
        <w:t>81.25%</w:t>
      </w:r>
      <w:r>
        <w:rPr/>
        <w:t>，主要是由于本年度收入下滑，收到的销售货款较上一年度减少</w:t>
      </w:r>
      <w:r>
        <w:rPr>
          <w:spacing w:val="-86"/>
        </w:rPr>
        <w:t> </w:t>
      </w:r>
      <w:r>
        <w:rPr/>
        <w:t>所致。</w:t>
      </w:r>
    </w:p>
    <w:p>
      <w:pPr>
        <w:pStyle w:val="BodyText"/>
        <w:spacing w:line="240" w:lineRule="auto" w:before="56"/>
        <w:ind w:right="0"/>
        <w:jc w:val="left"/>
      </w:pPr>
      <w:r>
        <w:rPr/>
        <w:t>（</w:t>
      </w:r>
      <w:r>
        <w:rPr>
          <w:rFonts w:ascii="Times New Roman" w:hAnsi="Times New Roman" w:cs="Times New Roman" w:eastAsia="Times New Roman" w:hint="default"/>
        </w:rPr>
        <w:t>2</w:t>
      </w:r>
      <w:r>
        <w:rPr/>
        <w:t>）投资活动产生的现金流量净额比上年同比增加</w:t>
      </w:r>
      <w:r>
        <w:rPr>
          <w:rFonts w:ascii="Times New Roman" w:hAnsi="Times New Roman" w:cs="Times New Roman" w:eastAsia="Times New Roman" w:hint="default"/>
        </w:rPr>
        <w:t>54.41%</w:t>
      </w:r>
      <w:r>
        <w:rPr/>
        <w:t>，主要是由于长期资产投资减少所致。</w:t>
      </w:r>
    </w:p>
    <w:p>
      <w:pPr>
        <w:pStyle w:val="BodyText"/>
        <w:spacing w:line="240" w:lineRule="auto" w:before="66"/>
        <w:ind w:right="0"/>
        <w:jc w:val="left"/>
      </w:pPr>
      <w:r>
        <w:rPr/>
        <w:t>（</w:t>
      </w:r>
      <w:r>
        <w:rPr>
          <w:rFonts w:ascii="Times New Roman" w:hAnsi="Times New Roman" w:cs="Times New Roman" w:eastAsia="Times New Roman" w:hint="default"/>
        </w:rPr>
        <w:t>3</w:t>
      </w:r>
      <w:r>
        <w:rPr/>
        <w:t>）筹资活动产生的现金流量净额比上年同期增加</w:t>
      </w:r>
      <w:r>
        <w:rPr>
          <w:rFonts w:ascii="Times New Roman" w:hAnsi="Times New Roman" w:cs="Times New Roman" w:eastAsia="Times New Roman" w:hint="default"/>
        </w:rPr>
        <w:t>77.94%</w:t>
      </w:r>
      <w:r>
        <w:rPr/>
        <w:t>，主要是由于去年偿付大额债券到期，本年度无此项支出。</w:t>
      </w:r>
    </w:p>
    <w:p>
      <w:pPr>
        <w:spacing w:line="240" w:lineRule="auto" w:before="0"/>
        <w:rPr>
          <w:rFonts w:ascii="宋体" w:hAnsi="宋体" w:cs="宋体" w:eastAsia="宋体" w:hint="default"/>
          <w:sz w:val="18"/>
          <w:szCs w:val="18"/>
        </w:rPr>
      </w:pPr>
    </w:p>
    <w:p>
      <w:pPr>
        <w:pStyle w:val="BodyText"/>
        <w:spacing w:line="240" w:lineRule="auto" w:before="161"/>
        <w:ind w:right="0"/>
        <w:jc w:val="left"/>
      </w:pPr>
      <w:r>
        <w:rPr/>
        <w:t>报告期内公司经营活动产生的现金净流量与本年度净利润存在重大差异的原因说明</w:t>
      </w:r>
    </w:p>
    <w:p>
      <w:pPr>
        <w:pStyle w:val="BodyText"/>
        <w:spacing w:line="240" w:lineRule="auto" w:before="1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95" w:lineRule="auto" w:before="96"/>
        <w:ind w:right="1104"/>
        <w:jc w:val="left"/>
      </w:pPr>
      <w:r>
        <w:rPr/>
        <w:t>本报告期内，经营活动产生的现金净流量</w:t>
      </w:r>
      <w:r>
        <w:rPr>
          <w:rFonts w:ascii="Times New Roman" w:hAnsi="Times New Roman" w:cs="Times New Roman" w:eastAsia="Times New Roman" w:hint="default"/>
        </w:rPr>
        <w:t>1.17</w:t>
      </w:r>
      <w:r>
        <w:rPr/>
        <w:t>亿元，与本年度净利润</w:t>
      </w:r>
      <w:r>
        <w:rPr>
          <w:rFonts w:ascii="Times New Roman" w:hAnsi="Times New Roman" w:cs="Times New Roman" w:eastAsia="Times New Roman" w:hint="default"/>
        </w:rPr>
        <w:t>-8.25</w:t>
      </w:r>
      <w:r>
        <w:rPr/>
        <w:t>亿元存在差异</w:t>
      </w:r>
      <w:r>
        <w:rPr>
          <w:rFonts w:ascii="Times New Roman" w:hAnsi="Times New Roman" w:cs="Times New Roman" w:eastAsia="Times New Roman" w:hint="default"/>
        </w:rPr>
        <w:t>9.42</w:t>
      </w:r>
      <w:r>
        <w:rPr/>
        <w:t>亿元，主要由于本年度资产类折</w:t>
      </w:r>
      <w:r>
        <w:rPr>
          <w:spacing w:val="-85"/>
        </w:rPr>
        <w:t> </w:t>
      </w:r>
      <w:r>
        <w:rPr/>
        <w:t>旧金额</w:t>
      </w:r>
      <w:r>
        <w:rPr>
          <w:rFonts w:ascii="Times New Roman" w:hAnsi="Times New Roman" w:cs="Times New Roman" w:eastAsia="Times New Roman" w:hint="default"/>
        </w:rPr>
        <w:t>0.84</w:t>
      </w:r>
      <w:r>
        <w:rPr/>
        <w:t>亿元，计提资产减值准备和信用减值损失</w:t>
      </w:r>
      <w:r>
        <w:rPr>
          <w:rFonts w:ascii="Times New Roman" w:hAnsi="Times New Roman" w:cs="Times New Roman" w:eastAsia="Times New Roman" w:hint="default"/>
        </w:rPr>
        <w:t>4.44</w:t>
      </w:r>
      <w:r>
        <w:rPr/>
        <w:t>亿元，财务费用支出及其他费用摊销</w:t>
      </w:r>
      <w:r>
        <w:rPr>
          <w:rFonts w:ascii="Times New Roman" w:hAnsi="Times New Roman" w:cs="Times New Roman" w:eastAsia="Times New Roman" w:hint="default"/>
        </w:rPr>
        <w:t>3.23</w:t>
      </w:r>
      <w:r>
        <w:rPr/>
        <w:t>亿元，存货规模下降</w:t>
      </w:r>
      <w:r>
        <w:rPr>
          <w:rFonts w:ascii="Times New Roman" w:hAnsi="Times New Roman" w:cs="Times New Roman" w:eastAsia="Times New Roman" w:hint="default"/>
        </w:rPr>
        <w:t>0.73</w:t>
      </w:r>
      <w:r>
        <w:rPr>
          <w:rFonts w:ascii="Times New Roman" w:hAnsi="Times New Roman" w:cs="Times New Roman" w:eastAsia="Times New Roman" w:hint="default"/>
          <w:spacing w:val="-37"/>
        </w:rPr>
        <w:t> </w:t>
      </w:r>
      <w:r>
        <w:rPr/>
        <w:t>亿元，导致经营活动产生的现金净流量与本年度净利润存在较大差异。</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1"/>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517"/>
        <w:gridCol w:w="1915"/>
        <w:gridCol w:w="1622"/>
        <w:gridCol w:w="2268"/>
        <w:gridCol w:w="2253"/>
      </w:tblGrid>
      <w:tr>
        <w:trPr>
          <w:trHeight w:val="406" w:hRule="exact"/>
        </w:trPr>
        <w:tc>
          <w:tcPr>
            <w:tcW w:w="151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57" w:hRule="exact"/>
        </w:trPr>
        <w:tc>
          <w:tcPr>
            <w:tcW w:w="151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12"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41" w:right="0"/>
              <w:jc w:val="left"/>
              <w:rPr>
                <w:rFonts w:ascii="Times New Roman" w:hAnsi="Times New Roman" w:cs="Times New Roman" w:eastAsia="Times New Roman" w:hint="default"/>
                <w:sz w:val="18"/>
                <w:szCs w:val="18"/>
              </w:rPr>
            </w:pPr>
            <w:r>
              <w:rPr>
                <w:rFonts w:ascii="Times New Roman"/>
                <w:sz w:val="18"/>
              </w:rPr>
              <w:t>42,713,656.00</w:t>
            </w:r>
          </w:p>
        </w:tc>
        <w:tc>
          <w:tcPr>
            <w:tcW w:w="162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-5.06%</w:t>
            </w:r>
          </w:p>
        </w:tc>
        <w:tc>
          <w:tcPr>
            <w:tcW w:w="2268" w:type="dxa"/>
            <w:vMerge w:val="restart"/>
            <w:tcBorders>
              <w:top w:val="single" w:sz="6" w:space="0" w:color="000000"/>
              <w:left w:val="single" w:sz="6" w:space="0" w:color="000000"/>
              <w:right w:val="single" w:sz="6" w:space="0" w:color="000000"/>
            </w:tcBorders>
          </w:tcPr>
          <w:p>
            <w:pPr>
              <w:pStyle w:val="TableParagraph"/>
              <w:spacing w:line="304" w:lineRule="auto" w:before="45"/>
              <w:ind w:left="30" w:right="60"/>
              <w:jc w:val="left"/>
              <w:rPr>
                <w:rFonts w:ascii="宋体" w:hAnsi="宋体" w:cs="宋体" w:eastAsia="宋体" w:hint="default"/>
                <w:sz w:val="18"/>
                <w:szCs w:val="18"/>
              </w:rPr>
            </w:pPr>
            <w:r>
              <w:rPr>
                <w:rFonts w:ascii="宋体" w:hAnsi="宋体" w:cs="宋体" w:eastAsia="宋体" w:hint="default"/>
                <w:sz w:val="18"/>
                <w:szCs w:val="18"/>
              </w:rPr>
              <w:t>主要是对联营企业上海华瑞 银行确认的投资收益所致。</w:t>
            </w:r>
          </w:p>
        </w:tc>
        <w:tc>
          <w:tcPr>
            <w:tcW w:w="2253"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0" w:hRule="exact"/>
        </w:trPr>
        <w:tc>
          <w:tcPr>
            <w:tcW w:w="151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5" w:type="dxa"/>
            <w:vMerge/>
            <w:tcBorders>
              <w:left w:val="single" w:sz="12" w:space="0" w:color="D2D2D2"/>
              <w:right w:val="single" w:sz="6" w:space="0" w:color="000000"/>
            </w:tcBorders>
          </w:tcPr>
          <w:p>
            <w:pPr/>
          </w:p>
        </w:tc>
        <w:tc>
          <w:tcPr>
            <w:tcW w:w="1622" w:type="dxa"/>
            <w:vMerge/>
            <w:tcBorders>
              <w:left w:val="single" w:sz="6" w:space="0" w:color="000000"/>
              <w:right w:val="single" w:sz="6" w:space="0" w:color="000000"/>
            </w:tcBorders>
          </w:tcPr>
          <w:p>
            <w:pPr/>
          </w:p>
        </w:tc>
        <w:tc>
          <w:tcPr>
            <w:tcW w:w="2268" w:type="dxa"/>
            <w:vMerge/>
            <w:tcBorders>
              <w:left w:val="single" w:sz="6" w:space="0" w:color="000000"/>
              <w:right w:val="single" w:sz="6" w:space="0" w:color="000000"/>
            </w:tcBorders>
          </w:tcPr>
          <w:p>
            <w:pPr/>
          </w:p>
        </w:tc>
        <w:tc>
          <w:tcPr>
            <w:tcW w:w="2253" w:type="dxa"/>
            <w:vMerge/>
            <w:tcBorders>
              <w:left w:val="single" w:sz="6" w:space="0" w:color="000000"/>
              <w:right w:val="single" w:sz="6" w:space="0" w:color="000000"/>
            </w:tcBorders>
          </w:tcPr>
          <w:p>
            <w:pPr/>
          </w:p>
        </w:tc>
      </w:tr>
      <w:tr>
        <w:trPr>
          <w:trHeight w:val="173" w:hRule="exact"/>
        </w:trPr>
        <w:tc>
          <w:tcPr>
            <w:tcW w:w="151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12" w:space="0" w:color="D2D2D2"/>
              <w:bottom w:val="single" w:sz="6" w:space="0" w:color="000000"/>
              <w:right w:val="single" w:sz="6" w:space="0" w:color="000000"/>
            </w:tcBorders>
          </w:tcPr>
          <w:p>
            <w:pPr/>
          </w:p>
        </w:tc>
        <w:tc>
          <w:tcPr>
            <w:tcW w:w="1622"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bottom w:val="single" w:sz="6" w:space="0" w:color="000000"/>
              <w:right w:val="single" w:sz="6" w:space="0" w:color="000000"/>
            </w:tcBorders>
          </w:tcPr>
          <w:p>
            <w:pPr/>
          </w:p>
        </w:tc>
        <w:tc>
          <w:tcPr>
            <w:tcW w:w="2253" w:type="dxa"/>
            <w:vMerge/>
            <w:tcBorders>
              <w:left w:val="single" w:sz="6" w:space="0" w:color="000000"/>
              <w:bottom w:val="single" w:sz="6" w:space="0" w:color="000000"/>
              <w:right w:val="single" w:sz="6" w:space="0" w:color="000000"/>
            </w:tcBorders>
          </w:tcPr>
          <w:p>
            <w:pPr/>
          </w:p>
        </w:tc>
      </w:tr>
      <w:tr>
        <w:trPr>
          <w:trHeight w:val="158" w:hRule="exact"/>
        </w:trPr>
        <w:tc>
          <w:tcPr>
            <w:tcW w:w="151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18"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82" w:right="0"/>
              <w:jc w:val="left"/>
              <w:rPr>
                <w:rFonts w:ascii="Times New Roman" w:hAnsi="Times New Roman" w:cs="Times New Roman" w:eastAsia="Times New Roman" w:hint="default"/>
                <w:sz w:val="18"/>
                <w:szCs w:val="18"/>
              </w:rPr>
            </w:pPr>
            <w:r>
              <w:rPr>
                <w:rFonts w:ascii="Times New Roman"/>
                <w:sz w:val="18"/>
              </w:rPr>
              <w:t>-314,255,965.00</w:t>
            </w:r>
          </w:p>
        </w:tc>
        <w:tc>
          <w:tcPr>
            <w:tcW w:w="162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36" w:right="0"/>
              <w:jc w:val="left"/>
              <w:rPr>
                <w:rFonts w:ascii="Times New Roman" w:hAnsi="Times New Roman" w:cs="Times New Roman" w:eastAsia="Times New Roman" w:hint="default"/>
                <w:sz w:val="18"/>
                <w:szCs w:val="18"/>
              </w:rPr>
            </w:pPr>
            <w:r>
              <w:rPr>
                <w:rFonts w:ascii="Times New Roman"/>
                <w:sz w:val="18"/>
              </w:rPr>
              <w:t>37.21%</w:t>
            </w:r>
          </w:p>
        </w:tc>
        <w:tc>
          <w:tcPr>
            <w:tcW w:w="2268" w:type="dxa"/>
            <w:vMerge w:val="restart"/>
            <w:tcBorders>
              <w:top w:val="single" w:sz="6" w:space="0" w:color="000000"/>
              <w:left w:val="single" w:sz="6" w:space="0" w:color="000000"/>
              <w:right w:val="single" w:sz="6" w:space="0" w:color="000000"/>
            </w:tcBorders>
          </w:tcPr>
          <w:p>
            <w:pPr>
              <w:pStyle w:val="TableParagraph"/>
              <w:spacing w:line="321" w:lineRule="auto" w:before="30"/>
              <w:ind w:left="30" w:right="60"/>
              <w:jc w:val="left"/>
              <w:rPr>
                <w:rFonts w:ascii="宋体" w:hAnsi="宋体" w:cs="宋体" w:eastAsia="宋体" w:hint="default"/>
                <w:sz w:val="18"/>
                <w:szCs w:val="18"/>
              </w:rPr>
            </w:pPr>
            <w:r>
              <w:rPr>
                <w:rFonts w:ascii="宋体" w:hAnsi="宋体" w:cs="宋体" w:eastAsia="宋体" w:hint="default"/>
                <w:sz w:val="18"/>
                <w:szCs w:val="18"/>
              </w:rPr>
              <w:t>主要是本年度存货跌价计提 及长期资产减值所致。</w:t>
            </w:r>
          </w:p>
        </w:tc>
        <w:tc>
          <w:tcPr>
            <w:tcW w:w="2253"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51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5" w:type="dxa"/>
            <w:vMerge/>
            <w:tcBorders>
              <w:left w:val="single" w:sz="18" w:space="0" w:color="D2D2D2"/>
              <w:right w:val="single" w:sz="6" w:space="0" w:color="000000"/>
            </w:tcBorders>
          </w:tcPr>
          <w:p>
            <w:pPr/>
          </w:p>
        </w:tc>
        <w:tc>
          <w:tcPr>
            <w:tcW w:w="1622" w:type="dxa"/>
            <w:vMerge/>
            <w:tcBorders>
              <w:left w:val="single" w:sz="6" w:space="0" w:color="000000"/>
              <w:right w:val="single" w:sz="6" w:space="0" w:color="000000"/>
            </w:tcBorders>
          </w:tcPr>
          <w:p>
            <w:pPr/>
          </w:p>
        </w:tc>
        <w:tc>
          <w:tcPr>
            <w:tcW w:w="2268" w:type="dxa"/>
            <w:vMerge/>
            <w:tcBorders>
              <w:left w:val="single" w:sz="6" w:space="0" w:color="000000"/>
              <w:right w:val="single" w:sz="6" w:space="0" w:color="000000"/>
            </w:tcBorders>
          </w:tcPr>
          <w:p>
            <w:pPr/>
          </w:p>
        </w:tc>
        <w:tc>
          <w:tcPr>
            <w:tcW w:w="2253" w:type="dxa"/>
            <w:vMerge/>
            <w:tcBorders>
              <w:left w:val="single" w:sz="6" w:space="0" w:color="000000"/>
              <w:right w:val="single" w:sz="6" w:space="0" w:color="000000"/>
            </w:tcBorders>
          </w:tcPr>
          <w:p>
            <w:pPr/>
          </w:p>
        </w:tc>
      </w:tr>
      <w:tr>
        <w:trPr>
          <w:trHeight w:val="158" w:hRule="exact"/>
        </w:trPr>
        <w:tc>
          <w:tcPr>
            <w:tcW w:w="151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18" w:space="0" w:color="D2D2D2"/>
              <w:bottom w:val="single" w:sz="6" w:space="0" w:color="000000"/>
              <w:right w:val="single" w:sz="6" w:space="0" w:color="000000"/>
            </w:tcBorders>
          </w:tcPr>
          <w:p>
            <w:pPr/>
          </w:p>
        </w:tc>
        <w:tc>
          <w:tcPr>
            <w:tcW w:w="1622"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bottom w:val="single" w:sz="6" w:space="0" w:color="000000"/>
              <w:right w:val="single" w:sz="6" w:space="0" w:color="000000"/>
            </w:tcBorders>
          </w:tcPr>
          <w:p>
            <w:pPr/>
          </w:p>
        </w:tc>
        <w:tc>
          <w:tcPr>
            <w:tcW w:w="2253" w:type="dxa"/>
            <w:vMerge/>
            <w:tcBorders>
              <w:left w:val="single" w:sz="6" w:space="0" w:color="000000"/>
              <w:bottom w:val="single" w:sz="6" w:space="0" w:color="000000"/>
              <w:right w:val="single" w:sz="6" w:space="0" w:color="000000"/>
            </w:tcBorders>
          </w:tcPr>
          <w:p>
            <w:pPr/>
          </w:p>
        </w:tc>
      </w:tr>
      <w:tr>
        <w:trPr>
          <w:trHeight w:val="158" w:hRule="exact"/>
        </w:trPr>
        <w:tc>
          <w:tcPr>
            <w:tcW w:w="151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12" w:space="0" w:color="D2D2D2"/>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7,511,567.00</w:t>
            </w:r>
          </w:p>
        </w:tc>
        <w:tc>
          <w:tcPr>
            <w:tcW w:w="1622"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-0.89%</w:t>
            </w:r>
          </w:p>
        </w:tc>
        <w:tc>
          <w:tcPr>
            <w:tcW w:w="2268" w:type="dxa"/>
            <w:vMerge w:val="restart"/>
            <w:tcBorders>
              <w:top w:val="single" w:sz="6" w:space="0" w:color="000000"/>
              <w:left w:val="single" w:sz="6" w:space="0" w:color="000000"/>
              <w:right w:val="single" w:sz="6" w:space="0" w:color="000000"/>
            </w:tcBorders>
          </w:tcPr>
          <w:p>
            <w:pPr>
              <w:pStyle w:val="TableParagraph"/>
              <w:spacing w:line="307" w:lineRule="auto" w:before="44"/>
              <w:ind w:left="30" w:right="60"/>
              <w:jc w:val="left"/>
              <w:rPr>
                <w:rFonts w:ascii="宋体" w:hAnsi="宋体" w:cs="宋体" w:eastAsia="宋体" w:hint="default"/>
                <w:sz w:val="18"/>
                <w:szCs w:val="18"/>
              </w:rPr>
            </w:pPr>
            <w:r>
              <w:rPr>
                <w:rFonts w:ascii="宋体" w:hAnsi="宋体" w:cs="宋体" w:eastAsia="宋体" w:hint="default"/>
                <w:sz w:val="18"/>
                <w:szCs w:val="18"/>
              </w:rPr>
              <w:t>主要是本年度违约金及罚没 收入所致。</w:t>
            </w:r>
          </w:p>
        </w:tc>
        <w:tc>
          <w:tcPr>
            <w:tcW w:w="2253"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1" w:hRule="exact"/>
        </w:trPr>
        <w:tc>
          <w:tcPr>
            <w:tcW w:w="151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5" w:type="dxa"/>
            <w:vMerge/>
            <w:tcBorders>
              <w:left w:val="single" w:sz="12" w:space="0" w:color="D2D2D2"/>
              <w:right w:val="single" w:sz="6" w:space="0" w:color="000000"/>
            </w:tcBorders>
          </w:tcPr>
          <w:p>
            <w:pPr/>
          </w:p>
        </w:tc>
        <w:tc>
          <w:tcPr>
            <w:tcW w:w="1622" w:type="dxa"/>
            <w:vMerge/>
            <w:tcBorders>
              <w:left w:val="single" w:sz="6" w:space="0" w:color="000000"/>
              <w:right w:val="single" w:sz="6" w:space="0" w:color="000000"/>
            </w:tcBorders>
          </w:tcPr>
          <w:p>
            <w:pPr/>
          </w:p>
        </w:tc>
        <w:tc>
          <w:tcPr>
            <w:tcW w:w="2268" w:type="dxa"/>
            <w:vMerge/>
            <w:tcBorders>
              <w:left w:val="single" w:sz="6" w:space="0" w:color="000000"/>
              <w:right w:val="single" w:sz="6" w:space="0" w:color="000000"/>
            </w:tcBorders>
          </w:tcPr>
          <w:p>
            <w:pPr/>
          </w:p>
        </w:tc>
        <w:tc>
          <w:tcPr>
            <w:tcW w:w="2253" w:type="dxa"/>
            <w:vMerge/>
            <w:tcBorders>
              <w:left w:val="single" w:sz="6" w:space="0" w:color="000000"/>
              <w:right w:val="single" w:sz="6" w:space="0" w:color="000000"/>
            </w:tcBorders>
          </w:tcPr>
          <w:p>
            <w:pPr/>
          </w:p>
        </w:tc>
      </w:tr>
      <w:tr>
        <w:trPr>
          <w:trHeight w:val="173" w:hRule="exact"/>
        </w:trPr>
        <w:tc>
          <w:tcPr>
            <w:tcW w:w="151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12" w:space="0" w:color="D2D2D2"/>
              <w:bottom w:val="single" w:sz="6" w:space="0" w:color="000000"/>
              <w:right w:val="single" w:sz="6" w:space="0" w:color="000000"/>
            </w:tcBorders>
          </w:tcPr>
          <w:p>
            <w:pPr/>
          </w:p>
        </w:tc>
        <w:tc>
          <w:tcPr>
            <w:tcW w:w="1622"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bottom w:val="single" w:sz="6" w:space="0" w:color="000000"/>
              <w:right w:val="single" w:sz="6" w:space="0" w:color="000000"/>
            </w:tcBorders>
          </w:tcPr>
          <w:p>
            <w:pPr/>
          </w:p>
        </w:tc>
        <w:tc>
          <w:tcPr>
            <w:tcW w:w="2253" w:type="dxa"/>
            <w:vMerge/>
            <w:tcBorders>
              <w:left w:val="single" w:sz="6" w:space="0" w:color="000000"/>
              <w:bottom w:val="single" w:sz="6" w:space="0" w:color="000000"/>
              <w:right w:val="single" w:sz="6" w:space="0" w:color="000000"/>
            </w:tcBorders>
          </w:tcPr>
          <w:p>
            <w:pPr/>
          </w:p>
        </w:tc>
      </w:tr>
      <w:tr>
        <w:trPr>
          <w:trHeight w:val="157" w:hRule="exact"/>
        </w:trPr>
        <w:tc>
          <w:tcPr>
            <w:tcW w:w="1517"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18" w:space="0" w:color="D2D2D2"/>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33" w:right="0"/>
              <w:jc w:val="left"/>
              <w:rPr>
                <w:rFonts w:ascii="Times New Roman" w:hAnsi="Times New Roman" w:cs="Times New Roman" w:eastAsia="Times New Roman" w:hint="default"/>
                <w:sz w:val="18"/>
                <w:szCs w:val="18"/>
              </w:rPr>
            </w:pPr>
            <w:r>
              <w:rPr>
                <w:rFonts w:ascii="Times New Roman"/>
                <w:sz w:val="18"/>
              </w:rPr>
              <w:t>31,889,518.00</w:t>
            </w:r>
          </w:p>
        </w:tc>
        <w:tc>
          <w:tcPr>
            <w:tcW w:w="162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66" w:right="0"/>
              <w:jc w:val="left"/>
              <w:rPr>
                <w:rFonts w:ascii="Times New Roman" w:hAnsi="Times New Roman" w:cs="Times New Roman" w:eastAsia="Times New Roman" w:hint="default"/>
                <w:sz w:val="18"/>
                <w:szCs w:val="18"/>
              </w:rPr>
            </w:pPr>
            <w:r>
              <w:rPr>
                <w:rFonts w:ascii="Times New Roman"/>
                <w:sz w:val="18"/>
              </w:rPr>
              <w:t>-3.78%</w:t>
            </w:r>
          </w:p>
        </w:tc>
        <w:tc>
          <w:tcPr>
            <w:tcW w:w="2268" w:type="dxa"/>
            <w:vMerge w:val="restart"/>
            <w:tcBorders>
              <w:top w:val="single" w:sz="6" w:space="0" w:color="000000"/>
              <w:left w:val="single" w:sz="6" w:space="0" w:color="000000"/>
              <w:right w:val="single" w:sz="6" w:space="0" w:color="000000"/>
            </w:tcBorders>
          </w:tcPr>
          <w:p>
            <w:pPr>
              <w:pStyle w:val="TableParagraph"/>
              <w:spacing w:line="307" w:lineRule="auto" w:before="44"/>
              <w:ind w:left="30" w:right="240"/>
              <w:jc w:val="left"/>
              <w:rPr>
                <w:rFonts w:ascii="宋体" w:hAnsi="宋体" w:cs="宋体" w:eastAsia="宋体" w:hint="default"/>
                <w:sz w:val="18"/>
                <w:szCs w:val="18"/>
              </w:rPr>
            </w:pPr>
            <w:r>
              <w:rPr>
                <w:rFonts w:ascii="宋体" w:hAnsi="宋体" w:cs="宋体" w:eastAsia="宋体" w:hint="default"/>
                <w:sz w:val="18"/>
                <w:szCs w:val="18"/>
              </w:rPr>
              <w:t>主要是本年度关店损失所 致。</w:t>
            </w:r>
          </w:p>
        </w:tc>
        <w:tc>
          <w:tcPr>
            <w:tcW w:w="2253"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151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5" w:type="dxa"/>
            <w:vMerge/>
            <w:tcBorders>
              <w:left w:val="single" w:sz="18" w:space="0" w:color="D2D2D2"/>
              <w:right w:val="single" w:sz="6" w:space="0" w:color="000000"/>
            </w:tcBorders>
          </w:tcPr>
          <w:p>
            <w:pPr/>
          </w:p>
        </w:tc>
        <w:tc>
          <w:tcPr>
            <w:tcW w:w="1622" w:type="dxa"/>
            <w:vMerge/>
            <w:tcBorders>
              <w:left w:val="single" w:sz="6" w:space="0" w:color="000000"/>
              <w:right w:val="single" w:sz="6" w:space="0" w:color="000000"/>
            </w:tcBorders>
          </w:tcPr>
          <w:p>
            <w:pPr/>
          </w:p>
        </w:tc>
        <w:tc>
          <w:tcPr>
            <w:tcW w:w="2268" w:type="dxa"/>
            <w:vMerge/>
            <w:tcBorders>
              <w:left w:val="single" w:sz="6" w:space="0" w:color="000000"/>
              <w:right w:val="single" w:sz="6" w:space="0" w:color="000000"/>
            </w:tcBorders>
          </w:tcPr>
          <w:p>
            <w:pPr/>
          </w:p>
        </w:tc>
        <w:tc>
          <w:tcPr>
            <w:tcW w:w="2253" w:type="dxa"/>
            <w:vMerge/>
            <w:tcBorders>
              <w:left w:val="single" w:sz="6" w:space="0" w:color="000000"/>
              <w:right w:val="single" w:sz="6" w:space="0" w:color="000000"/>
            </w:tcBorders>
          </w:tcPr>
          <w:p>
            <w:pPr/>
          </w:p>
        </w:tc>
      </w:tr>
      <w:tr>
        <w:trPr>
          <w:trHeight w:val="158" w:hRule="exact"/>
        </w:trPr>
        <w:tc>
          <w:tcPr>
            <w:tcW w:w="151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18" w:space="0" w:color="D2D2D2"/>
              <w:bottom w:val="single" w:sz="6" w:space="0" w:color="000000"/>
              <w:right w:val="single" w:sz="6" w:space="0" w:color="000000"/>
            </w:tcBorders>
          </w:tcPr>
          <w:p>
            <w:pPr/>
          </w:p>
        </w:tc>
        <w:tc>
          <w:tcPr>
            <w:tcW w:w="1622" w:type="dxa"/>
            <w:vMerge/>
            <w:tcBorders>
              <w:left w:val="single" w:sz="6" w:space="0" w:color="000000"/>
              <w:bottom w:val="single" w:sz="6" w:space="0" w:color="000000"/>
              <w:right w:val="single" w:sz="6" w:space="0" w:color="000000"/>
            </w:tcBorders>
          </w:tcPr>
          <w:p>
            <w:pPr/>
          </w:p>
        </w:tc>
        <w:tc>
          <w:tcPr>
            <w:tcW w:w="2268" w:type="dxa"/>
            <w:vMerge/>
            <w:tcBorders>
              <w:left w:val="single" w:sz="6" w:space="0" w:color="000000"/>
              <w:bottom w:val="single" w:sz="6" w:space="0" w:color="000000"/>
              <w:right w:val="single" w:sz="6" w:space="0" w:color="000000"/>
            </w:tcBorders>
          </w:tcPr>
          <w:p>
            <w:pPr/>
          </w:p>
        </w:tc>
        <w:tc>
          <w:tcPr>
            <w:tcW w:w="2253" w:type="dxa"/>
            <w:vMerge/>
            <w:tcBorders>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bookmarkStart w:name="四、资产及负债状况分析" w:id="41"/>
      <w:bookmarkEnd w:id="41"/>
      <w:r>
        <w:rPr>
          <w:b w:val="0"/>
          <w:bCs w:val="0"/>
        </w:rPr>
      </w:r>
      <w:r>
        <w:rPr/>
        <w:t>四、资产及负债状况分析</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before="44"/>
        <w:ind w:right="-19"/>
        <w:jc w:val="left"/>
      </w:pPr>
      <w:r>
        <w:rPr/>
        <w:t>公司</w:t>
      </w:r>
      <w:r>
        <w:rPr>
          <w:spacing w:val="-45"/>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96"/>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8513" w:space="423"/>
            <w:col w:w="197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172"/>
        <w:gridCol w:w="1066"/>
        <w:gridCol w:w="1187"/>
        <w:gridCol w:w="1066"/>
        <w:gridCol w:w="796"/>
        <w:gridCol w:w="2929"/>
      </w:tblGrid>
      <w:tr>
        <w:trPr>
          <w:trHeight w:val="405" w:hRule="exact"/>
        </w:trPr>
        <w:tc>
          <w:tcPr>
            <w:tcW w:w="1367" w:type="dxa"/>
            <w:vMerge w:val="restart"/>
            <w:tcBorders>
              <w:top w:val="single" w:sz="6" w:space="0" w:color="000000"/>
              <w:left w:val="single" w:sz="6" w:space="0" w:color="000000"/>
              <w:right w:val="single" w:sz="6" w:space="0" w:color="000000"/>
            </w:tcBorders>
            <w:shd w:val="clear" w:color="auto" w:fill="D2D2D2"/>
          </w:tcPr>
          <w:p>
            <w:pPr/>
          </w:p>
        </w:tc>
        <w:tc>
          <w:tcPr>
            <w:tcW w:w="2238"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年末</w:t>
            </w:r>
          </w:p>
        </w:tc>
        <w:tc>
          <w:tcPr>
            <w:tcW w:w="225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年初</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2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16"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58" w:hRule="exact"/>
        </w:trPr>
        <w:tc>
          <w:tcPr>
            <w:tcW w:w="1367" w:type="dxa"/>
            <w:vMerge/>
            <w:tcBorders>
              <w:left w:val="single" w:sz="6" w:space="0" w:color="000000"/>
              <w:right w:val="single" w:sz="6" w:space="0" w:color="000000"/>
            </w:tcBorders>
            <w:shd w:val="clear" w:color="auto" w:fill="D2D2D2"/>
          </w:tcPr>
          <w:p>
            <w:pPr/>
          </w:p>
        </w:tc>
        <w:tc>
          <w:tcPr>
            <w:tcW w:w="1172"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20" w:right="89"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8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35"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390" w:hRule="exact"/>
        </w:trPr>
        <w:tc>
          <w:tcPr>
            <w:tcW w:w="1367" w:type="dxa"/>
            <w:vMerge/>
            <w:tcBorders>
              <w:left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vMerge/>
            <w:tcBorders>
              <w:left w:val="single" w:sz="6" w:space="0" w:color="000000"/>
              <w:right w:val="single" w:sz="6" w:space="0" w:color="000000"/>
            </w:tcBorders>
            <w:shd w:val="clear" w:color="auto" w:fill="D2D2D2"/>
          </w:tcPr>
          <w:p>
            <w:pPr/>
          </w:p>
        </w:tc>
        <w:tc>
          <w:tcPr>
            <w:tcW w:w="1187"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2929" w:type="dxa"/>
            <w:vMerge/>
            <w:tcBorders>
              <w:left w:val="single" w:sz="6" w:space="0" w:color="000000"/>
              <w:right w:val="single" w:sz="6" w:space="0" w:color="000000"/>
            </w:tcBorders>
            <w:shd w:val="clear" w:color="auto" w:fill="D2D2D2"/>
          </w:tcPr>
          <w:p>
            <w:pPr/>
          </w:p>
        </w:tc>
      </w:tr>
      <w:tr>
        <w:trPr>
          <w:trHeight w:val="173"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172"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1187"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2929"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375,122,904.0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5.88%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381,662,965.00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5.30%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0.58%</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932,682,022.0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14.62%</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1,206,788,335.</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16.77%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-2.15%</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2,052,546,752.</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32.18%</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2,348,821,208.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32.64%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-0.46%</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289,308,021.0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4.54%</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276,021,051.00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3.84%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0.70%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598,281,750.0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9.38%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557,811,744.00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7.75%</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1.63%</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1,105,730,715.</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17.34%</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1,211,586,636.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16.84%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0.50%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3,434,860.00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0.05%</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2,109,737.00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0.03%</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0.02%</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30" w:right="181"/>
              <w:jc w:val="left"/>
              <w:rPr>
                <w:rFonts w:ascii="宋体" w:hAnsi="宋体" w:cs="宋体" w:eastAsia="宋体" w:hint="default"/>
                <w:sz w:val="18"/>
                <w:szCs w:val="18"/>
              </w:rPr>
            </w:pPr>
            <w:r>
              <w:rPr>
                <w:rFonts w:ascii="宋体" w:hAnsi="宋体" w:cs="宋体" w:eastAsia="宋体" w:hint="default"/>
                <w:sz w:val="18"/>
                <w:szCs w:val="18"/>
              </w:rPr>
              <w:t>主要是由于系统升级项目与总部办 公楼改良</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1,178,000,000.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18.47%</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1,080,000,000.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15.01%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3.46%</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167,635,845.0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2.63%</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244,432,348.00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3.40%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-0.77%</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30" w:right="181"/>
              <w:jc w:val="left"/>
              <w:rPr>
                <w:rFonts w:ascii="宋体" w:hAnsi="宋体" w:cs="宋体" w:eastAsia="宋体" w:hint="default"/>
                <w:sz w:val="18"/>
                <w:szCs w:val="18"/>
              </w:rPr>
            </w:pPr>
            <w:r>
              <w:rPr>
                <w:rFonts w:ascii="宋体" w:hAnsi="宋体" w:cs="宋体" w:eastAsia="宋体" w:hint="default"/>
                <w:sz w:val="18"/>
                <w:szCs w:val="18"/>
              </w:rPr>
              <w:t>主要是由于预付货款与预付租金减 少</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37,070,224.00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0.58%</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60,566,524.00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0.84%</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-0.26%</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30" w:right="181"/>
              <w:jc w:val="left"/>
              <w:rPr>
                <w:rFonts w:ascii="宋体" w:hAnsi="宋体" w:cs="宋体" w:eastAsia="宋体" w:hint="default"/>
                <w:sz w:val="18"/>
                <w:szCs w:val="18"/>
              </w:rPr>
            </w:pPr>
            <w:r>
              <w:rPr>
                <w:rFonts w:ascii="宋体" w:hAnsi="宋体" w:cs="宋体" w:eastAsia="宋体" w:hint="default"/>
                <w:sz w:val="18"/>
                <w:szCs w:val="18"/>
              </w:rPr>
              <w:t>主要是由于无形资产摊销与减值计 提</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165,633,223.0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2.60%</w:t>
            </w:r>
            <w:r>
              <w:rPr>
                <w:rFonts w:ascii="Times New Roman"/>
                <w:sz w:val="18"/>
              </w:rPr>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282,300,776.00</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3.92%</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-1.32%</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主要是由于长期待摊费用摊销</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85,070,461</w:t>
      </w:r>
      <w:r>
        <w:rPr/>
        <w:t>元的银行存款用于信用证授信额度保证金。</w:t>
      </w:r>
    </w:p>
    <w:p>
      <w:pPr>
        <w:spacing w:after="0" w:line="240" w:lineRule="auto"/>
        <w:jc w:val="left"/>
        <w:sectPr>
          <w:type w:val="continuous"/>
          <w:pgSz w:w="11910" w:h="16850"/>
          <w:pgMar w:top="1040" w:bottom="1180" w:left="1000" w:right="0"/>
        </w:sectPr>
      </w:pPr>
    </w:p>
    <w:p>
      <w:pPr>
        <w:spacing w:line="240" w:lineRule="auto" w:before="2"/>
        <w:rPr>
          <w:rFonts w:ascii="宋体" w:hAnsi="宋体" w:cs="宋体" w:eastAsia="宋体" w:hint="default"/>
          <w:sz w:val="27"/>
          <w:szCs w:val="27"/>
        </w:rPr>
      </w:pPr>
    </w:p>
    <w:p>
      <w:pPr>
        <w:pStyle w:val="BodyText"/>
        <w:spacing w:line="295" w:lineRule="auto" w:before="44"/>
        <w:ind w:right="1113"/>
        <w:jc w:val="both"/>
      </w:pPr>
      <w:r>
        <w:rPr>
          <w:spacing w:val="-2"/>
        </w:rPr>
        <w:t>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日，账面价值为人民币</w:t>
      </w:r>
      <w:r>
        <w:rPr>
          <w:rFonts w:ascii="Times New Roman" w:hAnsi="Times New Roman" w:cs="Times New Roman" w:eastAsia="Times New Roman" w:hint="default"/>
          <w:spacing w:val="-2"/>
        </w:rPr>
        <w:t>125,580,413</w:t>
      </w:r>
      <w:r>
        <w:rPr>
          <w:spacing w:val="-2"/>
        </w:rPr>
        <w:t>元固定资产用于取得中国民生银行上海分行借款抵押；账面价值为人民币</w:t>
      </w:r>
      <w:r>
        <w:rPr>
          <w:spacing w:val="-50"/>
        </w:rPr>
        <w:t> </w:t>
      </w:r>
      <w:r>
        <w:rPr>
          <w:spacing w:val="-50"/>
        </w:rPr>
      </w:r>
      <w:r>
        <w:rPr>
          <w:rFonts w:ascii="Times New Roman" w:hAnsi="Times New Roman" w:cs="Times New Roman" w:eastAsia="Times New Roman" w:hint="default"/>
          <w:spacing w:val="-2"/>
        </w:rPr>
        <w:t>241,187,252</w:t>
      </w:r>
      <w:r>
        <w:rPr>
          <w:spacing w:val="-2"/>
        </w:rPr>
        <w:t>元固定资产用于取得中国农业银行上海南汇支行借款抵押；账面价值为人民币</w:t>
      </w:r>
      <w:r>
        <w:rPr>
          <w:rFonts w:ascii="Times New Roman" w:hAnsi="Times New Roman" w:cs="Times New Roman" w:eastAsia="Times New Roman" w:hint="default"/>
          <w:spacing w:val="-2"/>
        </w:rPr>
        <w:t>304,190,733</w:t>
      </w:r>
      <w:r>
        <w:rPr>
          <w:spacing w:val="-2"/>
        </w:rPr>
        <w:t>元固定资产用于取得中</w:t>
      </w:r>
      <w:r>
        <w:rPr>
          <w:spacing w:val="-26"/>
        </w:rPr>
        <w:t> </w:t>
      </w:r>
      <w:r>
        <w:rPr>
          <w:spacing w:val="-2"/>
        </w:rPr>
        <w:t>国建设银行上海普陀分行借款抵押。账面价值为人民币</w:t>
      </w:r>
      <w:r>
        <w:rPr>
          <w:rFonts w:ascii="Times New Roman" w:hAnsi="Times New Roman" w:cs="Times New Roman" w:eastAsia="Times New Roman" w:hint="default"/>
          <w:spacing w:val="-2"/>
        </w:rPr>
        <w:t>286,263,580</w:t>
      </w:r>
      <w:r>
        <w:rPr>
          <w:spacing w:val="-2"/>
        </w:rPr>
        <w:t>元固定资产用于取得浙商银行宁波分行借款抵押及银行承</w:t>
      </w:r>
      <w:r>
        <w:rPr>
          <w:spacing w:val="-40"/>
        </w:rPr>
        <w:t> </w:t>
      </w:r>
      <w:r>
        <w:rPr/>
        <w:t>兑汇票。</w:t>
      </w:r>
    </w:p>
    <w:p>
      <w:pPr>
        <w:pStyle w:val="BodyText"/>
        <w:spacing w:line="304" w:lineRule="auto" w:before="53"/>
        <w:ind w:right="1029"/>
        <w:jc w:val="left"/>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15,976,676</w:t>
      </w:r>
      <w:r>
        <w:rPr/>
        <w:t>元土地使用权用于取得中国农业银行上海南汇支行银行借款抵押；公司用 于抵押的土地使用权于</w:t>
      </w:r>
      <w:r>
        <w:rPr>
          <w:rFonts w:ascii="Times New Roman" w:hAnsi="Times New Roman" w:cs="Times New Roman" w:eastAsia="Times New Roman" w:hint="default"/>
        </w:rPr>
        <w:t>2019</w:t>
      </w:r>
      <w:r>
        <w:rPr/>
        <w:t>年的摊销额为人民币</w:t>
      </w:r>
      <w:r>
        <w:rPr>
          <w:rFonts w:ascii="Times New Roman" w:hAnsi="Times New Roman" w:cs="Times New Roman" w:eastAsia="Times New Roman" w:hint="default"/>
        </w:rPr>
        <w:t>405,127</w:t>
      </w:r>
      <w:r>
        <w:rPr/>
        <w:t>元。</w:t>
      </w:r>
      <w:r>
        <w:rPr>
          <w:spacing w:val="-85"/>
        </w:rPr>
        <w:t> </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日，账面价值为人民币</w:t>
      </w:r>
      <w:r>
        <w:rPr>
          <w:rFonts w:ascii="Times New Roman" w:hAnsi="Times New Roman" w:cs="Times New Roman" w:eastAsia="Times New Roman" w:hint="default"/>
        </w:rPr>
        <w:t>172,823,891</w:t>
      </w:r>
      <w:r>
        <w:rPr/>
        <w:t>元的投资性房地产用于取得浙商银行宁波分行借款抵押及银行承兑汇票； 账面价值为人民币</w:t>
      </w:r>
      <w:r>
        <w:rPr>
          <w:rFonts w:ascii="Times New Roman" w:hAnsi="Times New Roman" w:cs="Times New Roman" w:eastAsia="Times New Roman" w:hint="default"/>
        </w:rPr>
        <w:t>63,262,002</w:t>
      </w:r>
      <w:r>
        <w:rPr/>
        <w:t>元固定资产用于取得建设银行上海普陀分行借款抵押。</w:t>
      </w:r>
    </w:p>
    <w:p>
      <w:pPr>
        <w:spacing w:line="240" w:lineRule="auto" w:before="7"/>
        <w:rPr>
          <w:rFonts w:ascii="宋体" w:hAnsi="宋体" w:cs="宋体" w:eastAsia="宋体" w:hint="default"/>
          <w:sz w:val="18"/>
          <w:szCs w:val="18"/>
        </w:rPr>
      </w:pPr>
    </w:p>
    <w:p>
      <w:pPr>
        <w:pStyle w:val="Heading2"/>
        <w:spacing w:line="240" w:lineRule="auto"/>
        <w:ind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公司报告期无募集资金使用情况。</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公司报告期未出售重大资产。</w:t>
      </w:r>
    </w:p>
    <w:p>
      <w:pPr>
        <w:spacing w:line="240" w:lineRule="auto" w:before="5"/>
        <w:rPr>
          <w:rFonts w:ascii="宋体" w:hAnsi="宋体" w:cs="宋体" w:eastAsia="宋体" w:hint="default"/>
          <w:sz w:val="25"/>
          <w:szCs w:val="25"/>
        </w:rPr>
      </w:pPr>
    </w:p>
    <w:p>
      <w:pPr>
        <w:pStyle w:val="Heading5"/>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5"/>
          <w:szCs w:val="25"/>
        </w:rPr>
      </w:pPr>
    </w:p>
    <w:p>
      <w:pPr>
        <w:pStyle w:val="Heading2"/>
        <w:spacing w:line="240" w:lineRule="auto" w:before="26"/>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9"/>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50"/>
          <w:pgMar w:header="731" w:footer="981" w:top="1040" w:bottom="1180" w:left="1000" w:right="0"/>
        </w:sectPr>
      </w:pPr>
    </w:p>
    <w:p>
      <w:pPr>
        <w:pStyle w:val="BodyText"/>
        <w:spacing w:line="240" w:lineRule="auto" w:before="44"/>
        <w:ind w:right="-1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right="-19"/>
        <w:jc w:val="left"/>
      </w:pPr>
      <w:r>
        <w:rPr/>
        <w:t>主要子公司及对公司净利润影响达</w:t>
      </w:r>
      <w:r>
        <w:rPr>
          <w:spacing w:val="-42"/>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50"/>
          <w:pgMar w:top="1040" w:bottom="1180" w:left="1000" w:right="0"/>
          <w:cols w:num="2" w:equalWidth="0">
            <w:col w:w="4841" w:space="4095"/>
            <w:col w:w="197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051"/>
        <w:gridCol w:w="1202"/>
        <w:gridCol w:w="1052"/>
        <w:gridCol w:w="1036"/>
        <w:gridCol w:w="1051"/>
        <w:gridCol w:w="1052"/>
        <w:gridCol w:w="1036"/>
        <w:gridCol w:w="1051"/>
        <w:gridCol w:w="1051"/>
      </w:tblGrid>
      <w:tr>
        <w:trPr>
          <w:trHeight w:val="406" w:hRule="exact"/>
        </w:trPr>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4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9"/>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6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1"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118"/>
              <w:jc w:val="both"/>
              <w:rPr>
                <w:rFonts w:ascii="宋体" w:hAnsi="宋体" w:cs="宋体" w:eastAsia="宋体" w:hint="default"/>
                <w:sz w:val="18"/>
                <w:szCs w:val="18"/>
              </w:rPr>
            </w:pPr>
            <w:r>
              <w:rPr>
                <w:rFonts w:ascii="宋体" w:hAnsi="宋体" w:cs="宋体" w:eastAsia="宋体" w:hint="default"/>
                <w:sz w:val="18"/>
                <w:szCs w:val="18"/>
              </w:rPr>
              <w:t>上海美特斯 邦威服饰销 售有限公司</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服饰销售</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94"/>
              <w:jc w:val="right"/>
              <w:rPr>
                <w:rFonts w:ascii="Times New Roman" w:hAnsi="Times New Roman" w:cs="Times New Roman" w:eastAsia="Times New Roman" w:hint="default"/>
                <w:sz w:val="18"/>
                <w:szCs w:val="18"/>
              </w:rPr>
            </w:pPr>
            <w:r>
              <w:rPr>
                <w:rFonts w:ascii="Times New Roman"/>
                <w:sz w:val="18"/>
              </w:rPr>
              <w:t>20,000,000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150,299,198.</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-330,114,947</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387,619,353.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-82,048,256.</w:t>
            </w:r>
            <w:r>
              <w:rPr>
                <w:rFonts w:ascii="Times New Roman"/>
                <w:sz w:val="18"/>
              </w:rPr>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-81,106,179.</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r>
      <w:tr>
        <w:trPr>
          <w:trHeight w:val="720" w:hRule="exact"/>
        </w:trPr>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华瑞银行</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参股公司</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金融银行业</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8"/>
              <w:ind w:left="14" w:right="0"/>
              <w:jc w:val="lef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39,627,260,8</w:t>
            </w:r>
          </w:p>
          <w:p>
            <w:pPr>
              <w:pStyle w:val="TableParagraph"/>
              <w:spacing w:line="240" w:lineRule="auto" w:before="108"/>
              <w:ind w:left="615" w:right="0"/>
              <w:jc w:val="left"/>
              <w:rPr>
                <w:rFonts w:ascii="Times New Roman" w:hAnsi="Times New Roman" w:cs="Times New Roman" w:eastAsia="Times New Roman" w:hint="default"/>
                <w:sz w:val="18"/>
                <w:szCs w:val="18"/>
              </w:rPr>
            </w:pPr>
            <w:r>
              <w:rPr>
                <w:rFonts w:ascii="Times New Roman"/>
                <w:sz w:val="18"/>
              </w:rPr>
              <w:t>63.00</w:t>
            </w:r>
          </w:p>
        </w:tc>
        <w:tc>
          <w:tcPr>
            <w:tcW w:w="10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3,988,544,99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7.00</w:t>
            </w:r>
          </w:p>
        </w:tc>
        <w:tc>
          <w:tcPr>
            <w:tcW w:w="1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992,989,902.</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301,392,927.</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268,157,189.</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r>
    </w:tbl>
    <w:p>
      <w:pPr>
        <w:pStyle w:val="BodyText"/>
        <w:spacing w:line="240" w:lineRule="auto" w:before="45"/>
        <w:ind w:right="0"/>
        <w:jc w:val="left"/>
      </w:pPr>
      <w:r>
        <w:rPr/>
        <w:t>报告期内取得和处置子公司的情况</w:t>
      </w:r>
    </w:p>
    <w:p>
      <w:pPr>
        <w:pStyle w:val="BodyText"/>
        <w:spacing w:line="319" w:lineRule="auto" w:before="124"/>
        <w:ind w:right="85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主要控股参股公司情况说明</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12"/>
        <w:rPr>
          <w:rFonts w:ascii="宋体" w:hAnsi="宋体" w:cs="宋体" w:eastAsia="宋体" w:hint="default"/>
          <w:b/>
          <w:bCs/>
          <w:sz w:val="24"/>
          <w:szCs w:val="24"/>
        </w:rPr>
      </w:pPr>
    </w:p>
    <w:p>
      <w:pPr>
        <w:pStyle w:val="BodyText"/>
        <w:spacing w:line="240" w:lineRule="auto"/>
        <w:ind w:left="636" w:right="0"/>
        <w:jc w:val="left"/>
      </w:pPr>
      <w:r>
        <w:rPr/>
        <w:t>（一）未来发展展望</w:t>
      </w:r>
    </w:p>
    <w:p>
      <w:pPr>
        <w:spacing w:line="240" w:lineRule="auto" w:before="13"/>
        <w:rPr>
          <w:rFonts w:ascii="宋体" w:hAnsi="宋体" w:cs="宋体" w:eastAsia="宋体" w:hint="default"/>
          <w:sz w:val="12"/>
          <w:szCs w:val="12"/>
        </w:rPr>
      </w:pPr>
    </w:p>
    <w:p>
      <w:pPr>
        <w:pStyle w:val="BodyText"/>
        <w:spacing w:line="448" w:lineRule="auto"/>
        <w:ind w:right="1090" w:firstLine="495"/>
        <w:jc w:val="both"/>
      </w:pPr>
      <w:r>
        <w:rPr>
          <w:rFonts w:ascii="Times New Roman" w:hAnsi="Times New Roman" w:cs="Times New Roman" w:eastAsia="Times New Roman" w:hint="default"/>
        </w:rPr>
        <w:t>2020</w:t>
      </w:r>
      <w:r>
        <w:rPr/>
        <w:t>年一季度突发新型冠状病毒疫情，公司积极配合政府相关规定，大部分店铺采取了暂停营业、限制人流等措施， 对公司销售收入带来较大的负面影响。</w:t>
      </w:r>
    </w:p>
    <w:p>
      <w:pPr>
        <w:pStyle w:val="BodyText"/>
        <w:spacing w:line="472" w:lineRule="auto" w:before="73"/>
        <w:ind w:left="636" w:right="0"/>
        <w:jc w:val="left"/>
      </w:pPr>
      <w:r>
        <w:rPr/>
        <w:t>公司员工团结一心，进入战时状态，回归创业精神，应对疫情带来的挑战。 </w:t>
      </w:r>
      <w:r>
        <w:rPr>
          <w:spacing w:val="-2"/>
        </w:rPr>
        <w:t>首先，公司将进以重构品牌竞争力为原点，清晰回答消费者为何选择公司品牌，以品牌营销创新、面料</w:t>
      </w:r>
      <w:r>
        <w:rPr>
          <w:rFonts w:ascii="Times New Roman" w:hAnsi="Times New Roman" w:cs="Times New Roman" w:eastAsia="Times New Roman" w:hint="default"/>
          <w:spacing w:val="-2"/>
        </w:rPr>
        <w:t>\</w:t>
      </w:r>
      <w:r>
        <w:rPr>
          <w:spacing w:val="-2"/>
        </w:rPr>
        <w:t>款式创新、版</w:t>
      </w:r>
    </w:p>
    <w:p>
      <w:pPr>
        <w:pStyle w:val="BodyText"/>
        <w:spacing w:line="460" w:lineRule="auto" w:before="23"/>
        <w:ind w:right="1029"/>
        <w:jc w:val="left"/>
      </w:pPr>
      <w:r>
        <w:rPr>
          <w:spacing w:val="-2"/>
        </w:rPr>
        <w:t>型</w:t>
      </w:r>
      <w:r>
        <w:rPr>
          <w:rFonts w:ascii="Times New Roman" w:hAnsi="Times New Roman" w:cs="Times New Roman" w:eastAsia="Times New Roman" w:hint="default"/>
          <w:spacing w:val="-2"/>
        </w:rPr>
        <w:t>\</w:t>
      </w:r>
      <w:r>
        <w:rPr>
          <w:spacing w:val="-2"/>
        </w:rPr>
        <w:t>工艺创新</w:t>
      </w:r>
      <w:r>
        <w:rPr>
          <w:rFonts w:ascii="Times New Roman" w:hAnsi="Times New Roman" w:cs="Times New Roman" w:eastAsia="Times New Roman" w:hint="default"/>
          <w:spacing w:val="-2"/>
        </w:rPr>
        <w:t>,</w:t>
      </w:r>
      <w:r>
        <w:rPr>
          <w:spacing w:val="-2"/>
        </w:rPr>
        <w:t>重建品牌竞争力。其次，加强机制能力建设，以小单元现金流循环结算机制，确保</w:t>
      </w:r>
      <w:r>
        <w:rPr>
          <w:rFonts w:ascii="Times New Roman" w:hAnsi="Times New Roman" w:cs="Times New Roman" w:eastAsia="Times New Roman" w:hint="default"/>
          <w:spacing w:val="-2"/>
        </w:rPr>
        <w:t>“</w:t>
      </w:r>
      <w:r>
        <w:rPr>
          <w:spacing w:val="-2"/>
        </w:rPr>
        <w:t>店店是盈利店，店店是形象</w:t>
      </w:r>
      <w:r>
        <w:rPr>
          <w:spacing w:val="-41"/>
        </w:rPr>
        <w:t> </w:t>
      </w:r>
      <w:r>
        <w:rPr>
          <w:spacing w:val="-41"/>
        </w:rPr>
      </w:r>
      <w:r>
        <w:rPr/>
        <w:t>店</w:t>
      </w:r>
      <w:r>
        <w:rPr>
          <w:rFonts w:ascii="Times New Roman" w:hAnsi="Times New Roman" w:cs="Times New Roman" w:eastAsia="Times New Roman" w:hint="default"/>
        </w:rPr>
        <w:t>”</w:t>
      </w:r>
      <w:r>
        <w:rPr/>
        <w:t>，建立以数据透视组织价值、以价值创造分享成果的组织保障机制，去除不创造效益的店铺、产品和组织。同时</w:t>
      </w:r>
      <w:r>
        <w:rPr>
          <w:rFonts w:ascii="Times New Roman" w:hAnsi="Times New Roman" w:cs="Times New Roman" w:eastAsia="Times New Roman" w:hint="default"/>
        </w:rPr>
        <w:t>2020</w:t>
      </w:r>
      <w:r>
        <w:rPr/>
        <w:t>年</w:t>
      </w:r>
      <w:r>
        <w:rPr>
          <w:spacing w:val="-70"/>
        </w:rPr>
        <w:t> </w:t>
      </w:r>
      <w:r>
        <w:rPr/>
        <w:t>还将积极投入新零售线上平台业务发展，保持线下门店与线上平台电商业务互动发展，为消费者提供更优的社交购物体验， 并通过数字化能力建设及快速供应链模式使线下渠道融入新的业务场景，有效持续提升公司经营效益。</w:t>
      </w:r>
    </w:p>
    <w:p>
      <w:pPr>
        <w:pStyle w:val="BodyText"/>
        <w:spacing w:line="453" w:lineRule="auto" w:before="64"/>
        <w:ind w:right="1113" w:firstLine="495"/>
        <w:jc w:val="both"/>
      </w:pPr>
      <w:r>
        <w:rPr>
          <w:rFonts w:ascii="Times New Roman" w:hAnsi="Times New Roman" w:cs="Times New Roman" w:eastAsia="Times New Roman" w:hint="default"/>
        </w:rPr>
        <w:t>1</w:t>
      </w:r>
      <w:r>
        <w:rPr/>
        <w:t>、积极投入新零售业务发展，在保持原有平台电商业务稳步发展的同时，推出</w:t>
      </w:r>
      <w:r>
        <w:rPr>
          <w:spacing w:val="-2"/>
        </w:rPr>
        <w:t> </w:t>
      </w:r>
      <w:r>
        <w:rPr>
          <w:rFonts w:ascii="Times New Roman" w:hAnsi="Times New Roman" w:cs="Times New Roman" w:eastAsia="Times New Roman" w:hint="default"/>
        </w:rPr>
        <w:t>“</w:t>
      </w:r>
      <w:r>
        <w:rPr/>
        <w:t>有范邦购</w:t>
      </w:r>
      <w:r>
        <w:rPr>
          <w:rFonts w:ascii="Times New Roman" w:hAnsi="Times New Roman" w:cs="Times New Roman" w:eastAsia="Times New Roman" w:hint="default"/>
        </w:rPr>
        <w:t>”</w:t>
      </w:r>
      <w:r>
        <w:rPr/>
        <w:t>零售工具，通过更便捷的 社交裂变，触达更多消费者并提供更优的社交购物体验；大力推动直播销售，与各大平台头部</w:t>
      </w:r>
      <w:r>
        <w:rPr>
          <w:rFonts w:ascii="Times New Roman" w:hAnsi="Times New Roman" w:cs="Times New Roman" w:eastAsia="Times New Roman" w:hint="default"/>
        </w:rPr>
        <w:t>“</w:t>
      </w:r>
      <w:r>
        <w:rPr/>
        <w:t>主播</w:t>
      </w:r>
      <w:r>
        <w:rPr>
          <w:rFonts w:ascii="Times New Roman" w:hAnsi="Times New Roman" w:cs="Times New Roman" w:eastAsia="Times New Roman" w:hint="default"/>
        </w:rPr>
        <w:t>” </w:t>
      </w:r>
      <w:r>
        <w:rPr/>
        <w:t>建立紧密合作关系开</w:t>
      </w:r>
      <w:r>
        <w:rPr>
          <w:spacing w:val="-63"/>
        </w:rPr>
        <w:t> </w:t>
      </w:r>
      <w:r>
        <w:rPr/>
        <w:t>展业务合作，同时构建孵化内部主播的能力和机制；运用 </w:t>
      </w:r>
      <w:r>
        <w:rPr>
          <w:rFonts w:ascii="Times New Roman" w:hAnsi="Times New Roman" w:cs="Times New Roman" w:eastAsia="Times New Roman" w:hint="default"/>
        </w:rPr>
        <w:t>“</w:t>
      </w:r>
      <w:r>
        <w:rPr/>
        <w:t>微商城</w:t>
      </w:r>
      <w:r>
        <w:rPr>
          <w:rFonts w:ascii="Times New Roman" w:hAnsi="Times New Roman" w:cs="Times New Roman" w:eastAsia="Times New Roman" w:hint="default"/>
        </w:rPr>
        <w:t>”</w:t>
      </w:r>
      <w:r>
        <w:rPr/>
        <w:t>门店赋能工具为线下不同市场及门店的会员提供更极致</w:t>
      </w:r>
      <w:r>
        <w:rPr>
          <w:spacing w:val="-67"/>
        </w:rPr>
        <w:t> </w:t>
      </w:r>
      <w:r>
        <w:rPr>
          <w:spacing w:val="-67"/>
        </w:rPr>
      </w:r>
      <w:r>
        <w:rPr/>
        <w:t>和个性化服务；以</w:t>
      </w:r>
      <w:r>
        <w:rPr>
          <w:rFonts w:ascii="Times New Roman" w:hAnsi="Times New Roman" w:cs="Times New Roman" w:eastAsia="Times New Roman" w:hint="default"/>
        </w:rPr>
        <w:t>“</w:t>
      </w:r>
      <w:r>
        <w:rPr/>
        <w:t>平台电商</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社交零售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直播销售</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会员微商场</w:t>
      </w:r>
      <w:r>
        <w:rPr>
          <w:rFonts w:ascii="Times New Roman" w:hAnsi="Times New Roman" w:cs="Times New Roman" w:eastAsia="Times New Roman" w:hint="default"/>
        </w:rPr>
        <w:t>”</w:t>
      </w:r>
      <w:r>
        <w:rPr/>
        <w:t>四大业务场景共同构建新零售业务模式。</w:t>
      </w:r>
    </w:p>
    <w:p>
      <w:pPr>
        <w:pStyle w:val="BodyText"/>
        <w:spacing w:line="448" w:lineRule="auto" w:before="39"/>
        <w:ind w:right="1116" w:firstLine="495"/>
        <w:jc w:val="both"/>
      </w:pPr>
      <w:r>
        <w:rPr>
          <w:rFonts w:ascii="Times New Roman" w:hAnsi="Times New Roman" w:cs="Times New Roman" w:eastAsia="Times New Roman" w:hint="default"/>
        </w:rPr>
        <w:t>2</w:t>
      </w:r>
      <w:r>
        <w:rPr/>
        <w:t>、大力构建以</w:t>
      </w:r>
      <w:r>
        <w:rPr>
          <w:rFonts w:ascii="Times New Roman" w:hAnsi="Times New Roman" w:cs="Times New Roman" w:eastAsia="Times New Roman" w:hint="default"/>
        </w:rPr>
        <w:t>“M</w:t>
      </w:r>
      <w:r>
        <w:rPr>
          <w:rFonts w:ascii="Times New Roman" w:hAnsi="Times New Roman" w:cs="Times New Roman" w:eastAsia="Times New Roman" w:hint="default"/>
          <w:spacing w:val="-29"/>
        </w:rPr>
        <w:t> </w:t>
      </w:r>
      <w:r>
        <w:rPr>
          <w:rFonts w:ascii="Times New Roman" w:hAnsi="Times New Roman" w:cs="Times New Roman" w:eastAsia="Times New Roman" w:hint="default"/>
        </w:rPr>
        <w:t>2C”</w:t>
      </w:r>
      <w:r>
        <w:rPr/>
        <w:t>（</w:t>
      </w:r>
      <w:r>
        <w:rPr>
          <w:rFonts w:ascii="Times New Roman" w:hAnsi="Times New Roman" w:cs="Times New Roman" w:eastAsia="Times New Roman" w:hint="default"/>
        </w:rPr>
        <w:t>Manufacture</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4"/>
        </w:rPr>
        <w:t>to</w:t>
      </w:r>
      <w:r>
        <w:rPr>
          <w:rFonts w:ascii="Times New Roman" w:hAnsi="Times New Roman" w:cs="Times New Roman" w:eastAsia="Times New Roman" w:hint="default"/>
          <w:spacing w:val="-8"/>
        </w:rPr>
        <w:t> </w:t>
      </w:r>
      <w:r>
        <w:rPr>
          <w:rFonts w:ascii="Times New Roman" w:hAnsi="Times New Roman" w:cs="Times New Roman" w:eastAsia="Times New Roman" w:hint="default"/>
        </w:rPr>
        <w:t>Customer</w:t>
      </w:r>
      <w:r>
        <w:rPr/>
        <w:t>）为核心的快速反应供应链，全面提升产品的更新速度和精准满足市 场需求的能力，支撑企业供应能力的持续升级。</w:t>
      </w:r>
    </w:p>
    <w:p>
      <w:pPr>
        <w:spacing w:after="0" w:line="448" w:lineRule="auto"/>
        <w:jc w:val="both"/>
        <w:sectPr>
          <w:type w:val="continuous"/>
          <w:pgSz w:w="11910" w:h="16850"/>
          <w:pgMar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48" w:lineRule="auto"/>
        <w:ind w:right="1132" w:firstLine="495"/>
        <w:jc w:val="both"/>
      </w:pPr>
      <w:r>
        <w:rPr>
          <w:rFonts w:ascii="Times New Roman" w:hAnsi="Times New Roman" w:cs="Times New Roman" w:eastAsia="Times New Roman" w:hint="default"/>
        </w:rPr>
        <w:t>3</w:t>
      </w:r>
      <w:r>
        <w:rPr/>
        <w:t>、持续优化线下渠道及物流仓储布局，通过数字化能力建设及快速供应链模式使线下渠道融入新的业务场景，有效 持续提升经营效益，同时为新零售业务提供有力的线下能力支持。</w:t>
      </w:r>
    </w:p>
    <w:p>
      <w:pPr>
        <w:spacing w:line="240" w:lineRule="auto" w:before="10"/>
        <w:rPr>
          <w:rFonts w:ascii="宋体" w:hAnsi="宋体" w:cs="宋体" w:eastAsia="宋体" w:hint="default"/>
          <w:sz w:val="22"/>
          <w:szCs w:val="22"/>
        </w:rPr>
      </w:pPr>
    </w:p>
    <w:p>
      <w:pPr>
        <w:pStyle w:val="BodyText"/>
        <w:spacing w:line="412" w:lineRule="auto"/>
        <w:ind w:left="636" w:right="1509"/>
        <w:jc w:val="left"/>
      </w:pPr>
      <w:r>
        <w:rPr/>
        <w:t>（二）可能面临的风险 公司在日常经营中依然面临宏观经济波动、行业竞争及经营模式转型等潜在风险，具体如下：</w:t>
      </w:r>
    </w:p>
    <w:p>
      <w:pPr>
        <w:pStyle w:val="BodyText"/>
        <w:spacing w:line="448" w:lineRule="auto" w:before="100"/>
        <w:ind w:right="1136" w:firstLine="495"/>
        <w:jc w:val="both"/>
      </w:pPr>
      <w:r>
        <w:rPr>
          <w:rFonts w:ascii="Times New Roman" w:hAnsi="Times New Roman" w:cs="Times New Roman" w:eastAsia="Times New Roman" w:hint="default"/>
        </w:rPr>
        <w:t>1</w:t>
      </w:r>
      <w:r>
        <w:rPr/>
        <w:t>、目前国内疫情基本得到控制，但世界范围内疫情仍在持续，疫情防控压力不减，对公司经营的负面影响仍会持续 相当时间，影响程度取决于疫情防控的进展情况、持续时间以各地防控政策实施情况为准。</w:t>
      </w:r>
    </w:p>
    <w:p>
      <w:pPr>
        <w:pStyle w:val="BodyText"/>
        <w:spacing w:line="465" w:lineRule="auto" w:before="88"/>
        <w:ind w:right="1109" w:firstLine="495"/>
        <w:jc w:val="both"/>
      </w:pPr>
      <w:r>
        <w:rPr>
          <w:rFonts w:ascii="Times New Roman" w:hAnsi="Times New Roman" w:cs="Times New Roman" w:eastAsia="Times New Roman" w:hint="default"/>
        </w:rPr>
        <w:t>2</w:t>
      </w:r>
      <w:r>
        <w:rPr/>
        <w:t>、宏观经济波动风险：本公司所在的休闲服饰行业受宏观经济影响较显著。近年来我国宏观经济运行平稳，</w:t>
      </w:r>
      <w:r>
        <w:rPr>
          <w:rFonts w:ascii="Times New Roman" w:hAnsi="Times New Roman" w:cs="Times New Roman" w:eastAsia="Times New Roman" w:hint="default"/>
        </w:rPr>
        <w:t>GDP</w:t>
      </w:r>
      <w:r>
        <w:rPr/>
        <w:t>总 </w:t>
      </w:r>
      <w:r>
        <w:rPr>
          <w:spacing w:val="-2"/>
        </w:rPr>
        <w:t>量和增长率均保持稳定，居民可支配收入不断提升、以及消费升级趋势给休闲服装行业带来了前所未有的机遇和挑战；然而</w:t>
      </w:r>
      <w:r>
        <w:rPr>
          <w:spacing w:val="-75"/>
        </w:rPr>
        <w:t> </w:t>
      </w:r>
      <w:r>
        <w:rPr>
          <w:spacing w:val="-75"/>
        </w:rPr>
      </w:r>
      <w:r>
        <w:rPr>
          <w:spacing w:val="-2"/>
        </w:rPr>
        <w:t>国际政治经济环境的不确定因素仍然较多，也给国内宏观经济带来了诸多不确定性，公司的主营业务发展和盈利能力面临因</w:t>
      </w:r>
      <w:r>
        <w:rPr>
          <w:spacing w:val="-72"/>
        </w:rPr>
        <w:t> </w:t>
      </w:r>
      <w:r>
        <w:rPr>
          <w:spacing w:val="-72"/>
        </w:rPr>
      </w:r>
      <w:r>
        <w:rPr/>
        <w:t>国内宏观经济波动所带来的风险。</w:t>
      </w:r>
    </w:p>
    <w:p>
      <w:pPr>
        <w:pStyle w:val="BodyText"/>
        <w:spacing w:line="468" w:lineRule="auto" w:before="60"/>
        <w:ind w:right="1136" w:firstLine="495"/>
        <w:jc w:val="both"/>
      </w:pPr>
      <w:r>
        <w:rPr>
          <w:rFonts w:ascii="Times New Roman" w:hAnsi="Times New Roman" w:cs="Times New Roman" w:eastAsia="Times New Roman" w:hint="default"/>
        </w:rPr>
        <w:t>3</w:t>
      </w:r>
      <w:r>
        <w:rPr/>
        <w:t>、行业竞争的风险：本公司所在的休闲服行业竞争激烈，虽然本公司目前在国内休闲服零售业内拥有较强的市场地 </w:t>
      </w:r>
      <w:r>
        <w:rPr>
          <w:spacing w:val="-2"/>
        </w:rPr>
        <w:t>位，但随着市场的不断细分，来自国内外竞争品牌的竞争压力仍将持续甚至加大，可能导致本公司的产品售价降低或销量减</w:t>
      </w:r>
      <w:r>
        <w:rPr>
          <w:spacing w:val="-75"/>
        </w:rPr>
        <w:t> </w:t>
      </w:r>
      <w:r>
        <w:rPr>
          <w:spacing w:val="-75"/>
        </w:rPr>
      </w:r>
      <w:r>
        <w:rPr/>
        <w:t>少，从而影响本公司的财务状况和经营业绩。</w:t>
      </w:r>
    </w:p>
    <w:p>
      <w:pPr>
        <w:pStyle w:val="BodyText"/>
        <w:spacing w:line="460" w:lineRule="auto" w:before="59"/>
        <w:ind w:right="1106" w:firstLine="495"/>
        <w:jc w:val="both"/>
      </w:pPr>
      <w:r>
        <w:rPr>
          <w:rFonts w:ascii="Times New Roman" w:hAnsi="Times New Roman" w:cs="Times New Roman" w:eastAsia="Times New Roman" w:hint="default"/>
        </w:rPr>
        <w:t>4</w:t>
      </w:r>
      <w:r>
        <w:rPr/>
        <w:t>、经营模式转型风险：伴随电子商务的发展、网络终端的普及，人们的服装消费习惯在逐渐改变，公司大力推进业 </w:t>
      </w:r>
      <w:r>
        <w:rPr>
          <w:spacing w:val="-2"/>
        </w:rPr>
        <w:t>务创新、积极探索新型业务模式，随着转型的持续进行，公司将整合供应链各端资源，品牌的筛选与供应链体系的运营等多</w:t>
      </w:r>
      <w:r>
        <w:rPr>
          <w:spacing w:val="-42"/>
        </w:rPr>
        <w:t> </w:t>
      </w:r>
      <w:r>
        <w:rPr>
          <w:spacing w:val="-42"/>
        </w:rPr>
      </w:r>
      <w:r>
        <w:rPr/>
        <w:t>方面对公司提出了更高的要求，创新的业务模式会给公司带来经营上的不确定性，存在一定的经营模式风险。</w:t>
      </w: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十、接待调研、沟通、采访等活动" w:id="57"/>
      <w:bookmarkEnd w:id="57"/>
      <w:r>
        <w:rPr>
          <w:b w:val="0"/>
          <w:bCs w:val="0"/>
        </w:rPr>
      </w:r>
      <w:r>
        <w:rPr/>
        <w:t>十、接待调研、沟通、采访等活动</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5"/>
        <w:rPr>
          <w:rFonts w:ascii="宋体" w:hAnsi="宋体" w:cs="宋体" w:eastAsia="宋体" w:hint="default"/>
          <w:b/>
          <w:bCs/>
          <w:sz w:val="26"/>
          <w:szCs w:val="26"/>
        </w:rPr>
      </w:pPr>
    </w:p>
    <w:p>
      <w:pPr>
        <w:pStyle w:val="BodyText"/>
        <w:spacing w:line="331" w:lineRule="auto"/>
        <w:ind w:right="6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公司报告期内未发生接待调研、沟通、采访等活动。</w:t>
      </w:r>
    </w:p>
    <w:p>
      <w:pPr>
        <w:spacing w:after="0" w:line="331"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232" w:right="3215"/>
        <w:jc w:val="center"/>
        <w:rPr>
          <w:b w:val="0"/>
          <w:bCs w:val="0"/>
        </w:rPr>
      </w:pPr>
      <w:bookmarkStart w:name="第五节重要事项" w:id="59"/>
      <w:bookmarkEnd w:id="59"/>
      <w:r>
        <w:rPr>
          <w:b w:val="0"/>
          <w:bCs w:val="0"/>
        </w:rPr>
      </w:r>
      <w:bookmarkStart w:name="_bookmark4" w:id="60"/>
      <w:bookmarkEnd w:id="60"/>
      <w:r>
        <w:rPr>
          <w:b w:val="0"/>
          <w:bCs w:val="0"/>
        </w:rPr>
      </w:r>
      <w:r>
        <w:rPr>
          <w:spacing w:val="5"/>
        </w:rPr>
        <w:t>第五节重要事项</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both"/>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240" w:lineRule="auto" w:before="12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14"/>
          <w:szCs w:val="14"/>
        </w:rPr>
      </w:pPr>
    </w:p>
    <w:p>
      <w:pPr>
        <w:pStyle w:val="BodyText"/>
        <w:spacing w:line="470" w:lineRule="auto"/>
        <w:ind w:right="1131" w:firstLine="420"/>
        <w:jc w:val="both"/>
      </w:pPr>
      <w:r>
        <w:rPr/>
        <w:t>上市以来，公司的分红政策一直较为稳定，每年的股利支付率基本维持在当年每股可分配利润</w:t>
      </w:r>
      <w:r>
        <w:rPr>
          <w:rFonts w:ascii="Times New Roman" w:hAnsi="Times New Roman" w:cs="Times New Roman" w:eastAsia="Times New Roman" w:hint="default"/>
        </w:rPr>
        <w:t>70%</w:t>
      </w:r>
      <w:r>
        <w:rPr/>
        <w:t>的水平。公司制定 </w:t>
      </w:r>
      <w:r>
        <w:rPr>
          <w:spacing w:val="-2"/>
        </w:rPr>
        <w:t>当年利润分配政策须经董事会讨论审议，在审议之前独立董事针对当年经营业绩实现情况、公司整体现金流情况对具体利润</w:t>
      </w:r>
      <w:r>
        <w:rPr>
          <w:spacing w:val="-72"/>
        </w:rPr>
        <w:t> </w:t>
      </w:r>
      <w:r>
        <w:rPr>
          <w:spacing w:val="-72"/>
        </w:rPr>
      </w:r>
      <w:r>
        <w:rPr>
          <w:spacing w:val="-2"/>
        </w:rPr>
        <w:t>分配方案进行了认真思考并在董事会上审慎的发表意见；在年度股东大会上，公司广大中小股东能够针对此项议案充分发表</w:t>
      </w:r>
      <w:r>
        <w:rPr>
          <w:spacing w:val="-67"/>
        </w:rPr>
        <w:t> </w:t>
      </w:r>
      <w:r>
        <w:rPr>
          <w:spacing w:val="-67"/>
        </w:rPr>
      </w:r>
      <w:r>
        <w:rPr/>
        <w:t>意见，维护自身合法权益。</w:t>
      </w:r>
    </w:p>
    <w:p>
      <w:pPr>
        <w:pStyle w:val="BodyText"/>
        <w:spacing w:line="465" w:lineRule="auto" w:before="57"/>
        <w:ind w:right="1029" w:firstLine="420"/>
        <w:jc w:val="left"/>
      </w:pPr>
      <w:r>
        <w:rPr>
          <w:spacing w:val="-5"/>
        </w:rPr>
        <w:t>为进一步保障广大股东权益，公司第四届十三次董事会审议通过了《关于修订</w:t>
      </w:r>
      <w:r>
        <w:rPr>
          <w:rFonts w:ascii="Times New Roman" w:hAnsi="Times New Roman" w:cs="Times New Roman" w:eastAsia="Times New Roman" w:hint="default"/>
          <w:spacing w:val="-5"/>
        </w:rPr>
        <w:t>&lt;</w:t>
      </w:r>
      <w:r>
        <w:rPr>
          <w:spacing w:val="-5"/>
        </w:rPr>
        <w:t>公司章程</w:t>
      </w:r>
      <w:r>
        <w:rPr>
          <w:rFonts w:ascii="Times New Roman" w:hAnsi="Times New Roman" w:cs="Times New Roman" w:eastAsia="Times New Roman" w:hint="default"/>
          <w:spacing w:val="-5"/>
        </w:rPr>
        <w:t>&gt;</w:t>
      </w:r>
      <w:r>
        <w:rPr>
          <w:spacing w:val="-5"/>
        </w:rPr>
        <w:t>并办理工商变更登记的议案》，</w:t>
      </w:r>
      <w:r>
        <w:rPr/>
        <w:t> </w:t>
      </w:r>
      <w:r>
        <w:rPr>
          <w:spacing w:val="-2"/>
        </w:rPr>
        <w:t>对现行《公司章程》中涉及股利分配政策的相关条款进行了修改，包括利润分配的原则及形式、现金分红的具体条件和比例</w:t>
      </w:r>
      <w:r>
        <w:rPr>
          <w:spacing w:val="-42"/>
        </w:rPr>
        <w:t> </w:t>
      </w:r>
      <w:r>
        <w:rPr>
          <w:spacing w:val="-42"/>
        </w:rPr>
      </w:r>
      <w:r>
        <w:rPr>
          <w:spacing w:val="-2"/>
        </w:rPr>
        <w:t>等具体政策。公司实施积极的利润分配政策，重视对投资者的合理投资回报，保持利润分配政策的连续性和稳定性，并符合</w:t>
      </w:r>
      <w:r>
        <w:rPr>
          <w:spacing w:val="-42"/>
        </w:rPr>
        <w:t> </w:t>
      </w:r>
      <w:r>
        <w:rPr>
          <w:spacing w:val="-42"/>
        </w:rPr>
      </w:r>
      <w:r>
        <w:rPr/>
        <w:t>法律、法规的相关规定。公司利润分配不得超过累计可供分配利润的范围，不得损害公司持续经营能力，并坚持如下原则：</w:t>
      </w:r>
    </w:p>
    <w:p>
      <w:pPr>
        <w:pStyle w:val="BodyText"/>
        <w:spacing w:line="460" w:lineRule="auto" w:before="75"/>
        <w:ind w:right="1111"/>
        <w:jc w:val="both"/>
      </w:pPr>
      <w:r>
        <w:rPr/>
        <w:pict>
          <v:shape style="position:absolute;margin-left:56.700001pt;margin-top:139.639206pt;width:479.85pt;height:172.65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776"/>
                    <w:gridCol w:w="4798"/>
                  </w:tblGrid>
                  <w:tr>
                    <w:trPr>
                      <w:trHeight w:val="405"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 w:right="23"/>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71"/>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2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71"/>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
              </w:txbxContent>
            </v:textbox>
            <w10:wrap type="none"/>
          </v:shape>
        </w:pict>
      </w:r>
      <w:r>
        <w:rPr/>
        <w:t>（</w:t>
      </w:r>
      <w:r>
        <w:rPr>
          <w:rFonts w:ascii="Times New Roman" w:hAnsi="Times New Roman" w:cs="Times New Roman" w:eastAsia="Times New Roman" w:hint="default"/>
        </w:rPr>
        <w:t>1</w:t>
      </w:r>
      <w:r>
        <w:rPr/>
        <w:t>）按法定顺序分配的原则；（</w:t>
      </w:r>
      <w:r>
        <w:rPr>
          <w:rFonts w:ascii="Times New Roman" w:hAnsi="Times New Roman" w:cs="Times New Roman" w:eastAsia="Times New Roman" w:hint="default"/>
        </w:rPr>
        <w:t>2</w:t>
      </w:r>
      <w:r>
        <w:rPr/>
        <w:t>）存在未弥补亏损、不得分配的原则；（</w:t>
      </w:r>
      <w:r>
        <w:rPr>
          <w:rFonts w:ascii="Times New Roman" w:hAnsi="Times New Roman" w:cs="Times New Roman" w:eastAsia="Times New Roman" w:hint="default"/>
        </w:rPr>
        <w:t>3</w:t>
      </w:r>
      <w:r>
        <w:rPr/>
        <w:t>）公司持有的公司股份不得分配利润的原则。</w:t>
      </w:r>
      <w:r>
        <w:rPr>
          <w:spacing w:val="-85"/>
        </w:rPr>
        <w:t> </w:t>
      </w:r>
      <w:r>
        <w:rPr>
          <w:spacing w:val="-2"/>
        </w:rPr>
        <w:t>在满足现金分红条件、保证公司正常经营和长远发展的前提下，公司原则上每年年度股东大会召开后进行一次现金分红，公</w:t>
      </w:r>
      <w:r>
        <w:rPr>
          <w:spacing w:val="-75"/>
        </w:rPr>
        <w:t> </w:t>
      </w:r>
      <w:r>
        <w:rPr>
          <w:spacing w:val="-75"/>
        </w:rPr>
      </w:r>
      <w:r>
        <w:rPr/>
        <w:t>司董事会可以根据公司的盈利状况及资金需求状况提议公司进行中期现金分红。公司应保持利润分配政策的连续性和稳定</w:t>
      </w:r>
      <w:r>
        <w:rPr>
          <w:spacing w:val="-7"/>
        </w:rPr>
        <w:t> </w:t>
      </w:r>
      <w:r>
        <w:rPr>
          <w:spacing w:val="-7"/>
        </w:rPr>
      </w:r>
      <w:r>
        <w:rPr>
          <w:spacing w:val="-1"/>
        </w:rPr>
        <w:t>性，在满足现金分红条件时，每年以现金方式分配的利润应不低于当年实现的可分配利润的</w:t>
      </w:r>
      <w:r>
        <w:rPr>
          <w:rFonts w:ascii="Times New Roman" w:hAnsi="Times New Roman" w:cs="Times New Roman" w:eastAsia="Times New Roman" w:hint="default"/>
          <w:spacing w:val="-1"/>
        </w:rPr>
        <w:t>20%</w:t>
      </w:r>
      <w:r>
        <w:rPr>
          <w:spacing w:val="-1"/>
        </w:rPr>
        <w:t>，且任意三个连续会计年度</w:t>
      </w:r>
      <w:r>
        <w:rPr>
          <w:spacing w:val="-72"/>
        </w:rPr>
        <w:t> </w:t>
      </w:r>
      <w:r>
        <w:rPr>
          <w:spacing w:val="-72"/>
        </w:rPr>
      </w:r>
      <w:r>
        <w:rPr>
          <w:spacing w:val="-1"/>
        </w:rPr>
        <w:t>内，公司以现金方式累计分配的利润不少于该三年实现的年均可分配利润的</w:t>
      </w:r>
      <w:r>
        <w:rPr>
          <w:rFonts w:ascii="Times New Roman" w:hAnsi="Times New Roman" w:cs="Times New Roman" w:eastAsia="Times New Roman" w:hint="default"/>
          <w:spacing w:val="-1"/>
        </w:rPr>
        <w:t>30%</w:t>
      </w:r>
      <w:r>
        <w:rPr>
          <w:spacing w:val="-1"/>
        </w:rPr>
        <w:t>。在公司现金流状况良好且不存在重大投资</w:t>
      </w:r>
      <w:r>
        <w:rPr/>
        <w:t> 计划或重大现金支出等事项发生时，公司将尽量提高现金分红的比例。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BodyText"/>
        <w:spacing w:line="240" w:lineRule="auto" w:before="44"/>
        <w:ind w:right="0"/>
        <w:jc w:val="left"/>
      </w:pPr>
      <w:r>
        <w:rPr/>
        <w:t>公司近</w:t>
      </w:r>
      <w:r>
        <w:rPr>
          <w:spacing w:val="-45"/>
        </w:rPr>
        <w:t> </w:t>
      </w:r>
      <w:r>
        <w:rPr>
          <w:rFonts w:ascii="Times New Roman" w:hAnsi="Times New Roman" w:cs="Times New Roman" w:eastAsia="Times New Roman" w:hint="default"/>
        </w:rPr>
        <w:t>3 </w:t>
      </w:r>
      <w:r>
        <w:rPr/>
        <w:t>年（包括本报告期）的普通股股利分配方案（预案</w:t>
      </w:r>
      <w:r>
        <w:rPr>
          <w:spacing w:val="-90"/>
        </w:rPr>
        <w:t>）</w:t>
      </w:r>
      <w:r>
        <w:rPr/>
        <w:t>、资本</w:t>
      </w:r>
      <w:r>
        <w:rPr>
          <w:spacing w:val="5"/>
        </w:rPr>
        <w:t>公</w:t>
      </w:r>
      <w:r>
        <w:rPr/>
        <w:t>积金转增股本方案（预案）情况</w:t>
      </w:r>
    </w:p>
    <w:p>
      <w:pPr>
        <w:pStyle w:val="Heading7"/>
        <w:spacing w:line="288" w:lineRule="auto" w:before="84"/>
        <w:ind w:right="0"/>
        <w:jc w:val="left"/>
      </w:pPr>
      <w:r>
        <w:rPr>
          <w:spacing w:val="4"/>
        </w:rPr>
        <w:t>公司第四届董事会第九次会议审议通过</w:t>
      </w:r>
      <w:r>
        <w:rPr>
          <w:spacing w:val="76"/>
        </w:rPr>
        <w:t> </w:t>
      </w:r>
      <w:r>
        <w:rPr>
          <w:rFonts w:ascii="Times New Roman" w:hAnsi="Times New Roman" w:cs="Times New Roman" w:eastAsia="Times New Roman" w:hint="default"/>
          <w:spacing w:val="4"/>
        </w:rPr>
        <w:t>2017</w:t>
      </w:r>
      <w:r>
        <w:rPr>
          <w:spacing w:val="4"/>
        </w:rPr>
        <w:t>年度利润分配预案：鉴于公司</w:t>
      </w:r>
      <w:r>
        <w:rPr>
          <w:rFonts w:ascii="Times New Roman" w:hAnsi="Times New Roman" w:cs="Times New Roman" w:eastAsia="Times New Roman" w:hint="default"/>
          <w:spacing w:val="4"/>
        </w:rPr>
        <w:t>2017</w:t>
      </w:r>
      <w:r>
        <w:rPr>
          <w:spacing w:val="4"/>
        </w:rPr>
        <w:t>年度亏损，为保证公司的稳</w:t>
      </w:r>
      <w:r>
        <w:rPr>
          <w:w w:val="102"/>
        </w:rPr>
        <w:t> </w:t>
      </w:r>
      <w:r>
        <w:rPr>
          <w:spacing w:val="3"/>
        </w:rPr>
        <w:t>定发展，基于对股东长远利益的考虑，公司 </w:t>
      </w:r>
      <w:r>
        <w:rPr>
          <w:spacing w:val="91"/>
        </w:rPr>
        <w:t> </w:t>
      </w:r>
      <w:r>
        <w:rPr>
          <w:rFonts w:ascii="Times New Roman" w:hAnsi="Times New Roman" w:cs="Times New Roman" w:eastAsia="Times New Roman" w:hint="default"/>
          <w:spacing w:val="4"/>
        </w:rPr>
        <w:t>2017</w:t>
      </w:r>
      <w:r>
        <w:rPr>
          <w:spacing w:val="4"/>
        </w:rPr>
        <w:t>年度拟不派发现金红利，不送红股，不以公积金转增股本。</w:t>
      </w:r>
    </w:p>
    <w:p>
      <w:pPr>
        <w:spacing w:after="0" w:line="288" w:lineRule="auto"/>
        <w:jc w:val="lef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7"/>
        <w:spacing w:line="288" w:lineRule="auto" w:before="45"/>
        <w:ind w:right="1126"/>
        <w:jc w:val="both"/>
      </w:pPr>
      <w:r>
        <w:rPr>
          <w:spacing w:val="4"/>
        </w:rPr>
        <w:t>公司第四届董事会第十五次会议审议通过</w:t>
      </w:r>
      <w:r>
        <w:rPr>
          <w:rFonts w:ascii="Times New Roman" w:hAnsi="Times New Roman" w:cs="Times New Roman" w:eastAsia="Times New Roman" w:hint="default"/>
          <w:spacing w:val="4"/>
        </w:rPr>
        <w:t>2018</w:t>
      </w:r>
      <w:r>
        <w:rPr>
          <w:spacing w:val="4"/>
        </w:rPr>
        <w:t>年度利润分配预案：鉴于公司</w:t>
      </w:r>
      <w:r>
        <w:rPr>
          <w:rFonts w:ascii="Times New Roman" w:hAnsi="Times New Roman" w:cs="Times New Roman" w:eastAsia="Times New Roman" w:hint="default"/>
          <w:spacing w:val="4"/>
        </w:rPr>
        <w:t>2018</w:t>
      </w:r>
      <w:r>
        <w:rPr>
          <w:spacing w:val="4"/>
        </w:rPr>
        <w:t>年度刚实现扭亏为盈，基</w:t>
      </w:r>
      <w:r>
        <w:rPr>
          <w:w w:val="102"/>
        </w:rPr>
        <w:t> </w:t>
      </w:r>
      <w:r>
        <w:rPr>
          <w:spacing w:val="4"/>
        </w:rPr>
        <w:t>于对股东长远利益的考虑，为保证公司正常经营和长远发展，公司 </w:t>
      </w:r>
      <w:r>
        <w:rPr>
          <w:rFonts w:ascii="Times New Roman" w:hAnsi="Times New Roman" w:cs="Times New Roman" w:eastAsia="Times New Roman" w:hint="default"/>
          <w:spacing w:val="4"/>
        </w:rPr>
        <w:t>2018</w:t>
      </w:r>
      <w:r>
        <w:rPr>
          <w:spacing w:val="4"/>
        </w:rPr>
        <w:t>年度拟不派发现金红利，不送红股，不</w:t>
      </w:r>
      <w:r>
        <w:rPr>
          <w:spacing w:val="19"/>
        </w:rPr>
        <w:t> </w:t>
      </w:r>
      <w:r>
        <w:rPr>
          <w:spacing w:val="19"/>
        </w:rPr>
      </w:r>
      <w:r>
        <w:rPr>
          <w:spacing w:val="3"/>
          <w:w w:val="105"/>
        </w:rPr>
        <w:t>以公积金转增股本。</w:t>
      </w:r>
      <w:r>
        <w:rPr>
          <w:spacing w:val="3"/>
        </w:rPr>
      </w:r>
    </w:p>
    <w:p>
      <w:pPr>
        <w:pStyle w:val="Heading7"/>
        <w:spacing w:line="288" w:lineRule="auto" w:before="13"/>
        <w:ind w:right="1012"/>
        <w:jc w:val="left"/>
      </w:pPr>
      <w:r>
        <w:rPr>
          <w:spacing w:val="4"/>
        </w:rPr>
        <w:t>公司第四届董事会第二十四次会议审议通过</w:t>
      </w:r>
      <w:r>
        <w:rPr>
          <w:spacing w:val="-38"/>
        </w:rPr>
        <w:t> </w:t>
      </w:r>
      <w:r>
        <w:rPr>
          <w:rFonts w:ascii="Times New Roman" w:hAnsi="Times New Roman" w:cs="Times New Roman" w:eastAsia="Times New Roman" w:hint="default"/>
          <w:spacing w:val="3"/>
        </w:rPr>
        <w:t>2019</w:t>
      </w:r>
      <w:r>
        <w:rPr>
          <w:spacing w:val="3"/>
        </w:rPr>
        <w:t>年度利润分配预案：鉴于公司</w:t>
      </w:r>
      <w:r>
        <w:rPr>
          <w:rFonts w:ascii="Times New Roman" w:hAnsi="Times New Roman" w:cs="Times New Roman" w:eastAsia="Times New Roman" w:hint="default"/>
          <w:spacing w:val="3"/>
        </w:rPr>
        <w:t>2019</w:t>
      </w:r>
      <w:r>
        <w:rPr>
          <w:spacing w:val="3"/>
        </w:rPr>
        <w:t>年度亏损，为保证公司</w:t>
      </w:r>
      <w:r>
        <w:rPr>
          <w:w w:val="102"/>
        </w:rPr>
        <w:t> </w:t>
      </w:r>
      <w:r>
        <w:rPr>
          <w:spacing w:val="2"/>
        </w:rPr>
        <w:t>的稳定发展，基于对股东长远利益的考虑，公司  </w:t>
      </w:r>
      <w:r>
        <w:rPr>
          <w:spacing w:val="6"/>
        </w:rPr>
        <w:t> </w:t>
      </w:r>
      <w:r>
        <w:rPr>
          <w:rFonts w:ascii="Times New Roman" w:hAnsi="Times New Roman" w:cs="Times New Roman" w:eastAsia="Times New Roman" w:hint="default"/>
          <w:spacing w:val="3"/>
        </w:rPr>
        <w:t>2019</w:t>
      </w:r>
      <w:r>
        <w:rPr>
          <w:spacing w:val="3"/>
        </w:rPr>
        <w:t>年度拟不派发现金红利，不送红股，不以公积金转增股本。</w:t>
      </w:r>
    </w:p>
    <w:p>
      <w:pPr>
        <w:spacing w:line="240" w:lineRule="auto" w:before="9"/>
        <w:rPr>
          <w:rFonts w:ascii="宋体" w:hAnsi="宋体" w:cs="宋体" w:eastAsia="宋体" w:hint="default"/>
          <w:sz w:val="24"/>
          <w:szCs w:val="24"/>
        </w:rPr>
      </w:pPr>
    </w:p>
    <w:p>
      <w:pPr>
        <w:pStyle w:val="BodyText"/>
        <w:spacing w:line="240" w:lineRule="auto" w:before="44"/>
        <w:ind w:right="0"/>
        <w:jc w:val="left"/>
      </w:pPr>
      <w:r>
        <w:rPr/>
        <w:t>公司近三年（包括本报告期）普通股现金分红情况表</w:t>
      </w:r>
    </w:p>
    <w:p>
      <w:pPr>
        <w:pStyle w:val="BodyText"/>
        <w:spacing w:line="240" w:lineRule="auto" w:before="11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02"/>
        <w:gridCol w:w="931"/>
        <w:gridCol w:w="1457"/>
        <w:gridCol w:w="1202"/>
        <w:gridCol w:w="1201"/>
        <w:gridCol w:w="1179"/>
        <w:gridCol w:w="1224"/>
        <w:gridCol w:w="1179"/>
      </w:tblGrid>
      <w:tr>
        <w:trPr>
          <w:trHeight w:val="158" w:hRule="exact"/>
        </w:trPr>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90" w:right="105"/>
              <w:jc w:val="center"/>
              <w:rPr>
                <w:rFonts w:ascii="宋体" w:hAnsi="宋体" w:cs="宋体" w:eastAsia="宋体" w:hint="default"/>
                <w:sz w:val="18"/>
                <w:szCs w:val="18"/>
              </w:rPr>
            </w:pPr>
            <w:r>
              <w:rPr>
                <w:rFonts w:ascii="宋体" w:hAnsi="宋体" w:cs="宋体" w:eastAsia="宋体" w:hint="default"/>
                <w:sz w:val="18"/>
                <w:szCs w:val="18"/>
              </w:rPr>
              <w:t>现金分红 金额（含 税）</w:t>
            </w:r>
          </w:p>
        </w:tc>
        <w:tc>
          <w:tcPr>
            <w:tcW w:w="145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21"/>
                <w:szCs w:val="21"/>
              </w:rPr>
            </w:pPr>
          </w:p>
          <w:p>
            <w:pPr>
              <w:pStyle w:val="TableParagraph"/>
              <w:spacing w:line="316" w:lineRule="auto"/>
              <w:ind w:left="90" w:right="91"/>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2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
        </w:tc>
        <w:tc>
          <w:tcPr>
            <w:tcW w:w="1179" w:type="dxa"/>
            <w:tcBorders>
              <w:top w:val="single" w:sz="6" w:space="0" w:color="000000"/>
              <w:left w:val="single" w:sz="6" w:space="0" w:color="000000"/>
              <w:bottom w:val="nil" w:sz="6" w:space="0" w:color="auto"/>
              <w:right w:val="single" w:sz="6" w:space="0" w:color="000000"/>
            </w:tcBorders>
            <w:shd w:val="clear" w:color="auto" w:fill="D2D2D2"/>
          </w:tcPr>
          <w:p>
            <w:pPr/>
          </w:p>
        </w:tc>
        <w:tc>
          <w:tcPr>
            <w:tcW w:w="1224" w:type="dxa"/>
            <w:vMerge w:val="restart"/>
            <w:tcBorders>
              <w:top w:val="single" w:sz="6" w:space="0" w:color="000000"/>
              <w:left w:val="single" w:sz="6" w:space="0" w:color="000000"/>
              <w:right w:val="single" w:sz="6" w:space="0" w:color="000000"/>
            </w:tcBorders>
            <w:shd w:val="clear" w:color="auto" w:fill="D2D2D2"/>
          </w:tcPr>
          <w:p>
            <w:pPr/>
          </w:p>
        </w:tc>
        <w:tc>
          <w:tcPr>
            <w:tcW w:w="117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6"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9"/>
              <w:ind w:left="45" w:right="36" w:firstLine="1"/>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316" w:hRule="exact"/>
        </w:trPr>
        <w:tc>
          <w:tcPr>
            <w:tcW w:w="1202"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c>
          <w:tcPr>
            <w:tcW w:w="1457" w:type="dxa"/>
            <w:vMerge/>
            <w:tcBorders>
              <w:left w:val="single" w:sz="6" w:space="0" w:color="000000"/>
              <w:right w:val="single" w:sz="6" w:space="0" w:color="000000"/>
            </w:tcBorders>
            <w:shd w:val="clear" w:color="auto" w:fill="D2D2D2"/>
          </w:tcPr>
          <w:p>
            <w:pPr/>
          </w:p>
        </w:tc>
        <w:tc>
          <w:tcPr>
            <w:tcW w:w="1202"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5"/>
              <w:ind w:left="60" w:right="44"/>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1" w:type="dxa"/>
            <w:vMerge/>
            <w:tcBorders>
              <w:left w:val="single" w:sz="6" w:space="0" w:color="000000"/>
              <w:bottom w:val="nil" w:sz="6" w:space="0" w:color="auto"/>
              <w:right w:val="single" w:sz="6" w:space="0" w:color="000000"/>
            </w:tcBorders>
            <w:shd w:val="clear" w:color="auto" w:fill="D2D2D2"/>
          </w:tcPr>
          <w:p>
            <w:pPr/>
          </w:p>
        </w:tc>
        <w:tc>
          <w:tcPr>
            <w:tcW w:w="1179" w:type="dxa"/>
            <w:vMerge w:val="restart"/>
            <w:tcBorders>
              <w:top w:val="nil" w:sz="6" w:space="0" w:color="auto"/>
              <w:left w:val="single" w:sz="6" w:space="0" w:color="000000"/>
              <w:right w:val="single" w:sz="6" w:space="0" w:color="000000"/>
            </w:tcBorders>
            <w:shd w:val="clear" w:color="auto" w:fill="D2D2D2"/>
          </w:tcPr>
          <w:p>
            <w:pPr>
              <w:pStyle w:val="TableParagraph"/>
              <w:spacing w:line="319" w:lineRule="auto" w:before="45"/>
              <w:ind w:left="45" w:right="36"/>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c>
          <w:tcPr>
            <w:tcW w:w="1457"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4" w:lineRule="auto" w:before="80"/>
              <w:ind w:left="45" w:right="59"/>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79" w:type="dxa"/>
            <w:vMerge/>
            <w:tcBorders>
              <w:left w:val="single" w:sz="6" w:space="0" w:color="000000"/>
              <w:right w:val="single" w:sz="6" w:space="0" w:color="000000"/>
            </w:tcBorders>
            <w:shd w:val="clear" w:color="auto" w:fill="D2D2D2"/>
          </w:tcPr>
          <w:p>
            <w:pPr/>
          </w:p>
        </w:tc>
        <w:tc>
          <w:tcPr>
            <w:tcW w:w="1224"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006" w:hRule="exact"/>
        </w:trPr>
        <w:tc>
          <w:tcPr>
            <w:tcW w:w="1202"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c>
          <w:tcPr>
            <w:tcW w:w="1457"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67"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21" w:lineRule="auto" w:before="64"/>
              <w:ind w:left="428" w:right="149" w:hanging="271"/>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9" w:type="dxa"/>
            <w:vMerge/>
            <w:tcBorders>
              <w:left w:val="single" w:sz="6" w:space="0" w:color="000000"/>
              <w:right w:val="single" w:sz="6" w:space="0" w:color="000000"/>
            </w:tcBorders>
            <w:shd w:val="clear" w:color="auto" w:fill="D2D2D2"/>
          </w:tcPr>
          <w:p>
            <w:pPr/>
          </w:p>
        </w:tc>
      </w:tr>
      <w:tr>
        <w:trPr>
          <w:trHeight w:val="165" w:hRule="exact"/>
        </w:trPr>
        <w:tc>
          <w:tcPr>
            <w:tcW w:w="1202"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c>
          <w:tcPr>
            <w:tcW w:w="1457"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right w:val="single" w:sz="6" w:space="0" w:color="000000"/>
            </w:tcBorders>
            <w:shd w:val="clear" w:color="auto" w:fill="D2D2D2"/>
          </w:tcPr>
          <w:p>
            <w:pPr/>
          </w:p>
        </w:tc>
        <w:tc>
          <w:tcPr>
            <w:tcW w:w="1201" w:type="dxa"/>
            <w:vMerge/>
            <w:tcBorders>
              <w:left w:val="single" w:sz="6" w:space="0" w:color="000000"/>
              <w:bottom w:val="nil" w:sz="6" w:space="0" w:color="auto"/>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c>
          <w:tcPr>
            <w:tcW w:w="1224" w:type="dxa"/>
            <w:vMerge w:val="restart"/>
            <w:tcBorders>
              <w:top w:val="nil" w:sz="6" w:space="0" w:color="auto"/>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316" w:hRule="exact"/>
        </w:trPr>
        <w:tc>
          <w:tcPr>
            <w:tcW w:w="1202"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c>
          <w:tcPr>
            <w:tcW w:w="1457" w:type="dxa"/>
            <w:vMerge/>
            <w:tcBorders>
              <w:left w:val="single" w:sz="6" w:space="0" w:color="000000"/>
              <w:right w:val="single" w:sz="6" w:space="0" w:color="000000"/>
            </w:tcBorders>
            <w:shd w:val="clear" w:color="auto" w:fill="D2D2D2"/>
          </w:tcPr>
          <w:p>
            <w:pPr/>
          </w:p>
        </w:tc>
        <w:tc>
          <w:tcPr>
            <w:tcW w:w="1202" w:type="dxa"/>
            <w:vMerge/>
            <w:tcBorders>
              <w:left w:val="single" w:sz="6" w:space="0" w:color="000000"/>
              <w:bottom w:val="nil" w:sz="6" w:space="0" w:color="auto"/>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
        </w:tc>
        <w:tc>
          <w:tcPr>
            <w:tcW w:w="1179" w:type="dxa"/>
            <w:vMerge/>
            <w:tcBorders>
              <w:left w:val="single" w:sz="6" w:space="0" w:color="000000"/>
              <w:bottom w:val="nil" w:sz="6" w:space="0" w:color="auto"/>
              <w:right w:val="single" w:sz="6" w:space="0" w:color="000000"/>
            </w:tcBorders>
            <w:shd w:val="clear" w:color="auto" w:fill="D2D2D2"/>
          </w:tcPr>
          <w:p>
            <w:pPr/>
          </w:p>
        </w:tc>
        <w:tc>
          <w:tcPr>
            <w:tcW w:w="1224" w:type="dxa"/>
            <w:vMerge/>
            <w:tcBorders>
              <w:left w:val="single" w:sz="6" w:space="0" w:color="000000"/>
              <w:right w:val="single" w:sz="6" w:space="0" w:color="000000"/>
            </w:tcBorders>
            <w:shd w:val="clear" w:color="auto" w:fill="D2D2D2"/>
          </w:tcPr>
          <w:p>
            <w:pPr/>
          </w:p>
        </w:tc>
        <w:tc>
          <w:tcPr>
            <w:tcW w:w="1179" w:type="dxa"/>
            <w:vMerge/>
            <w:tcBorders>
              <w:left w:val="single" w:sz="6" w:space="0" w:color="000000"/>
              <w:right w:val="single" w:sz="6" w:space="0" w:color="000000"/>
            </w:tcBorders>
            <w:shd w:val="clear" w:color="auto" w:fill="D2D2D2"/>
          </w:tcPr>
          <w:p>
            <w:pPr/>
          </w:p>
        </w:tc>
      </w:tr>
      <w:tr>
        <w:trPr>
          <w:trHeight w:val="158"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c>
          <w:tcPr>
            <w:tcW w:w="1457" w:type="dxa"/>
            <w:vMerge/>
            <w:tcBorders>
              <w:left w:val="single" w:sz="6" w:space="0" w:color="000000"/>
              <w:bottom w:val="single" w:sz="6" w:space="0" w:color="000000"/>
              <w:right w:val="single" w:sz="6" w:space="0" w:color="000000"/>
            </w:tcBorders>
            <w:shd w:val="clear" w:color="auto" w:fill="D2D2D2"/>
          </w:tcPr>
          <w:p>
            <w:pPr/>
          </w:p>
        </w:tc>
        <w:tc>
          <w:tcPr>
            <w:tcW w:w="12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79" w:type="dxa"/>
            <w:tcBorders>
              <w:top w:val="nil" w:sz="6" w:space="0" w:color="auto"/>
              <w:left w:val="single" w:sz="6" w:space="0" w:color="000000"/>
              <w:bottom w:val="single" w:sz="6" w:space="0" w:color="000000"/>
              <w:right w:val="single" w:sz="6" w:space="0" w:color="000000"/>
            </w:tcBorders>
            <w:shd w:val="clear" w:color="auto" w:fill="D2D2D2"/>
          </w:tcPr>
          <w:p>
            <w:pPr/>
          </w:p>
        </w:tc>
        <w:tc>
          <w:tcPr>
            <w:tcW w:w="1224" w:type="dxa"/>
            <w:vMerge/>
            <w:tcBorders>
              <w:left w:val="single" w:sz="6" w:space="0" w:color="000000"/>
              <w:bottom w:val="single" w:sz="6" w:space="0" w:color="000000"/>
              <w:right w:val="single" w:sz="6" w:space="0" w:color="000000"/>
            </w:tcBorders>
            <w:shd w:val="clear" w:color="auto" w:fill="D2D2D2"/>
          </w:tcPr>
          <w:p>
            <w:pPr/>
          </w:p>
        </w:tc>
        <w:tc>
          <w:tcPr>
            <w:tcW w:w="1179"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9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-825,472,850.00</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p>
        </w:tc>
        <w:tc>
          <w:tcPr>
            <w:tcW w:w="9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40,361,571.00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tc>
        <w:tc>
          <w:tcPr>
            <w:tcW w:w="93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4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-304,799,756.00</w:t>
            </w:r>
            <w:r>
              <w:rPr>
                <w:rFonts w:ascii="Times New Roman"/>
                <w:sz w:val="18"/>
              </w:rPr>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2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1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5"/>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bl>
    <w:p>
      <w:pPr>
        <w:pStyle w:val="BodyText"/>
        <w:spacing w:line="240" w:lineRule="auto" w:before="45"/>
        <w:ind w:right="0"/>
        <w:jc w:val="left"/>
      </w:pPr>
      <w:r>
        <w:rPr/>
        <w:t>公司报告期内盈利且母公司可供普通股股东分配利润为正但未提出普通股现金红利分配预案</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二、本报告期利润分配及资本公积金转增股本情况" w:id="62"/>
      <w:bookmarkEnd w:id="62"/>
      <w:r>
        <w:rPr>
          <w:b w:val="0"/>
          <w:bCs w:val="0"/>
        </w:rPr>
      </w:r>
      <w:r>
        <w:rPr/>
        <w:t>二、本报告期利润分配及资本公积金转增股本情况</w:t>
      </w:r>
      <w:r>
        <w:rPr>
          <w:b w:val="0"/>
          <w:bCs w:val="0"/>
        </w:rPr>
      </w:r>
    </w:p>
    <w:p>
      <w:pPr>
        <w:spacing w:line="240" w:lineRule="auto" w:before="1"/>
        <w:rPr>
          <w:rFonts w:ascii="宋体" w:hAnsi="宋体" w:cs="宋体" w:eastAsia="宋体" w:hint="default"/>
          <w:b/>
          <w:bCs/>
          <w:sz w:val="26"/>
          <w:szCs w:val="26"/>
        </w:rPr>
      </w:pPr>
    </w:p>
    <w:p>
      <w:pPr>
        <w:pStyle w:val="BodyText"/>
        <w:spacing w:line="316" w:lineRule="auto"/>
        <w:ind w:right="55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公司计划年度不派发现金红利，不送红股，不以公积金转增股本。</w:t>
      </w:r>
    </w:p>
    <w:p>
      <w:pPr>
        <w:spacing w:line="240" w:lineRule="auto" w:before="9"/>
        <w:rPr>
          <w:rFonts w:ascii="宋体" w:hAnsi="宋体" w:cs="宋体" w:eastAsia="宋体" w:hint="default"/>
          <w:sz w:val="22"/>
          <w:szCs w:val="22"/>
        </w:rPr>
      </w:pPr>
    </w:p>
    <w:p>
      <w:pPr>
        <w:pStyle w:val="Heading2"/>
        <w:spacing w:line="240" w:lineRule="auto"/>
        <w:ind w:right="0"/>
        <w:jc w:val="left"/>
        <w:rPr>
          <w:b w:val="0"/>
          <w:bCs w:val="0"/>
        </w:rPr>
      </w:pPr>
      <w:bookmarkStart w:name="三、承诺事项履行情况" w:id="63"/>
      <w:bookmarkEnd w:id="63"/>
      <w:r>
        <w:rPr>
          <w:b w:val="0"/>
          <w:bCs w:val="0"/>
        </w:rPr>
      </w:r>
      <w:r>
        <w:rPr/>
        <w:t>三、承诺事项履行情况</w:t>
      </w:r>
      <w:r>
        <w:rPr>
          <w:b w:val="0"/>
          <w:bCs w:val="0"/>
        </w:rPr>
      </w:r>
    </w:p>
    <w:p>
      <w:pPr>
        <w:spacing w:line="240" w:lineRule="auto" w:before="7"/>
        <w:rPr>
          <w:rFonts w:ascii="宋体" w:hAnsi="宋体" w:cs="宋体" w:eastAsia="宋体" w:hint="default"/>
          <w:b/>
          <w:bCs/>
          <w:sz w:val="24"/>
          <w:szCs w:val="24"/>
        </w:rPr>
      </w:pPr>
    </w:p>
    <w:p>
      <w:pPr>
        <w:pStyle w:val="Heading5"/>
        <w:spacing w:line="247" w:lineRule="auto"/>
        <w:ind w:right="0"/>
        <w:jc w:val="left"/>
        <w:rPr>
          <w:b w:val="0"/>
          <w:bCs w:val="0"/>
        </w:rPr>
      </w:pPr>
      <w:bookmarkStart w:name="1、公司实际控制人、股东、关联方、收购人以及公司等承诺相关方在报告期内履行完毕及" w:id="64"/>
      <w:bookmarkEnd w:id="64"/>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53"/>
        </w:rPr>
        <w:t> </w:t>
      </w:r>
      <w:r>
        <w:rPr>
          <w:spacing w:val="-53"/>
        </w:rPr>
      </w:r>
      <w:r>
        <w:rPr/>
        <w:t>尚未履行完毕的承诺事项</w:t>
      </w:r>
      <w:r>
        <w:rPr>
          <w:b w:val="0"/>
          <w:bCs w:val="0"/>
        </w:rPr>
      </w:r>
    </w:p>
    <w:p>
      <w:pPr>
        <w:spacing w:line="240" w:lineRule="auto" w:before="3"/>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33" w:type="dxa"/>
        <w:tblLayout w:type="fixed"/>
        <w:tblCellMar>
          <w:top w:w="0" w:type="dxa"/>
          <w:left w:w="0" w:type="dxa"/>
          <w:bottom w:w="0" w:type="dxa"/>
          <w:right w:w="0" w:type="dxa"/>
        </w:tblCellMar>
        <w:tblLook w:val="01E0"/>
      </w:tblPr>
      <w:tblGrid>
        <w:gridCol w:w="2117"/>
        <w:gridCol w:w="999"/>
        <w:gridCol w:w="1141"/>
        <w:gridCol w:w="2553"/>
        <w:gridCol w:w="991"/>
        <w:gridCol w:w="706"/>
        <w:gridCol w:w="1066"/>
      </w:tblGrid>
      <w:tr>
        <w:trPr>
          <w:trHeight w:val="158" w:hRule="exact"/>
        </w:trPr>
        <w:tc>
          <w:tcPr>
            <w:tcW w:w="2117" w:type="dxa"/>
            <w:tcBorders>
              <w:top w:val="single" w:sz="6" w:space="0" w:color="000000"/>
              <w:left w:val="single" w:sz="6" w:space="0" w:color="000000"/>
              <w:bottom w:val="nil" w:sz="6" w:space="0" w:color="auto"/>
              <w:right w:val="single" w:sz="6" w:space="0" w:color="000000"/>
            </w:tcBorders>
            <w:shd w:val="clear" w:color="auto" w:fill="D2D2D2"/>
          </w:tcPr>
          <w:p>
            <w:pPr/>
          </w:p>
        </w:tc>
        <w:tc>
          <w:tcPr>
            <w:tcW w:w="999" w:type="dxa"/>
            <w:tcBorders>
              <w:top w:val="single" w:sz="6" w:space="0" w:color="000000"/>
              <w:left w:val="single" w:sz="6" w:space="0" w:color="000000"/>
              <w:bottom w:val="nil" w:sz="6" w:space="0" w:color="auto"/>
              <w:right w:val="single" w:sz="6" w:space="0" w:color="000000"/>
            </w:tcBorders>
            <w:shd w:val="clear" w:color="auto" w:fill="D2D2D2"/>
          </w:tcPr>
          <w:p>
            <w:pPr/>
          </w:p>
        </w:tc>
        <w:tc>
          <w:tcPr>
            <w:tcW w:w="1141" w:type="dxa"/>
            <w:tcBorders>
              <w:top w:val="single" w:sz="6" w:space="0" w:color="000000"/>
              <w:left w:val="single" w:sz="6" w:space="0" w:color="000000"/>
              <w:bottom w:val="nil" w:sz="6" w:space="0" w:color="auto"/>
              <w:right w:val="single" w:sz="6" w:space="0" w:color="000000"/>
            </w:tcBorders>
            <w:shd w:val="clear" w:color="auto" w:fill="D2D2D2"/>
          </w:tcPr>
          <w:p>
            <w:pPr/>
          </w:p>
        </w:tc>
        <w:tc>
          <w:tcPr>
            <w:tcW w:w="2553" w:type="dxa"/>
            <w:tcBorders>
              <w:top w:val="single" w:sz="6" w:space="0" w:color="000000"/>
              <w:left w:val="single" w:sz="6" w:space="0" w:color="000000"/>
              <w:bottom w:val="nil" w:sz="6" w:space="0" w:color="auto"/>
              <w:right w:val="single" w:sz="6" w:space="0" w:color="000000"/>
            </w:tcBorders>
            <w:shd w:val="clear" w:color="auto" w:fill="D2D2D2"/>
          </w:tcPr>
          <w:p>
            <w:pPr/>
          </w:p>
        </w:tc>
        <w:tc>
          <w:tcPr>
            <w:tcW w:w="991" w:type="dxa"/>
            <w:tcBorders>
              <w:top w:val="single" w:sz="6" w:space="0" w:color="000000"/>
              <w:left w:val="single" w:sz="6" w:space="0" w:color="000000"/>
              <w:bottom w:val="nil" w:sz="6" w:space="0" w:color="auto"/>
              <w:right w:val="single" w:sz="6" w:space="0" w:color="000000"/>
            </w:tcBorders>
            <w:shd w:val="clear" w:color="auto" w:fill="D2D2D2"/>
          </w:tcPr>
          <w:p>
            <w:pPr/>
          </w:p>
        </w:tc>
        <w:tc>
          <w:tcPr>
            <w:tcW w:w="70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240" w:right="88" w:hanging="180"/>
              <w:jc w:val="left"/>
              <w:rPr>
                <w:rFonts w:ascii="宋体" w:hAnsi="宋体" w:cs="宋体" w:eastAsia="宋体" w:hint="default"/>
                <w:sz w:val="18"/>
                <w:szCs w:val="18"/>
              </w:rPr>
            </w:pPr>
            <w:r>
              <w:rPr>
                <w:rFonts w:ascii="宋体" w:hAnsi="宋体" w:cs="宋体" w:eastAsia="宋体" w:hint="default"/>
                <w:sz w:val="18"/>
                <w:szCs w:val="18"/>
              </w:rPr>
              <w:t>承诺期 限</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90" w:hRule="exact"/>
        </w:trPr>
        <w:tc>
          <w:tcPr>
            <w:tcW w:w="211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83"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999"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218"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4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55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2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706"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73" w:hRule="exact"/>
        </w:trPr>
        <w:tc>
          <w:tcPr>
            <w:tcW w:w="2117" w:type="dxa"/>
            <w:vMerge/>
            <w:tcBorders>
              <w:left w:val="single" w:sz="6" w:space="0" w:color="000000"/>
              <w:bottom w:val="single" w:sz="6" w:space="0" w:color="000000"/>
              <w:right w:val="single" w:sz="6" w:space="0" w:color="000000"/>
            </w:tcBorders>
            <w:shd w:val="clear" w:color="auto" w:fill="D2D2D2"/>
          </w:tcPr>
          <w:p>
            <w:pPr/>
          </w:p>
        </w:tc>
        <w:tc>
          <w:tcPr>
            <w:tcW w:w="999" w:type="dxa"/>
            <w:vMerge/>
            <w:tcBorders>
              <w:left w:val="single" w:sz="6" w:space="0" w:color="000000"/>
              <w:bottom w:val="single" w:sz="6" w:space="0" w:color="000000"/>
              <w:right w:val="single" w:sz="6" w:space="0" w:color="000000"/>
            </w:tcBorders>
            <w:shd w:val="clear" w:color="auto" w:fill="D2D2D2"/>
          </w:tcPr>
          <w:p>
            <w:pPr/>
          </w:p>
        </w:tc>
        <w:tc>
          <w:tcPr>
            <w:tcW w:w="1141" w:type="dxa"/>
            <w:tcBorders>
              <w:top w:val="nil" w:sz="6" w:space="0" w:color="auto"/>
              <w:left w:val="single" w:sz="6" w:space="0" w:color="000000"/>
              <w:bottom w:val="single" w:sz="6" w:space="0" w:color="000000"/>
              <w:right w:val="single" w:sz="6" w:space="0" w:color="000000"/>
            </w:tcBorders>
            <w:shd w:val="clear" w:color="auto" w:fill="D2D2D2"/>
          </w:tcPr>
          <w:p>
            <w:pPr/>
          </w:p>
        </w:tc>
        <w:tc>
          <w:tcPr>
            <w:tcW w:w="2553" w:type="dxa"/>
            <w:tcBorders>
              <w:top w:val="nil" w:sz="6" w:space="0" w:color="auto"/>
              <w:left w:val="single" w:sz="6" w:space="0" w:color="000000"/>
              <w:bottom w:val="single" w:sz="6" w:space="0" w:color="000000"/>
              <w:right w:val="single" w:sz="6" w:space="0" w:color="000000"/>
            </w:tcBorders>
            <w:shd w:val="clear" w:color="auto" w:fill="D2D2D2"/>
          </w:tcPr>
          <w:p>
            <w:pPr/>
          </w:p>
        </w:tc>
        <w:tc>
          <w:tcPr>
            <w:tcW w:w="991" w:type="dxa"/>
            <w:vMerge/>
            <w:tcBorders>
              <w:left w:val="single" w:sz="6" w:space="0" w:color="000000"/>
              <w:bottom w:val="single" w:sz="6" w:space="0" w:color="000000"/>
              <w:right w:val="single" w:sz="6" w:space="0" w:color="000000"/>
            </w:tcBorders>
            <w:shd w:val="clear" w:color="auto" w:fill="D2D2D2"/>
          </w:tcPr>
          <w:p>
            <w:pPr/>
          </w:p>
        </w:tc>
        <w:tc>
          <w:tcPr>
            <w:tcW w:w="706" w:type="dxa"/>
            <w:vMerge/>
            <w:tcBorders>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999" w:type="dxa"/>
            <w:tcBorders>
              <w:top w:val="single" w:sz="6" w:space="0" w:color="000000"/>
              <w:left w:val="single" w:sz="12"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12"/>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999" w:type="dxa"/>
            <w:tcBorders>
              <w:top w:val="single" w:sz="6" w:space="0" w:color="000000"/>
              <w:left w:val="single" w:sz="12"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999" w:type="dxa"/>
            <w:tcBorders>
              <w:top w:val="single" w:sz="6" w:space="0" w:color="000000"/>
              <w:left w:val="single" w:sz="12"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112"/>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999" w:type="dxa"/>
            <w:tcBorders>
              <w:top w:val="single" w:sz="6" w:space="0" w:color="000000"/>
              <w:left w:val="single" w:sz="12" w:space="0" w:color="000000"/>
              <w:bottom w:val="single" w:sz="6" w:space="0" w:color="000000"/>
              <w:right w:val="single" w:sz="6" w:space="0" w:color="000000"/>
            </w:tcBorders>
          </w:tcPr>
          <w:p>
            <w:pPr>
              <w:pStyle w:val="TableParagraph"/>
              <w:spacing w:line="314" w:lineRule="auto" w:before="45"/>
              <w:ind w:left="15" w:right="59"/>
              <w:jc w:val="both"/>
              <w:rPr>
                <w:rFonts w:ascii="宋体" w:hAnsi="宋体" w:cs="宋体" w:eastAsia="宋体" w:hint="default"/>
                <w:sz w:val="18"/>
                <w:szCs w:val="18"/>
              </w:rPr>
            </w:pPr>
            <w:r>
              <w:rPr>
                <w:rFonts w:ascii="宋体" w:hAnsi="宋体" w:cs="宋体" w:eastAsia="宋体" w:hint="default"/>
                <w:sz w:val="18"/>
                <w:szCs w:val="18"/>
              </w:rPr>
              <w:t>华服投资、 周成建、胡 佳佳</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0"/>
              <w:ind w:left="14" w:right="209"/>
              <w:jc w:val="both"/>
              <w:rPr>
                <w:rFonts w:ascii="宋体" w:hAnsi="宋体" w:cs="宋体" w:eastAsia="宋体" w:hint="default"/>
                <w:sz w:val="18"/>
                <w:szCs w:val="18"/>
              </w:rPr>
            </w:pPr>
            <w:r>
              <w:rPr>
                <w:rFonts w:ascii="宋体" w:hAnsi="宋体" w:cs="宋体" w:eastAsia="宋体" w:hint="default"/>
                <w:sz w:val="18"/>
                <w:szCs w:val="18"/>
              </w:rPr>
              <w:t>首次公开发 行关于避免 同业竞争的</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60"/>
              <w:ind w:left="14" w:right="31"/>
              <w:jc w:val="left"/>
              <w:rPr>
                <w:rFonts w:ascii="宋体" w:hAnsi="宋体" w:cs="宋体" w:eastAsia="宋体" w:hint="default"/>
                <w:sz w:val="18"/>
                <w:szCs w:val="18"/>
              </w:rPr>
            </w:pPr>
            <w:r>
              <w:rPr>
                <w:rFonts w:ascii="宋体" w:hAnsi="宋体" w:cs="宋体" w:eastAsia="宋体" w:hint="default"/>
                <w:spacing w:val="-3"/>
                <w:sz w:val="18"/>
                <w:szCs w:val="18"/>
              </w:rPr>
              <w:t>公司控股股东华服投资、股东胡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佳佳及实际控制人周成建于 </w:t>
            </w: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日分别签署《避</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11</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5"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60"/>
              <w:ind w:left="15" w:right="29"/>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13"/>
                <w:sz w:val="18"/>
                <w:szCs w:val="18"/>
              </w:rPr>
              <w:t>告期末，该承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诺事项仍在</w:t>
            </w:r>
          </w:p>
        </w:tc>
      </w:tr>
    </w:tbl>
    <w:p>
      <w:pPr>
        <w:spacing w:after="0" w:line="314"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r>
        <w:rPr/>
        <w:pict>
          <v:group style="position:absolute;margin-left:398pt;margin-top:695.849976pt;width:48.8pt;height:61.6pt;mso-position-horizontal-relative:page;mso-position-vertical-relative:page;z-index:-926296" coordorigin="7960,13917" coordsize="976,1232">
            <v:shape style="position:absolute;left:7960;top:13917;width:976;height:1232" coordorigin="7960,13917" coordsize="976,1232" path="m7960,15148l8936,15148,8936,13917,7960,13917,7960,15148xe" filled="true" fillcolor="#ffffff" stroked="false">
              <v:path arrowok="t"/>
              <v:fill type="solid"/>
            </v:shape>
            <w10:wrap type="none"/>
          </v:group>
        </w:pict>
      </w: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132"/>
        <w:gridCol w:w="992"/>
        <w:gridCol w:w="1141"/>
        <w:gridCol w:w="2553"/>
        <w:gridCol w:w="991"/>
        <w:gridCol w:w="706"/>
        <w:gridCol w:w="1066"/>
      </w:tblGrid>
      <w:tr>
        <w:trPr>
          <w:trHeight w:val="3798" w:hRule="exact"/>
        </w:trPr>
        <w:tc>
          <w:tcPr>
            <w:tcW w:w="2132" w:type="dxa"/>
            <w:vMerge w:val="restart"/>
            <w:tcBorders>
              <w:top w:val="single" w:sz="6" w:space="0" w:color="000000"/>
              <w:left w:val="single" w:sz="6" w:space="0" w:color="000000"/>
              <w:right w:val="single" w:sz="6" w:space="0" w:color="000000"/>
            </w:tcBorders>
            <w:shd w:val="clear" w:color="auto" w:fill="D2D2D2"/>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4" w:right="0"/>
              <w:jc w:val="left"/>
              <w:rPr>
                <w:rFonts w:ascii="宋体" w:hAnsi="宋体" w:cs="宋体" w:eastAsia="宋体" w:hint="default"/>
                <w:sz w:val="18"/>
                <w:szCs w:val="18"/>
              </w:rPr>
            </w:pPr>
            <w:r>
              <w:rPr>
                <w:rFonts w:ascii="宋体" w:hAnsi="宋体" w:cs="宋体" w:eastAsia="宋体" w:hint="default"/>
                <w:sz w:val="18"/>
                <w:szCs w:val="18"/>
              </w:rPr>
              <w:t>承诺</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ind w:left="14" w:right="31"/>
              <w:jc w:val="left"/>
              <w:rPr>
                <w:rFonts w:ascii="宋体" w:hAnsi="宋体" w:cs="宋体" w:eastAsia="宋体" w:hint="default"/>
                <w:sz w:val="18"/>
                <w:szCs w:val="18"/>
              </w:rPr>
            </w:pPr>
            <w:r>
              <w:rPr>
                <w:rFonts w:ascii="宋体" w:hAnsi="宋体" w:cs="宋体" w:eastAsia="宋体" w:hint="default"/>
                <w:spacing w:val="-7"/>
                <w:sz w:val="18"/>
                <w:szCs w:val="18"/>
              </w:rPr>
              <w:t>免同业竞争承诺函》，承诺其自</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3"/>
                <w:sz w:val="18"/>
                <w:szCs w:val="18"/>
              </w:rPr>
              <w:t>身、以及其参与投资的企业截至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承诺函签署日没有以任何形式 从事与本公司及本公司的控股 企业的主营业务构成或可能构 成直接或间接竞争关系的业务 </w:t>
            </w:r>
            <w:r>
              <w:rPr>
                <w:rFonts w:ascii="宋体" w:hAnsi="宋体" w:cs="宋体" w:eastAsia="宋体" w:hint="default"/>
                <w:spacing w:val="-3"/>
                <w:sz w:val="18"/>
                <w:szCs w:val="18"/>
              </w:rPr>
              <w:t>或活动；未来也不以任何形式直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接或间接从事任何与本公司或 本公司的控股企业主营业务构 成或可能构成直接或间接竞争 </w:t>
            </w:r>
            <w:r>
              <w:rPr>
                <w:rFonts w:ascii="宋体" w:hAnsi="宋体" w:cs="宋体" w:eastAsia="宋体" w:hint="default"/>
                <w:spacing w:val="-3"/>
                <w:sz w:val="18"/>
                <w:szCs w:val="18"/>
              </w:rPr>
              <w:t>关系的业务或活动，或于该等业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务中持有权益或利益。</w:t>
            </w:r>
          </w:p>
        </w:tc>
        <w:tc>
          <w:tcPr>
            <w:tcW w:w="99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严格履行中</w:t>
            </w:r>
          </w:p>
        </w:tc>
      </w:tr>
      <w:tr>
        <w:trPr>
          <w:trHeight w:val="1652" w:hRule="exact"/>
        </w:trPr>
        <w:tc>
          <w:tcPr>
            <w:tcW w:w="2132" w:type="dxa"/>
            <w:vMerge/>
            <w:tcBorders>
              <w:left w:val="single" w:sz="6" w:space="0" w:color="000000"/>
              <w:right w:val="single" w:sz="6" w:space="0" w:color="000000"/>
            </w:tcBorders>
            <w:shd w:val="clear" w:color="auto" w:fill="D2D2D2"/>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304" w:lineRule="auto"/>
              <w:ind w:left="15" w:right="59"/>
              <w:jc w:val="left"/>
              <w:rPr>
                <w:rFonts w:ascii="宋体" w:hAnsi="宋体" w:cs="宋体" w:eastAsia="宋体" w:hint="default"/>
                <w:sz w:val="18"/>
                <w:szCs w:val="18"/>
              </w:rPr>
            </w:pPr>
            <w:r>
              <w:rPr>
                <w:rFonts w:ascii="宋体" w:hAnsi="宋体" w:cs="宋体" w:eastAsia="宋体" w:hint="default"/>
                <w:sz w:val="18"/>
                <w:szCs w:val="18"/>
              </w:rPr>
              <w:t>华服投资、 周成建</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4" w:right="209"/>
              <w:jc w:val="both"/>
              <w:rPr>
                <w:rFonts w:ascii="宋体" w:hAnsi="宋体" w:cs="宋体" w:eastAsia="宋体" w:hint="default"/>
                <w:sz w:val="18"/>
                <w:szCs w:val="18"/>
              </w:rPr>
            </w:pPr>
            <w:r>
              <w:rPr>
                <w:rFonts w:ascii="宋体" w:hAnsi="宋体" w:cs="宋体" w:eastAsia="宋体" w:hint="default"/>
                <w:sz w:val="18"/>
                <w:szCs w:val="18"/>
              </w:rPr>
              <w:t>首次公开发 行的相关承 诺</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4" w:right="31"/>
              <w:jc w:val="left"/>
              <w:rPr>
                <w:rFonts w:ascii="宋体" w:hAnsi="宋体" w:cs="宋体" w:eastAsia="宋体" w:hint="default"/>
                <w:sz w:val="18"/>
                <w:szCs w:val="18"/>
              </w:rPr>
            </w:pPr>
            <w:r>
              <w:rPr>
                <w:rFonts w:ascii="宋体" w:hAnsi="宋体" w:cs="宋体" w:eastAsia="宋体" w:hint="default"/>
                <w:sz w:val="18"/>
                <w:szCs w:val="18"/>
              </w:rPr>
              <w:t>公司实际控制人周成建和控股 </w:t>
            </w:r>
            <w:r>
              <w:rPr>
                <w:rFonts w:ascii="宋体" w:hAnsi="宋体" w:cs="宋体" w:eastAsia="宋体" w:hint="default"/>
                <w:spacing w:val="-3"/>
                <w:sz w:val="18"/>
                <w:szCs w:val="18"/>
              </w:rPr>
              <w:t>股东华服投资承诺：若发生税收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优惠被追缴的情况，将承担被追</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缴的税款和因此所产生的所有 相关费用。</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16" w:lineRule="auto"/>
              <w:ind w:left="15" w:right="29"/>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13"/>
                <w:sz w:val="18"/>
                <w:szCs w:val="18"/>
              </w:rPr>
              <w:t>告期末，该承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诺事项仍在 严格履行中</w:t>
            </w:r>
          </w:p>
        </w:tc>
      </w:tr>
      <w:tr>
        <w:trPr>
          <w:trHeight w:val="5090" w:hRule="exact"/>
        </w:trPr>
        <w:tc>
          <w:tcPr>
            <w:tcW w:w="2132" w:type="dxa"/>
            <w:vMerge/>
            <w:tcBorders>
              <w:left w:val="single" w:sz="6" w:space="0" w:color="000000"/>
              <w:right w:val="single" w:sz="6" w:space="0" w:color="000000"/>
            </w:tcBorders>
            <w:shd w:val="clear" w:color="auto" w:fill="D2D2D2"/>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52"/>
              <w:ind w:left="15" w:right="59"/>
              <w:jc w:val="left"/>
              <w:rPr>
                <w:rFonts w:ascii="宋体" w:hAnsi="宋体" w:cs="宋体" w:eastAsia="宋体" w:hint="default"/>
                <w:sz w:val="18"/>
                <w:szCs w:val="18"/>
              </w:rPr>
            </w:pPr>
            <w:r>
              <w:rPr>
                <w:rFonts w:ascii="宋体" w:hAnsi="宋体" w:cs="宋体" w:eastAsia="宋体" w:hint="default"/>
                <w:sz w:val="18"/>
                <w:szCs w:val="18"/>
              </w:rPr>
              <w:t>华服投资、 周成建</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4" w:right="209"/>
              <w:jc w:val="both"/>
              <w:rPr>
                <w:rFonts w:ascii="宋体" w:hAnsi="宋体" w:cs="宋体" w:eastAsia="宋体" w:hint="default"/>
                <w:sz w:val="18"/>
                <w:szCs w:val="18"/>
              </w:rPr>
            </w:pPr>
            <w:r>
              <w:rPr>
                <w:rFonts w:ascii="宋体" w:hAnsi="宋体" w:cs="宋体" w:eastAsia="宋体" w:hint="default"/>
                <w:sz w:val="18"/>
                <w:szCs w:val="18"/>
              </w:rPr>
              <w:t>再融资关于 填补被摊薄 即期回报措 施的承诺</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本公司不越权干预上市 </w:t>
            </w:r>
            <w:r>
              <w:rPr>
                <w:rFonts w:ascii="宋体" w:hAnsi="宋体" w:cs="宋体" w:eastAsia="宋体" w:hint="default"/>
                <w:spacing w:val="-3"/>
                <w:sz w:val="18"/>
                <w:szCs w:val="18"/>
              </w:rPr>
              <w:t>公司经营管理活动，不侵占上市</w:t>
            </w:r>
          </w:p>
          <w:p>
            <w:pPr>
              <w:pStyle w:val="TableParagraph"/>
              <w:spacing w:line="309" w:lineRule="auto" w:before="69"/>
              <w:ind w:left="14" w:right="28"/>
              <w:jc w:val="left"/>
              <w:rPr>
                <w:rFonts w:ascii="宋体" w:hAnsi="宋体" w:cs="宋体" w:eastAsia="宋体" w:hint="default"/>
                <w:sz w:val="18"/>
                <w:szCs w:val="18"/>
              </w:rPr>
            </w:pPr>
            <w:r>
              <w:rPr>
                <w:rFonts w:ascii="宋体" w:hAnsi="宋体" w:cs="宋体" w:eastAsia="宋体" w:hint="default"/>
                <w:sz w:val="18"/>
                <w:szCs w:val="18"/>
              </w:rPr>
              <w:t>公司利益；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、自本承诺出具日 </w:t>
            </w:r>
            <w:r>
              <w:rPr>
                <w:rFonts w:ascii="宋体" w:hAnsi="宋体" w:cs="宋体" w:eastAsia="宋体" w:hint="default"/>
                <w:spacing w:val="-3"/>
                <w:sz w:val="18"/>
                <w:szCs w:val="18"/>
              </w:rPr>
              <w:t>至公司本次发行实施完毕前，若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中国证监会作出关于填补回报 措施及其承诺的其他新的监管 </w:t>
            </w:r>
            <w:r>
              <w:rPr>
                <w:rFonts w:ascii="宋体" w:hAnsi="宋体" w:cs="宋体" w:eastAsia="宋体" w:hint="default"/>
                <w:spacing w:val="-3"/>
                <w:sz w:val="18"/>
                <w:szCs w:val="18"/>
              </w:rPr>
              <w:t>规定的，且上述承诺不能满足中</w:t>
            </w:r>
          </w:p>
          <w:p>
            <w:pPr>
              <w:pStyle w:val="TableParagraph"/>
              <w:spacing w:line="304" w:lineRule="auto" w:before="42"/>
              <w:ind w:left="14" w:right="28"/>
              <w:jc w:val="left"/>
              <w:rPr>
                <w:rFonts w:ascii="宋体" w:hAnsi="宋体" w:cs="宋体" w:eastAsia="宋体" w:hint="default"/>
                <w:sz w:val="18"/>
                <w:szCs w:val="18"/>
              </w:rPr>
            </w:pPr>
            <w:r>
              <w:rPr>
                <w:rFonts w:ascii="宋体" w:hAnsi="宋体" w:cs="宋体" w:eastAsia="宋体" w:hint="default"/>
                <w:spacing w:val="-6"/>
                <w:sz w:val="18"/>
                <w:szCs w:val="18"/>
              </w:rPr>
              <w:t>国证监会该等规定时，本人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本公</w:t>
            </w:r>
            <w:r>
              <w:rPr>
                <w:rFonts w:ascii="宋体" w:hAnsi="宋体" w:cs="宋体" w:eastAsia="宋体" w:hint="default"/>
                <w:spacing w:val="-79"/>
                <w:sz w:val="18"/>
                <w:szCs w:val="18"/>
              </w:rPr>
              <w:t> </w:t>
            </w:r>
            <w:r>
              <w:rPr>
                <w:rFonts w:ascii="宋体" w:hAnsi="宋体" w:cs="宋体" w:eastAsia="宋体" w:hint="default"/>
                <w:sz w:val="18"/>
                <w:szCs w:val="18"/>
              </w:rPr>
              <w:t>司承诺届时将按照中国证监会 的最新规定出具补充承诺；</w:t>
            </w:r>
            <w:r>
              <w:rPr>
                <w:rFonts w:ascii="Times New Roman" w:hAnsi="Times New Roman" w:cs="Times New Roman" w:eastAsia="Times New Roman" w:hint="default"/>
                <w:sz w:val="18"/>
                <w:szCs w:val="18"/>
              </w:rPr>
              <w:t>3</w:t>
            </w:r>
            <w:r>
              <w:rPr>
                <w:rFonts w:ascii="宋体" w:hAnsi="宋体" w:cs="宋体" w:eastAsia="宋体" w:hint="default"/>
                <w:sz w:val="18"/>
                <w:szCs w:val="18"/>
              </w:rPr>
              <w:t>、 本人</w:t>
            </w:r>
            <w:r>
              <w:rPr>
                <w:rFonts w:ascii="Times New Roman" w:hAnsi="Times New Roman" w:cs="Times New Roman" w:eastAsia="Times New Roman" w:hint="default"/>
                <w:sz w:val="18"/>
                <w:szCs w:val="18"/>
              </w:rPr>
              <w:t>/</w:t>
            </w:r>
            <w:r>
              <w:rPr>
                <w:rFonts w:ascii="宋体" w:hAnsi="宋体" w:cs="宋体" w:eastAsia="宋体" w:hint="default"/>
                <w:sz w:val="18"/>
                <w:szCs w:val="18"/>
              </w:rPr>
              <w:t>本公司将忠实履行上述承 </w:t>
            </w:r>
            <w:r>
              <w:rPr>
                <w:rFonts w:ascii="宋体" w:hAnsi="宋体" w:cs="宋体" w:eastAsia="宋体" w:hint="default"/>
                <w:spacing w:val="-3"/>
                <w:sz w:val="18"/>
                <w:szCs w:val="18"/>
              </w:rPr>
              <w:t>诺，并承担相应的法律责任，若</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不履行本承诺所赋予的义务和</w:t>
            </w:r>
          </w:p>
          <w:p>
            <w:pPr>
              <w:pStyle w:val="TableParagraph"/>
              <w:spacing w:line="297" w:lineRule="auto" w:before="46"/>
              <w:ind w:left="14" w:right="31"/>
              <w:jc w:val="both"/>
              <w:rPr>
                <w:rFonts w:ascii="宋体" w:hAnsi="宋体" w:cs="宋体" w:eastAsia="宋体" w:hint="default"/>
                <w:sz w:val="18"/>
                <w:szCs w:val="18"/>
              </w:rPr>
            </w:pPr>
            <w:r>
              <w:rPr>
                <w:rFonts w:ascii="宋体" w:hAnsi="宋体" w:cs="宋体" w:eastAsia="宋体" w:hint="default"/>
                <w:spacing w:val="-6"/>
                <w:sz w:val="18"/>
                <w:szCs w:val="18"/>
              </w:rPr>
              <w:t>责任，本人</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本公司将依照相关法</w:t>
            </w:r>
            <w:r>
              <w:rPr>
                <w:rFonts w:ascii="宋体" w:hAnsi="宋体" w:cs="宋体" w:eastAsia="宋体" w:hint="default"/>
                <w:spacing w:val="-80"/>
                <w:sz w:val="18"/>
                <w:szCs w:val="18"/>
              </w:rPr>
              <w:t> </w:t>
            </w:r>
            <w:r>
              <w:rPr>
                <w:rFonts w:ascii="宋体" w:hAnsi="宋体" w:cs="宋体" w:eastAsia="宋体" w:hint="default"/>
                <w:spacing w:val="-3"/>
                <w:sz w:val="18"/>
                <w:szCs w:val="18"/>
              </w:rPr>
              <w:t>律、法规、规章及规范性文件承</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担相应的法律责任。</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15"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316" w:lineRule="auto"/>
              <w:ind w:left="15" w:right="29"/>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13"/>
                <w:sz w:val="18"/>
                <w:szCs w:val="18"/>
              </w:rPr>
              <w:t>告期末，该承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诺事项仍在 严格履行中</w:t>
            </w:r>
          </w:p>
        </w:tc>
      </w:tr>
      <w:tr>
        <w:trPr>
          <w:trHeight w:val="3168"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314" w:lineRule="auto"/>
              <w:ind w:left="15" w:right="59"/>
              <w:jc w:val="both"/>
              <w:rPr>
                <w:rFonts w:ascii="宋体" w:hAnsi="宋体" w:cs="宋体" w:eastAsia="宋体" w:hint="default"/>
                <w:sz w:val="18"/>
                <w:szCs w:val="18"/>
              </w:rPr>
            </w:pPr>
            <w:r>
              <w:rPr>
                <w:rFonts w:ascii="宋体" w:hAnsi="宋体" w:cs="宋体" w:eastAsia="宋体" w:hint="default"/>
                <w:sz w:val="18"/>
                <w:szCs w:val="18"/>
              </w:rPr>
              <w:t>全体董事及 高级管理人 员</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18"/>
              <w:ind w:left="14" w:right="209"/>
              <w:jc w:val="both"/>
              <w:rPr>
                <w:rFonts w:ascii="宋体" w:hAnsi="宋体" w:cs="宋体" w:eastAsia="宋体" w:hint="default"/>
                <w:sz w:val="18"/>
                <w:szCs w:val="18"/>
              </w:rPr>
            </w:pPr>
            <w:r>
              <w:rPr>
                <w:rFonts w:ascii="宋体" w:hAnsi="宋体" w:cs="宋体" w:eastAsia="宋体" w:hint="default"/>
                <w:sz w:val="18"/>
                <w:szCs w:val="18"/>
              </w:rPr>
              <w:t>再融资关于 填补被摊薄 即期回报措 施的承诺</w:t>
            </w: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、本人承诺不无偿或以不公平 条件向其他单位或者个人输送 </w:t>
            </w:r>
            <w:r>
              <w:rPr>
                <w:rFonts w:ascii="宋体" w:hAnsi="宋体" w:cs="宋体" w:eastAsia="宋体" w:hint="default"/>
                <w:spacing w:val="-3"/>
                <w:sz w:val="18"/>
                <w:szCs w:val="18"/>
              </w:rPr>
              <w:t>利益，也不采用其他方式损害公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司利益；</w:t>
            </w:r>
            <w:r>
              <w:rPr>
                <w:rFonts w:ascii="Times New Roman" w:hAnsi="Times New Roman" w:cs="Times New Roman" w:eastAsia="Times New Roman" w:hint="default"/>
                <w:sz w:val="18"/>
                <w:szCs w:val="18"/>
              </w:rPr>
              <w:t>2</w:t>
            </w:r>
            <w:r>
              <w:rPr>
                <w:rFonts w:ascii="宋体" w:hAnsi="宋体" w:cs="宋体" w:eastAsia="宋体" w:hint="default"/>
                <w:sz w:val="18"/>
                <w:szCs w:val="18"/>
              </w:rPr>
              <w:t>、本人承诺对职务消 费行为进行约束；</w:t>
            </w:r>
            <w:r>
              <w:rPr>
                <w:rFonts w:ascii="Times New Roman" w:hAnsi="Times New Roman" w:cs="Times New Roman" w:eastAsia="Times New Roman" w:hint="default"/>
                <w:sz w:val="18"/>
                <w:szCs w:val="18"/>
              </w:rPr>
              <w:t>3</w:t>
            </w:r>
            <w:r>
              <w:rPr>
                <w:rFonts w:ascii="宋体" w:hAnsi="宋体" w:cs="宋体" w:eastAsia="宋体" w:hint="default"/>
                <w:sz w:val="18"/>
                <w:szCs w:val="18"/>
              </w:rPr>
              <w:t>、本人承诺 不动用公司资产从事与其履行</w:t>
            </w:r>
          </w:p>
          <w:p>
            <w:pPr>
              <w:pStyle w:val="TableParagraph"/>
              <w:spacing w:line="304" w:lineRule="auto" w:before="46"/>
              <w:ind w:left="14" w:right="118"/>
              <w:jc w:val="left"/>
              <w:rPr>
                <w:rFonts w:ascii="宋体" w:hAnsi="宋体" w:cs="宋体" w:eastAsia="宋体" w:hint="default"/>
                <w:sz w:val="18"/>
                <w:szCs w:val="18"/>
              </w:rPr>
            </w:pPr>
            <w:r>
              <w:rPr>
                <w:rFonts w:ascii="宋体" w:hAnsi="宋体" w:cs="宋体" w:eastAsia="宋体" w:hint="default"/>
                <w:spacing w:val="-2"/>
                <w:sz w:val="18"/>
                <w:szCs w:val="18"/>
              </w:rPr>
              <w:t>职责无关的投资、消费活动；</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 </w:t>
            </w:r>
            <w:r>
              <w:rPr>
                <w:rFonts w:ascii="宋体" w:hAnsi="宋体" w:cs="宋体" w:eastAsia="宋体" w:hint="default"/>
                <w:sz w:val="18"/>
                <w:szCs w:val="18"/>
              </w:rPr>
              <w:t>本人承诺由董事会或薪酬与考 核委员会制定的薪酬制度与公 司填补回报措施的执行情况相</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p>
            <w:pPr>
              <w:pStyle w:val="TableParagraph"/>
              <w:spacing w:line="240" w:lineRule="auto" w:before="81"/>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无限期</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18"/>
              <w:ind w:left="15" w:right="29"/>
              <w:jc w:val="left"/>
              <w:rPr>
                <w:rFonts w:ascii="宋体" w:hAnsi="宋体" w:cs="宋体" w:eastAsia="宋体" w:hint="default"/>
                <w:sz w:val="18"/>
                <w:szCs w:val="18"/>
              </w:rPr>
            </w:pPr>
            <w:r>
              <w:rPr>
                <w:rFonts w:ascii="宋体" w:hAnsi="宋体" w:cs="宋体" w:eastAsia="宋体" w:hint="default"/>
                <w:sz w:val="18"/>
                <w:szCs w:val="18"/>
              </w:rPr>
              <w:t>截止到本报 </w:t>
            </w:r>
            <w:r>
              <w:rPr>
                <w:rFonts w:ascii="宋体" w:hAnsi="宋体" w:cs="宋体" w:eastAsia="宋体" w:hint="default"/>
                <w:spacing w:val="-13"/>
                <w:sz w:val="18"/>
                <w:szCs w:val="18"/>
              </w:rPr>
              <w:t>告期末，该承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诺事项仍在 严格履行中</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132"/>
        <w:gridCol w:w="992"/>
        <w:gridCol w:w="1141"/>
        <w:gridCol w:w="2553"/>
        <w:gridCol w:w="991"/>
        <w:gridCol w:w="706"/>
        <w:gridCol w:w="1066"/>
      </w:tblGrid>
      <w:tr>
        <w:trPr>
          <w:trHeight w:val="5675" w:hRule="exact"/>
        </w:trPr>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92"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Style w:val="TableParagraph"/>
              <w:spacing w:line="297" w:lineRule="auto" w:before="14"/>
              <w:ind w:left="14" w:right="31"/>
              <w:jc w:val="left"/>
              <w:rPr>
                <w:rFonts w:ascii="宋体" w:hAnsi="宋体" w:cs="宋体" w:eastAsia="宋体" w:hint="default"/>
                <w:sz w:val="18"/>
                <w:szCs w:val="18"/>
              </w:rPr>
            </w:pPr>
            <w:r>
              <w:rPr>
                <w:rFonts w:ascii="宋体" w:hAnsi="宋体" w:cs="宋体" w:eastAsia="宋体" w:hint="default"/>
                <w:sz w:val="18"/>
                <w:szCs w:val="18"/>
              </w:rPr>
              <w:t>挂钩；</w:t>
            </w:r>
            <w:r>
              <w:rPr>
                <w:rFonts w:ascii="Times New Roman" w:hAnsi="Times New Roman" w:cs="Times New Roman" w:eastAsia="Times New Roman" w:hint="default"/>
                <w:sz w:val="18"/>
                <w:szCs w:val="18"/>
              </w:rPr>
              <w:t>5</w:t>
            </w:r>
            <w:r>
              <w:rPr>
                <w:rFonts w:ascii="宋体" w:hAnsi="宋体" w:cs="宋体" w:eastAsia="宋体" w:hint="default"/>
                <w:sz w:val="18"/>
                <w:szCs w:val="18"/>
              </w:rPr>
              <w:t>、若公司后续推出股权 </w:t>
            </w:r>
            <w:r>
              <w:rPr>
                <w:rFonts w:ascii="宋体" w:hAnsi="宋体" w:cs="宋体" w:eastAsia="宋体" w:hint="default"/>
                <w:spacing w:val="-3"/>
                <w:sz w:val="18"/>
                <w:szCs w:val="18"/>
              </w:rPr>
              <w:t>激励政策，本人承诺拟公布的公</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司股权激励的行权条件与公司</w:t>
            </w:r>
          </w:p>
          <w:p>
            <w:pPr>
              <w:pStyle w:val="TableParagraph"/>
              <w:spacing w:line="312" w:lineRule="auto" w:before="36"/>
              <w:ind w:left="14" w:right="31"/>
              <w:jc w:val="left"/>
              <w:rPr>
                <w:rFonts w:ascii="宋体" w:hAnsi="宋体" w:cs="宋体" w:eastAsia="宋体" w:hint="default"/>
                <w:sz w:val="18"/>
                <w:szCs w:val="18"/>
              </w:rPr>
            </w:pPr>
            <w:r>
              <w:rPr>
                <w:rFonts w:ascii="宋体" w:hAnsi="宋体" w:cs="宋体" w:eastAsia="宋体" w:hint="default"/>
                <w:sz w:val="18"/>
                <w:szCs w:val="18"/>
              </w:rPr>
              <w:t>填补回报措施的执行情况相挂 钩；</w:t>
            </w:r>
            <w:r>
              <w:rPr>
                <w:rFonts w:ascii="Times New Roman" w:hAnsi="Times New Roman" w:cs="Times New Roman" w:eastAsia="Times New Roman" w:hint="default"/>
                <w:sz w:val="18"/>
                <w:szCs w:val="18"/>
              </w:rPr>
              <w:t>6</w:t>
            </w:r>
            <w:r>
              <w:rPr>
                <w:rFonts w:ascii="宋体" w:hAnsi="宋体" w:cs="宋体" w:eastAsia="宋体" w:hint="default"/>
                <w:sz w:val="18"/>
                <w:szCs w:val="18"/>
              </w:rPr>
              <w:t>、自本承诺出具日至公司 </w:t>
            </w:r>
            <w:r>
              <w:rPr>
                <w:rFonts w:ascii="宋体" w:hAnsi="宋体" w:cs="宋体" w:eastAsia="宋体" w:hint="default"/>
                <w:spacing w:val="-3"/>
                <w:sz w:val="18"/>
                <w:szCs w:val="18"/>
              </w:rPr>
              <w:t>本次发行实施完毕前，若中国证</w:t>
            </w:r>
          </w:p>
          <w:p>
            <w:pPr>
              <w:pStyle w:val="TableParagraph"/>
              <w:spacing w:line="321" w:lineRule="auto" w:before="10"/>
              <w:ind w:left="14" w:right="2"/>
              <w:jc w:val="left"/>
              <w:rPr>
                <w:rFonts w:ascii="宋体" w:hAnsi="宋体" w:cs="宋体" w:eastAsia="宋体" w:hint="default"/>
                <w:sz w:val="18"/>
                <w:szCs w:val="18"/>
              </w:rPr>
            </w:pPr>
            <w:r>
              <w:rPr>
                <w:rFonts w:ascii="宋体" w:hAnsi="宋体" w:cs="宋体" w:eastAsia="宋体" w:hint="default"/>
                <w:sz w:val="18"/>
                <w:szCs w:val="18"/>
              </w:rPr>
              <w:t>监会作出关于填补回报措施及 其承诺的其他新的监管规定的， 且上述承诺不能满足中国证监 </w:t>
            </w:r>
            <w:r>
              <w:rPr>
                <w:rFonts w:ascii="宋体" w:hAnsi="宋体" w:cs="宋体" w:eastAsia="宋体" w:hint="default"/>
                <w:spacing w:val="-3"/>
                <w:sz w:val="18"/>
                <w:szCs w:val="18"/>
              </w:rPr>
              <w:t>会该等规定时，本人承诺届时将</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按照中国证监会的最新规定出</w:t>
            </w:r>
          </w:p>
          <w:p>
            <w:pPr>
              <w:pStyle w:val="TableParagraph"/>
              <w:spacing w:line="314" w:lineRule="auto" w:before="18"/>
              <w:ind w:left="14" w:right="31"/>
              <w:jc w:val="left"/>
              <w:rPr>
                <w:rFonts w:ascii="宋体" w:hAnsi="宋体" w:cs="宋体" w:eastAsia="宋体" w:hint="default"/>
                <w:sz w:val="18"/>
                <w:szCs w:val="18"/>
              </w:rPr>
            </w:pPr>
            <w:r>
              <w:rPr>
                <w:rFonts w:ascii="宋体" w:hAnsi="宋体" w:cs="宋体" w:eastAsia="宋体" w:hint="default"/>
                <w:sz w:val="18"/>
                <w:szCs w:val="18"/>
              </w:rPr>
              <w:t>具补充承诺；</w:t>
            </w:r>
            <w:r>
              <w:rPr>
                <w:rFonts w:ascii="Times New Roman" w:hAnsi="Times New Roman" w:cs="Times New Roman" w:eastAsia="Times New Roman" w:hint="default"/>
                <w:sz w:val="18"/>
                <w:szCs w:val="18"/>
              </w:rPr>
              <w:t>7</w:t>
            </w:r>
            <w:r>
              <w:rPr>
                <w:rFonts w:ascii="宋体" w:hAnsi="宋体" w:cs="宋体" w:eastAsia="宋体" w:hint="default"/>
                <w:sz w:val="18"/>
                <w:szCs w:val="18"/>
              </w:rPr>
              <w:t>、本人承诺切实 履行公司制定的有关填补回报 措施以及对此作出的任何有关 </w:t>
            </w:r>
            <w:r>
              <w:rPr>
                <w:rFonts w:ascii="宋体" w:hAnsi="宋体" w:cs="宋体" w:eastAsia="宋体" w:hint="default"/>
                <w:spacing w:val="-3"/>
                <w:sz w:val="18"/>
                <w:szCs w:val="18"/>
              </w:rPr>
              <w:t>填补回报措施的承诺，若违反该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等承诺并给公司或者投资者造 </w:t>
            </w:r>
            <w:r>
              <w:rPr>
                <w:rFonts w:ascii="宋体" w:hAnsi="宋体" w:cs="宋体" w:eastAsia="宋体" w:hint="default"/>
                <w:spacing w:val="-3"/>
                <w:sz w:val="18"/>
                <w:szCs w:val="18"/>
              </w:rPr>
              <w:t>成损失的，本人愿意依法承担对</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公司或者投资者的补偿责任。</w:t>
            </w:r>
          </w:p>
        </w:tc>
        <w:tc>
          <w:tcPr>
            <w:tcW w:w="99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992"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20"/>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992" w:type="dxa"/>
            <w:tcBorders>
              <w:top w:val="single" w:sz="6" w:space="0" w:color="000000"/>
              <w:left w:val="single" w:sz="6" w:space="0" w:color="000000"/>
              <w:bottom w:val="single" w:sz="6" w:space="0" w:color="000000"/>
              <w:right w:val="single" w:sz="6" w:space="0" w:color="000000"/>
            </w:tcBorders>
          </w:tcPr>
          <w:p>
            <w:pPr/>
          </w:p>
        </w:tc>
        <w:tc>
          <w:tcPr>
            <w:tcW w:w="1141" w:type="dxa"/>
            <w:tcBorders>
              <w:top w:val="single" w:sz="6" w:space="0" w:color="000000"/>
              <w:left w:val="single" w:sz="6" w:space="0" w:color="000000"/>
              <w:bottom w:val="single" w:sz="6" w:space="0" w:color="000000"/>
              <w:right w:val="single" w:sz="6" w:space="0" w:color="000000"/>
            </w:tcBorders>
          </w:tcPr>
          <w:p>
            <w:pPr/>
          </w:p>
        </w:tc>
        <w:tc>
          <w:tcPr>
            <w:tcW w:w="2553" w:type="dxa"/>
            <w:tcBorders>
              <w:top w:val="single" w:sz="6" w:space="0" w:color="000000"/>
              <w:left w:val="single" w:sz="6" w:space="0" w:color="000000"/>
              <w:bottom w:val="single" w:sz="6" w:space="0" w:color="000000"/>
              <w:right w:val="single" w:sz="6" w:space="0" w:color="000000"/>
            </w:tcBorders>
          </w:tcPr>
          <w:p>
            <w:pPr/>
          </w:p>
        </w:tc>
        <w:tc>
          <w:tcPr>
            <w:tcW w:w="991"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449" w:type="dxa"/>
            <w:gridSpan w:val="6"/>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7"/>
        <w:rPr>
          <w:rFonts w:ascii="Times New Roman" w:hAnsi="Times New Roman" w:cs="Times New Roman" w:eastAsia="Times New Roman" w:hint="default"/>
          <w:sz w:val="22"/>
          <w:szCs w:val="22"/>
        </w:rPr>
      </w:pPr>
    </w:p>
    <w:p>
      <w:pPr>
        <w:pStyle w:val="Heading5"/>
        <w:spacing w:line="286" w:lineRule="exact" w:before="51"/>
        <w:ind w:right="0"/>
        <w:jc w:val="left"/>
        <w:rPr>
          <w:b w:val="0"/>
          <w:bCs w:val="0"/>
        </w:rPr>
      </w:pPr>
      <w:bookmarkStart w:name="2、公司资产或项目存在盈利预测，且报告期仍处在盈利预测期间，公司就资产或项目达到" w:id="65"/>
      <w:bookmarkEnd w:id="65"/>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53"/>
        </w:rPr>
        <w:t> </w:t>
      </w:r>
      <w:r>
        <w:rPr>
          <w:spacing w:val="-53"/>
        </w:rPr>
      </w:r>
      <w:r>
        <w:rPr/>
        <w:t>其原因做出说明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四、控股股东及其关联方对上市公司的非经营性占用资金情况" w:id="66"/>
      <w:bookmarkEnd w:id="66"/>
      <w:r>
        <w:rPr>
          <w:b w:val="0"/>
          <w:bCs w:val="0"/>
        </w:rPr>
      </w:r>
      <w:r>
        <w:rPr/>
        <w:t>四、控股股东及其关联方对上市公司的非经营性占用资金情况</w:t>
      </w:r>
      <w:r>
        <w:rPr>
          <w:b w:val="0"/>
          <w:bCs w:val="0"/>
        </w:rPr>
      </w:r>
    </w:p>
    <w:p>
      <w:pPr>
        <w:spacing w:line="240" w:lineRule="auto" w:before="1"/>
        <w:rPr>
          <w:rFonts w:ascii="宋体" w:hAnsi="宋体" w:cs="宋体" w:eastAsia="宋体" w:hint="default"/>
          <w:b/>
          <w:bCs/>
          <w:sz w:val="26"/>
          <w:szCs w:val="26"/>
        </w:rPr>
      </w:pPr>
    </w:p>
    <w:p>
      <w:pPr>
        <w:pStyle w:val="BodyText"/>
        <w:spacing w:line="333" w:lineRule="auto"/>
        <w:ind w:right="49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公司报告期不存在控股股东及其关联方对上市公司的非经营性占用资金。</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9"/>
        <w:rPr>
          <w:rFonts w:ascii="宋体" w:hAnsi="宋体" w:cs="宋体" w:eastAsia="宋体" w:hint="default"/>
          <w:b/>
          <w:bCs/>
          <w:sz w:val="24"/>
          <w:szCs w:val="24"/>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六、与上年度财务报告相比，会计政策、会计估计和核算方法发生变化的情况说明" w:id="68"/>
      <w:bookmarkEnd w:id="68"/>
      <w:r>
        <w:rPr>
          <w:b w:val="0"/>
          <w:bCs w:val="0"/>
        </w:rPr>
      </w:r>
      <w:r>
        <w:rPr/>
        <w:t>六、与上年度财务报告相比，会计政策、会计估计和核算方法发生变化的情况说明</w:t>
      </w:r>
      <w:r>
        <w:rPr>
          <w:b w:val="0"/>
          <w:bCs w:val="0"/>
        </w:rPr>
      </w:r>
    </w:p>
    <w:p>
      <w:pPr>
        <w:spacing w:line="240" w:lineRule="auto" w:before="1"/>
        <w:rPr>
          <w:rFonts w:ascii="宋体" w:hAnsi="宋体" w:cs="宋体" w:eastAsia="宋体" w:hint="default"/>
          <w:b/>
          <w:bCs/>
          <w:sz w:val="26"/>
          <w:szCs w:val="26"/>
        </w:rPr>
      </w:pPr>
    </w:p>
    <w:p>
      <w:pPr>
        <w:pStyle w:val="BodyText"/>
        <w:spacing w:line="319" w:lineRule="auto"/>
        <w:ind w:right="35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与上年度财务报告相比，本集团发生以下会计政策变更，会计估计和核算方法未发生变化。</w:t>
      </w:r>
    </w:p>
    <w:p>
      <w:pPr>
        <w:spacing w:line="240" w:lineRule="auto" w:before="12"/>
        <w:rPr>
          <w:rFonts w:ascii="宋体" w:hAnsi="宋体" w:cs="宋体" w:eastAsia="宋体" w:hint="default"/>
          <w:sz w:val="25"/>
          <w:szCs w:val="25"/>
        </w:rPr>
      </w:pPr>
    </w:p>
    <w:p>
      <w:pPr>
        <w:pStyle w:val="Heading7"/>
        <w:spacing w:line="240" w:lineRule="auto"/>
        <w:ind w:left="561" w:right="0" w:firstLine="0"/>
        <w:jc w:val="left"/>
      </w:pPr>
      <w:r>
        <w:rPr>
          <w:spacing w:val="4"/>
          <w:w w:val="105"/>
        </w:rPr>
        <w:t>新金融工具准则：</w:t>
      </w:r>
      <w:r>
        <w:rPr>
          <w:rFonts w:ascii="Times New Roman" w:hAnsi="Times New Roman" w:cs="Times New Roman" w:eastAsia="Times New Roman" w:hint="default"/>
          <w:spacing w:val="4"/>
          <w:w w:val="105"/>
        </w:rPr>
        <w:t>2017</w:t>
      </w:r>
      <w:r>
        <w:rPr>
          <w:spacing w:val="4"/>
          <w:w w:val="105"/>
        </w:rPr>
        <w:t>年，财政部颁布了修订的《企业会计准则第</w:t>
      </w:r>
      <w:r>
        <w:rPr>
          <w:rFonts w:ascii="Times New Roman" w:hAnsi="Times New Roman" w:cs="Times New Roman" w:eastAsia="Times New Roman" w:hint="default"/>
          <w:spacing w:val="4"/>
          <w:w w:val="105"/>
        </w:rPr>
        <w:t>22</w:t>
      </w:r>
      <w:r>
        <w:rPr>
          <w:spacing w:val="4"/>
          <w:w w:val="105"/>
        </w:rPr>
        <w:t>号</w:t>
      </w:r>
      <w:r>
        <w:rPr>
          <w:rFonts w:ascii="Times New Roman" w:hAnsi="Times New Roman" w:cs="Times New Roman" w:eastAsia="Times New Roman" w:hint="default"/>
          <w:spacing w:val="4"/>
          <w:w w:val="105"/>
        </w:rPr>
        <w:t>——</w:t>
      </w:r>
      <w:r>
        <w:rPr>
          <w:spacing w:val="4"/>
          <w:w w:val="105"/>
        </w:rPr>
        <w:t>金融工具确认和计量》、《企</w:t>
      </w:r>
      <w:r>
        <w:rPr>
          <w:spacing w:val="4"/>
        </w:rPr>
      </w:r>
    </w:p>
    <w:p>
      <w:pPr>
        <w:spacing w:after="0" w:line="240" w:lineRule="auto"/>
        <w:jc w:val="lef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7"/>
        <w:spacing w:line="292" w:lineRule="auto" w:before="45"/>
        <w:ind w:right="0" w:firstLine="0"/>
        <w:jc w:val="left"/>
      </w:pPr>
      <w:r>
        <w:rPr/>
        <w:t>业会计准则第</w:t>
      </w:r>
      <w:r>
        <w:rPr>
          <w:rFonts w:ascii="Times New Roman" w:hAnsi="Times New Roman" w:cs="Times New Roman" w:eastAsia="Times New Roman" w:hint="default"/>
        </w:rPr>
        <w:t>23</w:t>
      </w:r>
      <w:r>
        <w:rPr/>
        <w:t>号</w:t>
      </w:r>
      <w:r>
        <w:rPr>
          <w:rFonts w:ascii="Times New Roman" w:hAnsi="Times New Roman" w:cs="Times New Roman" w:eastAsia="Times New Roman" w:hint="default"/>
        </w:rPr>
        <w:t>——</w:t>
      </w:r>
      <w:r>
        <w:rPr/>
        <w:t>金融资产转移》、《企业会计准则第 </w:t>
      </w:r>
      <w:r>
        <w:rPr>
          <w:rFonts w:ascii="Times New Roman" w:hAnsi="Times New Roman" w:cs="Times New Roman" w:eastAsia="Times New Roman" w:hint="default"/>
        </w:rPr>
        <w:t>24</w:t>
      </w:r>
      <w:r>
        <w:rPr/>
        <w:t>号</w:t>
      </w:r>
      <w:r>
        <w:rPr>
          <w:rFonts w:ascii="Times New Roman" w:hAnsi="Times New Roman" w:cs="Times New Roman" w:eastAsia="Times New Roman" w:hint="default"/>
        </w:rPr>
        <w:t>——</w:t>
      </w:r>
      <w:r>
        <w:rPr/>
        <w:t>套期保值》以及《企业会计准则第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rFonts w:ascii="Times New Roman" w:hAnsi="Times New Roman" w:cs="Times New Roman" w:eastAsia="Times New Roman" w:hint="default"/>
          <w:spacing w:val="34"/>
        </w:rPr>
        <w:t> </w:t>
      </w:r>
      <w:r>
        <w:rPr>
          <w:spacing w:val="3"/>
        </w:rPr>
        <w:t>金融工具列报》（统称</w:t>
      </w:r>
      <w:r>
        <w:rPr>
          <w:rFonts w:ascii="Times New Roman" w:hAnsi="Times New Roman" w:cs="Times New Roman" w:eastAsia="Times New Roman" w:hint="default"/>
          <w:spacing w:val="3"/>
        </w:rPr>
        <w:t>“ </w:t>
      </w:r>
      <w:r>
        <w:rPr>
          <w:spacing w:val="5"/>
        </w:rPr>
        <w:t>新金融工具准则</w:t>
      </w:r>
      <w:r>
        <w:rPr>
          <w:rFonts w:ascii="Times New Roman" w:hAnsi="Times New Roman" w:cs="Times New Roman" w:eastAsia="Times New Roman" w:hint="default"/>
          <w:spacing w:val="5"/>
        </w:rPr>
        <w:t>”</w:t>
      </w:r>
      <w:r>
        <w:rPr>
          <w:spacing w:val="5"/>
        </w:rPr>
        <w:t>）。本集团自</w:t>
      </w:r>
      <w:r>
        <w:rPr>
          <w:rFonts w:ascii="Times New Roman" w:hAnsi="Times New Roman" w:cs="Times New Roman" w:eastAsia="Times New Roman" w:hint="default"/>
          <w:spacing w:val="5"/>
        </w:rPr>
        <w:t>2019</w:t>
      </w:r>
      <w:r>
        <w:rPr>
          <w:spacing w:val="5"/>
        </w:rPr>
        <w:t>年</w:t>
      </w:r>
      <w:r>
        <w:rPr>
          <w:rFonts w:ascii="Times New Roman" w:hAnsi="Times New Roman" w:cs="Times New Roman" w:eastAsia="Times New Roman" w:hint="default"/>
          <w:spacing w:val="5"/>
        </w:rPr>
        <w:t>1</w:t>
      </w:r>
      <w:r>
        <w:rPr>
          <w:spacing w:val="5"/>
        </w:rPr>
        <w:t>月</w:t>
      </w:r>
      <w:r>
        <w:rPr>
          <w:rFonts w:ascii="Times New Roman" w:hAnsi="Times New Roman" w:cs="Times New Roman" w:eastAsia="Times New Roman" w:hint="default"/>
          <w:spacing w:val="5"/>
        </w:rPr>
        <w:t>1</w:t>
      </w:r>
      <w:r>
        <w:rPr>
          <w:spacing w:val="5"/>
        </w:rPr>
        <w:t>日开始按照新金融工具准则进行会计处理，</w:t>
      </w:r>
      <w:r>
        <w:rPr>
          <w:spacing w:val="46"/>
        </w:rPr>
        <w:t> </w:t>
      </w:r>
      <w:r>
        <w:rPr>
          <w:spacing w:val="46"/>
        </w:rPr>
      </w:r>
      <w:r>
        <w:rPr>
          <w:spacing w:val="5"/>
        </w:rPr>
        <w:t>根据衔接规定，对可比期间信息不予调整，首日执行新准则与现行准则的差异追溯调整 </w:t>
      </w:r>
      <w:r>
        <w:rPr>
          <w:rFonts w:ascii="Times New Roman" w:hAnsi="Times New Roman" w:cs="Times New Roman" w:eastAsia="Times New Roman" w:hint="default"/>
          <w:spacing w:val="3"/>
        </w:rPr>
        <w:t>2019</w:t>
      </w:r>
      <w:r>
        <w:rPr>
          <w:spacing w:val="3"/>
        </w:rPr>
        <w:t>年年初未分配利润</w:t>
      </w:r>
      <w:r>
        <w:rPr>
          <w:spacing w:val="93"/>
        </w:rPr>
        <w:t> </w:t>
      </w:r>
      <w:r>
        <w:rPr>
          <w:spacing w:val="93"/>
        </w:rPr>
      </w:r>
      <w:r>
        <w:rPr>
          <w:spacing w:val="3"/>
        </w:rPr>
        <w:t>或其他综合收益。新金融工具准则改变了金融资产的分类和计量方式，确定了三个主要的计量类别：摊余成本；</w:t>
      </w:r>
      <w:r>
        <w:rPr>
          <w:spacing w:val="84"/>
        </w:rPr>
        <w:t> </w:t>
      </w:r>
      <w:r>
        <w:rPr>
          <w:spacing w:val="84"/>
        </w:rPr>
      </w:r>
      <w:r>
        <w:rPr>
          <w:spacing w:val="5"/>
        </w:rPr>
        <w:t>以公允价值计量且其变动计入其他综合收益；以公允价值计量且其变动计入当期损益。企业需考虑自身业务模</w:t>
      </w:r>
      <w:r>
        <w:rPr>
          <w:spacing w:val="74"/>
        </w:rPr>
        <w:t> </w:t>
      </w:r>
      <w:r>
        <w:rPr>
          <w:spacing w:val="74"/>
        </w:rPr>
      </w:r>
      <w:r>
        <w:rPr>
          <w:spacing w:val="4"/>
          <w:w w:val="105"/>
        </w:rPr>
        <w:t>式，以及金融资产的合同现金流特征进行上述分类。</w:t>
      </w:r>
      <w:r>
        <w:rPr>
          <w:spacing w:val="4"/>
        </w:rPr>
      </w:r>
    </w:p>
    <w:p>
      <w:pPr>
        <w:spacing w:line="240" w:lineRule="auto" w:before="13"/>
        <w:rPr>
          <w:rFonts w:ascii="宋体" w:hAnsi="宋体" w:cs="宋体" w:eastAsia="宋体" w:hint="default"/>
          <w:sz w:val="25"/>
          <w:szCs w:val="25"/>
        </w:rPr>
      </w:pPr>
    </w:p>
    <w:p>
      <w:pPr>
        <w:pStyle w:val="Heading7"/>
        <w:spacing w:line="285" w:lineRule="auto"/>
        <w:ind w:right="1111"/>
        <w:jc w:val="both"/>
      </w:pPr>
      <w:r>
        <w:rPr>
          <w:spacing w:val="3"/>
        </w:rPr>
        <w:t>财务报表列报方式变更：根据《关于修订印发</w:t>
      </w:r>
      <w:r>
        <w:rPr>
          <w:rFonts w:ascii="Times New Roman" w:hAnsi="Times New Roman" w:cs="Times New Roman" w:eastAsia="Times New Roman" w:hint="default"/>
          <w:spacing w:val="3"/>
        </w:rPr>
        <w:t>2019</w:t>
      </w:r>
      <w:r>
        <w:rPr>
          <w:spacing w:val="3"/>
        </w:rPr>
        <w:t>年度一般企业财务报表格式的通知》（财会</w:t>
      </w:r>
      <w:r>
        <w:rPr>
          <w:rFonts w:ascii="Times New Roman" w:hAnsi="Times New Roman" w:cs="Times New Roman" w:eastAsia="Times New Roman" w:hint="default"/>
          <w:spacing w:val="3"/>
        </w:rPr>
        <w:t>[2019]6</w:t>
      </w:r>
      <w:r>
        <w:rPr>
          <w:spacing w:val="3"/>
        </w:rPr>
        <w:t>号）</w:t>
      </w:r>
      <w:r>
        <w:rPr>
          <w:w w:val="102"/>
        </w:rPr>
        <w:t> </w:t>
      </w:r>
      <w:r>
        <w:rPr>
          <w:spacing w:val="4"/>
        </w:rPr>
        <w:t>和《关于修订印发合并财务报表格式（ </w:t>
      </w:r>
      <w:r>
        <w:rPr>
          <w:rFonts w:ascii="Times New Roman" w:hAnsi="Times New Roman" w:cs="Times New Roman" w:eastAsia="Times New Roman" w:hint="default"/>
          <w:spacing w:val="3"/>
        </w:rPr>
        <w:t>2019</w:t>
      </w:r>
      <w:r>
        <w:rPr>
          <w:spacing w:val="3"/>
        </w:rPr>
        <w:t>版）的通知》（财会</w:t>
      </w:r>
      <w:r>
        <w:rPr>
          <w:rFonts w:ascii="Times New Roman" w:hAnsi="Times New Roman" w:cs="Times New Roman" w:eastAsia="Times New Roman" w:hint="default"/>
          <w:spacing w:val="3"/>
        </w:rPr>
        <w:t>[2019]16</w:t>
      </w:r>
      <w:r>
        <w:rPr>
          <w:spacing w:val="3"/>
        </w:rPr>
        <w:t>号）要求，，资产负债表中，</w:t>
      </w:r>
      <w:r>
        <w:rPr>
          <w:rFonts w:ascii="Times New Roman" w:hAnsi="Times New Roman" w:cs="Times New Roman" w:eastAsia="Times New Roman" w:hint="default"/>
          <w:spacing w:val="3"/>
        </w:rPr>
        <w:t>“</w:t>
      </w:r>
      <w:r>
        <w:rPr>
          <w:spacing w:val="3"/>
        </w:rPr>
        <w:t>应收票</w:t>
      </w:r>
      <w:r>
        <w:rPr>
          <w:spacing w:val="16"/>
        </w:rPr>
        <w:t> </w:t>
      </w:r>
      <w:r>
        <w:rPr>
          <w:spacing w:val="16"/>
        </w:rPr>
      </w:r>
      <w:r>
        <w:rPr>
          <w:spacing w:val="4"/>
        </w:rPr>
        <w:t>据及应收账款</w:t>
      </w:r>
      <w:r>
        <w:rPr>
          <w:rFonts w:ascii="Times New Roman" w:hAnsi="Times New Roman" w:cs="Times New Roman" w:eastAsia="Times New Roman" w:hint="default"/>
          <w:spacing w:val="4"/>
        </w:rPr>
        <w:t>” </w:t>
      </w:r>
      <w:r>
        <w:rPr>
          <w:spacing w:val="4"/>
        </w:rPr>
        <w:t>项目分拆为</w:t>
      </w:r>
      <w:r>
        <w:rPr>
          <w:rFonts w:ascii="Times New Roman" w:hAnsi="Times New Roman" w:cs="Times New Roman" w:eastAsia="Times New Roman" w:hint="default"/>
          <w:spacing w:val="4"/>
        </w:rPr>
        <w:t>“ </w:t>
      </w:r>
      <w:r>
        <w:rPr>
          <w:spacing w:val="2"/>
        </w:rPr>
        <w:t>应收票据</w:t>
      </w:r>
      <w:r>
        <w:rPr>
          <w:rFonts w:ascii="Times New Roman" w:hAnsi="Times New Roman" w:cs="Times New Roman" w:eastAsia="Times New Roman" w:hint="default"/>
          <w:spacing w:val="2"/>
        </w:rPr>
        <w:t>” </w:t>
      </w:r>
      <w:r>
        <w:rPr/>
        <w:t>及</w:t>
      </w:r>
      <w:r>
        <w:rPr>
          <w:rFonts w:ascii="Times New Roman" w:hAnsi="Times New Roman" w:cs="Times New Roman" w:eastAsia="Times New Roman" w:hint="default"/>
        </w:rPr>
        <w:t>“ </w:t>
      </w:r>
      <w:r>
        <w:rPr>
          <w:spacing w:val="6"/>
        </w:rPr>
        <w:t>应收账款</w:t>
      </w:r>
      <w:r>
        <w:rPr>
          <w:rFonts w:ascii="Times New Roman" w:hAnsi="Times New Roman" w:cs="Times New Roman" w:eastAsia="Times New Roman" w:hint="default"/>
          <w:spacing w:val="6"/>
        </w:rPr>
        <w:t>”</w:t>
      </w:r>
      <w:r>
        <w:rPr>
          <w:spacing w:val="6"/>
        </w:rPr>
        <w:t>，</w:t>
      </w:r>
      <w:r>
        <w:rPr>
          <w:rFonts w:ascii="Times New Roman" w:hAnsi="Times New Roman" w:cs="Times New Roman" w:eastAsia="Times New Roman" w:hint="default"/>
          <w:spacing w:val="6"/>
        </w:rPr>
        <w:t>“</w:t>
      </w:r>
      <w:r>
        <w:rPr>
          <w:spacing w:val="6"/>
        </w:rPr>
        <w:t>应付票据及应付账款</w:t>
      </w:r>
      <w:r>
        <w:rPr>
          <w:rFonts w:ascii="Times New Roman" w:hAnsi="Times New Roman" w:cs="Times New Roman" w:eastAsia="Times New Roman" w:hint="default"/>
          <w:spacing w:val="6"/>
        </w:rPr>
        <w:t>”</w:t>
      </w:r>
      <w:r>
        <w:rPr>
          <w:spacing w:val="6"/>
        </w:rPr>
        <w:t>项目分拆为</w:t>
      </w:r>
      <w:r>
        <w:rPr>
          <w:rFonts w:ascii="Times New Roman" w:hAnsi="Times New Roman" w:cs="Times New Roman" w:eastAsia="Times New Roman" w:hint="default"/>
          <w:spacing w:val="6"/>
        </w:rPr>
        <w:t>“</w:t>
      </w:r>
      <w:r>
        <w:rPr>
          <w:spacing w:val="6"/>
        </w:rPr>
        <w:t>应付票据</w:t>
      </w:r>
      <w:r>
        <w:rPr>
          <w:rFonts w:ascii="Times New Roman" w:hAnsi="Times New Roman" w:cs="Times New Roman" w:eastAsia="Times New Roman" w:hint="default"/>
          <w:spacing w:val="6"/>
        </w:rPr>
        <w:t>”</w:t>
      </w:r>
      <w:r>
        <w:rPr>
          <w:spacing w:val="6"/>
        </w:rPr>
        <w:t>及</w:t>
      </w:r>
      <w:r>
        <w:rPr>
          <w:rFonts w:ascii="Times New Roman" w:hAnsi="Times New Roman" w:cs="Times New Roman" w:eastAsia="Times New Roman" w:hint="default"/>
          <w:spacing w:val="6"/>
        </w:rPr>
        <w:t>“ </w:t>
      </w:r>
      <w:r>
        <w:rPr>
          <w:spacing w:val="4"/>
        </w:rPr>
        <w:t>应付账</w:t>
      </w:r>
      <w:r>
        <w:rPr>
          <w:spacing w:val="10"/>
        </w:rPr>
        <w:t> </w:t>
      </w:r>
      <w:r>
        <w:rPr>
          <w:spacing w:val="10"/>
        </w:rPr>
      </w:r>
      <w:r>
        <w:rPr>
          <w:spacing w:val="2"/>
        </w:rPr>
        <w:t>款</w:t>
      </w:r>
      <w:r>
        <w:rPr>
          <w:rFonts w:ascii="Times New Roman" w:hAnsi="Times New Roman" w:cs="Times New Roman" w:eastAsia="Times New Roman" w:hint="default"/>
          <w:spacing w:val="2"/>
        </w:rPr>
        <w:t>”</w:t>
      </w:r>
      <w:r>
        <w:rPr>
          <w:spacing w:val="2"/>
        </w:rPr>
        <w:t>。此外，随本年新金融工具准则的执行，按照《关于修订印发 </w:t>
      </w:r>
      <w:r>
        <w:rPr>
          <w:rFonts w:ascii="Times New Roman" w:hAnsi="Times New Roman" w:cs="Times New Roman" w:eastAsia="Times New Roman" w:hint="default"/>
          <w:spacing w:val="3"/>
        </w:rPr>
        <w:t>2019</w:t>
      </w:r>
      <w:r>
        <w:rPr>
          <w:spacing w:val="3"/>
        </w:rPr>
        <w:t>年度一般企业财务报表格式的通知》（财</w:t>
      </w:r>
      <w:r>
        <w:rPr>
          <w:spacing w:val="14"/>
        </w:rPr>
        <w:t> </w:t>
      </w:r>
      <w:r>
        <w:rPr>
          <w:spacing w:val="14"/>
        </w:rPr>
      </w:r>
      <w:r>
        <w:rPr>
          <w:spacing w:val="3"/>
        </w:rPr>
        <w:t>会</w:t>
      </w:r>
      <w:r>
        <w:rPr>
          <w:rFonts w:ascii="Times New Roman" w:hAnsi="Times New Roman" w:cs="Times New Roman" w:eastAsia="Times New Roman" w:hint="default"/>
          <w:spacing w:val="3"/>
        </w:rPr>
        <w:t>[2019]6</w:t>
      </w:r>
      <w:r>
        <w:rPr>
          <w:spacing w:val="3"/>
        </w:rPr>
        <w:t>号）要求，</w:t>
      </w:r>
      <w:r>
        <w:rPr>
          <w:rFonts w:ascii="Times New Roman" w:hAnsi="Times New Roman" w:cs="Times New Roman" w:eastAsia="Times New Roman" w:hint="default"/>
          <w:spacing w:val="3"/>
        </w:rPr>
        <w:t>“</w:t>
      </w:r>
      <w:r>
        <w:rPr>
          <w:spacing w:val="3"/>
        </w:rPr>
        <w:t>其他应收款</w:t>
      </w:r>
      <w:r>
        <w:rPr>
          <w:rFonts w:ascii="Times New Roman" w:hAnsi="Times New Roman" w:cs="Times New Roman" w:eastAsia="Times New Roman" w:hint="default"/>
          <w:spacing w:val="3"/>
        </w:rPr>
        <w:t>”</w:t>
      </w:r>
      <w:r>
        <w:rPr>
          <w:spacing w:val="3"/>
        </w:rPr>
        <w:t>项目中的</w:t>
      </w:r>
      <w:r>
        <w:rPr>
          <w:rFonts w:ascii="Times New Roman" w:hAnsi="Times New Roman" w:cs="Times New Roman" w:eastAsia="Times New Roman" w:hint="default"/>
          <w:spacing w:val="3"/>
        </w:rPr>
        <w:t>“ </w:t>
      </w:r>
      <w:r>
        <w:rPr>
          <w:spacing w:val="5"/>
        </w:rPr>
        <w:t>应收利息</w:t>
      </w:r>
      <w:r>
        <w:rPr>
          <w:rFonts w:ascii="Times New Roman" w:hAnsi="Times New Roman" w:cs="Times New Roman" w:eastAsia="Times New Roman" w:hint="default"/>
          <w:spacing w:val="5"/>
        </w:rPr>
        <w:t>”</w:t>
      </w:r>
      <w:r>
        <w:rPr>
          <w:spacing w:val="5"/>
        </w:rPr>
        <w:t>改为仅反映相关金融工具已到期可收取但于资产负债表</w:t>
      </w:r>
      <w:r>
        <w:rPr>
          <w:spacing w:val="101"/>
        </w:rPr>
        <w:t> </w:t>
      </w:r>
      <w:r>
        <w:rPr>
          <w:spacing w:val="101"/>
        </w:rPr>
      </w:r>
      <w:r>
        <w:rPr/>
        <w:t>日尚未收到的利息（基于实际利率法计提的金融工具的利息包含在相应金融工具的账面余额中），</w:t>
      </w:r>
      <w:r>
        <w:rPr>
          <w:rFonts w:ascii="Times New Roman" w:hAnsi="Times New Roman" w:cs="Times New Roman" w:eastAsia="Times New Roman" w:hint="default"/>
        </w:rPr>
        <w:t>“ </w:t>
      </w:r>
      <w:r>
        <w:rPr>
          <w:spacing w:val="2"/>
        </w:rPr>
        <w:t>其他应付款</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41"/>
        </w:rPr>
        <w:t> </w:t>
      </w:r>
      <w:r>
        <w:rPr>
          <w:spacing w:val="3"/>
        </w:rPr>
        <w:t>项目中的</w:t>
      </w:r>
      <w:r>
        <w:rPr>
          <w:rFonts w:ascii="Times New Roman" w:hAnsi="Times New Roman" w:cs="Times New Roman" w:eastAsia="Times New Roman" w:hint="default"/>
          <w:spacing w:val="3"/>
        </w:rPr>
        <w:t>“</w:t>
      </w:r>
      <w:r>
        <w:rPr>
          <w:spacing w:val="3"/>
        </w:rPr>
        <w:t>应付利息</w:t>
      </w:r>
      <w:r>
        <w:rPr>
          <w:rFonts w:ascii="Times New Roman" w:hAnsi="Times New Roman" w:cs="Times New Roman" w:eastAsia="Times New Roman" w:hint="default"/>
          <w:spacing w:val="3"/>
        </w:rPr>
        <w:t>” </w:t>
      </w:r>
      <w:r>
        <w:rPr>
          <w:spacing w:val="5"/>
        </w:rPr>
        <w:t>改为仅反映相关金融工具已到期应支付但于资产负债表日尚未支付的利息（基于实际利率</w:t>
      </w:r>
      <w:r>
        <w:rPr>
          <w:spacing w:val="59"/>
        </w:rPr>
        <w:t> </w:t>
      </w:r>
      <w:r>
        <w:rPr>
          <w:spacing w:val="59"/>
        </w:rPr>
      </w:r>
      <w:r>
        <w:rPr>
          <w:spacing w:val="5"/>
        </w:rPr>
        <w:t>法计提的金融工具的利息包含在相应金融工具的账面余额中），参照新金融工具准则的衔接规定不追溯调整比</w:t>
      </w:r>
      <w:r>
        <w:rPr>
          <w:spacing w:val="74"/>
        </w:rPr>
        <w:t> </w:t>
      </w:r>
      <w:r>
        <w:rPr>
          <w:spacing w:val="74"/>
        </w:rPr>
      </w:r>
      <w:r>
        <w:rPr>
          <w:w w:val="105"/>
        </w:rPr>
        <w:t>较数据。</w:t>
      </w:r>
      <w:r>
        <w:rPr/>
      </w:r>
    </w:p>
    <w:p>
      <w:pPr>
        <w:spacing w:line="240" w:lineRule="auto" w:before="4"/>
        <w:rPr>
          <w:rFonts w:ascii="宋体" w:hAnsi="宋体" w:cs="宋体" w:eastAsia="宋体" w:hint="default"/>
          <w:sz w:val="27"/>
          <w:szCs w:val="27"/>
        </w:rPr>
      </w:pPr>
    </w:p>
    <w:p>
      <w:pPr>
        <w:pStyle w:val="BodyText"/>
        <w:spacing w:line="240" w:lineRule="auto"/>
        <w:ind w:right="0"/>
        <w:jc w:val="left"/>
      </w:pPr>
      <w:r>
        <w:rPr/>
        <w:t>关于会计政策变更详细情况请参见第十二节财务报告、五、</w:t>
      </w:r>
      <w:r>
        <w:rPr>
          <w:rFonts w:ascii="Times New Roman" w:hAnsi="Times New Roman" w:cs="Times New Roman" w:eastAsia="Times New Roman" w:hint="default"/>
        </w:rPr>
        <w:t>27</w:t>
      </w:r>
      <w:r>
        <w:rPr/>
        <w:t>。</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七、报告期内发生重大会计差错更正需追溯重述的情况说明" w:id="69"/>
      <w:bookmarkEnd w:id="69"/>
      <w:r>
        <w:rPr>
          <w:b w:val="0"/>
          <w:bCs w:val="0"/>
        </w:rPr>
      </w:r>
      <w:r>
        <w:rPr/>
        <w:t>七、报告期内发生重大会计差错更正需追溯重述的情况说明</w:t>
      </w:r>
      <w:r>
        <w:rPr>
          <w:b w:val="0"/>
          <w:bCs w:val="0"/>
        </w:rPr>
      </w:r>
    </w:p>
    <w:p>
      <w:pPr>
        <w:spacing w:line="240" w:lineRule="auto" w:before="3"/>
        <w:rPr>
          <w:rFonts w:ascii="宋体" w:hAnsi="宋体" w:cs="宋体" w:eastAsia="宋体" w:hint="default"/>
          <w:b/>
          <w:bCs/>
          <w:sz w:val="27"/>
          <w:szCs w:val="27"/>
        </w:rPr>
      </w:pPr>
    </w:p>
    <w:p>
      <w:pPr>
        <w:pStyle w:val="BodyText"/>
        <w:spacing w:line="333" w:lineRule="auto"/>
        <w:ind w:right="66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公司报告期无重大会计差错更正需追溯重述的情况。</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八、与上年度财务报告相比，合并报表范围发生变化的情况说明" w:id="70"/>
      <w:bookmarkEnd w:id="70"/>
      <w:r>
        <w:rPr>
          <w:b w:val="0"/>
          <w:bCs w:val="0"/>
        </w:rPr>
      </w:r>
      <w:r>
        <w:rPr/>
        <w:t>八、与上年度财务报告相比，合并报表范围发生变化的情况说明</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92" w:lineRule="auto" w:before="111"/>
        <w:ind w:right="1066"/>
        <w:jc w:val="left"/>
      </w:pP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w:t>
      </w:r>
      <w:r>
        <w:rPr>
          <w:spacing w:val="-44"/>
        </w:rPr>
        <w:t> </w:t>
      </w:r>
      <w:r>
        <w:rPr/>
        <w:t>注销子公司法人独资有限责任公司上海潮范智能科技有限公司，注册资本为人民币</w:t>
      </w:r>
      <w:r>
        <w:rPr>
          <w:rFonts w:ascii="Times New Roman" w:hAnsi="Times New Roman" w:cs="Times New Roman" w:eastAsia="Times New Roman" w:hint="default"/>
        </w:rPr>
        <w:t>1,000</w:t>
      </w:r>
      <w:r>
        <w:rPr/>
        <w:t>万元。</w:t>
      </w:r>
      <w:r>
        <w:rPr>
          <w:spacing w:val="-83"/>
        </w:rPr>
        <w:t> </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w:t>
      </w:r>
      <w:r>
        <w:rPr>
          <w:spacing w:val="-37"/>
        </w:rPr>
        <w:t> </w:t>
      </w:r>
      <w:r>
        <w:rPr/>
        <w:t>注销子公司法人独资有限责任公司石家庄美特斯邦威服饰有限公司，注册资本为人民币</w:t>
      </w:r>
      <w:r>
        <w:rPr>
          <w:rFonts w:ascii="Times New Roman" w:hAnsi="Times New Roman" w:cs="Times New Roman" w:eastAsia="Times New Roman" w:hint="default"/>
        </w:rPr>
        <w:t>1000</w:t>
      </w:r>
      <w:r>
        <w:rPr/>
        <w:t>万元。 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w:t>
      </w:r>
      <w:r>
        <w:rPr>
          <w:spacing w:val="-43"/>
        </w:rPr>
        <w:t> </w:t>
      </w:r>
      <w:r>
        <w:rPr/>
        <w:t>注销子公司法人独资有限责任公司内蒙古美特斯邦威服饰有限公司，注册资本为人民币</w:t>
      </w:r>
      <w:r>
        <w:rPr>
          <w:rFonts w:ascii="Times New Roman" w:hAnsi="Times New Roman" w:cs="Times New Roman" w:eastAsia="Times New Roman" w:hint="default"/>
        </w:rPr>
        <w:t>500</w:t>
      </w:r>
      <w:r>
        <w:rPr/>
        <w:t>万元。</w:t>
      </w:r>
      <w:r>
        <w:rPr>
          <w:spacing w:val="-84"/>
        </w:rPr>
        <w:t> </w:t>
      </w:r>
      <w:r>
        <w:rPr/>
        <w:t>除以上事项之外，合并财务报表范围与上年度一致。</w:t>
      </w:r>
    </w:p>
    <w:p>
      <w:pPr>
        <w:spacing w:line="240" w:lineRule="auto" w:before="13"/>
        <w:rPr>
          <w:rFonts w:ascii="宋体" w:hAnsi="宋体" w:cs="宋体" w:eastAsia="宋体" w:hint="default"/>
          <w:sz w:val="22"/>
          <w:szCs w:val="22"/>
        </w:rPr>
      </w:pPr>
    </w:p>
    <w:p>
      <w:pPr>
        <w:pStyle w:val="Heading2"/>
        <w:spacing w:line="240" w:lineRule="auto"/>
        <w:ind w:right="0"/>
        <w:jc w:val="left"/>
        <w:rPr>
          <w:b w:val="0"/>
          <w:bCs w:val="0"/>
        </w:rPr>
      </w:pPr>
      <w:bookmarkStart w:name="九、聘任、解聘会计师事务所情况" w:id="71"/>
      <w:bookmarkEnd w:id="71"/>
      <w:r>
        <w:rPr>
          <w:b w:val="0"/>
          <w:bCs w:val="0"/>
        </w:rPr>
      </w:r>
      <w:r>
        <w:rPr/>
        <w:t>九、聘任、解聘会计师事务所情况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现聘任的会计师事务所</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安永华明会计师事务所（特殊普通合伙）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390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12</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董彦亮、柳婧</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境外会计师事务所名称（如有）</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境外会计师事务所报酬（万元</w:t>
            </w:r>
            <w:r>
              <w:rPr>
                <w:rFonts w:ascii="宋体" w:hAnsi="宋体" w:cs="宋体" w:eastAsia="宋体" w:hint="default"/>
                <w:spacing w:val="-90"/>
                <w:sz w:val="18"/>
                <w:szCs w:val="18"/>
              </w:rPr>
              <w:t>）</w:t>
            </w:r>
            <w:r>
              <w:rPr>
                <w:rFonts w:ascii="宋体" w:hAnsi="宋体" w:cs="宋体" w:eastAsia="宋体" w:hint="default"/>
                <w:sz w:val="18"/>
                <w:szCs w:val="18"/>
              </w:rPr>
              <w:t>（如有）</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境外会计师事务所审计服务的连续年限（如有）</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境外会计师事务所注册会计师姓名（如有）</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境外会计师事务所注册会计师审计服务的连续年限（如有）</w:t>
            </w:r>
          </w:p>
        </w:tc>
        <w:tc>
          <w:tcPr>
            <w:tcW w:w="4798"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4"/>
        <w:ind w:right="0"/>
        <w:jc w:val="left"/>
      </w:pPr>
      <w:r>
        <w:rPr/>
        <w:t>当期是否改聘会计师事务所</w:t>
      </w:r>
    </w:p>
    <w:p>
      <w:pPr>
        <w:pStyle w:val="BodyText"/>
        <w:spacing w:line="331" w:lineRule="auto" w:before="125"/>
        <w:ind w:right="62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聘请内部控制审计会计师事务所、财务顾问或保荐人情况</w:t>
      </w:r>
    </w:p>
    <w:p>
      <w:pPr>
        <w:pStyle w:val="BodyText"/>
        <w:spacing w:line="240" w:lineRule="auto" w:before="5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十、年度报告披露后面临暂停上市和终止上市情况" w:id="72"/>
      <w:bookmarkEnd w:id="72"/>
      <w:r>
        <w:rPr>
          <w:b w:val="0"/>
          <w:bCs w:val="0"/>
        </w:rPr>
      </w:r>
      <w:r>
        <w:rPr/>
        <w:t>十、年度报告披露后面临暂停上市和终止上市情况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十一、破产重整相关事项" w:id="73"/>
      <w:bookmarkEnd w:id="73"/>
      <w:r>
        <w:rPr>
          <w:b w:val="0"/>
          <w:bCs w:val="0"/>
        </w:rPr>
      </w:r>
      <w:r>
        <w:rPr/>
        <w:t>十一、破产重整相关事项</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公司报告期未发生破产重整相关事项。</w:t>
      </w:r>
    </w:p>
    <w:p>
      <w:pPr>
        <w:spacing w:line="240" w:lineRule="auto" w:before="6"/>
        <w:rPr>
          <w:rFonts w:ascii="宋体" w:hAnsi="宋体" w:cs="宋体" w:eastAsia="宋体" w:hint="default"/>
          <w:sz w:val="21"/>
          <w:szCs w:val="21"/>
        </w:rPr>
      </w:pPr>
    </w:p>
    <w:p>
      <w:pPr>
        <w:pStyle w:val="Heading2"/>
        <w:spacing w:line="240" w:lineRule="auto"/>
        <w:ind w:right="0"/>
        <w:jc w:val="left"/>
        <w:rPr>
          <w:b w:val="0"/>
          <w:bCs w:val="0"/>
        </w:rPr>
      </w:pPr>
      <w:bookmarkStart w:name="十二、重大诉讼、仲裁事项" w:id="74"/>
      <w:bookmarkEnd w:id="74"/>
      <w:r>
        <w:rPr>
          <w:b w:val="0"/>
          <w:bCs w:val="0"/>
        </w:rPr>
      </w:r>
      <w:r>
        <w:rPr/>
        <w:t>十二、重大诉讼、仲裁事项</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本报告期公司无重大诉讼、仲裁事项。</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十三、处罚及整改情况" w:id="75"/>
      <w:bookmarkEnd w:id="75"/>
      <w:r>
        <w:rPr>
          <w:b w:val="0"/>
          <w:bCs w:val="0"/>
        </w:rPr>
      </w:r>
      <w:r>
        <w:rPr/>
        <w:t>十三、处罚及整改情况</w:t>
      </w:r>
      <w:r>
        <w:rPr>
          <w:b w:val="0"/>
          <w:bCs w:val="0"/>
        </w:rPr>
      </w:r>
    </w:p>
    <w:p>
      <w:pPr>
        <w:spacing w:line="240" w:lineRule="auto" w:before="1"/>
        <w:rPr>
          <w:rFonts w:ascii="宋体" w:hAnsi="宋体" w:cs="宋体" w:eastAsia="宋体" w:hint="default"/>
          <w:b/>
          <w:bCs/>
          <w:sz w:val="26"/>
          <w:szCs w:val="26"/>
        </w:rPr>
      </w:pPr>
    </w:p>
    <w:p>
      <w:pPr>
        <w:pStyle w:val="BodyText"/>
        <w:spacing w:line="316" w:lineRule="auto"/>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公司报告期不存在处罚及整改情况。</w:t>
      </w:r>
    </w:p>
    <w:p>
      <w:pPr>
        <w:spacing w:line="240" w:lineRule="auto" w:before="10"/>
        <w:rPr>
          <w:rFonts w:ascii="宋体" w:hAnsi="宋体" w:cs="宋体" w:eastAsia="宋体" w:hint="default"/>
          <w:sz w:val="22"/>
          <w:szCs w:val="22"/>
        </w:rPr>
      </w:pPr>
    </w:p>
    <w:p>
      <w:pPr>
        <w:pStyle w:val="Heading2"/>
        <w:spacing w:line="240" w:lineRule="auto"/>
        <w:ind w:right="0"/>
        <w:jc w:val="left"/>
        <w:rPr>
          <w:b w:val="0"/>
          <w:bCs w:val="0"/>
        </w:rPr>
      </w:pPr>
      <w:bookmarkStart w:name="十四、公司及其控股股东、实际控制人的诚信状况" w:id="76"/>
      <w:bookmarkEnd w:id="76"/>
      <w:r>
        <w:rPr>
          <w:b w:val="0"/>
          <w:bCs w:val="0"/>
        </w:rPr>
      </w:r>
      <w:r>
        <w:rPr/>
        <w:t>十四、公司及其控股股东、实际控制人的诚信状况</w:t>
      </w:r>
      <w:r>
        <w:rPr>
          <w:b w:val="0"/>
          <w:bCs w:val="0"/>
        </w:rPr>
      </w:r>
    </w:p>
    <w:p>
      <w:pPr>
        <w:spacing w:line="240" w:lineRule="auto" w:before="1"/>
        <w:rPr>
          <w:rFonts w:ascii="宋体" w:hAnsi="宋体" w:cs="宋体" w:eastAsia="宋体" w:hint="default"/>
          <w:b/>
          <w:bCs/>
          <w:sz w:val="26"/>
          <w:szCs w:val="26"/>
        </w:rPr>
      </w:pPr>
    </w:p>
    <w:p>
      <w:pPr>
        <w:pStyle w:val="BodyText"/>
        <w:spacing w:line="316" w:lineRule="auto"/>
        <w:ind w:right="17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报告期内，公司及其控股股东、实际控制人不存在未履行法院生效判决及所负数额较大的债务到期未清偿的情况。</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十五、公司股权激励计划、员工持股计划或其他员工激励措施的实施情况" w:id="77"/>
      <w:bookmarkEnd w:id="77"/>
      <w:r>
        <w:rPr>
          <w:b w:val="0"/>
          <w:bCs w:val="0"/>
        </w:rPr>
      </w:r>
      <w:r>
        <w:rPr/>
        <w:t>十五、公司股权激励计划、员工持股计划或其他员工激励措施的实施情况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14"/>
          <w:szCs w:val="14"/>
        </w:rPr>
      </w:pPr>
    </w:p>
    <w:p>
      <w:pPr>
        <w:pStyle w:val="BodyText"/>
        <w:spacing w:line="448" w:lineRule="auto"/>
        <w:ind w:right="1114"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日，公司第四届董事会第七次会议和第四届监事会第六次会议审议通过了《关于</w:t>
      </w:r>
      <w:r>
        <w:rPr>
          <w:rFonts w:ascii="Times New Roman" w:hAnsi="Times New Roman" w:cs="Times New Roman" w:eastAsia="Times New Roman" w:hint="default"/>
        </w:rPr>
        <w:t>&lt;</w:t>
      </w:r>
      <w:r>
        <w:rPr/>
        <w:t>上海美特斯邦威服饰股 份有限公司第一期员工持股计划（草案）</w:t>
      </w:r>
      <w:r>
        <w:rPr>
          <w:rFonts w:ascii="Times New Roman" w:hAnsi="Times New Roman" w:cs="Times New Roman" w:eastAsia="Times New Roman" w:hint="default"/>
        </w:rPr>
        <w:t>&gt;</w:t>
      </w:r>
      <w:r>
        <w:rPr/>
        <w:t>及摘要的议案》及相关议案，并提交公司</w:t>
      </w:r>
      <w:r>
        <w:rPr>
          <w:rFonts w:ascii="Times New Roman" w:hAnsi="Times New Roman" w:cs="Times New Roman" w:eastAsia="Times New Roman" w:hint="default"/>
        </w:rPr>
        <w:t>2017</w:t>
      </w:r>
      <w:r>
        <w:rPr/>
        <w:t>年第三次临时股东大会审议通过后</w:t>
      </w:r>
      <w:r>
        <w:rPr>
          <w:spacing w:val="-81"/>
        </w:rPr>
        <w:t> </w:t>
      </w:r>
      <w:r>
        <w:rPr/>
        <w:t>实施。</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日，公司第四届董事会第九次会议审议并通过了《关于延长第一期员工持股计划购买期的议案》。</w:t>
      </w:r>
    </w:p>
    <w:p>
      <w:pPr>
        <w:pStyle w:val="BodyText"/>
        <w:spacing w:line="448" w:lineRule="auto" w:before="43"/>
        <w:ind w:right="1126" w:firstLine="420"/>
        <w:jc w:val="both"/>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日收盘，为公司第一期员工持股计划设立的</w:t>
      </w:r>
      <w:r>
        <w:rPr>
          <w:rFonts w:ascii="Times New Roman" w:hAnsi="Times New Roman" w:cs="Times New Roman" w:eastAsia="Times New Roman" w:hint="default"/>
        </w:rPr>
        <w:t>“</w:t>
      </w:r>
      <w:r>
        <w:rPr/>
        <w:t>华宝信托有限责任公司－聚鑫</w:t>
      </w:r>
      <w:r>
        <w:rPr>
          <w:rFonts w:ascii="Times New Roman" w:hAnsi="Times New Roman" w:cs="Times New Roman" w:eastAsia="Times New Roman" w:hint="default"/>
        </w:rPr>
        <w:t>8</w:t>
      </w:r>
      <w:r>
        <w:rPr/>
        <w:t>号证券投资信托计划</w:t>
      </w:r>
      <w:r>
        <w:rPr>
          <w:rFonts w:ascii="Times New Roman" w:hAnsi="Times New Roman" w:cs="Times New Roman" w:eastAsia="Times New Roman" w:hint="default"/>
        </w:rPr>
        <w:t>”</w:t>
      </w:r>
      <w:r>
        <w:rPr/>
        <w:t>通 </w:t>
      </w:r>
      <w:r>
        <w:rPr>
          <w:spacing w:val="3"/>
        </w:rPr>
        <w:t>过二级市场竞价交易方式购买公司股票共计</w:t>
      </w:r>
      <w:r>
        <w:rPr>
          <w:rFonts w:ascii="Times New Roman" w:hAnsi="Times New Roman" w:cs="Times New Roman" w:eastAsia="Times New Roman" w:hint="default"/>
          <w:spacing w:val="3"/>
        </w:rPr>
        <w:t>58,190,814</w:t>
      </w:r>
      <w:r>
        <w:rPr>
          <w:spacing w:val="3"/>
        </w:rPr>
        <w:t>股，占公司总股本的</w:t>
      </w:r>
      <w:r>
        <w:rPr>
          <w:rFonts w:ascii="Times New Roman" w:hAnsi="Times New Roman" w:cs="Times New Roman" w:eastAsia="Times New Roman" w:hint="default"/>
          <w:spacing w:val="3"/>
        </w:rPr>
        <w:t>2.32%</w:t>
      </w:r>
      <w:r>
        <w:rPr>
          <w:spacing w:val="3"/>
        </w:rPr>
        <w:t>，交易均价为</w:t>
      </w:r>
      <w:r>
        <w:rPr>
          <w:rFonts w:ascii="Times New Roman" w:hAnsi="Times New Roman" w:cs="Times New Roman" w:eastAsia="Times New Roman" w:hint="default"/>
          <w:spacing w:val="3"/>
        </w:rPr>
        <w:t>3.13</w:t>
      </w:r>
      <w:r>
        <w:rPr>
          <w:spacing w:val="3"/>
        </w:rPr>
        <w:t>元</w:t>
      </w:r>
      <w:r>
        <w:rPr>
          <w:rFonts w:ascii="Times New Roman" w:hAnsi="Times New Roman" w:cs="Times New Roman" w:eastAsia="Times New Roman" w:hint="default"/>
          <w:spacing w:val="3"/>
        </w:rPr>
        <w:t>/</w:t>
      </w:r>
      <w:r>
        <w:rPr>
          <w:spacing w:val="3"/>
        </w:rPr>
        <w:t>股，成交金额合计</w:t>
      </w:r>
    </w:p>
    <w:p>
      <w:pPr>
        <w:spacing w:after="0" w:line="448" w:lineRule="auto"/>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51" w:lineRule="auto"/>
        <w:ind w:left="0" w:right="1125"/>
        <w:jc w:val="right"/>
      </w:pPr>
      <w:r>
        <w:rPr>
          <w:rFonts w:ascii="Times New Roman" w:hAnsi="Times New Roman" w:cs="Times New Roman" w:eastAsia="Times New Roman" w:hint="default"/>
        </w:rPr>
        <w:t>182,262,851.38</w:t>
      </w:r>
      <w:r>
        <w:rPr/>
        <w:t>元。至此，公司已完成第一期员工持股计划标的股票的购买。公司第一期员工持股计划所购买的股票将予以</w:t>
      </w:r>
      <w:r>
        <w:rPr>
          <w:spacing w:val="-64"/>
        </w:rPr>
        <w:t> </w:t>
      </w:r>
      <w:r>
        <w:rPr>
          <w:spacing w:val="-64"/>
        </w:rPr>
      </w:r>
      <w:r>
        <w:rPr/>
        <w:t>锁定，锁定期为自购买完成公告披露之日起</w:t>
      </w:r>
      <w:r>
        <w:rPr>
          <w:rFonts w:ascii="Times New Roman" w:hAnsi="Times New Roman" w:cs="Times New Roman" w:eastAsia="Times New Roman" w:hint="default"/>
        </w:rPr>
        <w:t>12</w:t>
      </w:r>
      <w:r>
        <w:rPr/>
        <w:t>个月。第一期员工持股计划所持有的公司股票锁定期于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26</w:t>
      </w:r>
      <w:r>
        <w:rPr/>
        <w:t>日届满。 根据公司员工持股计划草案的相关规定，公司第一期员工持股计划存续期为自股东大会审议通过之日起</w:t>
      </w:r>
      <w:r>
        <w:rPr>
          <w:rFonts w:ascii="Times New Roman" w:hAnsi="Times New Roman" w:cs="Times New Roman" w:eastAsia="Times New Roman" w:hint="default"/>
        </w:rPr>
        <w:t>24</w:t>
      </w:r>
      <w:r>
        <w:rPr/>
        <w:t>个月，员工 </w:t>
      </w:r>
      <w:r>
        <w:rPr>
          <w:spacing w:val="-2"/>
        </w:rPr>
        <w:t>持股计划存续期于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日届满。基于对公司未来持续稳定发函的信心及公司股票价值的判断，同时为了维护员工持</w:t>
      </w:r>
      <w:r>
        <w:rPr>
          <w:spacing w:val="-76"/>
        </w:rPr>
        <w:t> </w:t>
      </w:r>
      <w:r>
        <w:rPr>
          <w:spacing w:val="-76"/>
        </w:rPr>
      </w:r>
      <w:r>
        <w:rPr>
          <w:spacing w:val="-2"/>
        </w:rPr>
        <w:t>股计划持有人的利益，经公司第一期员工持股计划第一层次持有人会议审议、公司第四届董事会第二十一次会议审议通过相</w:t>
      </w:r>
    </w:p>
    <w:p>
      <w:pPr>
        <w:pStyle w:val="BodyText"/>
        <w:spacing w:line="448" w:lineRule="auto" w:before="71"/>
        <w:ind w:left="561" w:right="6189" w:hanging="421"/>
        <w:jc w:val="left"/>
      </w:pPr>
      <w:r>
        <w:rPr/>
        <w:t>关议案，将存续期延长</w:t>
      </w:r>
      <w:r>
        <w:rPr>
          <w:rFonts w:ascii="Times New Roman" w:hAnsi="Times New Roman" w:cs="Times New Roman" w:eastAsia="Times New Roman" w:hint="default"/>
        </w:rPr>
        <w:t>12</w:t>
      </w:r>
      <w:r>
        <w:rPr/>
        <w:t>个月至</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 上述事项的具体详情均已在巨潮资讯网上对外披露。</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4"/>
          <w:szCs w:val="24"/>
        </w:rPr>
      </w:pPr>
    </w:p>
    <w:p>
      <w:pPr>
        <w:pStyle w:val="Heading2"/>
        <w:spacing w:line="240" w:lineRule="auto"/>
        <w:ind w:right="0"/>
        <w:jc w:val="left"/>
        <w:rPr>
          <w:b w:val="0"/>
          <w:bCs w:val="0"/>
        </w:rPr>
      </w:pPr>
      <w:bookmarkStart w:name="十六、重大关联交易" w:id="78"/>
      <w:bookmarkEnd w:id="78"/>
      <w:r>
        <w:rPr>
          <w:b w:val="0"/>
          <w:bCs w:val="0"/>
        </w:rPr>
      </w:r>
      <w:r>
        <w:rPr/>
        <w:t>十六、重大关联交易</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与日常经营相关的关联交易" w:id="79"/>
      <w:bookmarkEnd w:id="79"/>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796"/>
        <w:gridCol w:w="676"/>
        <w:gridCol w:w="691"/>
        <w:gridCol w:w="706"/>
        <w:gridCol w:w="676"/>
        <w:gridCol w:w="676"/>
        <w:gridCol w:w="676"/>
        <w:gridCol w:w="676"/>
        <w:gridCol w:w="675"/>
        <w:gridCol w:w="676"/>
        <w:gridCol w:w="676"/>
        <w:gridCol w:w="661"/>
        <w:gridCol w:w="676"/>
        <w:gridCol w:w="646"/>
      </w:tblGrid>
      <w:tr>
        <w:trPr>
          <w:trHeight w:val="135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300" w:right="30" w:hanging="271"/>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239" w:right="58"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60" w:right="73"/>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60" w:right="90"/>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60" w:right="58"/>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45" w:right="73"/>
              <w:jc w:val="left"/>
              <w:rPr>
                <w:rFonts w:ascii="宋体" w:hAnsi="宋体" w:cs="宋体" w:eastAsia="宋体" w:hint="default"/>
                <w:sz w:val="18"/>
                <w:szCs w:val="18"/>
              </w:rPr>
            </w:pPr>
            <w:r>
              <w:rPr>
                <w:rFonts w:ascii="宋体" w:hAnsi="宋体" w:cs="宋体" w:eastAsia="宋体" w:hint="default"/>
                <w:sz w:val="18"/>
                <w:szCs w:val="18"/>
              </w:rPr>
              <w:t>关联交 易价格</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45" w:right="73"/>
              <w:jc w:val="left"/>
              <w:rPr>
                <w:rFonts w:ascii="宋体" w:hAnsi="宋体" w:cs="宋体" w:eastAsia="宋体" w:hint="default"/>
                <w:sz w:val="18"/>
                <w:szCs w:val="18"/>
              </w:rPr>
            </w:pPr>
            <w:r>
              <w:rPr>
                <w:rFonts w:ascii="宋体" w:hAnsi="宋体" w:cs="宋体" w:eastAsia="宋体" w:hint="default"/>
                <w:sz w:val="18"/>
                <w:szCs w:val="18"/>
              </w:rPr>
              <w:t>关联交 易金额</w:t>
            </w:r>
          </w:p>
          <w:p>
            <w:pPr>
              <w:pStyle w:val="TableParagraph"/>
              <w:spacing w:line="321" w:lineRule="auto" w:before="3"/>
              <w:ind w:left="135" w:right="163"/>
              <w:jc w:val="left"/>
              <w:rPr>
                <w:rFonts w:ascii="宋体" w:hAnsi="宋体" w:cs="宋体" w:eastAsia="宋体" w:hint="default"/>
                <w:sz w:val="18"/>
                <w:szCs w:val="18"/>
              </w:rPr>
            </w:pPr>
            <w:r>
              <w:rPr>
                <w:rFonts w:ascii="宋体" w:hAnsi="宋体" w:cs="宋体" w:eastAsia="宋体" w:hint="default"/>
                <w:sz w:val="18"/>
                <w:szCs w:val="18"/>
              </w:rPr>
              <w:t>（万 元）</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5" w:right="75"/>
              <w:jc w:val="center"/>
              <w:rPr>
                <w:rFonts w:ascii="宋体" w:hAnsi="宋体" w:cs="宋体" w:eastAsia="宋体" w:hint="default"/>
                <w:sz w:val="18"/>
                <w:szCs w:val="18"/>
              </w:rPr>
            </w:pPr>
            <w:r>
              <w:rPr>
                <w:rFonts w:ascii="宋体" w:hAnsi="宋体" w:cs="宋体" w:eastAsia="宋体" w:hint="default"/>
                <w:sz w:val="18"/>
                <w:szCs w:val="18"/>
              </w:rPr>
              <w:t>占同类 交易金 额的比 例</w:t>
            </w:r>
          </w:p>
        </w:tc>
        <w:tc>
          <w:tcPr>
            <w:tcW w:w="6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4" w:right="73"/>
              <w:jc w:val="both"/>
              <w:rPr>
                <w:rFonts w:ascii="宋体" w:hAnsi="宋体" w:cs="宋体" w:eastAsia="宋体" w:hint="default"/>
                <w:sz w:val="18"/>
                <w:szCs w:val="18"/>
              </w:rPr>
            </w:pPr>
            <w:r>
              <w:rPr>
                <w:rFonts w:ascii="宋体" w:hAnsi="宋体" w:cs="宋体" w:eastAsia="宋体" w:hint="default"/>
                <w:sz w:val="18"/>
                <w:szCs w:val="18"/>
              </w:rPr>
              <w:t>获批的 交易额 度（万 元）</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45" w:right="73"/>
              <w:jc w:val="both"/>
              <w:rPr>
                <w:rFonts w:ascii="宋体" w:hAnsi="宋体" w:cs="宋体" w:eastAsia="宋体" w:hint="default"/>
                <w:sz w:val="18"/>
                <w:szCs w:val="18"/>
              </w:rPr>
            </w:pPr>
            <w:r>
              <w:rPr>
                <w:rFonts w:ascii="宋体" w:hAnsi="宋体" w:cs="宋体" w:eastAsia="宋体" w:hint="default"/>
                <w:sz w:val="18"/>
                <w:szCs w:val="18"/>
              </w:rPr>
              <w:t>是否超 过获批 额度</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314" w:lineRule="auto"/>
              <w:ind w:left="45" w:right="75"/>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6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45" w:right="58"/>
              <w:jc w:val="center"/>
              <w:rPr>
                <w:rFonts w:ascii="宋体" w:hAnsi="宋体" w:cs="宋体" w:eastAsia="宋体" w:hint="default"/>
                <w:sz w:val="18"/>
                <w:szCs w:val="18"/>
              </w:rPr>
            </w:pPr>
            <w:r>
              <w:rPr>
                <w:rFonts w:ascii="宋体" w:hAnsi="宋体" w:cs="宋体" w:eastAsia="宋体" w:hint="default"/>
                <w:sz w:val="18"/>
                <w:szCs w:val="18"/>
              </w:rPr>
              <w:t>可获得 的同类 交易市 价</w:t>
            </w:r>
          </w:p>
        </w:tc>
        <w:tc>
          <w:tcPr>
            <w:tcW w:w="6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240" w:right="58"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5"/>
              <w:ind w:left="225" w:right="43" w:hanging="181"/>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30" w:right="88"/>
              <w:jc w:val="left"/>
              <w:rPr>
                <w:rFonts w:ascii="宋体" w:hAnsi="宋体" w:cs="宋体" w:eastAsia="宋体" w:hint="default"/>
                <w:sz w:val="18"/>
                <w:szCs w:val="18"/>
              </w:rPr>
            </w:pPr>
            <w:r>
              <w:rPr>
                <w:rFonts w:ascii="宋体" w:hAnsi="宋体" w:cs="宋体" w:eastAsia="宋体" w:hint="default"/>
                <w:sz w:val="18"/>
                <w:szCs w:val="18"/>
              </w:rPr>
              <w:t>关联自 然人</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03"/>
              <w:jc w:val="both"/>
              <w:rPr>
                <w:rFonts w:ascii="宋体" w:hAnsi="宋体" w:cs="宋体" w:eastAsia="宋体" w:hint="default"/>
                <w:sz w:val="18"/>
                <w:szCs w:val="18"/>
              </w:rPr>
            </w:pPr>
            <w:r>
              <w:rPr>
                <w:rFonts w:ascii="宋体" w:hAnsi="宋体" w:cs="宋体" w:eastAsia="宋体" w:hint="default"/>
                <w:sz w:val="18"/>
                <w:szCs w:val="18"/>
              </w:rPr>
              <w:t>购买或 销售商 品</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135"/>
              <w:jc w:val="left"/>
              <w:rPr>
                <w:rFonts w:ascii="宋体" w:hAnsi="宋体" w:cs="宋体" w:eastAsia="宋体" w:hint="default"/>
                <w:sz w:val="18"/>
                <w:szCs w:val="18"/>
              </w:rPr>
            </w:pPr>
            <w:r>
              <w:rPr>
                <w:rFonts w:ascii="宋体" w:hAnsi="宋体" w:cs="宋体" w:eastAsia="宋体" w:hint="default"/>
                <w:sz w:val="18"/>
                <w:szCs w:val="18"/>
              </w:rPr>
              <w:t>销售服 饰产品</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105"/>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31,077,</w:t>
            </w:r>
          </w:p>
          <w:p>
            <w:pPr>
              <w:pStyle w:val="TableParagraph"/>
              <w:spacing w:line="240" w:lineRule="auto" w:before="93"/>
              <w:ind w:left="15" w:right="0"/>
              <w:jc w:val="left"/>
              <w:rPr>
                <w:rFonts w:ascii="Times New Roman" w:hAnsi="Times New Roman" w:cs="Times New Roman" w:eastAsia="Times New Roman" w:hint="default"/>
                <w:sz w:val="18"/>
                <w:szCs w:val="18"/>
              </w:rPr>
            </w:pPr>
            <w:r>
              <w:rPr>
                <w:rFonts w:ascii="Times New Roman"/>
                <w:sz w:val="18"/>
              </w:rPr>
              <w:t>929.00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3,107.7</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9</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63.19%</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15" w:right="105"/>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31,077,</w:t>
            </w:r>
          </w:p>
          <w:p>
            <w:pPr>
              <w:pStyle w:val="TableParagraph"/>
              <w:spacing w:line="240" w:lineRule="auto" w:before="93"/>
              <w:ind w:left="15" w:right="0"/>
              <w:jc w:val="left"/>
              <w:rPr>
                <w:rFonts w:ascii="Times New Roman" w:hAnsi="Times New Roman" w:cs="Times New Roman" w:eastAsia="Times New Roman" w:hint="default"/>
                <w:sz w:val="18"/>
                <w:szCs w:val="18"/>
              </w:rPr>
            </w:pPr>
            <w:r>
              <w:rPr>
                <w:rFonts w:ascii="Times New Roman"/>
                <w:sz w:val="18"/>
              </w:rPr>
              <w:t>929.00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7" w:lineRule="auto"/>
              <w:ind w:left="30" w:right="58"/>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88"/>
              <w:jc w:val="left"/>
              <w:rPr>
                <w:rFonts w:ascii="宋体" w:hAnsi="宋体" w:cs="宋体" w:eastAsia="宋体" w:hint="default"/>
                <w:sz w:val="18"/>
                <w:szCs w:val="18"/>
              </w:rPr>
            </w:pPr>
            <w:r>
              <w:rPr>
                <w:rFonts w:ascii="宋体" w:hAnsi="宋体" w:cs="宋体" w:eastAsia="宋体" w:hint="default"/>
                <w:sz w:val="18"/>
                <w:szCs w:val="18"/>
              </w:rPr>
              <w:t>关联自 然人</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103"/>
              <w:jc w:val="both"/>
              <w:rPr>
                <w:rFonts w:ascii="宋体" w:hAnsi="宋体" w:cs="宋体" w:eastAsia="宋体" w:hint="default"/>
                <w:sz w:val="18"/>
                <w:szCs w:val="18"/>
              </w:rPr>
            </w:pPr>
            <w:r>
              <w:rPr>
                <w:rFonts w:ascii="宋体" w:hAnsi="宋体" w:cs="宋体" w:eastAsia="宋体" w:hint="default"/>
                <w:sz w:val="18"/>
                <w:szCs w:val="18"/>
              </w:rPr>
              <w:t>购买或 销售商 品</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35"/>
              <w:jc w:val="left"/>
              <w:rPr>
                <w:rFonts w:ascii="宋体" w:hAnsi="宋体" w:cs="宋体" w:eastAsia="宋体" w:hint="default"/>
                <w:sz w:val="18"/>
                <w:szCs w:val="18"/>
              </w:rPr>
            </w:pPr>
            <w:r>
              <w:rPr>
                <w:rFonts w:ascii="宋体" w:hAnsi="宋体" w:cs="宋体" w:eastAsia="宋体" w:hint="default"/>
                <w:sz w:val="18"/>
                <w:szCs w:val="18"/>
              </w:rPr>
              <w:t>销售服 饰产品</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05"/>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14,171,</w:t>
            </w:r>
          </w:p>
          <w:p>
            <w:pPr>
              <w:pStyle w:val="TableParagraph"/>
              <w:spacing w:line="240" w:lineRule="auto" w:before="108"/>
              <w:ind w:left="15" w:right="0"/>
              <w:jc w:val="left"/>
              <w:rPr>
                <w:rFonts w:ascii="Times New Roman" w:hAnsi="Times New Roman" w:cs="Times New Roman" w:eastAsia="Times New Roman" w:hint="default"/>
                <w:sz w:val="18"/>
                <w:szCs w:val="18"/>
              </w:rPr>
            </w:pPr>
            <w:r>
              <w:rPr>
                <w:rFonts w:ascii="Times New Roman"/>
                <w:sz w:val="18"/>
              </w:rPr>
              <w:t>396.00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1,417.1</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4</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28.81%</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105"/>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14,171,</w:t>
            </w:r>
          </w:p>
          <w:p>
            <w:pPr>
              <w:pStyle w:val="TableParagraph"/>
              <w:spacing w:line="240" w:lineRule="auto" w:before="108"/>
              <w:ind w:left="15" w:right="0"/>
              <w:jc w:val="left"/>
              <w:rPr>
                <w:rFonts w:ascii="Times New Roman" w:hAnsi="Times New Roman" w:cs="Times New Roman" w:eastAsia="Times New Roman" w:hint="default"/>
                <w:sz w:val="18"/>
                <w:szCs w:val="18"/>
              </w:rPr>
            </w:pPr>
            <w:r>
              <w:rPr>
                <w:rFonts w:ascii="Times New Roman"/>
                <w:sz w:val="18"/>
              </w:rPr>
              <w:t>396.00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30" w:right="58"/>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04" w:lineRule="auto"/>
              <w:ind w:left="30" w:right="88"/>
              <w:jc w:val="left"/>
              <w:rPr>
                <w:rFonts w:ascii="宋体" w:hAnsi="宋体" w:cs="宋体" w:eastAsia="宋体" w:hint="default"/>
                <w:sz w:val="18"/>
                <w:szCs w:val="18"/>
              </w:rPr>
            </w:pPr>
            <w:r>
              <w:rPr>
                <w:rFonts w:ascii="宋体" w:hAnsi="宋体" w:cs="宋体" w:eastAsia="宋体" w:hint="default"/>
                <w:sz w:val="18"/>
                <w:szCs w:val="18"/>
              </w:rPr>
              <w:t>关联自 然人</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103"/>
              <w:jc w:val="both"/>
              <w:rPr>
                <w:rFonts w:ascii="宋体" w:hAnsi="宋体" w:cs="宋体" w:eastAsia="宋体" w:hint="default"/>
                <w:sz w:val="18"/>
                <w:szCs w:val="18"/>
              </w:rPr>
            </w:pPr>
            <w:r>
              <w:rPr>
                <w:rFonts w:ascii="宋体" w:hAnsi="宋体" w:cs="宋体" w:eastAsia="宋体" w:hint="default"/>
                <w:sz w:val="18"/>
                <w:szCs w:val="18"/>
              </w:rPr>
              <w:t>购买或 销售商 品</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04" w:lineRule="auto"/>
              <w:ind w:left="15" w:right="135"/>
              <w:jc w:val="left"/>
              <w:rPr>
                <w:rFonts w:ascii="宋体" w:hAnsi="宋体" w:cs="宋体" w:eastAsia="宋体" w:hint="default"/>
                <w:sz w:val="18"/>
                <w:szCs w:val="18"/>
              </w:rPr>
            </w:pPr>
            <w:r>
              <w:rPr>
                <w:rFonts w:ascii="宋体" w:hAnsi="宋体" w:cs="宋体" w:eastAsia="宋体" w:hint="default"/>
                <w:sz w:val="18"/>
                <w:szCs w:val="18"/>
              </w:rPr>
              <w:t>销售服 饰产品</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04" w:lineRule="auto"/>
              <w:ind w:left="15" w:right="105"/>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3,932,3</w:t>
            </w:r>
          </w:p>
          <w:p>
            <w:pPr>
              <w:pStyle w:val="TableParagraph"/>
              <w:spacing w:line="240" w:lineRule="auto" w:before="93"/>
              <w:ind w:left="15" w:right="0"/>
              <w:jc w:val="left"/>
              <w:rPr>
                <w:rFonts w:ascii="Times New Roman" w:hAnsi="Times New Roman" w:cs="Times New Roman" w:eastAsia="Times New Roman" w:hint="default"/>
                <w:sz w:val="18"/>
                <w:szCs w:val="18"/>
              </w:rPr>
            </w:pPr>
            <w:r>
              <w:rPr>
                <w:rFonts w:ascii="Times New Roman"/>
                <w:sz w:val="18"/>
              </w:rPr>
              <w:t>77.00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393.24</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33" w:right="0"/>
              <w:jc w:val="center"/>
              <w:rPr>
                <w:rFonts w:ascii="Times New Roman" w:hAnsi="Times New Roman" w:cs="Times New Roman" w:eastAsia="Times New Roman" w:hint="default"/>
                <w:sz w:val="18"/>
                <w:szCs w:val="18"/>
              </w:rPr>
            </w:pPr>
            <w:r>
              <w:rPr>
                <w:rFonts w:ascii="Times New Roman"/>
                <w:sz w:val="18"/>
              </w:rPr>
              <w:t>8.00%</w:t>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04" w:lineRule="auto"/>
              <w:ind w:left="15" w:right="105"/>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3,932,3</w:t>
            </w:r>
          </w:p>
          <w:p>
            <w:pPr>
              <w:pStyle w:val="TableParagraph"/>
              <w:spacing w:line="240" w:lineRule="auto" w:before="93"/>
              <w:ind w:left="15" w:right="0"/>
              <w:jc w:val="left"/>
              <w:rPr>
                <w:rFonts w:ascii="Times New Roman" w:hAnsi="Times New Roman" w:cs="Times New Roman" w:eastAsia="Times New Roman" w:hint="default"/>
                <w:sz w:val="18"/>
                <w:szCs w:val="18"/>
              </w:rPr>
            </w:pPr>
            <w:r>
              <w:rPr>
                <w:rFonts w:ascii="Times New Roman"/>
                <w:sz w:val="18"/>
              </w:rPr>
              <w:t>77.00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09</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304" w:lineRule="auto"/>
              <w:ind w:left="30" w:right="58"/>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0" w:right="88"/>
              <w:jc w:val="left"/>
              <w:rPr>
                <w:rFonts w:ascii="宋体" w:hAnsi="宋体" w:cs="宋体" w:eastAsia="宋体" w:hint="default"/>
                <w:sz w:val="18"/>
                <w:szCs w:val="18"/>
              </w:rPr>
            </w:pPr>
            <w:r>
              <w:rPr>
                <w:rFonts w:ascii="宋体" w:hAnsi="宋体" w:cs="宋体" w:eastAsia="宋体" w:hint="default"/>
                <w:sz w:val="18"/>
                <w:szCs w:val="18"/>
              </w:rPr>
              <w:t>同一控 制</w:t>
            </w: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30" w:right="103"/>
              <w:jc w:val="both"/>
              <w:rPr>
                <w:rFonts w:ascii="宋体" w:hAnsi="宋体" w:cs="宋体" w:eastAsia="宋体" w:hint="default"/>
                <w:sz w:val="18"/>
                <w:szCs w:val="18"/>
              </w:rPr>
            </w:pPr>
            <w:r>
              <w:rPr>
                <w:rFonts w:ascii="宋体" w:hAnsi="宋体" w:cs="宋体" w:eastAsia="宋体" w:hint="default"/>
                <w:sz w:val="18"/>
                <w:szCs w:val="18"/>
              </w:rPr>
              <w:t>向关联 方承租 房屋</w:t>
            </w:r>
          </w:p>
        </w:tc>
        <w:tc>
          <w:tcPr>
            <w:tcW w:w="7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135"/>
              <w:jc w:val="left"/>
              <w:rPr>
                <w:rFonts w:ascii="宋体" w:hAnsi="宋体" w:cs="宋体" w:eastAsia="宋体" w:hint="default"/>
                <w:sz w:val="18"/>
                <w:szCs w:val="18"/>
              </w:rPr>
            </w:pPr>
            <w:r>
              <w:rPr>
                <w:rFonts w:ascii="宋体" w:hAnsi="宋体" w:cs="宋体" w:eastAsia="宋体" w:hint="default"/>
                <w:sz w:val="18"/>
                <w:szCs w:val="18"/>
              </w:rPr>
              <w:t>承租营 业房屋</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105"/>
              <w:jc w:val="left"/>
              <w:rPr>
                <w:rFonts w:ascii="宋体" w:hAnsi="宋体" w:cs="宋体" w:eastAsia="宋体" w:hint="default"/>
                <w:sz w:val="18"/>
                <w:szCs w:val="18"/>
              </w:rPr>
            </w:pPr>
            <w:r>
              <w:rPr>
                <w:rFonts w:ascii="宋体" w:hAnsi="宋体" w:cs="宋体" w:eastAsia="宋体" w:hint="default"/>
                <w:sz w:val="18"/>
                <w:szCs w:val="18"/>
              </w:rPr>
              <w:t>市场价 格</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13,730,</w:t>
            </w:r>
          </w:p>
          <w:p>
            <w:pPr>
              <w:pStyle w:val="TableParagraph"/>
              <w:spacing w:line="240" w:lineRule="auto" w:before="93"/>
              <w:ind w:left="15" w:right="0"/>
              <w:jc w:val="left"/>
              <w:rPr>
                <w:rFonts w:ascii="Times New Roman" w:hAnsi="Times New Roman" w:cs="Times New Roman" w:eastAsia="Times New Roman" w:hint="default"/>
                <w:sz w:val="18"/>
                <w:szCs w:val="18"/>
              </w:rPr>
            </w:pPr>
            <w:r>
              <w:rPr>
                <w:rFonts w:ascii="Times New Roman"/>
                <w:sz w:val="18"/>
              </w:rPr>
              <w:t>000.00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1,373</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1,500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105"/>
              <w:jc w:val="left"/>
              <w:rPr>
                <w:rFonts w:ascii="宋体" w:hAnsi="宋体" w:cs="宋体" w:eastAsia="宋体" w:hint="default"/>
                <w:sz w:val="18"/>
                <w:szCs w:val="18"/>
              </w:rPr>
            </w:pPr>
            <w:r>
              <w:rPr>
                <w:rFonts w:ascii="宋体" w:hAnsi="宋体" w:cs="宋体" w:eastAsia="宋体" w:hint="default"/>
                <w:sz w:val="18"/>
                <w:szCs w:val="18"/>
              </w:rPr>
              <w:t>银行转 账</w:t>
            </w: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13,730,</w:t>
            </w:r>
          </w:p>
          <w:p>
            <w:pPr>
              <w:pStyle w:val="TableParagraph"/>
              <w:spacing w:line="240" w:lineRule="auto" w:before="93"/>
              <w:ind w:left="15" w:right="0"/>
              <w:jc w:val="left"/>
              <w:rPr>
                <w:rFonts w:ascii="Times New Roman" w:hAnsi="Times New Roman" w:cs="Times New Roman" w:eastAsia="Times New Roman" w:hint="default"/>
                <w:sz w:val="18"/>
                <w:szCs w:val="18"/>
              </w:rPr>
            </w:pPr>
            <w:r>
              <w:rPr>
                <w:rFonts w:ascii="Times New Roman"/>
                <w:sz w:val="18"/>
              </w:rPr>
              <w:t>000.00</w:t>
            </w:r>
          </w:p>
        </w:tc>
        <w:tc>
          <w:tcPr>
            <w:tcW w:w="6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75"/>
                <w:sz w:val="18"/>
                <w:szCs w:val="18"/>
              </w:rPr>
              <w:t> </w:t>
            </w:r>
            <w:r>
              <w:rPr>
                <w:rFonts w:ascii="Times New Roman" w:hAnsi="Times New Roman" w:cs="Times New Roman" w:eastAsia="Times New Roman" w:hint="default"/>
                <w:sz w:val="18"/>
                <w:szCs w:val="18"/>
              </w:rPr>
              <w:t>09</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30" w:right="58"/>
              <w:jc w:val="left"/>
              <w:rPr>
                <w:rFonts w:ascii="宋体" w:hAnsi="宋体" w:cs="宋体" w:eastAsia="宋体" w:hint="default"/>
                <w:sz w:val="18"/>
                <w:szCs w:val="18"/>
              </w:rPr>
            </w:pPr>
            <w:r>
              <w:rPr>
                <w:rFonts w:ascii="宋体" w:hAnsi="宋体" w:cs="宋体" w:eastAsia="宋体" w:hint="default"/>
                <w:sz w:val="18"/>
                <w:szCs w:val="18"/>
              </w:rPr>
              <w:t>巨潮资 讯网</w:t>
            </w:r>
          </w:p>
        </w:tc>
      </w:tr>
      <w:tr>
        <w:trPr>
          <w:trHeight w:val="158" w:hRule="exact"/>
        </w:trPr>
        <w:tc>
          <w:tcPr>
            <w:tcW w:w="2869" w:type="dxa"/>
            <w:gridSpan w:val="4"/>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vMerge w:val="restart"/>
            <w:tcBorders>
              <w:top w:val="single" w:sz="6" w:space="0" w:color="000000"/>
              <w:left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6,291.1</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7</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675"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11,500</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7"/>
              <w:jc w:val="center"/>
              <w:rPr>
                <w:rFonts w:ascii="Times New Roman" w:hAnsi="Times New Roman" w:cs="Times New Roman" w:eastAsia="Times New Roman" w:hint="default"/>
                <w:sz w:val="18"/>
                <w:szCs w:val="18"/>
              </w:rPr>
            </w:pPr>
            <w:r>
              <w:rPr>
                <w:rFonts w:ascii="Times New Roman"/>
                <w:sz w:val="18"/>
              </w:rPr>
              <w:t>--</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66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67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4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2869" w:type="dxa"/>
            <w:gridSpan w:val="4"/>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28"/>
              <w:jc w:val="center"/>
              <w:rPr>
                <w:rFonts w:ascii="Times New Roman" w:hAnsi="Times New Roman" w:cs="Times New Roman" w:eastAsia="Times New Roman" w:hint="default"/>
                <w:sz w:val="18"/>
                <w:szCs w:val="18"/>
              </w:rPr>
            </w:pPr>
            <w:r>
              <w:rPr>
                <w:rFonts w:ascii="Times New Roman"/>
                <w:sz w:val="18"/>
              </w:rPr>
              <w:t>--</w:t>
            </w:r>
          </w:p>
        </w:tc>
        <w:tc>
          <w:tcPr>
            <w:tcW w:w="676" w:type="dxa"/>
            <w:vMerge/>
            <w:tcBorders>
              <w:left w:val="single" w:sz="6" w:space="0" w:color="000000"/>
              <w:right w:val="single" w:sz="6" w:space="0" w:color="000000"/>
            </w:tcBorders>
          </w:tcPr>
          <w:p>
            <w:pPr/>
          </w:p>
        </w:tc>
        <w:tc>
          <w:tcPr>
            <w:tcW w:w="676" w:type="dxa"/>
            <w:vMerge/>
            <w:tcBorders>
              <w:left w:val="single" w:sz="6" w:space="0" w:color="000000"/>
              <w:right w:val="single" w:sz="6" w:space="0" w:color="000000"/>
            </w:tcBorders>
            <w:shd w:val="clear" w:color="auto" w:fill="D2D2D2"/>
          </w:tcPr>
          <w:p>
            <w:pPr/>
          </w:p>
        </w:tc>
        <w:tc>
          <w:tcPr>
            <w:tcW w:w="675" w:type="dxa"/>
            <w:vMerge/>
            <w:tcBorders>
              <w:left w:val="single" w:sz="6" w:space="0" w:color="000000"/>
              <w:right w:val="single" w:sz="6" w:space="0" w:color="000000"/>
            </w:tcBorders>
          </w:tcPr>
          <w:p>
            <w:pPr/>
          </w:p>
        </w:tc>
        <w:tc>
          <w:tcPr>
            <w:tcW w:w="676"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46" w:type="dxa"/>
            <w:vMerge/>
            <w:tcBorders>
              <w:left w:val="single" w:sz="6" w:space="0" w:color="000000"/>
              <w:right w:val="single" w:sz="6" w:space="0" w:color="000000"/>
            </w:tcBorders>
            <w:shd w:val="clear" w:color="auto" w:fill="D2D2D2"/>
          </w:tcPr>
          <w:p>
            <w:pPr/>
          </w:p>
        </w:tc>
      </w:tr>
      <w:tr>
        <w:trPr>
          <w:trHeight w:val="173" w:hRule="exact"/>
        </w:trPr>
        <w:tc>
          <w:tcPr>
            <w:tcW w:w="2869" w:type="dxa"/>
            <w:gridSpan w:val="4"/>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75" w:type="dxa"/>
            <w:vMerge/>
            <w:tcBorders>
              <w:left w:val="single" w:sz="6" w:space="0" w:color="000000"/>
              <w:bottom w:val="single" w:sz="6" w:space="0" w:color="000000"/>
              <w:right w:val="single" w:sz="6" w:space="0" w:color="000000"/>
            </w:tcBorders>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61" w:type="dxa"/>
            <w:vMerge/>
            <w:tcBorders>
              <w:left w:val="single" w:sz="6" w:space="0" w:color="000000"/>
              <w:bottom w:val="single" w:sz="6" w:space="0" w:color="000000"/>
              <w:right w:val="single" w:sz="6" w:space="0" w:color="000000"/>
            </w:tcBorders>
            <w:shd w:val="clear" w:color="auto" w:fill="D2D2D2"/>
          </w:tcPr>
          <w:p>
            <w:pPr/>
          </w:p>
        </w:tc>
        <w:tc>
          <w:tcPr>
            <w:tcW w:w="676" w:type="dxa"/>
            <w:vMerge/>
            <w:tcBorders>
              <w:left w:val="single" w:sz="6" w:space="0" w:color="000000"/>
              <w:bottom w:val="single" w:sz="6" w:space="0" w:color="000000"/>
              <w:right w:val="single" w:sz="6" w:space="0" w:color="000000"/>
            </w:tcBorders>
            <w:shd w:val="clear" w:color="auto" w:fill="D2D2D2"/>
          </w:tcPr>
          <w:p>
            <w:pPr/>
          </w:p>
        </w:tc>
        <w:tc>
          <w:tcPr>
            <w:tcW w:w="64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86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713" w:type="dxa"/>
            <w:gridSpan w:val="10"/>
            <w:tcBorders>
              <w:top w:val="single" w:sz="6" w:space="0" w:color="000000"/>
              <w:left w:val="single" w:sz="18" w:space="0" w:color="D2D2D2"/>
              <w:bottom w:val="single" w:sz="6" w:space="0" w:color="000000"/>
              <w:right w:val="single" w:sz="6" w:space="0" w:color="000000"/>
            </w:tcBorders>
          </w:tcPr>
          <w:p>
            <w:pPr>
              <w:pStyle w:val="TableParagraph"/>
              <w:spacing w:line="240" w:lineRule="auto" w:before="29"/>
              <w:ind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1" w:hRule="exact"/>
        </w:trPr>
        <w:tc>
          <w:tcPr>
            <w:tcW w:w="286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31"/>
              <w:jc w:val="left"/>
              <w:rPr>
                <w:rFonts w:ascii="宋体" w:hAnsi="宋体" w:cs="宋体" w:eastAsia="宋体" w:hint="default"/>
                <w:sz w:val="18"/>
                <w:szCs w:val="18"/>
              </w:rPr>
            </w:pPr>
            <w:r>
              <w:rPr>
                <w:rFonts w:ascii="宋体" w:hAnsi="宋体" w:cs="宋体" w:eastAsia="宋体" w:hint="default"/>
                <w:sz w:val="18"/>
                <w:szCs w:val="18"/>
              </w:rPr>
              <w:t>按类别对本期将发生的日常关联交 </w:t>
            </w:r>
            <w:r>
              <w:rPr>
                <w:rFonts w:ascii="宋体" w:hAnsi="宋体" w:cs="宋体" w:eastAsia="宋体" w:hint="default"/>
                <w:spacing w:val="-5"/>
                <w:sz w:val="18"/>
                <w:szCs w:val="18"/>
              </w:rPr>
              <w:t>易进行总金额预计的，在报告期内的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实际履行情况（如有）</w:t>
            </w:r>
          </w:p>
        </w:tc>
        <w:tc>
          <w:tcPr>
            <w:tcW w:w="6713" w:type="dxa"/>
            <w:gridSpan w:val="10"/>
            <w:tcBorders>
              <w:top w:val="single" w:sz="6" w:space="0" w:color="000000"/>
              <w:left w:val="single" w:sz="18" w:space="0" w:color="D2D2D2"/>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没有超出经股东大会批准的本年度关联交易金额范围</w:t>
            </w:r>
          </w:p>
        </w:tc>
      </w:tr>
      <w:tr>
        <w:trPr>
          <w:trHeight w:val="705" w:hRule="exact"/>
        </w:trPr>
        <w:tc>
          <w:tcPr>
            <w:tcW w:w="286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36"/>
              <w:jc w:val="left"/>
              <w:rPr>
                <w:rFonts w:ascii="宋体" w:hAnsi="宋体" w:cs="宋体" w:eastAsia="宋体" w:hint="default"/>
                <w:sz w:val="18"/>
                <w:szCs w:val="18"/>
              </w:rPr>
            </w:pPr>
            <w:r>
              <w:rPr>
                <w:rFonts w:ascii="宋体" w:hAnsi="宋体" w:cs="宋体" w:eastAsia="宋体" w:hint="default"/>
                <w:sz w:val="18"/>
                <w:szCs w:val="18"/>
              </w:rPr>
              <w:t>交易价格与市场参考价格差异较大 的原因（如适用）</w:t>
            </w:r>
          </w:p>
        </w:tc>
        <w:tc>
          <w:tcPr>
            <w:tcW w:w="6713" w:type="dxa"/>
            <w:gridSpan w:val="10"/>
            <w:tcBorders>
              <w:top w:val="single" w:sz="6" w:space="0" w:color="000000"/>
              <w:left w:val="single" w:sz="18"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both"/>
        <w:rPr>
          <w:b w:val="0"/>
          <w:bCs w:val="0"/>
        </w:rPr>
      </w:pPr>
      <w:bookmarkStart w:name="2、资产或股权收购、出售发生的关联交易" w:id="80"/>
      <w:bookmarkEnd w:id="80"/>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64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公司报告期未发生资产或股权收购、出售的关联交易。</w:t>
      </w: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bookmarkStart w:name="3、共同对外投资的关联交易" w:id="81"/>
      <w:bookmarkEnd w:id="81"/>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7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公司报告期未发生共同对外投资的关联交易。</w:t>
      </w:r>
    </w:p>
    <w:p>
      <w:pPr>
        <w:spacing w:line="240" w:lineRule="auto" w:before="6"/>
        <w:rPr>
          <w:rFonts w:ascii="宋体" w:hAnsi="宋体" w:cs="宋体" w:eastAsia="宋体" w:hint="default"/>
          <w:sz w:val="23"/>
          <w:szCs w:val="23"/>
        </w:rPr>
      </w:pPr>
    </w:p>
    <w:p>
      <w:pPr>
        <w:pStyle w:val="Heading5"/>
        <w:spacing w:line="240" w:lineRule="auto"/>
        <w:ind w:right="0"/>
        <w:jc w:val="both"/>
        <w:rPr>
          <w:b w:val="0"/>
          <w:bCs w:val="0"/>
        </w:rPr>
      </w:pPr>
      <w:bookmarkStart w:name="4、关联债权债务往来" w:id="82"/>
      <w:bookmarkEnd w:id="82"/>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76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公司报告期不存在关联债权债务往来。</w:t>
      </w:r>
    </w:p>
    <w:p>
      <w:pPr>
        <w:spacing w:line="240" w:lineRule="auto" w:before="6"/>
        <w:rPr>
          <w:rFonts w:ascii="宋体" w:hAnsi="宋体" w:cs="宋体" w:eastAsia="宋体" w:hint="default"/>
          <w:sz w:val="23"/>
          <w:szCs w:val="23"/>
        </w:rPr>
      </w:pPr>
    </w:p>
    <w:p>
      <w:pPr>
        <w:pStyle w:val="Heading5"/>
        <w:spacing w:line="240" w:lineRule="auto"/>
        <w:ind w:right="0"/>
        <w:jc w:val="both"/>
        <w:rPr>
          <w:b w:val="0"/>
          <w:bCs w:val="0"/>
        </w:rPr>
      </w:pPr>
      <w:bookmarkStart w:name="5、其他重大关联交易" w:id="83"/>
      <w:bookmarkEnd w:id="83"/>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3"/>
        <w:rPr>
          <w:rFonts w:ascii="宋体" w:hAnsi="宋体" w:cs="宋体" w:eastAsia="宋体" w:hint="default"/>
          <w:b/>
          <w:bCs/>
          <w:sz w:val="25"/>
          <w:szCs w:val="25"/>
        </w:rPr>
      </w:pPr>
    </w:p>
    <w:p>
      <w:pPr>
        <w:pStyle w:val="BodyText"/>
        <w:spacing w:line="42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w:t>
      </w:r>
      <w:r>
        <w:rPr>
          <w:spacing w:val="-2"/>
        </w:rPr>
        <w:t>公司第四届董事会第十五次会议与公司第四届监事会第十三次会议审议通过了《关于接受控股股东财务资助的议案》，控股</w:t>
      </w:r>
    </w:p>
    <w:p>
      <w:pPr>
        <w:pStyle w:val="BodyText"/>
        <w:spacing w:line="460" w:lineRule="auto" w:before="95"/>
        <w:ind w:right="1115"/>
        <w:jc w:val="both"/>
      </w:pPr>
      <w:r>
        <w:rPr>
          <w:spacing w:val="-1"/>
        </w:rPr>
        <w:t>股东上海华服投资有限公司拟向本公司提供总额度不超过</w:t>
      </w:r>
      <w:r>
        <w:rPr>
          <w:rFonts w:ascii="Times New Roman" w:hAnsi="Times New Roman" w:cs="Times New Roman" w:eastAsia="Times New Roman" w:hint="default"/>
          <w:spacing w:val="-1"/>
        </w:rPr>
        <w:t>50,000</w:t>
      </w:r>
      <w:r>
        <w:rPr>
          <w:spacing w:val="-1"/>
        </w:rPr>
        <w:t>万元人民币的财务资助，借款利率执行中国人民银行同期贷</w:t>
      </w:r>
      <w:r>
        <w:rPr>
          <w:spacing w:val="-59"/>
        </w:rPr>
        <w:t> </w:t>
      </w:r>
      <w:r>
        <w:rPr>
          <w:spacing w:val="-59"/>
        </w:rPr>
      </w:r>
      <w:r>
        <w:rPr>
          <w:spacing w:val="-2"/>
        </w:rPr>
        <w:t>款基准利率。报告期内，根据公司与控股股东上海华服投资有限公司签署的《财务资助协议》，公司从华服投资共计拆入资</w:t>
      </w:r>
      <w:r>
        <w:rPr>
          <w:spacing w:val="-57"/>
        </w:rPr>
        <w:t> </w:t>
      </w:r>
      <w:r>
        <w:rPr>
          <w:spacing w:val="-57"/>
        </w:rPr>
      </w:r>
      <w:r>
        <w:rPr/>
        <w:t>金人民币</w:t>
      </w:r>
      <w:r>
        <w:rPr>
          <w:rFonts w:ascii="Times New Roman" w:hAnsi="Times New Roman" w:cs="Times New Roman" w:eastAsia="Times New Roman" w:hint="default"/>
        </w:rPr>
        <w:t>80,000,000</w:t>
      </w:r>
      <w:r>
        <w:rPr/>
        <w:t>元，借款年化利率为</w:t>
      </w:r>
      <w:r>
        <w:rPr>
          <w:rFonts w:ascii="Times New Roman" w:hAnsi="Times New Roman" w:cs="Times New Roman" w:eastAsia="Times New Roman" w:hint="default"/>
        </w:rPr>
        <w:t>4.35%</w:t>
      </w:r>
      <w:r>
        <w:rPr/>
        <w:t>，利息为人民币</w:t>
      </w:r>
      <w:r>
        <w:rPr>
          <w:rFonts w:ascii="Times New Roman" w:hAnsi="Times New Roman" w:cs="Times New Roman" w:eastAsia="Times New Roman" w:hint="default"/>
        </w:rPr>
        <w:t>556,438</w:t>
      </w:r>
      <w:r>
        <w:rPr/>
        <w:t>元。</w:t>
      </w:r>
    </w:p>
    <w:p>
      <w:pPr>
        <w:pStyle w:val="BodyText"/>
        <w:spacing w:line="240" w:lineRule="auto" w:before="2"/>
        <w:ind w:right="0"/>
        <w:jc w:val="both"/>
      </w:pPr>
      <w:r>
        <w:rPr/>
        <w:t>重大关联交易临时报告披露网站相关查询</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469"/>
        <w:gridCol w:w="2643"/>
        <w:gridCol w:w="3469"/>
      </w:tblGrid>
      <w:tr>
        <w:trPr>
          <w:trHeight w:val="405"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4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826"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06"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97"/>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上海美特斯邦威服饰股份有限公司关于接 受控股股东财务资助的关联交易公告</w:t>
            </w:r>
          </w:p>
        </w:tc>
        <w:tc>
          <w:tcPr>
            <w:tcW w:w="26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11"/>
        <w:rPr>
          <w:rFonts w:ascii="宋体" w:hAnsi="宋体" w:cs="宋体" w:eastAsia="宋体" w:hint="default"/>
          <w:sz w:val="17"/>
          <w:szCs w:val="17"/>
        </w:rPr>
      </w:pPr>
    </w:p>
    <w:p>
      <w:pPr>
        <w:pStyle w:val="Heading2"/>
        <w:spacing w:line="240" w:lineRule="auto" w:before="26"/>
        <w:ind w:right="0"/>
        <w:jc w:val="left"/>
        <w:rPr>
          <w:b w:val="0"/>
          <w:bCs w:val="0"/>
        </w:rPr>
      </w:pPr>
      <w:bookmarkStart w:name="十七、重大合同及其履行情况" w:id="84"/>
      <w:bookmarkEnd w:id="84"/>
      <w:r>
        <w:rPr>
          <w:b w:val="0"/>
          <w:bCs w:val="0"/>
        </w:rPr>
      </w:r>
      <w:r>
        <w:rPr/>
        <w:t>十七、重大合同及其履行情况</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托管、承包、租赁事项情况" w:id="85"/>
      <w:bookmarkEnd w:id="85"/>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托管情况" w:id="86"/>
      <w:bookmarkEnd w:id="86"/>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公司报告期不存在托管情况。</w:t>
      </w:r>
    </w:p>
    <w:p>
      <w:pPr>
        <w:spacing w:line="240" w:lineRule="auto" w:before="5"/>
        <w:rPr>
          <w:rFonts w:ascii="宋体" w:hAnsi="宋体" w:cs="宋体" w:eastAsia="宋体" w:hint="default"/>
          <w:sz w:val="23"/>
          <w:szCs w:val="23"/>
        </w:rPr>
      </w:pPr>
    </w:p>
    <w:p>
      <w:pPr>
        <w:pStyle w:val="Heading5"/>
        <w:spacing w:line="240" w:lineRule="auto"/>
        <w:ind w:right="0"/>
        <w:jc w:val="left"/>
        <w:rPr>
          <w:b w:val="0"/>
          <w:bCs w:val="0"/>
        </w:rPr>
      </w:pPr>
      <w:bookmarkStart w:name="（2）承包情况" w:id="87"/>
      <w:bookmarkEnd w:id="87"/>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公司报告期不存在承包情况。</w:t>
      </w:r>
    </w:p>
    <w:p>
      <w:pPr>
        <w:spacing w:after="0" w:line="319"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5"/>
        <w:spacing w:line="240" w:lineRule="auto" w:before="35"/>
        <w:ind w:right="0"/>
        <w:jc w:val="left"/>
        <w:rPr>
          <w:b w:val="0"/>
          <w:bCs w:val="0"/>
        </w:rPr>
      </w:pPr>
      <w:bookmarkStart w:name="（3）租赁情况" w:id="88"/>
      <w:bookmarkEnd w:id="88"/>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公司报告期不存在租赁情况。</w:t>
      </w:r>
    </w:p>
    <w:p>
      <w:pPr>
        <w:spacing w:line="240" w:lineRule="auto" w:before="3"/>
        <w:rPr>
          <w:rFonts w:ascii="宋体" w:hAnsi="宋体" w:cs="宋体" w:eastAsia="宋体" w:hint="default"/>
          <w:sz w:val="25"/>
          <w:szCs w:val="25"/>
        </w:rPr>
      </w:pPr>
    </w:p>
    <w:p>
      <w:pPr>
        <w:pStyle w:val="Heading5"/>
        <w:spacing w:line="240" w:lineRule="auto"/>
        <w:ind w:right="0"/>
        <w:jc w:val="left"/>
        <w:rPr>
          <w:b w:val="0"/>
          <w:bCs w:val="0"/>
        </w:rPr>
      </w:pPr>
      <w:bookmarkStart w:name="2、重大担保" w:id="89"/>
      <w:bookmarkEnd w:id="89"/>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公司报告期不存在担保情况。</w:t>
      </w:r>
    </w:p>
    <w:p>
      <w:pPr>
        <w:spacing w:line="240" w:lineRule="auto" w:before="6"/>
        <w:rPr>
          <w:rFonts w:ascii="宋体" w:hAnsi="宋体" w:cs="宋体" w:eastAsia="宋体" w:hint="default"/>
          <w:sz w:val="23"/>
          <w:szCs w:val="23"/>
        </w:rPr>
      </w:pPr>
    </w:p>
    <w:p>
      <w:pPr>
        <w:pStyle w:val="Heading5"/>
        <w:spacing w:line="240" w:lineRule="auto"/>
        <w:ind w:right="0"/>
        <w:jc w:val="left"/>
        <w:rPr>
          <w:b w:val="0"/>
          <w:bCs w:val="0"/>
        </w:rPr>
      </w:pPr>
      <w:bookmarkStart w:name="3、委托他人进行现金资产管理情况" w:id="90"/>
      <w:bookmarkEnd w:id="90"/>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0"/>
        <w:jc w:val="left"/>
        <w:rPr>
          <w:b w:val="0"/>
          <w:bCs w:val="0"/>
        </w:rPr>
      </w:pPr>
      <w:bookmarkStart w:name="（1）委托理财情况" w:id="91"/>
      <w:bookmarkEnd w:id="91"/>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5"/>
        <w:rPr>
          <w:rFonts w:ascii="宋体" w:hAnsi="宋体" w:cs="宋体" w:eastAsia="宋体" w:hint="default"/>
          <w:b/>
          <w:bCs/>
          <w:sz w:val="26"/>
          <w:szCs w:val="26"/>
        </w:rPr>
      </w:pPr>
    </w:p>
    <w:p>
      <w:pPr>
        <w:pStyle w:val="BodyText"/>
        <w:spacing w:line="331"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公司报告期不存在委托理财。</w:t>
      </w:r>
    </w:p>
    <w:p>
      <w:pPr>
        <w:spacing w:line="240" w:lineRule="auto" w:before="5"/>
        <w:rPr>
          <w:rFonts w:ascii="宋体" w:hAnsi="宋体" w:cs="宋体" w:eastAsia="宋体" w:hint="default"/>
          <w:sz w:val="23"/>
          <w:szCs w:val="23"/>
        </w:rPr>
      </w:pPr>
    </w:p>
    <w:p>
      <w:pPr>
        <w:pStyle w:val="Heading5"/>
        <w:spacing w:line="240" w:lineRule="auto"/>
        <w:ind w:right="0"/>
        <w:jc w:val="left"/>
        <w:rPr>
          <w:b w:val="0"/>
          <w:bCs w:val="0"/>
        </w:rPr>
      </w:pPr>
      <w:bookmarkStart w:name="（2）委托贷款情况" w:id="92"/>
      <w:bookmarkEnd w:id="92"/>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3"/>
        <w:rPr>
          <w:rFonts w:ascii="宋体" w:hAnsi="宋体" w:cs="宋体" w:eastAsia="宋体" w:hint="default"/>
          <w:b/>
          <w:bCs/>
          <w:sz w:val="25"/>
          <w:szCs w:val="25"/>
        </w:rPr>
      </w:pPr>
    </w:p>
    <w:p>
      <w:pPr>
        <w:pStyle w:val="BodyText"/>
        <w:spacing w:line="333" w:lineRule="auto"/>
        <w:ind w:right="84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公司报告期不存在委托贷款。</w:t>
      </w:r>
    </w:p>
    <w:p>
      <w:pPr>
        <w:spacing w:line="240" w:lineRule="auto" w:before="4"/>
        <w:rPr>
          <w:rFonts w:ascii="宋体" w:hAnsi="宋体" w:cs="宋体" w:eastAsia="宋体" w:hint="default"/>
          <w:sz w:val="23"/>
          <w:szCs w:val="23"/>
        </w:rPr>
      </w:pPr>
    </w:p>
    <w:p>
      <w:pPr>
        <w:pStyle w:val="Heading5"/>
        <w:spacing w:line="240" w:lineRule="auto"/>
        <w:ind w:right="0"/>
        <w:jc w:val="left"/>
        <w:rPr>
          <w:b w:val="0"/>
          <w:bCs w:val="0"/>
        </w:rPr>
      </w:pPr>
      <w:bookmarkStart w:name="4、其他重大合同" w:id="93"/>
      <w:bookmarkEnd w:id="93"/>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3"/>
        <w:rPr>
          <w:rFonts w:ascii="宋体" w:hAnsi="宋体" w:cs="宋体" w:eastAsia="宋体" w:hint="default"/>
          <w:b/>
          <w:bCs/>
          <w:sz w:val="25"/>
          <w:szCs w:val="25"/>
        </w:rPr>
      </w:pPr>
    </w:p>
    <w:p>
      <w:pPr>
        <w:pStyle w:val="BodyText"/>
        <w:spacing w:line="333" w:lineRule="auto"/>
        <w:ind w:right="80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公司报告期不存在其他重大合同。</w:t>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bookmarkStart w:name="十八、社会责任情况" w:id="94"/>
      <w:bookmarkEnd w:id="94"/>
      <w:r>
        <w:rPr>
          <w:b w:val="0"/>
          <w:bCs w:val="0"/>
        </w:rPr>
      </w:r>
      <w:r>
        <w:rPr/>
        <w:t>十八、社会责任情况</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履行社会责任情况" w:id="95"/>
      <w:bookmarkEnd w:id="95"/>
      <w:r>
        <w:rPr>
          <w:b w:val="0"/>
          <w:bCs w:val="0"/>
        </w:rPr>
      </w:r>
      <w:r>
        <w:rPr>
          <w:rFonts w:ascii="Times New Roman" w:hAnsi="Times New Roman" w:cs="Times New Roman" w:eastAsia="Times New Roman" w:hint="default"/>
        </w:rPr>
        <w:t>1</w:t>
      </w:r>
      <w:r>
        <w:rPr/>
        <w:t>、履行社会责任情况</w:t>
      </w:r>
      <w:r>
        <w:rPr>
          <w:b w:val="0"/>
          <w:bCs w:val="0"/>
        </w:rPr>
      </w:r>
    </w:p>
    <w:p>
      <w:pPr>
        <w:spacing w:line="240" w:lineRule="auto" w:before="3"/>
        <w:rPr>
          <w:rFonts w:ascii="宋体" w:hAnsi="宋体" w:cs="宋体" w:eastAsia="宋体" w:hint="default"/>
          <w:b/>
          <w:bCs/>
          <w:sz w:val="25"/>
          <w:szCs w:val="25"/>
        </w:rPr>
      </w:pPr>
    </w:p>
    <w:p>
      <w:pPr>
        <w:pStyle w:val="BodyText"/>
        <w:spacing w:line="304" w:lineRule="auto"/>
        <w:ind w:right="0"/>
        <w:jc w:val="left"/>
      </w:pPr>
      <w:r>
        <w:rPr>
          <w:spacing w:val="-1"/>
        </w:rPr>
        <w:t>公司已同期对外披露了《</w:t>
      </w:r>
      <w:r>
        <w:rPr>
          <w:rFonts w:ascii="Times New Roman" w:hAnsi="Times New Roman" w:cs="Times New Roman" w:eastAsia="Times New Roman" w:hint="default"/>
          <w:spacing w:val="-1"/>
        </w:rPr>
        <w:t>2019</w:t>
      </w:r>
      <w:r>
        <w:rPr>
          <w:spacing w:val="-1"/>
        </w:rPr>
        <w:t>年度社会责任报告》，详细内容请登录深圳证券交易所网站（</w:t>
      </w:r>
      <w:hyperlink r:id="rId12">
        <w:r>
          <w:rPr>
            <w:rFonts w:ascii="Times New Roman" w:hAnsi="Times New Roman" w:cs="Times New Roman" w:eastAsia="Times New Roman" w:hint="default"/>
            <w:spacing w:val="-1"/>
          </w:rPr>
          <w:t>http://www.szse.cn</w:t>
        </w:r>
      </w:hyperlink>
      <w:r>
        <w:rPr>
          <w:spacing w:val="-1"/>
        </w:rPr>
        <w:t>）或巨潮资讯</w:t>
      </w:r>
      <w:r>
        <w:rPr>
          <w:spacing w:val="-38"/>
        </w:rPr>
        <w:t> </w:t>
      </w:r>
      <w:r>
        <w:rPr/>
        <w:t>网（</w:t>
      </w:r>
      <w:hyperlink r:id="rId11">
        <w:r>
          <w:rPr>
            <w:rFonts w:ascii="Times New Roman" w:hAnsi="Times New Roman" w:cs="Times New Roman" w:eastAsia="Times New Roman" w:hint="default"/>
          </w:rPr>
          <w:t>http://www.cninfo.com.cn</w:t>
        </w:r>
      </w:hyperlink>
      <w:r>
        <w:rPr/>
        <w:t>）进行查询。</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2、履行精准扶贫社会责任情况" w:id="96"/>
      <w:bookmarkEnd w:id="96"/>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环境保护相关的情况" w:id="97"/>
      <w:bookmarkEnd w:id="97"/>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3"/>
        <w:rPr>
          <w:rFonts w:ascii="宋体" w:hAnsi="宋体" w:cs="宋体" w:eastAsia="宋体" w:hint="default"/>
          <w:b/>
          <w:bCs/>
          <w:sz w:val="25"/>
          <w:szCs w:val="25"/>
        </w:rPr>
      </w:pPr>
    </w:p>
    <w:p>
      <w:pPr>
        <w:pStyle w:val="BodyText"/>
        <w:spacing w:line="352" w:lineRule="auto"/>
        <w:ind w:right="5709"/>
        <w:jc w:val="left"/>
      </w:pPr>
      <w:r>
        <w:rPr/>
        <w:t>上市公司及其子公司是否属于环境保护部门公布的重点排污单位 不适用</w:t>
      </w:r>
    </w:p>
    <w:p>
      <w:pPr>
        <w:pStyle w:val="BodyText"/>
        <w:spacing w:line="240" w:lineRule="auto" w:before="40"/>
        <w:ind w:right="0"/>
        <w:jc w:val="left"/>
      </w:pPr>
      <w:r>
        <w:rPr/>
        <w:t>无</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bookmarkStart w:name="十九、其他重大事项的说明" w:id="98"/>
      <w:bookmarkEnd w:id="98"/>
      <w:r>
        <w:rPr>
          <w:b w:val="0"/>
          <w:bCs w:val="0"/>
        </w:rPr>
      </w:r>
      <w:r>
        <w:rPr/>
        <w:t>十九、其他重大事项的说明</w:t>
      </w:r>
      <w:r>
        <w:rPr>
          <w:b w:val="0"/>
          <w:bCs w:val="0"/>
        </w:rPr>
      </w:r>
    </w:p>
    <w:p>
      <w:pPr>
        <w:spacing w:line="240" w:lineRule="auto" w:before="3"/>
        <w:rPr>
          <w:rFonts w:ascii="宋体" w:hAnsi="宋体" w:cs="宋体" w:eastAsia="宋体" w:hint="default"/>
          <w:b/>
          <w:bCs/>
          <w:sz w:val="27"/>
          <w:szCs w:val="27"/>
        </w:rPr>
      </w:pPr>
    </w:p>
    <w:p>
      <w:pPr>
        <w:pStyle w:val="BodyText"/>
        <w:spacing w:line="319" w:lineRule="auto"/>
        <w:ind w:right="7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公司报告期不存在需要说明的其他重大事项。</w:t>
      </w:r>
    </w:p>
    <w:p>
      <w:pPr>
        <w:spacing w:line="240" w:lineRule="auto" w:before="8"/>
        <w:rPr>
          <w:rFonts w:ascii="宋体" w:hAnsi="宋体" w:cs="宋体" w:eastAsia="宋体" w:hint="default"/>
          <w:sz w:val="22"/>
          <w:szCs w:val="22"/>
        </w:rPr>
      </w:pPr>
    </w:p>
    <w:p>
      <w:pPr>
        <w:pStyle w:val="Heading2"/>
        <w:spacing w:line="240" w:lineRule="auto"/>
        <w:ind w:right="0"/>
        <w:jc w:val="left"/>
        <w:rPr>
          <w:b w:val="0"/>
          <w:bCs w:val="0"/>
        </w:rPr>
      </w:pPr>
      <w:bookmarkStart w:name="二十、公司子公司重大事项" w:id="99"/>
      <w:bookmarkEnd w:id="99"/>
      <w:r>
        <w:rPr>
          <w:b w:val="0"/>
          <w:bCs w:val="0"/>
        </w:rPr>
      </w:r>
      <w:r>
        <w:rPr/>
        <w:t>二十、公司子公司重大事项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040" w:right="0"/>
        <w:jc w:val="left"/>
        <w:rPr>
          <w:b w:val="0"/>
          <w:bCs w:val="0"/>
        </w:rPr>
      </w:pPr>
      <w:bookmarkStart w:name="第六节股份变动及股东情况" w:id="100"/>
      <w:bookmarkEnd w:id="100"/>
      <w:r>
        <w:rPr>
          <w:b w:val="0"/>
          <w:bCs w:val="0"/>
        </w:rPr>
      </w:r>
      <w:bookmarkStart w:name="_bookmark5" w:id="101"/>
      <w:bookmarkEnd w:id="101"/>
      <w:r>
        <w:rPr>
          <w:b w:val="0"/>
          <w:bCs w:val="0"/>
        </w:rPr>
      </w:r>
      <w:r>
        <w:rPr>
          <w:spacing w:val="5"/>
        </w:rPr>
        <w:t>第六节股份变动及股东情况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2"/>
      <w:bookmarkEnd w:id="102"/>
      <w:r>
        <w:rPr>
          <w:b w:val="0"/>
          <w:bCs w:val="0"/>
        </w:rPr>
      </w:r>
      <w:r>
        <w:rPr/>
        <w:t>一、股份变动情况</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股份变动情况" w:id="103"/>
      <w:bookmarkEnd w:id="103"/>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215"/>
        <w:gridCol w:w="826"/>
        <w:gridCol w:w="826"/>
        <w:gridCol w:w="826"/>
        <w:gridCol w:w="826"/>
        <w:gridCol w:w="826"/>
        <w:gridCol w:w="811"/>
        <w:gridCol w:w="826"/>
        <w:gridCol w:w="796"/>
        <w:gridCol w:w="796"/>
      </w:tblGrid>
      <w:tr>
        <w:trPr>
          <w:trHeight w:val="405" w:hRule="exact"/>
        </w:trPr>
        <w:tc>
          <w:tcPr>
            <w:tcW w:w="2215" w:type="dxa"/>
            <w:tcBorders>
              <w:top w:val="single" w:sz="6" w:space="0" w:color="000000"/>
              <w:left w:val="single" w:sz="6" w:space="0" w:color="000000"/>
              <w:bottom w:val="nil" w:sz="6" w:space="0" w:color="auto"/>
              <w:right w:val="single" w:sz="6" w:space="0" w:color="000000"/>
            </w:tcBorders>
            <w:shd w:val="clear" w:color="auto" w:fill="D2D2D2"/>
          </w:tcPr>
          <w:p>
            <w:pPr/>
          </w:p>
        </w:tc>
        <w:tc>
          <w:tcPr>
            <w:tcW w:w="165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66"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4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58" w:hRule="exact"/>
        </w:trPr>
        <w:tc>
          <w:tcPr>
            <w:tcW w:w="2215" w:type="dxa"/>
            <w:vMerge w:val="restart"/>
            <w:tcBorders>
              <w:top w:val="nil" w:sz="6" w:space="0" w:color="auto"/>
              <w:left w:val="single" w:sz="6" w:space="0" w:color="000000"/>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299" w:right="59"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11"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95" w:hRule="exact"/>
        </w:trPr>
        <w:tc>
          <w:tcPr>
            <w:tcW w:w="2215" w:type="dxa"/>
            <w:vMerge/>
            <w:tcBorders>
              <w:left w:val="single" w:sz="6" w:space="0" w:color="000000"/>
              <w:bottom w:val="nil" w:sz="6" w:space="0" w:color="auto"/>
              <w:right w:val="single" w:sz="6" w:space="0" w:color="000000"/>
            </w:tcBorders>
            <w:shd w:val="clear" w:color="auto" w:fill="D2D2D2"/>
          </w:tcPr>
          <w:p>
            <w:pP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6" w:type="dxa"/>
            <w:vMerge/>
            <w:tcBorders>
              <w:left w:val="single" w:sz="6" w:space="0" w:color="000000"/>
              <w:right w:val="single" w:sz="6" w:space="0" w:color="000000"/>
            </w:tcBorders>
            <w:shd w:val="clear" w:color="auto" w:fill="D2D2D2"/>
          </w:tcPr>
          <w:p>
            <w:pPr/>
          </w:p>
        </w:tc>
        <w:tc>
          <w:tcPr>
            <w:tcW w:w="81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195" w:hRule="exact"/>
        </w:trPr>
        <w:tc>
          <w:tcPr>
            <w:tcW w:w="2215" w:type="dxa"/>
            <w:vMerge w:val="restart"/>
            <w:tcBorders>
              <w:top w:val="nil" w:sz="6" w:space="0" w:color="auto"/>
              <w:left w:val="single" w:sz="6" w:space="0" w:color="000000"/>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right w:val="single" w:sz="6" w:space="0" w:color="000000"/>
            </w:tcBorders>
            <w:shd w:val="clear" w:color="auto" w:fill="D2D2D2"/>
          </w:tcPr>
          <w:p>
            <w:pPr/>
          </w:p>
        </w:tc>
        <w:tc>
          <w:tcPr>
            <w:tcW w:w="811" w:type="dxa"/>
            <w:vMerge/>
            <w:tcBorders>
              <w:left w:val="single" w:sz="6" w:space="0" w:color="000000"/>
              <w:bottom w:val="nil" w:sz="6" w:space="0" w:color="auto"/>
              <w:right w:val="single" w:sz="6" w:space="0" w:color="000000"/>
            </w:tcBorders>
            <w:shd w:val="clear" w:color="auto" w:fill="D2D2D2"/>
          </w:tcPr>
          <w:p>
            <w:pPr/>
          </w:p>
        </w:tc>
        <w:tc>
          <w:tcPr>
            <w:tcW w:w="82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r>
      <w:tr>
        <w:trPr>
          <w:trHeight w:val="173" w:hRule="exact"/>
        </w:trPr>
        <w:tc>
          <w:tcPr>
            <w:tcW w:w="2215" w:type="dxa"/>
            <w:vMerge/>
            <w:tcBorders>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vMerge/>
            <w:tcBorders>
              <w:left w:val="single" w:sz="6" w:space="0" w:color="000000"/>
              <w:bottom w:val="single" w:sz="6" w:space="0" w:color="000000"/>
              <w:right w:val="single" w:sz="6" w:space="0" w:color="000000"/>
            </w:tcBorders>
            <w:shd w:val="clear" w:color="auto" w:fill="D2D2D2"/>
          </w:tcPr>
          <w:p>
            <w:pPr/>
          </w:p>
        </w:tc>
        <w:tc>
          <w:tcPr>
            <w:tcW w:w="811"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8" w:hRule="exact"/>
        </w:trPr>
        <w:tc>
          <w:tcPr>
            <w:tcW w:w="2215"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vMerge w:val="restart"/>
            <w:tcBorders>
              <w:top w:val="single" w:sz="6" w:space="0" w:color="000000"/>
              <w:left w:val="single" w:sz="12" w:space="0" w:color="D2D2D2"/>
              <w:right w:val="single" w:sz="6" w:space="0" w:color="000000"/>
            </w:tcBorders>
          </w:tcPr>
          <w:p>
            <w:pPr>
              <w:pStyle w:val="TableParagraph"/>
              <w:spacing w:line="240" w:lineRule="auto" w:before="87"/>
              <w:ind w:left="22"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108"/>
              <w:ind w:left="518" w:right="0"/>
              <w:jc w:val="left"/>
              <w:rPr>
                <w:rFonts w:ascii="Times New Roman" w:hAnsi="Times New Roman" w:cs="Times New Roman" w:eastAsia="Times New Roman" w:hint="default"/>
                <w:sz w:val="18"/>
                <w:szCs w:val="18"/>
              </w:rPr>
            </w:pPr>
            <w:r>
              <w:rPr>
                <w:rFonts w:ascii="Times New Roman"/>
                <w:sz w:val="18"/>
              </w:rPr>
              <w:t>000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100.00%</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108"/>
              <w:ind w:left="450" w:right="0"/>
              <w:jc w:val="left"/>
              <w:rPr>
                <w:rFonts w:ascii="Times New Roman" w:hAnsi="Times New Roman" w:cs="Times New Roman" w:eastAsia="Times New Roman" w:hint="default"/>
                <w:sz w:val="18"/>
                <w:szCs w:val="18"/>
              </w:rPr>
            </w:pPr>
            <w:r>
              <w:rPr>
                <w:rFonts w:ascii="Times New Roman"/>
                <w:sz w:val="18"/>
              </w:rPr>
              <w:t>,000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6"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15"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7" w:hRule="exact"/>
        </w:trPr>
        <w:tc>
          <w:tcPr>
            <w:tcW w:w="2215"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vMerge w:val="restart"/>
            <w:tcBorders>
              <w:top w:val="single" w:sz="6" w:space="0" w:color="000000"/>
              <w:left w:val="single" w:sz="12" w:space="0" w:color="D2D2D2"/>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93"/>
              <w:ind w:left="518" w:right="0"/>
              <w:jc w:val="left"/>
              <w:rPr>
                <w:rFonts w:ascii="Times New Roman" w:hAnsi="Times New Roman" w:cs="Times New Roman" w:eastAsia="Times New Roman" w:hint="default"/>
                <w:sz w:val="18"/>
                <w:szCs w:val="18"/>
              </w:rPr>
            </w:pPr>
            <w:r>
              <w:rPr>
                <w:rFonts w:ascii="Times New Roman"/>
                <w:sz w:val="18"/>
              </w:rPr>
              <w:t>000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100.00%</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r>
      <w:tr>
        <w:trPr>
          <w:trHeight w:val="405" w:hRule="exact"/>
        </w:trPr>
        <w:tc>
          <w:tcPr>
            <w:tcW w:w="22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6"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7" w:hRule="exact"/>
        </w:trPr>
        <w:tc>
          <w:tcPr>
            <w:tcW w:w="2215"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158" w:hRule="exact"/>
        </w:trPr>
        <w:tc>
          <w:tcPr>
            <w:tcW w:w="2215" w:type="dxa"/>
            <w:tcBorders>
              <w:top w:val="single" w:sz="6" w:space="0" w:color="000000"/>
              <w:left w:val="single" w:sz="6" w:space="0" w:color="000000"/>
              <w:bottom w:val="nil" w:sz="6" w:space="0" w:color="auto"/>
              <w:right w:val="single" w:sz="6" w:space="0" w:color="000000"/>
            </w:tcBorders>
            <w:shd w:val="clear" w:color="auto" w:fill="D2D2D2"/>
          </w:tcPr>
          <w:p>
            <w:pPr/>
          </w:p>
        </w:tc>
        <w:tc>
          <w:tcPr>
            <w:tcW w:w="826" w:type="dxa"/>
            <w:vMerge w:val="restart"/>
            <w:tcBorders>
              <w:top w:val="single" w:sz="6" w:space="0" w:color="000000"/>
              <w:left w:val="single" w:sz="12" w:space="0" w:color="D2D2D2"/>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93"/>
              <w:ind w:left="518" w:right="0"/>
              <w:jc w:val="left"/>
              <w:rPr>
                <w:rFonts w:ascii="Times New Roman" w:hAnsi="Times New Roman" w:cs="Times New Roman" w:eastAsia="Times New Roman" w:hint="default"/>
                <w:sz w:val="18"/>
                <w:szCs w:val="18"/>
              </w:rPr>
            </w:pPr>
            <w:r>
              <w:rPr>
                <w:rFonts w:ascii="Times New Roman"/>
                <w:sz w:val="18"/>
              </w:rPr>
              <w:t>000</w:t>
            </w:r>
          </w:p>
        </w:tc>
        <w:tc>
          <w:tcPr>
            <w:tcW w:w="82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100.00%</w:t>
            </w: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811" w:type="dxa"/>
            <w:vMerge w:val="restart"/>
            <w:tcBorders>
              <w:top w:val="single" w:sz="6" w:space="0" w:color="000000"/>
              <w:left w:val="single" w:sz="6" w:space="0" w:color="000000"/>
              <w:right w:val="single" w:sz="6" w:space="0" w:color="000000"/>
            </w:tcBorders>
          </w:tcPr>
          <w:p>
            <w:pPr/>
          </w:p>
        </w:tc>
        <w:tc>
          <w:tcPr>
            <w:tcW w:w="826" w:type="dxa"/>
            <w:vMerge w:val="restart"/>
            <w:tcBorders>
              <w:top w:val="single" w:sz="6" w:space="0" w:color="000000"/>
              <w:left w:val="single" w:sz="6" w:space="0" w:color="000000"/>
              <w:right w:val="single" w:sz="6" w:space="0" w:color="000000"/>
            </w:tcBorders>
          </w:tcPr>
          <w:p>
            <w:pP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2,512,500</w:t>
            </w:r>
          </w:p>
          <w:p>
            <w:pPr>
              <w:pStyle w:val="TableParagraph"/>
              <w:spacing w:line="240" w:lineRule="auto" w:before="93"/>
              <w:ind w:left="450" w:right="0"/>
              <w:jc w:val="left"/>
              <w:rPr>
                <w:rFonts w:ascii="Times New Roman" w:hAnsi="Times New Roman" w:cs="Times New Roman" w:eastAsia="Times New Roman" w:hint="default"/>
                <w:sz w:val="18"/>
                <w:szCs w:val="18"/>
              </w:rPr>
            </w:pPr>
            <w:r>
              <w:rPr>
                <w:rFonts w:ascii="Times New Roman"/>
                <w:sz w:val="18"/>
              </w:rPr>
              <w:t>,000</w:t>
            </w:r>
          </w:p>
        </w:tc>
        <w:tc>
          <w:tcPr>
            <w:tcW w:w="79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100.00%</w:t>
            </w:r>
          </w:p>
        </w:tc>
      </w:tr>
      <w:tr>
        <w:trPr>
          <w:trHeight w:val="390" w:hRule="exact"/>
        </w:trPr>
        <w:tc>
          <w:tcPr>
            <w:tcW w:w="2215"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6" w:type="dxa"/>
            <w:vMerge/>
            <w:tcBorders>
              <w:left w:val="single" w:sz="12" w:space="0" w:color="D2D2D2"/>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811" w:type="dxa"/>
            <w:vMerge/>
            <w:tcBorders>
              <w:left w:val="single" w:sz="6" w:space="0" w:color="000000"/>
              <w:right w:val="single" w:sz="6" w:space="0" w:color="000000"/>
            </w:tcBorders>
          </w:tcPr>
          <w:p>
            <w:pPr/>
          </w:p>
        </w:tc>
        <w:tc>
          <w:tcPr>
            <w:tcW w:w="82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c>
          <w:tcPr>
            <w:tcW w:w="796" w:type="dxa"/>
            <w:vMerge/>
            <w:tcBorders>
              <w:left w:val="single" w:sz="6" w:space="0" w:color="000000"/>
              <w:right w:val="single" w:sz="6" w:space="0" w:color="000000"/>
            </w:tcBorders>
          </w:tcPr>
          <w:p>
            <w:pPr/>
          </w:p>
        </w:tc>
      </w:tr>
      <w:tr>
        <w:trPr>
          <w:trHeight w:val="158" w:hRule="exact"/>
        </w:trPr>
        <w:tc>
          <w:tcPr>
            <w:tcW w:w="2215" w:type="dxa"/>
            <w:tcBorders>
              <w:top w:val="nil" w:sz="6" w:space="0" w:color="auto"/>
              <w:left w:val="single" w:sz="6" w:space="0" w:color="000000"/>
              <w:bottom w:val="single" w:sz="6" w:space="0" w:color="000000"/>
              <w:right w:val="single" w:sz="6" w:space="0" w:color="000000"/>
            </w:tcBorders>
            <w:shd w:val="clear" w:color="auto" w:fill="D2D2D2"/>
          </w:tcPr>
          <w:p>
            <w:pPr/>
          </w:p>
        </w:tc>
        <w:tc>
          <w:tcPr>
            <w:tcW w:w="826" w:type="dxa"/>
            <w:vMerge/>
            <w:tcBorders>
              <w:left w:val="single" w:sz="12" w:space="0" w:color="D2D2D2"/>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811" w:type="dxa"/>
            <w:vMerge/>
            <w:tcBorders>
              <w:left w:val="single" w:sz="6" w:space="0" w:color="000000"/>
              <w:bottom w:val="single" w:sz="6" w:space="0" w:color="000000"/>
              <w:right w:val="single" w:sz="6" w:space="0" w:color="000000"/>
            </w:tcBorders>
          </w:tcPr>
          <w:p>
            <w:pPr/>
          </w:p>
        </w:tc>
        <w:tc>
          <w:tcPr>
            <w:tcW w:w="82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股份变动的原因</w:t>
      </w:r>
    </w:p>
    <w:p>
      <w:pPr>
        <w:pStyle w:val="BodyText"/>
        <w:spacing w:line="331" w:lineRule="auto" w:before="125"/>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股份变动的批准情况</w:t>
      </w:r>
    </w:p>
    <w:p>
      <w:pPr>
        <w:pStyle w:val="BodyText"/>
        <w:spacing w:line="331" w:lineRule="auto" w:before="56"/>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股份变动的过户情况</w:t>
      </w:r>
    </w:p>
    <w:p>
      <w:pPr>
        <w:pStyle w:val="BodyText"/>
        <w:spacing w:line="333" w:lineRule="auto" w:before="56"/>
        <w:ind w:right="87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股份回购的实施进展情况</w:t>
      </w:r>
    </w:p>
    <w:p>
      <w:pPr>
        <w:pStyle w:val="BodyText"/>
        <w:spacing w:line="333" w:lineRule="auto" w:before="54"/>
        <w:ind w:right="69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采用集中竞价方式减持回购股份的实施进展情况</w:t>
      </w:r>
    </w:p>
    <w:p>
      <w:pPr>
        <w:pStyle w:val="BodyText"/>
        <w:spacing w:line="331" w:lineRule="auto" w:before="55"/>
        <w:ind w:right="13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股份变动对最近一年和最近一期基本每股收益和稀释每股收益、归属于公司普通股股东的每股净资产等财务指标的影响</w:t>
      </w:r>
    </w:p>
    <w:p>
      <w:pPr>
        <w:pStyle w:val="BodyText"/>
        <w:spacing w:line="316" w:lineRule="auto" w:before="56"/>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公司认为必要或证券监管机构要求披露的其他内容</w:t>
      </w:r>
    </w:p>
    <w:p>
      <w:pPr>
        <w:pStyle w:val="BodyText"/>
        <w:spacing w:line="240" w:lineRule="auto" w:before="8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1"/>
        <w:rPr>
          <w:rFonts w:ascii="宋体" w:hAnsi="宋体" w:cs="宋体" w:eastAsia="宋体" w:hint="default"/>
          <w:sz w:val="13"/>
          <w:szCs w:val="13"/>
        </w:rPr>
      </w:pPr>
    </w:p>
    <w:p>
      <w:pPr>
        <w:pStyle w:val="BodyText"/>
        <w:spacing w:line="453" w:lineRule="auto"/>
        <w:ind w:right="1126" w:firstLine="420"/>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w:t>
      </w:r>
      <w:r>
        <w:rPr>
          <w:spacing w:val="-1"/>
        </w:rPr>
        <w:t>日，公司对外披露了《</w:t>
      </w:r>
      <w:r>
        <w:rPr>
          <w:rFonts w:ascii="Times New Roman" w:hAnsi="Times New Roman" w:cs="Times New Roman" w:eastAsia="Times New Roman" w:hint="default"/>
          <w:spacing w:val="-1"/>
        </w:rPr>
        <w:t>2019</w:t>
      </w:r>
      <w:r>
        <w:rPr>
          <w:spacing w:val="-1"/>
        </w:rPr>
        <w:t>年非公开发行</w:t>
      </w:r>
      <w:r>
        <w:rPr>
          <w:rFonts w:ascii="Times New Roman" w:hAnsi="Times New Roman" w:cs="Times New Roman" w:eastAsia="Times New Roman" w:hint="default"/>
          <w:spacing w:val="-1"/>
        </w:rPr>
        <w:t>A</w:t>
      </w:r>
      <w:r>
        <w:rPr>
          <w:spacing w:val="-1"/>
        </w:rPr>
        <w:t>股股票预案》，公司拟向不超过</w:t>
      </w:r>
      <w:r>
        <w:rPr>
          <w:rFonts w:ascii="Times New Roman" w:hAnsi="Times New Roman" w:cs="Times New Roman" w:eastAsia="Times New Roman" w:hint="default"/>
          <w:spacing w:val="-1"/>
        </w:rPr>
        <w:t>10</w:t>
      </w:r>
      <w:r>
        <w:rPr>
          <w:spacing w:val="-1"/>
        </w:rPr>
        <w:t>名特定投资者非公开发行</w:t>
      </w:r>
      <w:r>
        <w:rPr>
          <w:rFonts w:ascii="Times New Roman" w:hAnsi="Times New Roman" w:cs="Times New Roman" w:eastAsia="Times New Roman" w:hint="default"/>
          <w:spacing w:val="-1"/>
        </w:rPr>
        <w:t>A</w:t>
      </w:r>
      <w:r>
        <w:rPr>
          <w:spacing w:val="-1"/>
        </w:rPr>
        <w:t>股</w:t>
      </w:r>
      <w:r>
        <w:rPr/>
        <w:t> 股票，本次非公开发行股票募集资金总额不超过</w:t>
      </w:r>
      <w:r>
        <w:rPr>
          <w:rFonts w:ascii="Times New Roman" w:hAnsi="Times New Roman" w:cs="Times New Roman" w:eastAsia="Times New Roman" w:hint="default"/>
        </w:rPr>
        <w:t>150,000.00</w:t>
      </w:r>
      <w:r>
        <w:rPr/>
        <w:t>万元（含本数），发行股票数量按照本次非公开发行募集资金总</w:t>
      </w:r>
      <w:r>
        <w:rPr>
          <w:spacing w:val="-85"/>
        </w:rPr>
        <w:t> </w:t>
      </w:r>
      <w:r>
        <w:rPr>
          <w:spacing w:val="2"/>
        </w:rPr>
        <w:t>额除以最终询价确定的发行价格计算得出，且发行数量不超过本次非公开发行前公司总股本的</w:t>
      </w:r>
      <w:r>
        <w:rPr>
          <w:rFonts w:ascii="Times New Roman" w:hAnsi="Times New Roman" w:cs="Times New Roman" w:eastAsia="Times New Roman" w:hint="default"/>
          <w:spacing w:val="2"/>
        </w:rPr>
        <w:t>20%</w:t>
      </w:r>
      <w:r>
        <w:rPr>
          <w:spacing w:val="2"/>
        </w:rPr>
        <w:t>，即不超过</w:t>
      </w:r>
      <w:r>
        <w:rPr>
          <w:rFonts w:ascii="Times New Roman" w:hAnsi="Times New Roman" w:cs="Times New Roman" w:eastAsia="Times New Roman" w:hint="default"/>
          <w:spacing w:val="2"/>
        </w:rPr>
        <w:t>502,500,000</w:t>
      </w:r>
      <w:r>
        <w:rPr>
          <w:rFonts w:ascii="Times New Roman" w:hAnsi="Times New Roman" w:cs="Times New Roman" w:eastAsia="Times New Roman" w:hint="default"/>
          <w:spacing w:val="-42"/>
        </w:rPr>
        <w:t> </w:t>
      </w:r>
      <w:r>
        <w:rPr/>
        <w:t>股（含</w:t>
      </w:r>
      <w:r>
        <w:rPr>
          <w:rFonts w:ascii="Times New Roman" w:hAnsi="Times New Roman" w:cs="Times New Roman" w:eastAsia="Times New Roman" w:hint="default"/>
        </w:rPr>
        <w:t>502,500,000</w:t>
      </w:r>
      <w:r>
        <w:rPr/>
        <w:t>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日，召开</w:t>
      </w:r>
      <w:r>
        <w:rPr>
          <w:rFonts w:ascii="Times New Roman" w:hAnsi="Times New Roman" w:cs="Times New Roman" w:eastAsia="Times New Roman" w:hint="default"/>
        </w:rPr>
        <w:t>2019</w:t>
      </w:r>
      <w:r>
        <w:rPr/>
        <w:t>年第一次临时股东大会审议通过上述事项，并对董事会全权授权。</w:t>
      </w:r>
    </w:p>
    <w:p>
      <w:pPr>
        <w:pStyle w:val="BodyText"/>
        <w:spacing w:line="448" w:lineRule="auto" w:before="39"/>
        <w:ind w:right="1083" w:firstLine="525"/>
        <w:jc w:val="left"/>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24</w:t>
      </w:r>
      <w:r>
        <w:rPr>
          <w:spacing w:val="-2"/>
        </w:rPr>
        <w:t>日，公司对外披露了《关于非公开发行</w:t>
      </w:r>
      <w:r>
        <w:rPr>
          <w:rFonts w:ascii="Times New Roman" w:hAnsi="Times New Roman" w:cs="Times New Roman" w:eastAsia="Times New Roman" w:hint="default"/>
          <w:spacing w:val="-2"/>
        </w:rPr>
        <w:t>A</w:t>
      </w:r>
      <w:r>
        <w:rPr>
          <w:spacing w:val="-2"/>
        </w:rPr>
        <w:t>股股票申请获得中国证监会受理的公告》，中国证监会依法对公</w:t>
      </w:r>
      <w:r>
        <w:rPr/>
        <w:t> </w:t>
      </w:r>
      <w:r>
        <w:rPr>
          <w:spacing w:val="-1"/>
        </w:rPr>
        <w:t>司提交的《上市公司非公开发行新股核准》行政许可申请材料进行了审查，认为该申请材料齐全，决定对该行政许可申请予</w:t>
      </w:r>
    </w:p>
    <w:p>
      <w:pPr>
        <w:spacing w:after="0" w:line="448"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240" w:lineRule="auto"/>
        <w:ind w:right="0"/>
        <w:jc w:val="left"/>
      </w:pPr>
      <w:r>
        <w:rPr/>
        <w:t>以受理。</w:t>
      </w:r>
    </w:p>
    <w:p>
      <w:pPr>
        <w:spacing w:line="240" w:lineRule="auto" w:before="7"/>
        <w:rPr>
          <w:rFonts w:ascii="宋体" w:hAnsi="宋体" w:cs="宋体" w:eastAsia="宋体" w:hint="default"/>
          <w:sz w:val="17"/>
          <w:szCs w:val="17"/>
        </w:rPr>
      </w:pPr>
    </w:p>
    <w:p>
      <w:pPr>
        <w:pStyle w:val="BodyText"/>
        <w:spacing w:line="448" w:lineRule="auto"/>
        <w:ind w:right="1134" w:firstLine="42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26</w:t>
      </w:r>
      <w:r>
        <w:rPr>
          <w:spacing w:val="-2"/>
        </w:rPr>
        <w:t>日，公司召开第四届董事会第十七次会议审议通过了《关于调整公司非公开发行股票方案的议案》，本次</w:t>
      </w:r>
      <w:r>
        <w:rPr/>
        <w:t> 非公开发行股票募集资金总额调整为不超过</w:t>
      </w:r>
      <w:r>
        <w:rPr>
          <w:rFonts w:ascii="Times New Roman" w:hAnsi="Times New Roman" w:cs="Times New Roman" w:eastAsia="Times New Roman" w:hint="default"/>
        </w:rPr>
        <w:t>131,994.17</w:t>
      </w:r>
      <w:r>
        <w:rPr/>
        <w:t>万元（含本数），其他条款不变。</w:t>
      </w:r>
    </w:p>
    <w:p>
      <w:pPr>
        <w:pStyle w:val="BodyText"/>
        <w:spacing w:line="448" w:lineRule="auto" w:before="58"/>
        <w:ind w:right="1134" w:firstLine="420"/>
        <w:jc w:val="both"/>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日，公司召开第四届董事会第十九次会议审议通过了《关于调整公司非公开发行股票方案的议案》，本次</w:t>
      </w:r>
      <w:r>
        <w:rPr/>
        <w:t> 非公开发行股票募集资金总额调整为不超过</w:t>
      </w:r>
      <w:r>
        <w:rPr>
          <w:rFonts w:ascii="Times New Roman" w:hAnsi="Times New Roman" w:cs="Times New Roman" w:eastAsia="Times New Roman" w:hint="default"/>
        </w:rPr>
        <w:t>130,362.00</w:t>
      </w:r>
      <w:r>
        <w:rPr/>
        <w:t>万元（含本数），其他条款不变。</w:t>
      </w:r>
    </w:p>
    <w:p>
      <w:pPr>
        <w:pStyle w:val="BodyText"/>
        <w:spacing w:line="448" w:lineRule="auto" w:before="43"/>
        <w:ind w:right="1126" w:firstLine="420"/>
        <w:jc w:val="both"/>
      </w:pP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20</w:t>
      </w:r>
      <w:r>
        <w:rPr>
          <w:spacing w:val="-2"/>
        </w:rPr>
        <w:t>日，公司召开第四届董事会第二十三次会议审议通过了《关于调整公司非公开发行股票方案的议案》，本</w:t>
      </w:r>
      <w:r>
        <w:rPr/>
        <w:t> 次非公开发行股票募集资金总额调整为不超过</w:t>
      </w:r>
      <w:r>
        <w:rPr>
          <w:rFonts w:ascii="Times New Roman" w:hAnsi="Times New Roman" w:cs="Times New Roman" w:eastAsia="Times New Roman" w:hint="default"/>
        </w:rPr>
        <w:t>130,362.00</w:t>
      </w:r>
      <w:r>
        <w:rPr/>
        <w:t>万元（含本数），公司拟向不超过</w:t>
      </w:r>
      <w:r>
        <w:rPr>
          <w:rFonts w:ascii="Times New Roman" w:hAnsi="Times New Roman" w:cs="Times New Roman" w:eastAsia="Times New Roman" w:hint="default"/>
        </w:rPr>
        <w:t>35</w:t>
      </w:r>
      <w:r>
        <w:rPr/>
        <w:t>名特定投资者非公开发行</w:t>
      </w:r>
      <w:r>
        <w:rPr>
          <w:rFonts w:ascii="Times New Roman" w:hAnsi="Times New Roman" w:cs="Times New Roman" w:eastAsia="Times New Roman" w:hint="default"/>
        </w:rPr>
        <w:t>A</w:t>
      </w:r>
      <w:r>
        <w:rPr/>
        <w:t>股</w:t>
      </w:r>
      <w:r>
        <w:rPr>
          <w:spacing w:val="-34"/>
        </w:rPr>
        <w:t> </w:t>
      </w:r>
      <w:r>
        <w:rPr>
          <w:spacing w:val="-2"/>
        </w:rPr>
        <w:t>股票，发行股票数量按照本次非公开发行募集资金总额除以最终询价确定的发行价格计算得出，且发行数量不超过本次非公</w:t>
      </w:r>
    </w:p>
    <w:p>
      <w:pPr>
        <w:pStyle w:val="BodyText"/>
        <w:spacing w:line="448" w:lineRule="auto" w:before="88"/>
        <w:ind w:right="0"/>
        <w:jc w:val="left"/>
      </w:pPr>
      <w:r>
        <w:rPr/>
        <w:t>开发行前公司总股本的</w:t>
      </w:r>
      <w:r>
        <w:rPr>
          <w:rFonts w:ascii="Times New Roman" w:hAnsi="Times New Roman" w:cs="Times New Roman" w:eastAsia="Times New Roman" w:hint="default"/>
        </w:rPr>
        <w:t>30%</w:t>
      </w:r>
      <w:r>
        <w:rPr/>
        <w:t>，即不超过</w:t>
      </w:r>
      <w:r>
        <w:rPr>
          <w:rFonts w:ascii="Times New Roman" w:hAnsi="Times New Roman" w:cs="Times New Roman" w:eastAsia="Times New Roman" w:hint="default"/>
        </w:rPr>
        <w:t>753,750,000</w:t>
      </w:r>
      <w:r>
        <w:rPr/>
        <w:t>股（含</w:t>
      </w:r>
      <w:r>
        <w:rPr>
          <w:rFonts w:ascii="Times New Roman" w:hAnsi="Times New Roman" w:cs="Times New Roman" w:eastAsia="Times New Roman" w:hint="default"/>
        </w:rPr>
        <w:t>753,750,000</w:t>
      </w:r>
      <w:r>
        <w:rPr/>
        <w:t>股）。</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10</w:t>
      </w:r>
      <w:r>
        <w:rPr/>
        <w:t>日，公司召开</w:t>
      </w:r>
      <w:r>
        <w:rPr>
          <w:rFonts w:ascii="Times New Roman" w:hAnsi="Times New Roman" w:cs="Times New Roman" w:eastAsia="Times New Roman" w:hint="default"/>
        </w:rPr>
        <w:t>2020</w:t>
      </w:r>
      <w:r>
        <w:rPr/>
        <w:t>年第二次临时股</w:t>
      </w:r>
      <w:r>
        <w:rPr>
          <w:spacing w:val="-54"/>
        </w:rPr>
        <w:t> </w:t>
      </w:r>
      <w:r>
        <w:rPr/>
        <w:t>东大会，审议通过第四届董事会第二十三次会议审议通过的《关于调整公司非公开发行股票方案的议案》的相关议案。</w:t>
      </w:r>
    </w:p>
    <w:p>
      <w:pPr>
        <w:pStyle w:val="BodyText"/>
        <w:spacing w:line="475" w:lineRule="auto" w:before="73"/>
        <w:ind w:left="591" w:right="1299" w:hanging="30"/>
        <w:jc w:val="left"/>
      </w:pPr>
      <w:r>
        <w:rPr/>
        <w:t>本次非公开发行股票事项的相关内容可详见公司相关公告。 本次非公开发行股票相关事项尚存在重大不确定性，非公开发行方案的完成尚待取得有关审批机关的批准或核准。</w:t>
      </w:r>
    </w:p>
    <w:p>
      <w:pPr>
        <w:spacing w:line="240" w:lineRule="auto" w:before="10"/>
        <w:rPr>
          <w:rFonts w:ascii="宋体" w:hAnsi="宋体" w:cs="宋体" w:eastAsia="宋体" w:hint="default"/>
          <w:sz w:val="19"/>
          <w:szCs w:val="19"/>
        </w:rPr>
      </w:pPr>
    </w:p>
    <w:p>
      <w:pPr>
        <w:pStyle w:val="Heading5"/>
        <w:spacing w:line="240" w:lineRule="auto"/>
        <w:ind w:right="0"/>
        <w:jc w:val="left"/>
        <w:rPr>
          <w:b w:val="0"/>
          <w:bCs w:val="0"/>
        </w:rPr>
      </w:pPr>
      <w:bookmarkStart w:name="2、限售股份变动情况" w:id="104"/>
      <w:bookmarkEnd w:id="104"/>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3"/>
        <w:rPr>
          <w:rFonts w:ascii="宋体" w:hAnsi="宋体" w:cs="宋体" w:eastAsia="宋体" w:hint="default"/>
          <w:sz w:val="24"/>
          <w:szCs w:val="24"/>
        </w:rPr>
      </w:pPr>
    </w:p>
    <w:p>
      <w:pPr>
        <w:pStyle w:val="Heading2"/>
        <w:spacing w:line="240" w:lineRule="auto"/>
        <w:ind w:right="0"/>
        <w:jc w:val="left"/>
        <w:rPr>
          <w:b w:val="0"/>
          <w:bCs w:val="0"/>
        </w:rPr>
      </w:pPr>
      <w:bookmarkStart w:name="二、证券发行与上市情况" w:id="105"/>
      <w:bookmarkEnd w:id="105"/>
      <w:r>
        <w:rPr>
          <w:b w:val="0"/>
          <w:bCs w:val="0"/>
        </w:rPr>
      </w:r>
      <w:r>
        <w:rPr/>
        <w:t>二、证券发行与上市情况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报告期内证券发行（不含优先股）情况" w:id="106"/>
      <w:bookmarkEnd w:id="106"/>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2、公司股份总数及股东结构的变动、公司资产和负债结构的变动情况说明" w:id="107"/>
      <w:bookmarkEnd w:id="107"/>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3、现存的内部职工股情况" w:id="108"/>
      <w:bookmarkEnd w:id="108"/>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09"/>
      <w:bookmarkEnd w:id="109"/>
      <w:r>
        <w:rPr>
          <w:b w:val="0"/>
          <w:bCs w:val="0"/>
        </w:rPr>
      </w:r>
      <w:r>
        <w:rPr/>
        <w:t>三、股东和实际控制人情况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公司股东数量及持股情况" w:id="110"/>
      <w:bookmarkEnd w:id="110"/>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10"/>
        <w:jc w:val="right"/>
      </w:pPr>
      <w:r>
        <w:rPr/>
        <w:t>单位：股</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194"/>
        <w:gridCol w:w="1209"/>
      </w:tblGrid>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89"/>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60" w:right="0"/>
              <w:jc w:val="left"/>
              <w:rPr>
                <w:rFonts w:ascii="Times New Roman" w:hAnsi="Times New Roman" w:cs="Times New Roman" w:eastAsia="Times New Roman" w:hint="default"/>
                <w:sz w:val="18"/>
                <w:szCs w:val="18"/>
              </w:rPr>
            </w:pPr>
            <w:r>
              <w:rPr>
                <w:rFonts w:ascii="Times New Roman"/>
                <w:sz w:val="18"/>
              </w:rPr>
              <w:t>67,256</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30" w:right="74"/>
              <w:jc w:val="left"/>
              <w:rPr>
                <w:rFonts w:ascii="宋体" w:hAnsi="宋体" w:cs="宋体" w:eastAsia="宋体" w:hint="default"/>
                <w:sz w:val="18"/>
                <w:szCs w:val="18"/>
              </w:rPr>
            </w:pPr>
            <w:r>
              <w:rPr>
                <w:rFonts w:ascii="宋体" w:hAnsi="宋体" w:cs="宋体" w:eastAsia="宋体" w:hint="default"/>
                <w:sz w:val="18"/>
                <w:szCs w:val="18"/>
              </w:rPr>
              <w:t>年度报告披露 日前上一月末</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76" w:right="0"/>
              <w:jc w:val="left"/>
              <w:rPr>
                <w:rFonts w:ascii="Times New Roman" w:hAnsi="Times New Roman" w:cs="Times New Roman" w:eastAsia="Times New Roman" w:hint="default"/>
                <w:sz w:val="18"/>
                <w:szCs w:val="18"/>
              </w:rPr>
            </w:pPr>
            <w:r>
              <w:rPr>
                <w:rFonts w:ascii="Times New Roman"/>
                <w:sz w:val="18"/>
              </w:rPr>
              <w:t>62,810</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15" w:right="89"/>
              <w:jc w:val="left"/>
              <w:rPr>
                <w:rFonts w:ascii="宋体" w:hAnsi="宋体" w:cs="宋体" w:eastAsia="宋体" w:hint="default"/>
                <w:sz w:val="18"/>
                <w:szCs w:val="18"/>
              </w:rPr>
            </w:pPr>
            <w:r>
              <w:rPr>
                <w:rFonts w:ascii="宋体" w:hAnsi="宋体" w:cs="宋体" w:eastAsia="宋体" w:hint="default"/>
                <w:sz w:val="18"/>
                <w:szCs w:val="18"/>
              </w:rPr>
              <w:t>报告期末表决 权恢复的优先</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c>
          <w:tcPr>
            <w:tcW w:w="11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60"/>
              <w:ind w:left="30" w:right="67"/>
              <w:jc w:val="left"/>
              <w:rPr>
                <w:rFonts w:ascii="宋体" w:hAnsi="宋体" w:cs="宋体" w:eastAsia="宋体" w:hint="default"/>
                <w:sz w:val="18"/>
                <w:szCs w:val="18"/>
              </w:rPr>
            </w:pPr>
            <w:r>
              <w:rPr>
                <w:rFonts w:ascii="宋体" w:hAnsi="宋体" w:cs="宋体" w:eastAsia="宋体" w:hint="default"/>
                <w:sz w:val="18"/>
                <w:szCs w:val="18"/>
              </w:rPr>
              <w:t>年度报告披露 日前上一月末</w:t>
            </w:r>
          </w:p>
        </w:tc>
        <w:tc>
          <w:tcPr>
            <w:tcW w:w="12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02"/>
        <w:gridCol w:w="270"/>
        <w:gridCol w:w="916"/>
        <w:gridCol w:w="495"/>
        <w:gridCol w:w="706"/>
        <w:gridCol w:w="90"/>
        <w:gridCol w:w="781"/>
        <w:gridCol w:w="338"/>
        <w:gridCol w:w="458"/>
        <w:gridCol w:w="751"/>
        <w:gridCol w:w="871"/>
        <w:gridCol w:w="315"/>
        <w:gridCol w:w="1036"/>
        <w:gridCol w:w="143"/>
        <w:gridCol w:w="1209"/>
      </w:tblGrid>
      <w:tr>
        <w:trPr>
          <w:trHeight w:val="668" w:hRule="exact"/>
        </w:trPr>
        <w:tc>
          <w:tcPr>
            <w:tcW w:w="1202" w:type="dxa"/>
            <w:vMerge w:val="restart"/>
            <w:tcBorders>
              <w:top w:val="single" w:sz="6" w:space="0" w:color="000000"/>
              <w:left w:val="single" w:sz="6" w:space="0" w:color="000000"/>
              <w:right w:val="single" w:sz="6" w:space="0" w:color="000000"/>
            </w:tcBorders>
            <w:shd w:val="clear" w:color="auto" w:fill="D2D2D2"/>
          </w:tcPr>
          <w:p>
            <w:pPr/>
          </w:p>
        </w:tc>
        <w:tc>
          <w:tcPr>
            <w:tcW w:w="1187" w:type="dxa"/>
            <w:gridSpan w:val="2"/>
            <w:vMerge w:val="restart"/>
            <w:tcBorders>
              <w:top w:val="single" w:sz="6" w:space="0" w:color="000000"/>
              <w:left w:val="single" w:sz="6" w:space="0" w:color="000000"/>
              <w:right w:val="single" w:sz="12" w:space="0" w:color="D2D2D2"/>
            </w:tcBorders>
          </w:tcPr>
          <w:p>
            <w:pPr/>
          </w:p>
        </w:tc>
        <w:tc>
          <w:tcPr>
            <w:tcW w:w="1201" w:type="dxa"/>
            <w:gridSpan w:val="2"/>
            <w:tcBorders>
              <w:top w:val="single" w:sz="6" w:space="0" w:color="000000"/>
              <w:left w:val="single" w:sz="6" w:space="0" w:color="000000"/>
              <w:bottom w:val="nil" w:sz="6" w:space="0" w:color="auto"/>
              <w:right w:val="single" w:sz="6" w:space="0" w:color="000000"/>
            </w:tcBorders>
            <w:shd w:val="clear" w:color="auto" w:fill="D2D2D2"/>
          </w:tcPr>
          <w:p>
            <w:pPr>
              <w:pStyle w:val="TableParagraph"/>
              <w:spacing w:line="304" w:lineRule="auto"/>
              <w:ind w:left="30" w:right="74"/>
              <w:jc w:val="left"/>
              <w:rPr>
                <w:rFonts w:ascii="宋体" w:hAnsi="宋体" w:cs="宋体" w:eastAsia="宋体" w:hint="default"/>
                <w:sz w:val="18"/>
                <w:szCs w:val="18"/>
              </w:rPr>
            </w:pPr>
            <w:r>
              <w:rPr>
                <w:rFonts w:ascii="宋体" w:hAnsi="宋体" w:cs="宋体" w:eastAsia="宋体" w:hint="default"/>
                <w:sz w:val="18"/>
                <w:szCs w:val="18"/>
              </w:rPr>
              <w:t>普通股股东总 数</w:t>
            </w:r>
          </w:p>
        </w:tc>
        <w:tc>
          <w:tcPr>
            <w:tcW w:w="1209" w:type="dxa"/>
            <w:gridSpan w:val="3"/>
            <w:vMerge w:val="restart"/>
            <w:tcBorders>
              <w:top w:val="single" w:sz="6" w:space="0" w:color="000000"/>
              <w:left w:val="single" w:sz="6" w:space="0" w:color="000000"/>
              <w:right w:val="single" w:sz="6" w:space="0" w:color="000000"/>
            </w:tcBorders>
          </w:tcPr>
          <w:p>
            <w:pPr/>
          </w:p>
        </w:tc>
        <w:tc>
          <w:tcPr>
            <w:tcW w:w="120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股股东总数</w:t>
            </w:r>
          </w:p>
          <w:p>
            <w:pPr>
              <w:pStyle w:val="TableParagraph"/>
              <w:spacing w:line="336" w:lineRule="auto" w:before="64"/>
              <w:ind w:left="7" w:right="44"/>
              <w:jc w:val="left"/>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186" w:type="dxa"/>
            <w:gridSpan w:val="2"/>
            <w:vMerge w:val="restart"/>
            <w:tcBorders>
              <w:top w:val="single" w:sz="6" w:space="0" w:color="000000"/>
              <w:left w:val="single" w:sz="12" w:space="0" w:color="D2D2D2"/>
              <w:right w:val="single" w:sz="18" w:space="0" w:color="D2D2D2"/>
            </w:tcBorders>
          </w:tcPr>
          <w:p>
            <w:pPr/>
          </w:p>
        </w:tc>
        <w:tc>
          <w:tcPr>
            <w:tcW w:w="1179"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ind w:left="15" w:right="6"/>
              <w:jc w:val="left"/>
              <w:rPr>
                <w:rFonts w:ascii="宋体" w:hAnsi="宋体" w:cs="宋体" w:eastAsia="宋体" w:hint="default"/>
                <w:sz w:val="18"/>
                <w:szCs w:val="18"/>
              </w:rPr>
            </w:pPr>
            <w:r>
              <w:rPr>
                <w:rFonts w:ascii="宋体" w:hAnsi="宋体" w:cs="宋体" w:eastAsia="宋体" w:hint="default"/>
                <w:sz w:val="18"/>
                <w:szCs w:val="18"/>
              </w:rPr>
              <w:t>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209" w:type="dxa"/>
            <w:vMerge w:val="restart"/>
            <w:tcBorders>
              <w:top w:val="single" w:sz="6" w:space="0" w:color="000000"/>
              <w:left w:val="single" w:sz="12" w:space="0" w:color="000000"/>
              <w:right w:val="single" w:sz="6" w:space="0" w:color="000000"/>
            </w:tcBorders>
          </w:tcPr>
          <w:p>
            <w:pPr/>
          </w:p>
        </w:tc>
      </w:tr>
      <w:tr>
        <w:trPr>
          <w:trHeight w:val="315" w:hRule="exact"/>
        </w:trPr>
        <w:tc>
          <w:tcPr>
            <w:tcW w:w="1202" w:type="dxa"/>
            <w:vMerge/>
            <w:tcBorders>
              <w:left w:val="single" w:sz="6" w:space="0" w:color="000000"/>
              <w:right w:val="single" w:sz="6" w:space="0" w:color="000000"/>
            </w:tcBorders>
            <w:shd w:val="clear" w:color="auto" w:fill="D2D2D2"/>
          </w:tcPr>
          <w:p>
            <w:pPr/>
          </w:p>
        </w:tc>
        <w:tc>
          <w:tcPr>
            <w:tcW w:w="1187" w:type="dxa"/>
            <w:gridSpan w:val="2"/>
            <w:vMerge/>
            <w:tcBorders>
              <w:left w:val="single" w:sz="6" w:space="0" w:color="000000"/>
              <w:right w:val="single" w:sz="12" w:space="0" w:color="D2D2D2"/>
            </w:tcBorders>
          </w:tcPr>
          <w:p>
            <w:pPr/>
          </w:p>
        </w:tc>
        <w:tc>
          <w:tcPr>
            <w:tcW w:w="1201" w:type="dxa"/>
            <w:gridSpan w:val="2"/>
            <w:vMerge w:val="restart"/>
            <w:tcBorders>
              <w:top w:val="nil" w:sz="6" w:space="0" w:color="auto"/>
              <w:left w:val="single" w:sz="6" w:space="0" w:color="000000"/>
              <w:right w:val="single" w:sz="6" w:space="0" w:color="000000"/>
            </w:tcBorders>
            <w:shd w:val="clear" w:color="auto" w:fill="D2D2D2"/>
          </w:tcPr>
          <w:p>
            <w:pPr/>
          </w:p>
        </w:tc>
        <w:tc>
          <w:tcPr>
            <w:tcW w:w="1209" w:type="dxa"/>
            <w:gridSpan w:val="3"/>
            <w:vMerge/>
            <w:tcBorders>
              <w:left w:val="single" w:sz="6" w:space="0" w:color="000000"/>
              <w:right w:val="single" w:sz="6" w:space="0" w:color="000000"/>
            </w:tcBorders>
          </w:tcPr>
          <w:p>
            <w:pPr/>
          </w:p>
        </w:tc>
        <w:tc>
          <w:tcPr>
            <w:tcW w:w="1209" w:type="dxa"/>
            <w:gridSpan w:val="2"/>
            <w:vMerge/>
            <w:tcBorders>
              <w:left w:val="single" w:sz="6" w:space="0" w:color="000000"/>
              <w:bottom w:val="nil" w:sz="6" w:space="0" w:color="auto"/>
              <w:right w:val="single" w:sz="6" w:space="0" w:color="000000"/>
            </w:tcBorders>
            <w:shd w:val="clear" w:color="auto" w:fill="D2D2D2"/>
          </w:tcPr>
          <w:p>
            <w:pPr/>
          </w:p>
        </w:tc>
        <w:tc>
          <w:tcPr>
            <w:tcW w:w="1186" w:type="dxa"/>
            <w:gridSpan w:val="2"/>
            <w:vMerge/>
            <w:tcBorders>
              <w:left w:val="single" w:sz="12" w:space="0" w:color="D2D2D2"/>
              <w:right w:val="single" w:sz="18" w:space="0" w:color="D2D2D2"/>
            </w:tcBorders>
          </w:tcPr>
          <w:p>
            <w:pPr/>
          </w:p>
        </w:tc>
        <w:tc>
          <w:tcPr>
            <w:tcW w:w="1179" w:type="dxa"/>
            <w:gridSpan w:val="2"/>
            <w:vMerge/>
            <w:tcBorders>
              <w:left w:val="single" w:sz="6" w:space="0" w:color="000000"/>
              <w:right w:val="single" w:sz="6" w:space="0" w:color="000000"/>
            </w:tcBorders>
            <w:shd w:val="clear" w:color="auto" w:fill="D2D2D2"/>
          </w:tcPr>
          <w:p>
            <w:pPr/>
          </w:p>
        </w:tc>
        <w:tc>
          <w:tcPr>
            <w:tcW w:w="1209" w:type="dxa"/>
            <w:vMerge/>
            <w:tcBorders>
              <w:left w:val="single" w:sz="12" w:space="0" w:color="000000"/>
              <w:right w:val="single" w:sz="6" w:space="0" w:color="000000"/>
            </w:tcBorders>
          </w:tcPr>
          <w:p>
            <w:pPr/>
          </w:p>
        </w:tc>
      </w:tr>
      <w:tr>
        <w:trPr>
          <w:trHeight w:val="323" w:hRule="exact"/>
        </w:trPr>
        <w:tc>
          <w:tcPr>
            <w:tcW w:w="1202" w:type="dxa"/>
            <w:vMerge/>
            <w:tcBorders>
              <w:left w:val="single" w:sz="6" w:space="0" w:color="000000"/>
              <w:bottom w:val="single" w:sz="6" w:space="0" w:color="000000"/>
              <w:right w:val="single" w:sz="6" w:space="0" w:color="000000"/>
            </w:tcBorders>
            <w:shd w:val="clear" w:color="auto" w:fill="D2D2D2"/>
          </w:tcPr>
          <w:p>
            <w:pPr/>
          </w:p>
        </w:tc>
        <w:tc>
          <w:tcPr>
            <w:tcW w:w="1187" w:type="dxa"/>
            <w:gridSpan w:val="2"/>
            <w:vMerge/>
            <w:tcBorders>
              <w:left w:val="single" w:sz="6" w:space="0" w:color="000000"/>
              <w:bottom w:val="single" w:sz="6" w:space="0" w:color="000000"/>
              <w:right w:val="single" w:sz="12" w:space="0" w:color="D2D2D2"/>
            </w:tcBorders>
          </w:tcPr>
          <w:p>
            <w:pPr/>
          </w:p>
        </w:tc>
        <w:tc>
          <w:tcPr>
            <w:tcW w:w="1201" w:type="dxa"/>
            <w:gridSpan w:val="2"/>
            <w:vMerge/>
            <w:tcBorders>
              <w:left w:val="single" w:sz="6" w:space="0" w:color="000000"/>
              <w:bottom w:val="single" w:sz="6" w:space="0" w:color="000000"/>
              <w:right w:val="single" w:sz="6" w:space="0" w:color="000000"/>
            </w:tcBorders>
            <w:shd w:val="clear" w:color="auto" w:fill="D2D2D2"/>
          </w:tcPr>
          <w:p>
            <w:pPr/>
          </w:p>
        </w:tc>
        <w:tc>
          <w:tcPr>
            <w:tcW w:w="1209" w:type="dxa"/>
            <w:gridSpan w:val="3"/>
            <w:vMerge/>
            <w:tcBorders>
              <w:left w:val="single" w:sz="6" w:space="0" w:color="000000"/>
              <w:bottom w:val="single" w:sz="6" w:space="0" w:color="000000"/>
              <w:right w:val="single" w:sz="6" w:space="0" w:color="000000"/>
            </w:tcBorders>
          </w:tcPr>
          <w:p>
            <w:pPr/>
          </w:p>
        </w:tc>
        <w:tc>
          <w:tcPr>
            <w:tcW w:w="1209"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1186" w:type="dxa"/>
            <w:gridSpan w:val="2"/>
            <w:vMerge/>
            <w:tcBorders>
              <w:left w:val="single" w:sz="12" w:space="0" w:color="D2D2D2"/>
              <w:bottom w:val="single" w:sz="6" w:space="0" w:color="000000"/>
              <w:right w:val="single" w:sz="18" w:space="0" w:color="D2D2D2"/>
            </w:tcBorders>
          </w:tcPr>
          <w:p>
            <w:pPr/>
          </w:p>
        </w:tc>
        <w:tc>
          <w:tcPr>
            <w:tcW w:w="1179" w:type="dxa"/>
            <w:gridSpan w:val="2"/>
            <w:vMerge/>
            <w:tcBorders>
              <w:left w:val="single" w:sz="6" w:space="0" w:color="000000"/>
              <w:bottom w:val="single" w:sz="6" w:space="0" w:color="000000"/>
              <w:right w:val="single" w:sz="6" w:space="0" w:color="000000"/>
            </w:tcBorders>
            <w:shd w:val="clear" w:color="auto" w:fill="D2D2D2"/>
          </w:tcPr>
          <w:p>
            <w:pPr/>
          </w:p>
        </w:tc>
        <w:tc>
          <w:tcPr>
            <w:tcW w:w="1209" w:type="dxa"/>
            <w:vMerge/>
            <w:tcBorders>
              <w:left w:val="single" w:sz="12" w:space="0" w:color="000000"/>
              <w:bottom w:val="single" w:sz="6" w:space="0" w:color="000000"/>
              <w:right w:val="single" w:sz="6" w:space="0" w:color="000000"/>
            </w:tcBorders>
          </w:tcPr>
          <w:p>
            <w:pPr/>
          </w:p>
        </w:tc>
      </w:tr>
      <w:tr>
        <w:trPr>
          <w:trHeight w:val="383" w:hRule="exact"/>
        </w:trPr>
        <w:tc>
          <w:tcPr>
            <w:tcW w:w="9582"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48"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330" w:hRule="exact"/>
        </w:trPr>
        <w:tc>
          <w:tcPr>
            <w:tcW w:w="1472"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1412"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96"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15" w:right="45"/>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15" w:right="0"/>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52"/>
              <w:ind w:left="90" w:right="45"/>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03" w:type="dxa"/>
            <w:gridSpan w:val="4"/>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2"/>
              <w:ind w:left="7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35" w:hRule="exact"/>
        </w:trPr>
        <w:tc>
          <w:tcPr>
            <w:tcW w:w="1472"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6"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1" w:type="dxa"/>
            <w:vMerge/>
            <w:tcBorders>
              <w:left w:val="single" w:sz="6" w:space="0" w:color="000000"/>
              <w:right w:val="single" w:sz="6" w:space="0" w:color="000000"/>
            </w:tcBorders>
            <w:shd w:val="clear" w:color="auto" w:fill="D2D2D2"/>
          </w:tcPr>
          <w:p>
            <w:pPr/>
          </w:p>
        </w:tc>
        <w:tc>
          <w:tcPr>
            <w:tcW w:w="796" w:type="dxa"/>
            <w:gridSpan w:val="2"/>
            <w:vMerge/>
            <w:tcBorders>
              <w:left w:val="single" w:sz="6" w:space="0" w:color="000000"/>
              <w:right w:val="single" w:sz="6" w:space="0" w:color="000000"/>
            </w:tcBorders>
            <w:shd w:val="clear" w:color="auto" w:fill="D2D2D2"/>
          </w:tcPr>
          <w:p>
            <w:pPr/>
          </w:p>
        </w:tc>
        <w:tc>
          <w:tcPr>
            <w:tcW w:w="751" w:type="dxa"/>
            <w:vMerge/>
            <w:tcBorders>
              <w:left w:val="single" w:sz="6" w:space="0" w:color="000000"/>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c>
          <w:tcPr>
            <w:tcW w:w="2703" w:type="dxa"/>
            <w:gridSpan w:val="4"/>
            <w:vMerge/>
            <w:tcBorders>
              <w:left w:val="single" w:sz="6" w:space="0" w:color="000000"/>
              <w:bottom w:val="single" w:sz="6" w:space="0" w:color="000000"/>
              <w:right w:val="single" w:sz="6" w:space="0" w:color="000000"/>
            </w:tcBorders>
            <w:shd w:val="clear" w:color="auto" w:fill="D2D2D2"/>
          </w:tcPr>
          <w:p>
            <w:pPr/>
          </w:p>
        </w:tc>
      </w:tr>
      <w:tr>
        <w:trPr>
          <w:trHeight w:val="255" w:hRule="exact"/>
        </w:trPr>
        <w:tc>
          <w:tcPr>
            <w:tcW w:w="1472" w:type="dxa"/>
            <w:gridSpan w:val="2"/>
            <w:vMerge/>
            <w:tcBorders>
              <w:left w:val="single" w:sz="6" w:space="0" w:color="000000"/>
              <w:right w:val="single" w:sz="6" w:space="0" w:color="000000"/>
            </w:tcBorders>
            <w:shd w:val="clear" w:color="auto" w:fill="D2D2D2"/>
          </w:tcPr>
          <w:p>
            <w:pPr/>
          </w:p>
        </w:tc>
        <w:tc>
          <w:tcPr>
            <w:tcW w:w="1412" w:type="dxa"/>
            <w:gridSpan w:val="2"/>
            <w:vMerge/>
            <w:tcBorders>
              <w:left w:val="single" w:sz="6" w:space="0" w:color="000000"/>
              <w:right w:val="single" w:sz="6" w:space="0" w:color="000000"/>
            </w:tcBorders>
            <w:shd w:val="clear" w:color="auto" w:fill="D2D2D2"/>
          </w:tcPr>
          <w:p>
            <w:pPr/>
          </w:p>
        </w:tc>
        <w:tc>
          <w:tcPr>
            <w:tcW w:w="796" w:type="dxa"/>
            <w:gridSpan w:val="2"/>
            <w:vMerge/>
            <w:tcBorders>
              <w:left w:val="single" w:sz="6" w:space="0" w:color="000000"/>
              <w:bottom w:val="nil" w:sz="6" w:space="0" w:color="auto"/>
              <w:right w:val="single" w:sz="6" w:space="0" w:color="000000"/>
            </w:tcBorders>
            <w:shd w:val="clear" w:color="auto" w:fill="D2D2D2"/>
          </w:tcPr>
          <w:p>
            <w:pPr/>
          </w:p>
        </w:tc>
        <w:tc>
          <w:tcPr>
            <w:tcW w:w="781" w:type="dxa"/>
            <w:vMerge/>
            <w:tcBorders>
              <w:left w:val="single" w:sz="6" w:space="0" w:color="000000"/>
              <w:right w:val="single" w:sz="6" w:space="0" w:color="000000"/>
            </w:tcBorders>
            <w:shd w:val="clear" w:color="auto" w:fill="D2D2D2"/>
          </w:tcPr>
          <w:p>
            <w:pPr/>
          </w:p>
        </w:tc>
        <w:tc>
          <w:tcPr>
            <w:tcW w:w="796" w:type="dxa"/>
            <w:gridSpan w:val="2"/>
            <w:vMerge/>
            <w:tcBorders>
              <w:left w:val="single" w:sz="6" w:space="0" w:color="000000"/>
              <w:right w:val="single" w:sz="6" w:space="0" w:color="000000"/>
            </w:tcBorders>
            <w:shd w:val="clear" w:color="auto" w:fill="D2D2D2"/>
          </w:tcPr>
          <w:p>
            <w:pPr/>
          </w:p>
        </w:tc>
        <w:tc>
          <w:tcPr>
            <w:tcW w:w="751" w:type="dxa"/>
            <w:vMerge/>
            <w:tcBorders>
              <w:left w:val="single" w:sz="6" w:space="0" w:color="000000"/>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c>
          <w:tcPr>
            <w:tcW w:w="13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left="315"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52"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97"/>
              <w:ind w:right="1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322" w:hRule="exact"/>
        </w:trPr>
        <w:tc>
          <w:tcPr>
            <w:tcW w:w="1472" w:type="dxa"/>
            <w:gridSpan w:val="2"/>
            <w:vMerge/>
            <w:tcBorders>
              <w:left w:val="single" w:sz="6" w:space="0" w:color="000000"/>
              <w:bottom w:val="single" w:sz="6" w:space="0" w:color="000000"/>
              <w:right w:val="single" w:sz="6" w:space="0" w:color="000000"/>
            </w:tcBorders>
            <w:shd w:val="clear" w:color="auto" w:fill="D2D2D2"/>
          </w:tcPr>
          <w:p>
            <w:pPr/>
          </w:p>
        </w:tc>
        <w:tc>
          <w:tcPr>
            <w:tcW w:w="1412" w:type="dxa"/>
            <w:gridSpan w:val="2"/>
            <w:vMerge/>
            <w:tcBorders>
              <w:left w:val="single" w:sz="6" w:space="0" w:color="000000"/>
              <w:bottom w:val="single" w:sz="6" w:space="0" w:color="000000"/>
              <w:right w:val="single" w:sz="6" w:space="0" w:color="000000"/>
            </w:tcBorders>
            <w:shd w:val="clear" w:color="auto" w:fill="D2D2D2"/>
          </w:tcPr>
          <w:p>
            <w:pPr/>
          </w:p>
        </w:tc>
        <w:tc>
          <w:tcPr>
            <w:tcW w:w="796" w:type="dxa"/>
            <w:gridSpan w:val="2"/>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796" w:type="dxa"/>
            <w:gridSpan w:val="2"/>
            <w:vMerge/>
            <w:tcBorders>
              <w:left w:val="single" w:sz="6" w:space="0" w:color="000000"/>
              <w:bottom w:val="single" w:sz="6" w:space="0" w:color="000000"/>
              <w:right w:val="single" w:sz="6" w:space="0" w:color="000000"/>
            </w:tcBorders>
            <w:shd w:val="clear" w:color="auto" w:fill="D2D2D2"/>
          </w:tcPr>
          <w:p>
            <w:pPr/>
          </w:p>
        </w:tc>
        <w:tc>
          <w:tcPr>
            <w:tcW w:w="751" w:type="dxa"/>
            <w:vMerge/>
            <w:tcBorders>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c>
          <w:tcPr>
            <w:tcW w:w="1352" w:type="dxa"/>
            <w:gridSpan w:val="2"/>
            <w:vMerge/>
            <w:tcBorders>
              <w:left w:val="single" w:sz="6" w:space="0" w:color="000000"/>
              <w:bottom w:val="single" w:sz="6" w:space="0" w:color="000000"/>
              <w:right w:val="single" w:sz="6" w:space="0" w:color="000000"/>
            </w:tcBorders>
            <w:shd w:val="clear" w:color="auto" w:fill="D2D2D2"/>
          </w:tcPr>
          <w:p>
            <w:pPr/>
          </w:p>
        </w:tc>
        <w:tc>
          <w:tcPr>
            <w:tcW w:w="1352" w:type="dxa"/>
            <w:gridSpan w:val="2"/>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79"/>
              <w:jc w:val="left"/>
              <w:rPr>
                <w:rFonts w:ascii="宋体" w:hAnsi="宋体" w:cs="宋体" w:eastAsia="宋体" w:hint="default"/>
                <w:sz w:val="18"/>
                <w:szCs w:val="18"/>
              </w:rPr>
            </w:pPr>
            <w:r>
              <w:rPr>
                <w:rFonts w:ascii="宋体" w:hAnsi="宋体" w:cs="宋体" w:eastAsia="宋体" w:hint="default"/>
                <w:sz w:val="18"/>
                <w:szCs w:val="18"/>
              </w:rPr>
              <w:t>上海华服投资有 限公司</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50.65%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1,272,486</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,359</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1,272,486,</w:t>
            </w:r>
          </w:p>
          <w:p>
            <w:pPr>
              <w:pStyle w:val="TableParagraph"/>
              <w:spacing w:line="240" w:lineRule="auto" w:before="108"/>
              <w:ind w:left="570" w:right="0"/>
              <w:jc w:val="left"/>
              <w:rPr>
                <w:rFonts w:ascii="Times New Roman" w:hAnsi="Times New Roman" w:cs="Times New Roman" w:eastAsia="Times New Roman" w:hint="default"/>
                <w:sz w:val="18"/>
                <w:szCs w:val="18"/>
              </w:rPr>
            </w:pPr>
            <w:r>
              <w:rPr>
                <w:rFonts w:ascii="Times New Roman"/>
                <w:sz w:val="18"/>
              </w:rPr>
              <w:t>359</w:t>
            </w:r>
          </w:p>
        </w:tc>
        <w:tc>
          <w:tcPr>
            <w:tcW w:w="1352" w:type="dxa"/>
            <w:gridSpan w:val="2"/>
            <w:tcBorders>
              <w:top w:val="single" w:sz="54" w:space="0" w:color="D2D2D2"/>
              <w:left w:val="single" w:sz="6" w:space="0" w:color="000000"/>
              <w:bottom w:val="single" w:sz="6" w:space="0" w:color="000000"/>
              <w:right w:val="single" w:sz="6" w:space="0" w:color="000000"/>
            </w:tcBorders>
          </w:tcPr>
          <w:p>
            <w:pPr>
              <w:pStyle w:val="TableParagraph"/>
              <w:spacing w:line="240" w:lineRule="auto" w:before="135"/>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894,435,654</w:t>
            </w:r>
          </w:p>
        </w:tc>
      </w:tr>
      <w:tr>
        <w:trPr>
          <w:trHeight w:val="721"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8.96%</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168,750,0</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00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56,250,00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5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05" w:right="0"/>
              <w:jc w:val="left"/>
              <w:rPr>
                <w:rFonts w:ascii="Times New Roman" w:hAnsi="Times New Roman" w:cs="Times New Roman" w:eastAsia="Times New Roman" w:hint="default"/>
                <w:sz w:val="18"/>
                <w:szCs w:val="18"/>
              </w:rPr>
            </w:pPr>
            <w:r>
              <w:rPr>
                <w:rFonts w:ascii="Times New Roman"/>
                <w:sz w:val="18"/>
              </w:rPr>
              <w:t>199,999,994</w:t>
            </w:r>
          </w:p>
        </w:tc>
      </w:tr>
      <w:tr>
        <w:trPr>
          <w:trHeight w:val="721"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79"/>
              <w:jc w:val="left"/>
              <w:rPr>
                <w:rFonts w:ascii="宋体" w:hAnsi="宋体" w:cs="宋体" w:eastAsia="宋体" w:hint="default"/>
                <w:sz w:val="18"/>
                <w:szCs w:val="18"/>
              </w:rPr>
            </w:pPr>
            <w:r>
              <w:rPr>
                <w:rFonts w:ascii="宋体" w:hAnsi="宋体" w:cs="宋体" w:eastAsia="宋体" w:hint="default"/>
                <w:sz w:val="18"/>
                <w:szCs w:val="18"/>
              </w:rPr>
              <w:t>中央汇金资产管 理有限责任公司</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4.85%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121,944,0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796" w:type="dxa"/>
            <w:gridSpan w:val="2"/>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121,944,0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00</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华宝信托有限责</w:t>
            </w:r>
          </w:p>
          <w:p>
            <w:pPr>
              <w:pStyle w:val="TableParagraph"/>
              <w:spacing w:line="297" w:lineRule="auto" w:before="94"/>
              <w:ind w:left="15" w:right="29"/>
              <w:jc w:val="left"/>
              <w:rPr>
                <w:rFonts w:ascii="宋体" w:hAnsi="宋体" w:cs="宋体" w:eastAsia="宋体" w:hint="default"/>
                <w:sz w:val="18"/>
                <w:szCs w:val="18"/>
              </w:rPr>
            </w:pPr>
            <w:r>
              <w:rPr>
                <w:rFonts w:ascii="宋体" w:hAnsi="宋体" w:cs="宋体" w:eastAsia="宋体" w:hint="default"/>
                <w:sz w:val="18"/>
                <w:szCs w:val="18"/>
              </w:rPr>
              <w:t>任公司－聚鑫</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号 证券投资信托计 划</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0" w:right="0"/>
              <w:jc w:val="left"/>
              <w:rPr>
                <w:rFonts w:ascii="Times New Roman" w:hAnsi="Times New Roman" w:cs="Times New Roman" w:eastAsia="Times New Roman" w:hint="default"/>
                <w:sz w:val="18"/>
                <w:szCs w:val="18"/>
              </w:rPr>
            </w:pPr>
            <w:r>
              <w:rPr>
                <w:rFonts w:ascii="Times New Roman"/>
                <w:sz w:val="18"/>
              </w:rPr>
              <w:t>2.07%</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52,113,14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-6,077,67</w:t>
            </w:r>
          </w:p>
          <w:p>
            <w:pPr>
              <w:pStyle w:val="TableParagraph"/>
              <w:spacing w:line="240" w:lineRule="auto" w:before="93"/>
              <w:ind w:left="15" w:right="0"/>
              <w:jc w:val="left"/>
              <w:rPr>
                <w:rFonts w:ascii="Times New Roman" w:hAnsi="Times New Roman" w:cs="Times New Roman" w:eastAsia="Times New Roman" w:hint="default"/>
                <w:sz w:val="18"/>
                <w:szCs w:val="18"/>
              </w:rPr>
            </w:pPr>
            <w:r>
              <w:rPr>
                <w:rFonts w:ascii="Times New Roman"/>
                <w:sz w:val="18"/>
              </w:rPr>
              <w:t>2</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52,113,14</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2</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30"/>
              <w:ind w:left="15" w:right="179"/>
              <w:jc w:val="both"/>
              <w:rPr>
                <w:rFonts w:ascii="宋体" w:hAnsi="宋体" w:cs="宋体" w:eastAsia="宋体" w:hint="default"/>
                <w:sz w:val="18"/>
                <w:szCs w:val="18"/>
              </w:rPr>
            </w:pPr>
            <w:r>
              <w:rPr>
                <w:rFonts w:ascii="宋体" w:hAnsi="宋体" w:cs="宋体" w:eastAsia="宋体" w:hint="default"/>
                <w:sz w:val="18"/>
                <w:szCs w:val="18"/>
              </w:rPr>
              <w:t>工银瑞信基金－ 农业银行－工银 瑞信中证金融资 产管理计划</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0" w:right="0"/>
              <w:jc w:val="left"/>
              <w:rPr>
                <w:rFonts w:ascii="Times New Roman" w:hAnsi="Times New Roman" w:cs="Times New Roman" w:eastAsia="Times New Roman" w:hint="default"/>
                <w:sz w:val="18"/>
                <w:szCs w:val="18"/>
              </w:rPr>
            </w:pPr>
            <w:r>
              <w:rPr>
                <w:rFonts w:ascii="Times New Roman"/>
                <w:sz w:val="18"/>
              </w:rPr>
              <w:t>1.45%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79"/>
              <w:jc w:val="both"/>
              <w:rPr>
                <w:rFonts w:ascii="宋体" w:hAnsi="宋体" w:cs="宋体" w:eastAsia="宋体" w:hint="default"/>
                <w:sz w:val="18"/>
                <w:szCs w:val="18"/>
              </w:rPr>
            </w:pPr>
            <w:r>
              <w:rPr>
                <w:rFonts w:ascii="宋体" w:hAnsi="宋体" w:cs="宋体" w:eastAsia="宋体" w:hint="default"/>
                <w:sz w:val="18"/>
                <w:szCs w:val="18"/>
              </w:rPr>
              <w:t>南方基金－农业 银行－南方中证 金融资产管理计 划</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0" w:right="0"/>
              <w:jc w:val="left"/>
              <w:rPr>
                <w:rFonts w:ascii="Times New Roman" w:hAnsi="Times New Roman" w:cs="Times New Roman" w:eastAsia="Times New Roman" w:hint="default"/>
                <w:sz w:val="18"/>
                <w:szCs w:val="18"/>
              </w:rPr>
            </w:pPr>
            <w:r>
              <w:rPr>
                <w:rFonts w:ascii="Times New Roman"/>
                <w:sz w:val="18"/>
              </w:rPr>
              <w:t>1.45%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1337"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45"/>
              <w:ind w:left="15" w:right="179"/>
              <w:jc w:val="both"/>
              <w:rPr>
                <w:rFonts w:ascii="宋体" w:hAnsi="宋体" w:cs="宋体" w:eastAsia="宋体" w:hint="default"/>
                <w:sz w:val="18"/>
                <w:szCs w:val="18"/>
              </w:rPr>
            </w:pPr>
            <w:r>
              <w:rPr>
                <w:rFonts w:ascii="宋体" w:hAnsi="宋体" w:cs="宋体" w:eastAsia="宋体" w:hint="default"/>
                <w:sz w:val="18"/>
                <w:szCs w:val="18"/>
              </w:rPr>
              <w:t>中欧基金－农业 银行－中欧中证 金融资产管理计 划</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0" w:right="0"/>
              <w:jc w:val="left"/>
              <w:rPr>
                <w:rFonts w:ascii="Times New Roman" w:hAnsi="Times New Roman" w:cs="Times New Roman" w:eastAsia="Times New Roman" w:hint="default"/>
                <w:sz w:val="18"/>
                <w:szCs w:val="18"/>
              </w:rPr>
            </w:pPr>
            <w:r>
              <w:rPr>
                <w:rFonts w:ascii="Times New Roman"/>
                <w:sz w:val="18"/>
              </w:rPr>
              <w:t>1.45%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1351"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5" w:right="179"/>
              <w:jc w:val="both"/>
              <w:rPr>
                <w:rFonts w:ascii="宋体" w:hAnsi="宋体" w:cs="宋体" w:eastAsia="宋体" w:hint="default"/>
                <w:sz w:val="18"/>
                <w:szCs w:val="18"/>
              </w:rPr>
            </w:pPr>
            <w:r>
              <w:rPr>
                <w:rFonts w:ascii="宋体" w:hAnsi="宋体" w:cs="宋体" w:eastAsia="宋体" w:hint="default"/>
                <w:sz w:val="18"/>
                <w:szCs w:val="18"/>
              </w:rPr>
              <w:t>博时基金－农业 银行－博时中证 金融资产管理计 划</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0" w:right="0"/>
              <w:jc w:val="left"/>
              <w:rPr>
                <w:rFonts w:ascii="Times New Roman" w:hAnsi="Times New Roman" w:cs="Times New Roman" w:eastAsia="Times New Roman" w:hint="default"/>
                <w:sz w:val="18"/>
                <w:szCs w:val="18"/>
              </w:rPr>
            </w:pPr>
            <w:r>
              <w:rPr>
                <w:rFonts w:ascii="Times New Roman"/>
                <w:sz w:val="18"/>
              </w:rPr>
              <w:t>1.45%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16" w:lineRule="auto" w:before="29"/>
              <w:ind w:left="15" w:right="179"/>
              <w:jc w:val="both"/>
              <w:rPr>
                <w:rFonts w:ascii="宋体" w:hAnsi="宋体" w:cs="宋体" w:eastAsia="宋体" w:hint="default"/>
                <w:sz w:val="18"/>
                <w:szCs w:val="18"/>
              </w:rPr>
            </w:pPr>
            <w:r>
              <w:rPr>
                <w:rFonts w:ascii="宋体" w:hAnsi="宋体" w:cs="宋体" w:eastAsia="宋体" w:hint="default"/>
                <w:sz w:val="18"/>
                <w:szCs w:val="18"/>
              </w:rPr>
              <w:t>大成基金－农业 银行－大成中证 金融资产管理计 划</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5"/>
                <w:szCs w:val="25"/>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0" w:right="0"/>
              <w:jc w:val="left"/>
              <w:rPr>
                <w:rFonts w:ascii="Times New Roman" w:hAnsi="Times New Roman" w:cs="Times New Roman" w:eastAsia="Times New Roman" w:hint="default"/>
                <w:sz w:val="18"/>
                <w:szCs w:val="18"/>
              </w:rPr>
            </w:pPr>
            <w:r>
              <w:rPr>
                <w:rFonts w:ascii="Times New Roman"/>
                <w:sz w:val="18"/>
              </w:rPr>
              <w:t>1.45%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r>
        <w:trPr>
          <w:trHeight w:val="976" w:hRule="exact"/>
        </w:trPr>
        <w:tc>
          <w:tcPr>
            <w:tcW w:w="1472"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79"/>
              <w:jc w:val="both"/>
              <w:rPr>
                <w:rFonts w:ascii="宋体" w:hAnsi="宋体" w:cs="宋体" w:eastAsia="宋体" w:hint="default"/>
                <w:sz w:val="18"/>
                <w:szCs w:val="18"/>
              </w:rPr>
            </w:pPr>
            <w:r>
              <w:rPr>
                <w:rFonts w:ascii="宋体" w:hAnsi="宋体" w:cs="宋体" w:eastAsia="宋体" w:hint="default"/>
                <w:sz w:val="18"/>
                <w:szCs w:val="18"/>
              </w:rPr>
              <w:t>嘉实基金－农业 银行－嘉实中证 金融资产管理计</w:t>
            </w:r>
          </w:p>
        </w:tc>
        <w:tc>
          <w:tcPr>
            <w:tcW w:w="1412"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3"/>
              <w:ind w:left="15"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1.45%</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7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352" w:type="dxa"/>
            <w:gridSpan w:val="2"/>
            <w:tcBorders>
              <w:top w:val="single" w:sz="6" w:space="0" w:color="000000"/>
              <w:left w:val="single" w:sz="6" w:space="0" w:color="000000"/>
              <w:bottom w:val="single" w:sz="6" w:space="0" w:color="000000"/>
              <w:right w:val="single" w:sz="6" w:space="0" w:color="000000"/>
            </w:tcBorders>
          </w:tcPr>
          <w:p>
            <w:pPr/>
          </w:p>
        </w:tc>
        <w:tc>
          <w:tcPr>
            <w:tcW w:w="1352" w:type="dxa"/>
            <w:gridSpan w:val="2"/>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472"/>
        <w:gridCol w:w="1408"/>
        <w:gridCol w:w="800"/>
        <w:gridCol w:w="781"/>
        <w:gridCol w:w="796"/>
        <w:gridCol w:w="781"/>
        <w:gridCol w:w="841"/>
        <w:gridCol w:w="1352"/>
        <w:gridCol w:w="1352"/>
      </w:tblGrid>
      <w:tr>
        <w:trPr>
          <w:trHeight w:val="360" w:hRule="exact"/>
        </w:trPr>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408" w:type="dxa"/>
            <w:tcBorders>
              <w:top w:val="single" w:sz="6" w:space="0" w:color="000000"/>
              <w:left w:val="single" w:sz="6" w:space="0" w:color="000000"/>
              <w:bottom w:val="single" w:sz="6" w:space="0" w:color="000000"/>
              <w:right w:val="single" w:sz="6" w:space="0" w:color="000000"/>
            </w:tcBorders>
          </w:tcPr>
          <w:p>
            <w:pPr/>
          </w:p>
        </w:tc>
        <w:tc>
          <w:tcPr>
            <w:tcW w:w="800"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841"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88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2" w:lineRule="auto" w:before="45"/>
              <w:ind w:left="15" w:right="26"/>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pacing w:val="-13"/>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702" w:type="dxa"/>
            <w:gridSpan w:val="7"/>
            <w:tcBorders>
              <w:top w:val="single" w:sz="6" w:space="0" w:color="000000"/>
              <w:left w:val="single" w:sz="12"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06" w:hRule="exact"/>
        </w:trPr>
        <w:tc>
          <w:tcPr>
            <w:tcW w:w="288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47"/>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702" w:type="dxa"/>
            <w:gridSpan w:val="7"/>
            <w:tcBorders>
              <w:top w:val="single" w:sz="6" w:space="0" w:color="000000"/>
              <w:left w:val="single" w:sz="12" w:space="0" w:color="000000"/>
              <w:bottom w:val="single" w:sz="6" w:space="0" w:color="000000"/>
              <w:right w:val="single" w:sz="6" w:space="0" w:color="000000"/>
            </w:tcBorders>
          </w:tcPr>
          <w:p>
            <w:pPr>
              <w:pStyle w:val="TableParagraph"/>
              <w:spacing w:line="321" w:lineRule="auto" w:before="29"/>
              <w:ind w:left="26" w:right="171"/>
              <w:jc w:val="left"/>
              <w:rPr>
                <w:rFonts w:ascii="宋体" w:hAnsi="宋体" w:cs="宋体" w:eastAsia="宋体" w:hint="default"/>
                <w:sz w:val="18"/>
                <w:szCs w:val="18"/>
              </w:rPr>
            </w:pPr>
            <w:r>
              <w:rPr>
                <w:rFonts w:ascii="宋体" w:hAnsi="宋体" w:cs="宋体" w:eastAsia="宋体" w:hint="default"/>
                <w:sz w:val="18"/>
                <w:szCs w:val="18"/>
              </w:rPr>
              <w:t>本公司控股股东上海华服投资有限公司的实际控制人周成建先生与本公司股东胡佳 佳女士系父女关系。</w:t>
            </w:r>
          </w:p>
        </w:tc>
      </w:tr>
      <w:tr>
        <w:trPr>
          <w:trHeight w:val="405" w:hRule="exact"/>
        </w:trPr>
        <w:tc>
          <w:tcPr>
            <w:tcW w:w="9582" w:type="dxa"/>
            <w:gridSpan w:val="9"/>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 w:right="15"/>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3" w:hRule="exact"/>
        </w:trPr>
        <w:tc>
          <w:tcPr>
            <w:tcW w:w="2880" w:type="dxa"/>
            <w:gridSpan w:val="2"/>
            <w:tcBorders>
              <w:top w:val="single" w:sz="6" w:space="0" w:color="000000"/>
              <w:left w:val="single" w:sz="6" w:space="0" w:color="000000"/>
              <w:bottom w:val="nil" w:sz="6" w:space="0" w:color="auto"/>
              <w:right w:val="single" w:sz="6" w:space="0" w:color="000000"/>
            </w:tcBorders>
            <w:shd w:val="clear" w:color="auto" w:fill="D2D2D2"/>
          </w:tcPr>
          <w:p>
            <w:pPr/>
          </w:p>
        </w:tc>
        <w:tc>
          <w:tcPr>
            <w:tcW w:w="3999" w:type="dxa"/>
            <w:gridSpan w:val="5"/>
            <w:tcBorders>
              <w:top w:val="single" w:sz="6" w:space="0" w:color="000000"/>
              <w:left w:val="single" w:sz="6" w:space="0" w:color="000000"/>
              <w:bottom w:val="nil" w:sz="6" w:space="0" w:color="auto"/>
              <w:right w:val="single" w:sz="6" w:space="0" w:color="000000"/>
            </w:tcBorders>
            <w:shd w:val="clear" w:color="auto" w:fill="D2D2D2"/>
          </w:tcPr>
          <w:p>
            <w:pPr/>
          </w:p>
        </w:tc>
        <w:tc>
          <w:tcPr>
            <w:tcW w:w="2703"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03" w:hRule="exact"/>
        </w:trPr>
        <w:tc>
          <w:tcPr>
            <w:tcW w:w="2880" w:type="dxa"/>
            <w:gridSpan w:val="2"/>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9"/>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9" w:type="dxa"/>
            <w:gridSpan w:val="5"/>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4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3"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2880" w:type="dxa"/>
            <w:gridSpan w:val="2"/>
            <w:vMerge/>
            <w:tcBorders>
              <w:left w:val="single" w:sz="6" w:space="0" w:color="000000"/>
              <w:right w:val="single" w:sz="6" w:space="0" w:color="000000"/>
            </w:tcBorders>
            <w:shd w:val="clear" w:color="auto" w:fill="D2D2D2"/>
          </w:tcPr>
          <w:p>
            <w:pPr/>
          </w:p>
        </w:tc>
        <w:tc>
          <w:tcPr>
            <w:tcW w:w="3999" w:type="dxa"/>
            <w:gridSpan w:val="5"/>
            <w:vMerge/>
            <w:tcBorders>
              <w:left w:val="single" w:sz="6" w:space="0" w:color="000000"/>
              <w:bottom w:val="nil" w:sz="6" w:space="0" w:color="auto"/>
              <w:right w:val="single" w:sz="6" w:space="0" w:color="000000"/>
            </w:tcBorders>
            <w:shd w:val="clear" w:color="auto" w:fill="D2D2D2"/>
          </w:tcPr>
          <w:p>
            <w:pPr/>
          </w:p>
        </w:tc>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2"/>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18" w:hRule="exact"/>
        </w:trPr>
        <w:tc>
          <w:tcPr>
            <w:tcW w:w="2880" w:type="dxa"/>
            <w:gridSpan w:val="2"/>
            <w:vMerge/>
            <w:tcBorders>
              <w:left w:val="single" w:sz="6" w:space="0" w:color="000000"/>
              <w:bottom w:val="single" w:sz="6" w:space="0" w:color="000000"/>
              <w:right w:val="single" w:sz="6" w:space="0" w:color="000000"/>
            </w:tcBorders>
            <w:shd w:val="clear" w:color="auto" w:fill="D2D2D2"/>
          </w:tcPr>
          <w:p>
            <w:pPr/>
          </w:p>
        </w:tc>
        <w:tc>
          <w:tcPr>
            <w:tcW w:w="3999" w:type="dxa"/>
            <w:gridSpan w:val="5"/>
            <w:tcBorders>
              <w:top w:val="nil" w:sz="6" w:space="0" w:color="auto"/>
              <w:left w:val="single" w:sz="6" w:space="0" w:color="000000"/>
              <w:bottom w:val="single" w:sz="6" w:space="0" w:color="000000"/>
              <w:right w:val="single" w:sz="6" w:space="0" w:color="000000"/>
            </w:tcBorders>
            <w:shd w:val="clear" w:color="auto" w:fill="D2D2D2"/>
          </w:tcPr>
          <w:p>
            <w:pPr/>
          </w:p>
        </w:tc>
        <w:tc>
          <w:tcPr>
            <w:tcW w:w="1352" w:type="dxa"/>
            <w:vMerge/>
            <w:tcBorders>
              <w:left w:val="single" w:sz="6" w:space="0" w:color="000000"/>
              <w:bottom w:val="single" w:sz="6" w:space="0" w:color="000000"/>
              <w:right w:val="single" w:sz="6" w:space="0" w:color="000000"/>
            </w:tcBorders>
            <w:shd w:val="clear" w:color="auto" w:fill="D2D2D2"/>
          </w:tcPr>
          <w:p>
            <w:pPr/>
          </w:p>
        </w:tc>
        <w:tc>
          <w:tcPr>
            <w:tcW w:w="135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28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399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1,272,486,359</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1,272,486,359</w:t>
            </w:r>
          </w:p>
        </w:tc>
      </w:tr>
      <w:tr>
        <w:trPr>
          <w:trHeight w:val="406" w:hRule="exact"/>
        </w:trPr>
        <w:tc>
          <w:tcPr>
            <w:tcW w:w="28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中央汇金资产管理有限责任公司</w:t>
            </w:r>
          </w:p>
        </w:tc>
        <w:tc>
          <w:tcPr>
            <w:tcW w:w="399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121,944,000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121,944,000</w:t>
            </w:r>
          </w:p>
        </w:tc>
      </w:tr>
      <w:tr>
        <w:trPr>
          <w:trHeight w:val="405" w:hRule="exact"/>
        </w:trPr>
        <w:tc>
          <w:tcPr>
            <w:tcW w:w="28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399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56,250,000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56,250,000</w:t>
            </w:r>
          </w:p>
        </w:tc>
      </w:tr>
      <w:tr>
        <w:trPr>
          <w:trHeight w:val="721" w:hRule="exact"/>
        </w:trPr>
        <w:tc>
          <w:tcPr>
            <w:tcW w:w="28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73" w:lineRule="auto" w:before="59"/>
              <w:ind w:left="15" w:right="144"/>
              <w:jc w:val="left"/>
              <w:rPr>
                <w:rFonts w:ascii="宋体" w:hAnsi="宋体" w:cs="宋体" w:eastAsia="宋体" w:hint="default"/>
                <w:sz w:val="18"/>
                <w:szCs w:val="18"/>
              </w:rPr>
            </w:pPr>
            <w:r>
              <w:rPr>
                <w:rFonts w:ascii="宋体" w:hAnsi="宋体" w:cs="宋体" w:eastAsia="宋体" w:hint="default"/>
                <w:sz w:val="18"/>
                <w:szCs w:val="18"/>
              </w:rPr>
              <w:t>华宝信托有限责任公司－聚鑫</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号 证券投资信托计划</w:t>
            </w:r>
          </w:p>
        </w:tc>
        <w:tc>
          <w:tcPr>
            <w:tcW w:w="399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52,113,142</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52,113,142</w:t>
            </w:r>
          </w:p>
        </w:tc>
      </w:tr>
      <w:tr>
        <w:trPr>
          <w:trHeight w:val="706" w:hRule="exact"/>
        </w:trPr>
        <w:tc>
          <w:tcPr>
            <w:tcW w:w="2880"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7"/>
              <w:jc w:val="left"/>
              <w:rPr>
                <w:rFonts w:ascii="宋体" w:hAnsi="宋体" w:cs="宋体" w:eastAsia="宋体" w:hint="default"/>
                <w:sz w:val="18"/>
                <w:szCs w:val="18"/>
              </w:rPr>
            </w:pPr>
            <w:r>
              <w:rPr>
                <w:rFonts w:ascii="宋体" w:hAnsi="宋体" w:cs="宋体" w:eastAsia="宋体" w:hint="default"/>
                <w:sz w:val="18"/>
                <w:szCs w:val="18"/>
              </w:rPr>
              <w:t>工银瑞信基金－农业银行－工银瑞 信中证金融资产管理计划</w:t>
            </w:r>
          </w:p>
        </w:tc>
        <w:tc>
          <w:tcPr>
            <w:tcW w:w="399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36,388,000</w:t>
            </w:r>
          </w:p>
        </w:tc>
      </w:tr>
      <w:tr>
        <w:trPr>
          <w:trHeight w:val="720" w:hRule="exact"/>
        </w:trPr>
        <w:tc>
          <w:tcPr>
            <w:tcW w:w="2880" w:type="dxa"/>
            <w:gridSpan w:val="2"/>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7"/>
              <w:jc w:val="left"/>
              <w:rPr>
                <w:rFonts w:ascii="宋体" w:hAnsi="宋体" w:cs="宋体" w:eastAsia="宋体" w:hint="default"/>
                <w:sz w:val="18"/>
                <w:szCs w:val="18"/>
              </w:rPr>
            </w:pPr>
            <w:r>
              <w:rPr>
                <w:rFonts w:ascii="宋体" w:hAnsi="宋体" w:cs="宋体" w:eastAsia="宋体" w:hint="default"/>
                <w:sz w:val="18"/>
                <w:szCs w:val="18"/>
              </w:rPr>
              <w:t>南方基金－农业银行－南方中证金 融资产管理计划</w:t>
            </w:r>
          </w:p>
        </w:tc>
        <w:tc>
          <w:tcPr>
            <w:tcW w:w="399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36,388,000</w:t>
            </w:r>
          </w:p>
        </w:tc>
      </w:tr>
      <w:tr>
        <w:trPr>
          <w:trHeight w:val="706" w:hRule="exact"/>
        </w:trPr>
        <w:tc>
          <w:tcPr>
            <w:tcW w:w="2880"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7"/>
              <w:jc w:val="left"/>
              <w:rPr>
                <w:rFonts w:ascii="宋体" w:hAnsi="宋体" w:cs="宋体" w:eastAsia="宋体" w:hint="default"/>
                <w:sz w:val="18"/>
                <w:szCs w:val="18"/>
              </w:rPr>
            </w:pPr>
            <w:r>
              <w:rPr>
                <w:rFonts w:ascii="宋体" w:hAnsi="宋体" w:cs="宋体" w:eastAsia="宋体" w:hint="default"/>
                <w:sz w:val="18"/>
                <w:szCs w:val="18"/>
              </w:rPr>
              <w:t>中欧基金－农业银行－中欧中证金 融资产管理计划</w:t>
            </w:r>
          </w:p>
        </w:tc>
        <w:tc>
          <w:tcPr>
            <w:tcW w:w="399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36,388,000</w:t>
            </w:r>
          </w:p>
        </w:tc>
      </w:tr>
      <w:tr>
        <w:trPr>
          <w:trHeight w:val="721" w:hRule="exact"/>
        </w:trPr>
        <w:tc>
          <w:tcPr>
            <w:tcW w:w="2880" w:type="dxa"/>
            <w:gridSpan w:val="2"/>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7"/>
              <w:jc w:val="left"/>
              <w:rPr>
                <w:rFonts w:ascii="宋体" w:hAnsi="宋体" w:cs="宋体" w:eastAsia="宋体" w:hint="default"/>
                <w:sz w:val="18"/>
                <w:szCs w:val="18"/>
              </w:rPr>
            </w:pPr>
            <w:r>
              <w:rPr>
                <w:rFonts w:ascii="宋体" w:hAnsi="宋体" w:cs="宋体" w:eastAsia="宋体" w:hint="default"/>
                <w:sz w:val="18"/>
                <w:szCs w:val="18"/>
              </w:rPr>
              <w:t>博时基金－农业银行－博时中证金 融资产管理计划</w:t>
            </w:r>
          </w:p>
        </w:tc>
        <w:tc>
          <w:tcPr>
            <w:tcW w:w="399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36,388,000</w:t>
            </w:r>
          </w:p>
        </w:tc>
      </w:tr>
      <w:tr>
        <w:trPr>
          <w:trHeight w:val="720" w:hRule="exact"/>
        </w:trPr>
        <w:tc>
          <w:tcPr>
            <w:tcW w:w="2880" w:type="dxa"/>
            <w:gridSpan w:val="2"/>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7"/>
              <w:jc w:val="left"/>
              <w:rPr>
                <w:rFonts w:ascii="宋体" w:hAnsi="宋体" w:cs="宋体" w:eastAsia="宋体" w:hint="default"/>
                <w:sz w:val="18"/>
                <w:szCs w:val="18"/>
              </w:rPr>
            </w:pPr>
            <w:r>
              <w:rPr>
                <w:rFonts w:ascii="宋体" w:hAnsi="宋体" w:cs="宋体" w:eastAsia="宋体" w:hint="default"/>
                <w:sz w:val="18"/>
                <w:szCs w:val="18"/>
              </w:rPr>
              <w:t>大成基金－农业银行－大成中证金 融资产管理计划</w:t>
            </w:r>
          </w:p>
        </w:tc>
        <w:tc>
          <w:tcPr>
            <w:tcW w:w="399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36,388,000</w:t>
            </w:r>
          </w:p>
        </w:tc>
      </w:tr>
      <w:tr>
        <w:trPr>
          <w:trHeight w:val="706" w:hRule="exact"/>
        </w:trPr>
        <w:tc>
          <w:tcPr>
            <w:tcW w:w="2880"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7"/>
              <w:jc w:val="left"/>
              <w:rPr>
                <w:rFonts w:ascii="宋体" w:hAnsi="宋体" w:cs="宋体" w:eastAsia="宋体" w:hint="default"/>
                <w:sz w:val="18"/>
                <w:szCs w:val="18"/>
              </w:rPr>
            </w:pPr>
            <w:r>
              <w:rPr>
                <w:rFonts w:ascii="宋体" w:hAnsi="宋体" w:cs="宋体" w:eastAsia="宋体" w:hint="default"/>
                <w:sz w:val="18"/>
                <w:szCs w:val="18"/>
              </w:rPr>
              <w:t>嘉实基金－农业银行－嘉实中证金 融资产管理计划</w:t>
            </w:r>
          </w:p>
        </w:tc>
        <w:tc>
          <w:tcPr>
            <w:tcW w:w="3999"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36,388,000</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36,388,000</w:t>
            </w:r>
          </w:p>
        </w:tc>
      </w:tr>
      <w:tr>
        <w:trPr>
          <w:trHeight w:val="1336" w:hRule="exact"/>
        </w:trPr>
        <w:tc>
          <w:tcPr>
            <w:tcW w:w="288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名无限售流通股股东之间，以</w:t>
            </w:r>
          </w:p>
          <w:p>
            <w:pPr>
              <w:pStyle w:val="TableParagraph"/>
              <w:spacing w:line="304" w:lineRule="auto" w:before="51"/>
              <w:ind w:left="15" w:right="9"/>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名股东之间关联关系或一致行动的 说明</w:t>
            </w:r>
          </w:p>
        </w:tc>
        <w:tc>
          <w:tcPr>
            <w:tcW w:w="6702"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7" w:lineRule="auto" w:before="153"/>
              <w:ind w:left="33" w:right="163"/>
              <w:jc w:val="left"/>
              <w:rPr>
                <w:rFonts w:ascii="宋体" w:hAnsi="宋体" w:cs="宋体" w:eastAsia="宋体" w:hint="default"/>
                <w:sz w:val="18"/>
                <w:szCs w:val="18"/>
              </w:rPr>
            </w:pPr>
            <w:r>
              <w:rPr>
                <w:rFonts w:ascii="宋体" w:hAnsi="宋体" w:cs="宋体" w:eastAsia="宋体" w:hint="default"/>
                <w:sz w:val="18"/>
                <w:szCs w:val="18"/>
              </w:rPr>
              <w:t>本公司控股股东上海华服投资有限公司的实际控制人周成建先生与本公司股东胡佳</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佳女士系父女关系。</w:t>
            </w:r>
          </w:p>
        </w:tc>
      </w:tr>
      <w:tr>
        <w:trPr>
          <w:trHeight w:val="721" w:hRule="exact"/>
        </w:trPr>
        <w:tc>
          <w:tcPr>
            <w:tcW w:w="288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57"/>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6702" w:type="dxa"/>
            <w:gridSpan w:val="7"/>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3" w:right="0"/>
              <w:jc w:val="left"/>
              <w:rPr>
                <w:rFonts w:ascii="宋体" w:hAnsi="宋体" w:cs="宋体" w:eastAsia="宋体" w:hint="default"/>
                <w:sz w:val="18"/>
                <w:szCs w:val="18"/>
              </w:rPr>
            </w:pPr>
            <w:r>
              <w:rPr>
                <w:rFonts w:ascii="宋体" w:hAnsi="宋体" w:cs="宋体" w:eastAsia="宋体" w:hint="default"/>
                <w:sz w:val="18"/>
                <w:szCs w:val="18"/>
              </w:rPr>
              <w:t>报告期末，控股股东上海华服投资有限公司持有本公司股份数为</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1,272,486,359</w:t>
            </w:r>
            <w:r>
              <w:rPr>
                <w:rFonts w:ascii="Times New Roman" w:hAnsi="Times New Roman" w:cs="Times New Roman" w:eastAsia="Times New Roman" w:hint="default"/>
                <w:spacing w:val="-13"/>
                <w:sz w:val="18"/>
                <w:szCs w:val="18"/>
              </w:rPr>
              <w:t> </w:t>
            </w:r>
            <w:r>
              <w:rPr>
                <w:rFonts w:ascii="宋体" w:hAnsi="宋体" w:cs="宋体" w:eastAsia="宋体" w:hint="default"/>
                <w:spacing w:val="-11"/>
                <w:sz w:val="18"/>
                <w:szCs w:val="18"/>
              </w:rPr>
              <w:t>股，其</w:t>
            </w:r>
          </w:p>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中通过信用证券账户持股数量为</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319,006,953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9"/>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名无限售条件普通股股东在报告期内是否进行约定购回交易</w:t>
      </w:r>
    </w:p>
    <w:p>
      <w:pPr>
        <w:pStyle w:val="BodyText"/>
        <w:spacing w:line="240" w:lineRule="auto" w:before="96"/>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96"/>
        <w:ind w:right="0"/>
        <w:jc w:val="left"/>
      </w:pPr>
      <w:r>
        <w:rPr/>
        <w:t>公司前</w:t>
      </w:r>
      <w:r>
        <w:rPr>
          <w:spacing w:val="-45"/>
        </w:rPr>
        <w:t> </w:t>
      </w:r>
      <w:r>
        <w:rPr>
          <w:rFonts w:ascii="Times New Roman" w:hAnsi="Times New Roman" w:cs="Times New Roman" w:eastAsia="Times New Roman" w:hint="default"/>
        </w:rPr>
        <w:t>10 </w:t>
      </w:r>
      <w:r>
        <w:rPr/>
        <w:t>名普通股股东、前</w:t>
      </w:r>
      <w:r>
        <w:rPr>
          <w:spacing w:val="-43"/>
        </w:rPr>
        <w:t> </w:t>
      </w:r>
      <w:r>
        <w:rPr>
          <w:rFonts w:ascii="Times New Roman" w:hAnsi="Times New Roman" w:cs="Times New Roman" w:eastAsia="Times New Roman" w:hint="default"/>
        </w:rPr>
        <w:t>10 </w:t>
      </w:r>
      <w:r>
        <w:rPr/>
        <w:t>名无限售条件普通股股东在报告期内未进行约定购回交易。</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2、公司控股股东情况" w:id="111"/>
      <w:bookmarkEnd w:id="111"/>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控股股东性质：自然人控股</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控股股东类型：法人</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97"/>
        <w:gridCol w:w="1832"/>
        <w:gridCol w:w="1893"/>
        <w:gridCol w:w="1937"/>
        <w:gridCol w:w="1922"/>
      </w:tblGrid>
      <w:tr>
        <w:trPr>
          <w:trHeight w:val="720"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控股股东名称</w:t>
            </w: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826" w:right="75" w:hanging="751"/>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 人</w:t>
            </w:r>
          </w:p>
        </w:tc>
        <w:tc>
          <w:tcPr>
            <w:tcW w:w="18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9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5" w:hRule="exact"/>
        </w:trPr>
        <w:tc>
          <w:tcPr>
            <w:tcW w:w="19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50"/>
              <w:jc w:val="center"/>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18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18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91310115666049783P</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实业投资、投资管理</w:t>
            </w:r>
          </w:p>
        </w:tc>
      </w:tr>
      <w:tr>
        <w:trPr>
          <w:trHeight w:val="1021" w:hRule="exact"/>
        </w:trPr>
        <w:tc>
          <w:tcPr>
            <w:tcW w:w="19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65"/>
              <w:jc w:val="both"/>
              <w:rPr>
                <w:rFonts w:ascii="宋体" w:hAnsi="宋体" w:cs="宋体" w:eastAsia="宋体" w:hint="default"/>
                <w:sz w:val="18"/>
                <w:szCs w:val="18"/>
              </w:rPr>
            </w:pPr>
            <w:r>
              <w:rPr>
                <w:rFonts w:ascii="宋体" w:hAnsi="宋体" w:cs="宋体" w:eastAsia="宋体" w:hint="default"/>
                <w:sz w:val="18"/>
                <w:szCs w:val="18"/>
              </w:rPr>
              <w:t>控股股东报告期内控股 和参股的其他境内外上 市公司的股权情况</w:t>
            </w:r>
          </w:p>
        </w:tc>
        <w:tc>
          <w:tcPr>
            <w:tcW w:w="7584" w:type="dxa"/>
            <w:gridSpan w:val="4"/>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4"/>
        <w:ind w:right="0"/>
        <w:jc w:val="left"/>
      </w:pPr>
      <w:r>
        <w:rPr/>
        <w:t>控股股东报告期内变更</w:t>
      </w:r>
    </w:p>
    <w:p>
      <w:pPr>
        <w:pStyle w:val="BodyText"/>
        <w:spacing w:line="333"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公司报告期控股股东未发生变更。</w:t>
      </w:r>
    </w:p>
    <w:p>
      <w:pPr>
        <w:spacing w:line="240" w:lineRule="auto" w:before="4"/>
        <w:rPr>
          <w:rFonts w:ascii="宋体" w:hAnsi="宋体" w:cs="宋体" w:eastAsia="宋体" w:hint="default"/>
          <w:sz w:val="23"/>
          <w:szCs w:val="23"/>
        </w:rPr>
      </w:pPr>
    </w:p>
    <w:p>
      <w:pPr>
        <w:pStyle w:val="Heading5"/>
        <w:spacing w:line="240" w:lineRule="auto"/>
        <w:ind w:right="0"/>
        <w:jc w:val="left"/>
        <w:rPr>
          <w:b w:val="0"/>
          <w:bCs w:val="0"/>
        </w:rPr>
      </w:pPr>
      <w:bookmarkStart w:name="3、公司实际控制人及其一致行动人" w:id="112"/>
      <w:bookmarkEnd w:id="112"/>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1"/>
        <w:rPr>
          <w:rFonts w:ascii="宋体" w:hAnsi="宋体" w:cs="宋体" w:eastAsia="宋体" w:hint="default"/>
          <w:b/>
          <w:bCs/>
          <w:sz w:val="24"/>
          <w:szCs w:val="24"/>
        </w:rPr>
      </w:pPr>
    </w:p>
    <w:p>
      <w:pPr>
        <w:pStyle w:val="BodyText"/>
        <w:spacing w:line="367" w:lineRule="auto"/>
        <w:ind w:right="8409"/>
        <w:jc w:val="left"/>
      </w:pPr>
      <w:r>
        <w:rPr/>
        <w:t>实际控制人性质：境内自然人 实际控制人类型：自然人</w:t>
      </w: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021" w:right="107" w:hanging="902"/>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周成建</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94"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上海华服投资有限公司执行董事</w:t>
            </w:r>
          </w:p>
        </w:tc>
      </w:tr>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05"/>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年曾控股的境内外上 市公司情况</w:t>
            </w:r>
          </w:p>
        </w:tc>
        <w:tc>
          <w:tcPr>
            <w:tcW w:w="7194" w:type="dxa"/>
            <w:gridSpan w:val="3"/>
            <w:tcBorders>
              <w:top w:val="single" w:sz="6" w:space="0" w:color="000000"/>
              <w:left w:val="single" w:sz="12" w:space="0" w:color="D2D2D2"/>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9"/>
        <w:ind w:right="0"/>
        <w:jc w:val="left"/>
      </w:pPr>
      <w:r>
        <w:rPr/>
        <w:t>实际控制人报告期内变更</w:t>
      </w:r>
    </w:p>
    <w:p>
      <w:pPr>
        <w:pStyle w:val="BodyText"/>
        <w:spacing w:line="316" w:lineRule="auto" w:before="125"/>
        <w:ind w:right="67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公司报告期实际控制人未发生变更。</w:t>
      </w:r>
    </w:p>
    <w:p>
      <w:pPr>
        <w:pStyle w:val="BodyText"/>
        <w:spacing w:line="240" w:lineRule="auto" w:before="67"/>
        <w:ind w:right="0"/>
        <w:jc w:val="left"/>
      </w:pPr>
      <w:r>
        <w:rPr/>
        <w:t>公司与实际控制人之间的产权及控制关系的方框图</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8"/>
          <w:szCs w:val="18"/>
        </w:rPr>
      </w:pPr>
    </w:p>
    <w:p>
      <w:pPr>
        <w:spacing w:line="5370" w:lineRule="exact"/>
        <w:ind w:left="1340" w:right="0" w:firstLine="0"/>
        <w:rPr>
          <w:rFonts w:ascii="宋体" w:hAnsi="宋体" w:cs="宋体" w:eastAsia="宋体" w:hint="default"/>
          <w:sz w:val="20"/>
          <w:szCs w:val="20"/>
        </w:rPr>
      </w:pPr>
      <w:r>
        <w:rPr>
          <w:rFonts w:ascii="宋体" w:hAnsi="宋体" w:cs="宋体" w:eastAsia="宋体" w:hint="default"/>
          <w:position w:val="-106"/>
          <w:sz w:val="20"/>
          <w:szCs w:val="20"/>
        </w:rPr>
        <w:drawing>
          <wp:inline distT="0" distB="0" distL="0" distR="0">
            <wp:extent cx="4591050" cy="34099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13" cstate="print"/>
                    <a:stretch>
                      <a:fillRect/>
                    </a:stretch>
                  </pic:blipFill>
                  <pic:spPr>
                    <a:xfrm>
                      <a:off x="0" y="0"/>
                      <a:ext cx="4591050" cy="3409950"/>
                    </a:xfrm>
                    <a:prstGeom prst="rect">
                      <a:avLst/>
                    </a:prstGeom>
                  </pic:spPr>
                </pic:pic>
              </a:graphicData>
            </a:graphic>
          </wp:inline>
        </w:drawing>
      </w:r>
      <w:r>
        <w:rPr>
          <w:rFonts w:ascii="宋体" w:hAnsi="宋体" w:cs="宋体" w:eastAsia="宋体" w:hint="default"/>
          <w:position w:val="-106"/>
          <w:sz w:val="20"/>
          <w:szCs w:val="20"/>
        </w:rPr>
      </w:r>
    </w:p>
    <w:p>
      <w:pPr>
        <w:spacing w:line="240" w:lineRule="auto" w:before="11"/>
        <w:rPr>
          <w:rFonts w:ascii="宋体" w:hAnsi="宋体" w:cs="宋体" w:eastAsia="宋体" w:hint="default"/>
          <w:sz w:val="21"/>
          <w:szCs w:val="21"/>
        </w:rPr>
      </w:pPr>
    </w:p>
    <w:p>
      <w:pPr>
        <w:pStyle w:val="Heading3"/>
        <w:spacing w:line="240" w:lineRule="auto" w:before="26"/>
        <w:ind w:right="0"/>
        <w:jc w:val="left"/>
      </w:pPr>
      <w:r>
        <w:rPr/>
        <w:t>实际控制人通过信托或其他资产管理方式控制公司</w:t>
      </w:r>
    </w:p>
    <w:p>
      <w:pPr>
        <w:spacing w:line="240" w:lineRule="auto" w:before="1"/>
        <w:rPr>
          <w:rFonts w:ascii="宋体" w:hAnsi="宋体" w:cs="宋体" w:eastAsia="宋体" w:hint="default"/>
          <w:sz w:val="18"/>
          <w:szCs w:val="18"/>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4、其他持股在10%以上的法人股东" w:id="113"/>
      <w:bookmarkEnd w:id="113"/>
      <w:r>
        <w:rPr>
          <w:b w:val="0"/>
          <w:bCs w:val="0"/>
        </w:rPr>
      </w:r>
      <w:r>
        <w:rPr>
          <w:rFonts w:ascii="Times New Roman" w:hAnsi="Times New Roman" w:cs="Times New Roman" w:eastAsia="Times New Roman" w:hint="default"/>
        </w:rPr>
        <w:t>4</w:t>
      </w:r>
      <w:r>
        <w:rPr/>
        <w:t>、其他持股在</w:t>
      </w:r>
      <w:r>
        <w:rPr>
          <w:spacing w:val="-58"/>
        </w:rPr>
        <w:t> </w:t>
      </w:r>
      <w:r>
        <w:rPr>
          <w:rFonts w:ascii="Times New Roman" w:hAnsi="Times New Roman" w:cs="Times New Roman" w:eastAsia="Times New Roman" w:hint="default"/>
        </w:rPr>
        <w:t>10%</w:t>
      </w:r>
      <w:r>
        <w:rPr/>
        <w:t>以上的法人股东</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5、控股股东、实际控制人、重组方及其他承诺主体股份限制减持情况" w:id="114"/>
      <w:bookmarkEnd w:id="114"/>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355" w:right="0"/>
        <w:jc w:val="left"/>
        <w:rPr>
          <w:b w:val="0"/>
          <w:bCs w:val="0"/>
        </w:rPr>
      </w:pPr>
      <w:bookmarkStart w:name="第七节优先股相关情况" w:id="115"/>
      <w:bookmarkEnd w:id="115"/>
      <w:r>
        <w:rPr>
          <w:b w:val="0"/>
          <w:bCs w:val="0"/>
        </w:rPr>
      </w:r>
      <w:bookmarkStart w:name="_bookmark6" w:id="116"/>
      <w:bookmarkEnd w:id="116"/>
      <w:r>
        <w:rPr>
          <w:b w:val="0"/>
          <w:bCs w:val="0"/>
        </w:rPr>
      </w:r>
      <w:r>
        <w:rPr>
          <w:spacing w:val="5"/>
        </w:rPr>
        <w:t>第七节优先股相关情况</w:t>
      </w:r>
      <w:r>
        <w:rPr>
          <w:b w:val="0"/>
          <w:bCs w:val="0"/>
          <w:spacing w:val="5"/>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33" w:lineRule="auto" w:before="44"/>
        <w:ind w:right="858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报告期公司不存在优先股。</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709" w:right="0"/>
        <w:jc w:val="left"/>
        <w:rPr>
          <w:b w:val="0"/>
          <w:bCs w:val="0"/>
        </w:rPr>
      </w:pPr>
      <w:bookmarkStart w:name="第八节可转换公司债券相关情况" w:id="117"/>
      <w:bookmarkEnd w:id="117"/>
      <w:r>
        <w:rPr>
          <w:b w:val="0"/>
          <w:bCs w:val="0"/>
        </w:rPr>
      </w:r>
      <w:bookmarkStart w:name="_bookmark7" w:id="118"/>
      <w:bookmarkEnd w:id="118"/>
      <w:r>
        <w:rPr>
          <w:b w:val="0"/>
          <w:bCs w:val="0"/>
        </w:rPr>
      </w:r>
      <w:r>
        <w:rPr>
          <w:spacing w:val="5"/>
        </w:rPr>
        <w:t>第八节可转换公司债券相关情况</w:t>
      </w:r>
      <w:r>
        <w:rPr>
          <w:b w:val="0"/>
          <w:bCs w:val="0"/>
          <w:spacing w:val="5"/>
        </w:rPr>
      </w:r>
    </w:p>
    <w:p>
      <w:pPr>
        <w:spacing w:line="240" w:lineRule="auto" w:before="7"/>
        <w:rPr>
          <w:rFonts w:ascii="宋体" w:hAnsi="宋体" w:cs="宋体" w:eastAsia="宋体" w:hint="default"/>
          <w:b/>
          <w:bCs/>
          <w:sz w:val="42"/>
          <w:szCs w:val="42"/>
        </w:rPr>
      </w:pPr>
    </w:p>
    <w:p>
      <w:pPr>
        <w:pStyle w:val="BodyText"/>
        <w:spacing w:line="333" w:lineRule="auto"/>
        <w:ind w:right="786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报告期公司不存在可转换公司债券。</w:t>
      </w:r>
    </w:p>
    <w:p>
      <w:pPr>
        <w:spacing w:after="0" w:line="333"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1748" w:right="0"/>
        <w:jc w:val="left"/>
        <w:rPr>
          <w:b w:val="0"/>
          <w:bCs w:val="0"/>
        </w:rPr>
      </w:pPr>
      <w:bookmarkStart w:name="第九节董事、监事、高级管理人员和员工情况" w:id="119"/>
      <w:bookmarkEnd w:id="119"/>
      <w:r>
        <w:rPr>
          <w:b w:val="0"/>
          <w:bCs w:val="0"/>
        </w:rPr>
      </w:r>
      <w:bookmarkStart w:name="_bookmark8" w:id="120"/>
      <w:bookmarkEnd w:id="120"/>
      <w:r>
        <w:rPr>
          <w:b w:val="0"/>
          <w:bCs w:val="0"/>
        </w:rPr>
      </w:r>
      <w:r>
        <w:rPr>
          <w:spacing w:val="5"/>
        </w:rPr>
        <w:t>第九节董事、监事、高级管理人员和员工情况</w:t>
      </w:r>
      <w:r>
        <w:rPr>
          <w:b w:val="0"/>
          <w:bCs w:val="0"/>
          <w:spacing w:val="5"/>
        </w:rPr>
      </w:r>
    </w:p>
    <w:p>
      <w:pPr>
        <w:spacing w:line="240" w:lineRule="auto" w:before="4"/>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1"/>
      <w:bookmarkEnd w:id="121"/>
      <w:r>
        <w:rPr>
          <w:b w:val="0"/>
          <w:bCs w:val="0"/>
        </w:rPr>
      </w:r>
      <w:r>
        <w:rPr/>
        <w:t>一、董事、监事和高级管理人员持股变动</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1"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0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210"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29" w:right="29"/>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30" w:right="43"/>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31"/>
              <w:ind w:left="12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44"/>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31"/>
              <w:ind w:left="105"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3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21"/>
                <w:sz w:val="18"/>
                <w:szCs w:val="18"/>
              </w:rPr>
              <w:t>变动（股）</w:t>
            </w:r>
            <w:r>
              <w:rPr>
                <w:rFonts w:ascii="宋体" w:hAnsi="宋体" w:cs="宋体" w:eastAsia="宋体" w:hint="default"/>
                <w:sz w:val="18"/>
                <w:szCs w:val="18"/>
              </w:rPr>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15" w:right="43"/>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 w:right="29"/>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00</w:t>
            </w:r>
          </w:p>
        </w:tc>
      </w:tr>
      <w:tr>
        <w:trPr>
          <w:trHeight w:val="13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胡周斌</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29"/>
              <w:jc w:val="both"/>
              <w:rPr>
                <w:rFonts w:ascii="宋体" w:hAnsi="宋体" w:cs="宋体" w:eastAsia="宋体" w:hint="default"/>
                <w:sz w:val="18"/>
                <w:szCs w:val="18"/>
              </w:rPr>
            </w:pPr>
            <w:r>
              <w:rPr>
                <w:rFonts w:ascii="宋体" w:hAnsi="宋体" w:cs="宋体" w:eastAsia="宋体" w:hint="default"/>
                <w:sz w:val="18"/>
                <w:szCs w:val="18"/>
              </w:rPr>
              <w:t>董事、总 裁助理、 董事会秘 书</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21"/>
                <w:szCs w:val="21"/>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张玉虎</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51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41</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冯辉</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蔡敏旭</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蒋勤</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37</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1020"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杨翠玉</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38</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348" w:lineRule="auto"/>
              <w:ind w:left="15" w:right="59"/>
              <w:jc w:val="left"/>
              <w:rPr>
                <w:rFonts w:ascii="Times New Roman" w:hAnsi="Times New Roman" w:cs="Times New Roman" w:eastAsia="Times New Roman" w:hint="default"/>
                <w:sz w:val="18"/>
                <w:szCs w:val="18"/>
              </w:rPr>
            </w:pPr>
            <w:r>
              <w:rPr>
                <w:rFonts w:ascii="Times New Roman"/>
                <w:spacing w:val="-3"/>
                <w:sz w:val="18"/>
              </w:rPr>
              <w:t>William</w:t>
            </w:r>
            <w:r>
              <w:rPr>
                <w:rFonts w:ascii="Times New Roman"/>
                <w:spacing w:val="-40"/>
                <w:sz w:val="18"/>
              </w:rPr>
              <w:t> </w:t>
            </w:r>
            <w:r>
              <w:rPr>
                <w:rFonts w:ascii="Times New Roman"/>
                <w:spacing w:val="-40"/>
                <w:sz w:val="18"/>
              </w:rPr>
            </w:r>
            <w:r>
              <w:rPr>
                <w:rFonts w:ascii="Times New Roman"/>
                <w:spacing w:val="-9"/>
                <w:sz w:val="18"/>
              </w:rPr>
              <w:t>Wei</w:t>
            </w:r>
            <w:r>
              <w:rPr>
                <w:rFonts w:ascii="Times New Roman"/>
                <w:spacing w:val="13"/>
                <w:sz w:val="18"/>
              </w:rPr>
              <w:t> </w:t>
            </w:r>
            <w:r>
              <w:rPr>
                <w:rFonts w:ascii="Times New Roman"/>
                <w:sz w:val="18"/>
              </w:rPr>
              <w:t>Song</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34</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周文武</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43</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李广</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364" w:lineRule="auto"/>
              <w:ind w:left="15" w:right="294"/>
              <w:jc w:val="left"/>
              <w:rPr>
                <w:rFonts w:ascii="Times New Roman" w:hAnsi="Times New Roman" w:cs="Times New Roman" w:eastAsia="Times New Roman" w:hint="default"/>
                <w:sz w:val="18"/>
                <w:szCs w:val="18"/>
              </w:rPr>
            </w:pPr>
            <w:r>
              <w:rPr>
                <w:rFonts w:ascii="Times New Roman"/>
                <w:sz w:val="18"/>
              </w:rPr>
              <w:t>Daniel Silva</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51"/>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3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田芳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right="390"/>
              <w:jc w:val="right"/>
              <w:rPr>
                <w:rFonts w:ascii="宋体" w:hAnsi="宋体" w:cs="宋体" w:eastAsia="宋体" w:hint="default"/>
                <w:sz w:val="18"/>
                <w:szCs w:val="18"/>
              </w:rPr>
            </w:pPr>
            <w:r>
              <w:rPr>
                <w:rFonts w:ascii="宋体" w:hAnsi="宋体" w:cs="宋体" w:eastAsia="宋体" w:hint="default"/>
                <w:sz w:val="18"/>
                <w:szCs w:val="18"/>
              </w:rPr>
              <w:t>离任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39</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1021"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林晓东</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right="390"/>
              <w:jc w:val="right"/>
              <w:rPr>
                <w:rFonts w:ascii="宋体" w:hAnsi="宋体" w:cs="宋体" w:eastAsia="宋体" w:hint="default"/>
                <w:sz w:val="18"/>
                <w:szCs w:val="18"/>
              </w:rPr>
            </w:pPr>
            <w:r>
              <w:rPr>
                <w:rFonts w:ascii="宋体" w:hAnsi="宋体" w:cs="宋体" w:eastAsia="宋体" w:hint="default"/>
                <w:sz w:val="18"/>
                <w:szCs w:val="18"/>
              </w:rPr>
              <w:t>现任</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42</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2"/>
                <w:szCs w:val="12"/>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328"/>
              <w:jc w:val="right"/>
              <w:rPr>
                <w:rFonts w:ascii="Times New Roman" w:hAnsi="Times New Roman" w:cs="Times New Roman" w:eastAsia="Times New Roman" w:hint="default"/>
                <w:sz w:val="18"/>
                <w:szCs w:val="18"/>
              </w:rPr>
            </w:pPr>
            <w:r>
              <w:rPr>
                <w:rFonts w:ascii="Times New Roman"/>
                <w:sz w:val="18"/>
              </w:rPr>
              <w:t>--</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center"/>
              <w:rPr>
                <w:rFonts w:ascii="Times New Roman" w:hAnsi="Times New Roman" w:cs="Times New Roman" w:eastAsia="Times New Roman" w:hint="default"/>
                <w:sz w:val="18"/>
                <w:szCs w:val="18"/>
              </w:rPr>
            </w:pPr>
            <w:r>
              <w:rPr>
                <w:rFonts w:ascii="Times New Roman"/>
                <w:sz w:val="18"/>
              </w:rPr>
              <w:t>--</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8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225,000,0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12"/>
        <w:rPr>
          <w:rFonts w:ascii="宋体" w:hAnsi="宋体" w:cs="宋体" w:eastAsia="宋体" w:hint="default"/>
          <w:b/>
          <w:bCs/>
          <w:sz w:val="17"/>
          <w:szCs w:val="17"/>
        </w:rPr>
      </w:pPr>
    </w:p>
    <w:p>
      <w:pPr>
        <w:pStyle w:val="Heading2"/>
        <w:spacing w:line="240" w:lineRule="auto" w:before="26"/>
        <w:ind w:right="0"/>
        <w:jc w:val="left"/>
        <w:rPr>
          <w:b w:val="0"/>
          <w:bCs w:val="0"/>
        </w:rPr>
      </w:pPr>
      <w:bookmarkStart w:name="二、公司董事、监事、高级管理人员变动情况" w:id="122"/>
      <w:bookmarkEnd w:id="122"/>
      <w:r>
        <w:rPr>
          <w:b w:val="0"/>
          <w:bCs w:val="0"/>
        </w:rPr>
      </w:r>
      <w:r>
        <w:rPr/>
        <w:t>二、公司董事、监事、高级管理人员变动情况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5"/>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337"/>
        <w:gridCol w:w="1322"/>
        <w:gridCol w:w="1337"/>
        <w:gridCol w:w="1336"/>
        <w:gridCol w:w="4250"/>
      </w:tblGrid>
      <w:tr>
        <w:trPr>
          <w:trHeight w:val="405" w:hRule="exact"/>
        </w:trPr>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姓名</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95"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日期</w:t>
            </w:r>
          </w:p>
        </w:tc>
        <w:tc>
          <w:tcPr>
            <w:tcW w:w="425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21"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田芳</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个人原因辞职</w:t>
            </w:r>
          </w:p>
        </w:tc>
      </w:tr>
      <w:tr>
        <w:trPr>
          <w:trHeight w:val="705" w:hRule="exact"/>
        </w:trPr>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蔡敏旭</w:t>
            </w:r>
          </w:p>
        </w:tc>
        <w:tc>
          <w:tcPr>
            <w:tcW w:w="1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个人工作原因辞去职工代表监事职务</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三、任职情况" w:id="123"/>
      <w:bookmarkEnd w:id="123"/>
      <w:r>
        <w:rPr>
          <w:b w:val="0"/>
          <w:bCs w:val="0"/>
        </w:rPr>
      </w:r>
      <w:r>
        <w:rPr/>
        <w:t>三、任职情况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公司现任董事、监事、高级管理人员专业背景、主要工作经历以及目前在公司的主要职责</w:t>
      </w:r>
    </w:p>
    <w:p>
      <w:pPr>
        <w:spacing w:after="0" w:line="240" w:lineRule="auto"/>
        <w:jc w:val="left"/>
        <w:sectPr>
          <w:pgSz w:w="11910" w:h="16850"/>
          <w:pgMar w:header="731" w:footer="981" w:top="1040" w:bottom="1180" w:left="1000" w:right="0"/>
        </w:sectPr>
      </w:pPr>
    </w:p>
    <w:p>
      <w:pPr>
        <w:spacing w:line="240" w:lineRule="auto" w:before="3"/>
        <w:rPr>
          <w:rFonts w:ascii="宋体" w:hAnsi="宋体" w:cs="宋体" w:eastAsia="宋体" w:hint="default"/>
          <w:sz w:val="25"/>
          <w:szCs w:val="25"/>
        </w:rPr>
      </w:pPr>
    </w:p>
    <w:p>
      <w:pPr>
        <w:pStyle w:val="Heading6"/>
        <w:spacing w:line="240" w:lineRule="auto" w:before="35"/>
        <w:ind w:right="0"/>
        <w:jc w:val="left"/>
      </w:pPr>
      <w:r>
        <w:rPr/>
        <w:t>（一）董事会成员</w:t>
      </w:r>
    </w:p>
    <w:p>
      <w:pPr>
        <w:pStyle w:val="Heading7"/>
        <w:spacing w:line="280" w:lineRule="auto" w:before="63"/>
        <w:ind w:right="1110"/>
        <w:jc w:val="both"/>
      </w:pPr>
      <w:r>
        <w:rPr>
          <w:rFonts w:ascii="Times New Roman" w:hAnsi="Times New Roman" w:cs="Times New Roman" w:eastAsia="Times New Roman" w:hint="default"/>
          <w:spacing w:val="2"/>
        </w:rPr>
        <w:t>1</w:t>
      </w:r>
      <w:r>
        <w:rPr>
          <w:spacing w:val="2"/>
        </w:rPr>
        <w:t>、胡佳佳：女，</w:t>
      </w:r>
      <w:r>
        <w:rPr>
          <w:rFonts w:ascii="Times New Roman" w:hAnsi="Times New Roman" w:cs="Times New Roman" w:eastAsia="Times New Roman" w:hint="default"/>
          <w:spacing w:val="2"/>
        </w:rPr>
        <w:t>1986</w:t>
      </w:r>
      <w:r>
        <w:rPr>
          <w:spacing w:val="2"/>
        </w:rPr>
        <w:t>年出生，中国国籍，研究生学历，</w:t>
      </w:r>
      <w:r>
        <w:rPr>
          <w:rFonts w:ascii="Times New Roman" w:hAnsi="Times New Roman" w:cs="Times New Roman" w:eastAsia="Times New Roman" w:hint="default"/>
          <w:spacing w:val="2"/>
        </w:rPr>
        <w:t>2010</w:t>
      </w:r>
      <w:r>
        <w:rPr>
          <w:spacing w:val="2"/>
        </w:rPr>
        <w:t>年毕业于阿斯顿大学市场营销专业，</w:t>
      </w:r>
      <w:r>
        <w:rPr>
          <w:rFonts w:ascii="Times New Roman" w:hAnsi="Times New Roman" w:cs="Times New Roman" w:eastAsia="Times New Roman" w:hint="default"/>
          <w:spacing w:val="2"/>
        </w:rPr>
        <w:t>2011</w:t>
      </w:r>
      <w:r>
        <w:rPr>
          <w:spacing w:val="2"/>
        </w:rPr>
        <w:t>年取</w:t>
      </w:r>
      <w:r>
        <w:rPr>
          <w:spacing w:val="15"/>
          <w:w w:val="102"/>
        </w:rPr>
        <w:t> </w:t>
      </w:r>
      <w:r>
        <w:rPr>
          <w:spacing w:val="3"/>
        </w:rPr>
        <w:t>得伦敦马兰戈尼学院时尚营销硕士学位。 </w:t>
      </w:r>
      <w:r>
        <w:rPr>
          <w:rFonts w:ascii="Times New Roman" w:hAnsi="Times New Roman" w:cs="Times New Roman" w:eastAsia="Times New Roman" w:hint="default"/>
        </w:rPr>
        <w:t>2011</w:t>
      </w:r>
      <w:r>
        <w:rPr/>
        <w:t>年至 </w:t>
      </w:r>
      <w:r>
        <w:rPr>
          <w:rFonts w:ascii="Times New Roman" w:hAnsi="Times New Roman" w:cs="Times New Roman" w:eastAsia="Times New Roman" w:hint="default"/>
          <w:spacing w:val="3"/>
        </w:rPr>
        <w:t>2016</w:t>
      </w:r>
      <w:r>
        <w:rPr>
          <w:spacing w:val="3"/>
        </w:rPr>
        <w:t>年，在公司曾任职于总裁办公室、</w:t>
      </w:r>
      <w:r>
        <w:rPr>
          <w:rFonts w:ascii="Times New Roman" w:hAnsi="Times New Roman" w:cs="Times New Roman" w:eastAsia="Times New Roman" w:hint="default"/>
          <w:spacing w:val="3"/>
        </w:rPr>
        <w:t>Metersbonwe </w:t>
      </w:r>
      <w:r>
        <w:rPr/>
        <w:t>鞋类开</w:t>
      </w:r>
      <w:r>
        <w:rPr>
          <w:spacing w:val="-62"/>
        </w:rPr>
        <w:t> </w:t>
      </w:r>
      <w:r>
        <w:rPr>
          <w:spacing w:val="4"/>
          <w:w w:val="105"/>
        </w:rPr>
        <w:t>发营运部、品牌营销部、战略发展部。现任公司董事长、总裁。</w:t>
      </w:r>
      <w:r>
        <w:rPr>
          <w:spacing w:val="4"/>
        </w:rPr>
      </w:r>
    </w:p>
    <w:p>
      <w:pPr>
        <w:pStyle w:val="Heading7"/>
        <w:spacing w:line="295" w:lineRule="auto" w:before="34"/>
        <w:ind w:right="1125"/>
        <w:jc w:val="both"/>
      </w:pPr>
      <w:r>
        <w:rPr>
          <w:rFonts w:ascii="Times New Roman" w:hAnsi="Times New Roman" w:cs="Times New Roman" w:eastAsia="Times New Roman" w:hint="default"/>
          <w:spacing w:val="2"/>
        </w:rPr>
        <w:t>2</w:t>
      </w:r>
      <w:r>
        <w:rPr>
          <w:spacing w:val="2"/>
        </w:rPr>
        <w:t>、胡周斌：男，</w:t>
      </w:r>
      <w:r>
        <w:rPr>
          <w:rFonts w:ascii="Times New Roman" w:hAnsi="Times New Roman" w:cs="Times New Roman" w:eastAsia="Times New Roman" w:hint="default"/>
          <w:spacing w:val="2"/>
        </w:rPr>
        <w:t>1988</w:t>
      </w:r>
      <w:r>
        <w:rPr>
          <w:spacing w:val="2"/>
        </w:rPr>
        <w:t>年出生，中国国籍，研究生学历，</w:t>
      </w:r>
      <w:r>
        <w:rPr>
          <w:rFonts w:ascii="Times New Roman" w:hAnsi="Times New Roman" w:cs="Times New Roman" w:eastAsia="Times New Roman" w:hint="default"/>
          <w:spacing w:val="2"/>
        </w:rPr>
        <w:t>2011</w:t>
      </w:r>
      <w:r>
        <w:rPr>
          <w:spacing w:val="2"/>
        </w:rPr>
        <w:t>年毕业于英国诺丁汉大学，</w:t>
      </w:r>
      <w:r>
        <w:rPr>
          <w:rFonts w:ascii="Times New Roman" w:hAnsi="Times New Roman" w:cs="Times New Roman" w:eastAsia="Times New Roman" w:hint="default"/>
          <w:spacing w:val="2"/>
        </w:rPr>
        <w:t>2012</w:t>
      </w:r>
      <w:r>
        <w:rPr>
          <w:spacing w:val="2"/>
        </w:rPr>
        <w:t>年获得英国金</w:t>
      </w:r>
      <w:r>
        <w:rPr>
          <w:w w:val="102"/>
        </w:rPr>
        <w:t> </w:t>
      </w:r>
      <w:r>
        <w:rPr>
          <w:spacing w:val="5"/>
        </w:rPr>
        <w:t>士顿大学硕士学位。曾任职于阿里巴巴集团天猫事业部、美邦服饰市场部、上海笔尔工业设计有限公司。现任</w:t>
      </w:r>
      <w:r>
        <w:rPr>
          <w:spacing w:val="74"/>
        </w:rPr>
        <w:t> </w:t>
      </w:r>
      <w:r>
        <w:rPr>
          <w:spacing w:val="74"/>
        </w:rPr>
      </w:r>
      <w:r>
        <w:rPr>
          <w:spacing w:val="4"/>
          <w:w w:val="105"/>
        </w:rPr>
        <w:t>本公司董事、总裁助理、董事会秘书。</w:t>
      </w:r>
      <w:r>
        <w:rPr>
          <w:spacing w:val="4"/>
        </w:rPr>
      </w:r>
    </w:p>
    <w:p>
      <w:pPr>
        <w:pStyle w:val="Heading7"/>
        <w:spacing w:line="280" w:lineRule="auto" w:before="23"/>
        <w:ind w:right="1126"/>
        <w:jc w:val="both"/>
      </w:pPr>
      <w:r>
        <w:rPr>
          <w:rFonts w:ascii="Times New Roman" w:hAnsi="Times New Roman" w:cs="Times New Roman" w:eastAsia="Times New Roman" w:hint="default"/>
        </w:rPr>
        <w:t>3</w:t>
      </w:r>
      <w:r>
        <w:rPr/>
        <w:t>、张玉虎：男， </w:t>
      </w:r>
      <w:r>
        <w:rPr>
          <w:rFonts w:ascii="Times New Roman" w:hAnsi="Times New Roman" w:cs="Times New Roman" w:eastAsia="Times New Roman" w:hint="default"/>
          <w:spacing w:val="3"/>
        </w:rPr>
        <w:t>1982</w:t>
      </w:r>
      <w:r>
        <w:rPr>
          <w:spacing w:val="3"/>
        </w:rPr>
        <w:t>年出生，中国国籍，研究生学历，</w:t>
      </w:r>
      <w:r>
        <w:rPr>
          <w:rFonts w:ascii="Times New Roman" w:hAnsi="Times New Roman" w:cs="Times New Roman" w:eastAsia="Times New Roman" w:hint="default"/>
          <w:spacing w:val="3"/>
        </w:rPr>
        <w:t>2014</w:t>
      </w:r>
      <w:r>
        <w:rPr>
          <w:spacing w:val="3"/>
        </w:rPr>
        <w:t>年获得天津师范大学</w:t>
      </w:r>
      <w:r>
        <w:rPr>
          <w:rFonts w:ascii="Times New Roman" w:hAnsi="Times New Roman" w:cs="Times New Roman" w:eastAsia="Times New Roman" w:hint="default"/>
          <w:spacing w:val="3"/>
        </w:rPr>
        <w:t>MBA </w:t>
      </w:r>
      <w:r>
        <w:rPr>
          <w:spacing w:val="3"/>
        </w:rPr>
        <w:t>硕士学位。</w:t>
      </w:r>
      <w:r>
        <w:rPr>
          <w:rFonts w:ascii="Times New Roman" w:hAnsi="Times New Roman" w:cs="Times New Roman" w:eastAsia="Times New Roman" w:hint="default"/>
          <w:spacing w:val="3"/>
        </w:rPr>
        <w:t>2005</w:t>
      </w:r>
      <w:r>
        <w:rPr>
          <w:spacing w:val="3"/>
        </w:rPr>
        <w:t>年</w:t>
      </w:r>
      <w:r>
        <w:rPr>
          <w:w w:val="102"/>
        </w:rPr>
        <w:t> </w:t>
      </w:r>
      <w:r>
        <w:rPr>
          <w:spacing w:val="4"/>
        </w:rPr>
        <w:t>加入本公司，历任公司商品企划部专员、商品企划部副总经理、</w:t>
      </w:r>
      <w:r>
        <w:rPr>
          <w:rFonts w:ascii="Times New Roman" w:hAnsi="Times New Roman" w:cs="Times New Roman" w:eastAsia="Times New Roman" w:hint="default"/>
          <w:spacing w:val="4"/>
        </w:rPr>
        <w:t>ME&amp;CITY </w:t>
      </w:r>
      <w:r>
        <w:rPr>
          <w:spacing w:val="4"/>
        </w:rPr>
        <w:t>男装产品部总经理、</w:t>
      </w:r>
      <w:r>
        <w:rPr>
          <w:rFonts w:ascii="Times New Roman" w:hAnsi="Times New Roman" w:cs="Times New Roman" w:eastAsia="Times New Roman" w:hint="default"/>
          <w:spacing w:val="4"/>
        </w:rPr>
        <w:t>ME&amp;CITY </w:t>
      </w:r>
      <w:r>
        <w:rPr/>
        <w:t>男</w:t>
      </w:r>
      <w:r>
        <w:rPr>
          <w:spacing w:val="-53"/>
        </w:rPr>
        <w:t> </w:t>
      </w:r>
      <w:r>
        <w:rPr>
          <w:spacing w:val="3"/>
        </w:rPr>
        <w:t>装营运部副总监、</w:t>
      </w:r>
      <w:r>
        <w:rPr>
          <w:rFonts w:ascii="Times New Roman" w:hAnsi="Times New Roman" w:cs="Times New Roman" w:eastAsia="Times New Roman" w:hint="default"/>
          <w:spacing w:val="3"/>
        </w:rPr>
        <w:t>ME&amp;CITY    </w:t>
      </w:r>
      <w:r>
        <w:rPr>
          <w:spacing w:val="4"/>
        </w:rPr>
        <w:t>品牌营运总监、</w:t>
      </w:r>
      <w:r>
        <w:rPr>
          <w:rFonts w:ascii="Times New Roman" w:hAnsi="Times New Roman" w:cs="Times New Roman" w:eastAsia="Times New Roman" w:hint="default"/>
          <w:spacing w:val="4"/>
        </w:rPr>
        <w:t>ME&amp;CITY   </w:t>
      </w:r>
      <w:r>
        <w:rPr>
          <w:rFonts w:ascii="Times New Roman" w:hAnsi="Times New Roman" w:cs="Times New Roman" w:eastAsia="Times New Roman" w:hint="default"/>
          <w:spacing w:val="9"/>
        </w:rPr>
        <w:t> </w:t>
      </w:r>
      <w:r>
        <w:rPr>
          <w:spacing w:val="4"/>
        </w:rPr>
        <w:t>品牌渠道开发与营运部总监。现任本公司董事。</w:t>
      </w:r>
    </w:p>
    <w:p>
      <w:pPr>
        <w:pStyle w:val="Heading7"/>
        <w:spacing w:line="295" w:lineRule="auto" w:before="16"/>
        <w:ind w:right="1130"/>
        <w:jc w:val="both"/>
      </w:pPr>
      <w:r>
        <w:rPr>
          <w:rFonts w:ascii="Times New Roman" w:hAnsi="Times New Roman" w:cs="Times New Roman" w:eastAsia="Times New Roman" w:hint="default"/>
          <w:spacing w:val="2"/>
        </w:rPr>
        <w:t>4</w:t>
      </w:r>
      <w:r>
        <w:rPr>
          <w:spacing w:val="2"/>
        </w:rPr>
        <w:t>、单喆慜：女，</w:t>
      </w:r>
      <w:r>
        <w:rPr>
          <w:rFonts w:ascii="Times New Roman" w:hAnsi="Times New Roman" w:cs="Times New Roman" w:eastAsia="Times New Roman" w:hint="default"/>
          <w:spacing w:val="2"/>
        </w:rPr>
        <w:t>1972</w:t>
      </w:r>
      <w:r>
        <w:rPr>
          <w:spacing w:val="2"/>
        </w:rPr>
        <w:t>年出生，中国国籍，博士，中国注册会计师。现任上海国家会计学院副教授、本公司</w:t>
      </w:r>
      <w:r>
        <w:rPr>
          <w:w w:val="102"/>
        </w:rPr>
        <w:t> </w:t>
      </w:r>
      <w:r>
        <w:rPr>
          <w:spacing w:val="5"/>
        </w:rPr>
        <w:t>独立董事，同时担任光正集团股份有限公司独立董事、上海兰生股份有限公司独立董事、奥瑞金科技股份有限</w:t>
      </w:r>
      <w:r>
        <w:rPr>
          <w:spacing w:val="74"/>
        </w:rPr>
        <w:t> </w:t>
      </w:r>
      <w:r>
        <w:rPr>
          <w:spacing w:val="74"/>
        </w:rPr>
      </w:r>
      <w:r>
        <w:rPr>
          <w:spacing w:val="2"/>
          <w:w w:val="105"/>
        </w:rPr>
        <w:t>公司独立董事等职务。</w:t>
      </w:r>
      <w:r>
        <w:rPr>
          <w:spacing w:val="2"/>
        </w:rPr>
      </w:r>
    </w:p>
    <w:p>
      <w:pPr>
        <w:pStyle w:val="Heading7"/>
        <w:spacing w:line="295" w:lineRule="auto" w:before="7"/>
        <w:ind w:right="1128"/>
        <w:jc w:val="both"/>
      </w:pPr>
      <w:r>
        <w:rPr>
          <w:rFonts w:ascii="Times New Roman" w:hAnsi="Times New Roman" w:cs="Times New Roman" w:eastAsia="Times New Roman" w:hint="default"/>
          <w:spacing w:val="2"/>
        </w:rPr>
        <w:t>5</w:t>
      </w:r>
      <w:r>
        <w:rPr>
          <w:spacing w:val="2"/>
        </w:rPr>
        <w:t>、沈福俊：男，</w:t>
      </w:r>
      <w:r>
        <w:rPr>
          <w:rFonts w:ascii="Times New Roman" w:hAnsi="Times New Roman" w:cs="Times New Roman" w:eastAsia="Times New Roman" w:hint="default"/>
          <w:spacing w:val="2"/>
        </w:rPr>
        <w:t>1961</w:t>
      </w:r>
      <w:r>
        <w:rPr>
          <w:spacing w:val="2"/>
        </w:rPr>
        <w:t>年出生，中国国籍，研究生学历，兼职律师。现任华东政法大学法律学院教授、博士</w:t>
      </w:r>
      <w:r>
        <w:rPr>
          <w:w w:val="102"/>
        </w:rPr>
        <w:t> </w:t>
      </w:r>
      <w:r>
        <w:rPr>
          <w:spacing w:val="5"/>
        </w:rPr>
        <w:t>生导师、本公司独立董事，同时兼任中国行政法学研究会理事、上海市行政法学研究会副会长、上海城市管理</w:t>
      </w:r>
      <w:r>
        <w:rPr>
          <w:spacing w:val="74"/>
        </w:rPr>
        <w:t> </w:t>
      </w:r>
      <w:r>
        <w:rPr>
          <w:spacing w:val="74"/>
        </w:rPr>
      </w:r>
      <w:r>
        <w:rPr>
          <w:spacing w:val="4"/>
          <w:w w:val="105"/>
        </w:rPr>
        <w:t>行政执法研究会副会长等职务。</w:t>
      </w:r>
      <w:r>
        <w:rPr>
          <w:spacing w:val="4"/>
        </w:rPr>
      </w:r>
    </w:p>
    <w:p>
      <w:pPr>
        <w:pStyle w:val="Heading7"/>
        <w:spacing w:line="288" w:lineRule="auto" w:before="23"/>
        <w:ind w:right="1128"/>
        <w:jc w:val="both"/>
      </w:pPr>
      <w:r>
        <w:rPr>
          <w:rFonts w:ascii="Times New Roman" w:hAnsi="Times New Roman" w:cs="Times New Roman" w:eastAsia="Times New Roman" w:hint="default"/>
          <w:spacing w:val="3"/>
        </w:rPr>
        <w:t>6</w:t>
      </w:r>
      <w:r>
        <w:rPr>
          <w:spacing w:val="3"/>
        </w:rPr>
        <w:t>、郑俊豪：男，</w:t>
      </w:r>
      <w:r>
        <w:rPr>
          <w:rFonts w:ascii="Times New Roman" w:hAnsi="Times New Roman" w:cs="Times New Roman" w:eastAsia="Times New Roman" w:hint="default"/>
          <w:spacing w:val="3"/>
        </w:rPr>
        <w:t>1969</w:t>
      </w:r>
      <w:r>
        <w:rPr>
          <w:spacing w:val="3"/>
        </w:rPr>
        <w:t>年出生，中国国籍，长江商学院</w:t>
      </w:r>
      <w:r>
        <w:rPr>
          <w:spacing w:val="49"/>
        </w:rPr>
        <w:t> </w:t>
      </w:r>
      <w:r>
        <w:rPr>
          <w:rFonts w:ascii="Times New Roman" w:hAnsi="Times New Roman" w:cs="Times New Roman" w:eastAsia="Times New Roman" w:hint="default"/>
          <w:spacing w:val="4"/>
        </w:rPr>
        <w:t>DBA</w:t>
      </w:r>
      <w:r>
        <w:rPr>
          <w:spacing w:val="4"/>
        </w:rPr>
        <w:t>。现任裕福控股集团有限公司董事长，本公司</w:t>
      </w:r>
      <w:r>
        <w:rPr>
          <w:w w:val="102"/>
        </w:rPr>
        <w:t> </w:t>
      </w:r>
      <w:r>
        <w:rPr>
          <w:spacing w:val="2"/>
          <w:w w:val="105"/>
        </w:rPr>
        <w:t>独立董事。</w:t>
      </w:r>
      <w:r>
        <w:rPr>
          <w:spacing w:val="2"/>
        </w:rPr>
      </w:r>
    </w:p>
    <w:p>
      <w:pPr>
        <w:pStyle w:val="Heading7"/>
        <w:spacing w:line="288" w:lineRule="auto" w:before="14"/>
        <w:ind w:right="1125"/>
        <w:jc w:val="both"/>
      </w:pPr>
      <w:r>
        <w:rPr>
          <w:rFonts w:ascii="Times New Roman" w:hAnsi="Times New Roman" w:cs="Times New Roman" w:eastAsia="Times New Roman" w:hint="default"/>
          <w:spacing w:val="2"/>
        </w:rPr>
        <w:t>7</w:t>
      </w:r>
      <w:r>
        <w:rPr>
          <w:spacing w:val="2"/>
        </w:rPr>
        <w:t>、林晓东</w:t>
      </w:r>
      <w:r>
        <w:rPr>
          <w:rFonts w:ascii="Times New Roman" w:hAnsi="Times New Roman" w:cs="Times New Roman" w:eastAsia="Times New Roman" w:hint="default"/>
          <w:spacing w:val="2"/>
        </w:rPr>
        <w:t>:</w:t>
      </w:r>
      <w:r>
        <w:rPr>
          <w:spacing w:val="2"/>
        </w:rPr>
        <w:t>女</w:t>
      </w:r>
      <w:r>
        <w:rPr>
          <w:rFonts w:ascii="Times New Roman" w:hAnsi="Times New Roman" w:cs="Times New Roman" w:eastAsia="Times New Roman" w:hint="default"/>
          <w:spacing w:val="2"/>
        </w:rPr>
        <w:t>,1978</w:t>
      </w:r>
      <w:r>
        <w:rPr>
          <w:spacing w:val="2"/>
        </w:rPr>
        <w:t>年出生</w:t>
      </w:r>
      <w:r>
        <w:rPr>
          <w:rFonts w:ascii="Times New Roman" w:hAnsi="Times New Roman" w:cs="Times New Roman" w:eastAsia="Times New Roman" w:hint="default"/>
          <w:spacing w:val="2"/>
        </w:rPr>
        <w:t>,</w:t>
      </w:r>
      <w:r>
        <w:rPr>
          <w:spacing w:val="2"/>
        </w:rPr>
        <w:t>中国国籍</w:t>
      </w:r>
      <w:r>
        <w:rPr>
          <w:rFonts w:ascii="Times New Roman" w:hAnsi="Times New Roman" w:cs="Times New Roman" w:eastAsia="Times New Roman" w:hint="default"/>
          <w:spacing w:val="2"/>
        </w:rPr>
        <w:t>,</w:t>
      </w:r>
      <w:r>
        <w:rPr>
          <w:spacing w:val="2"/>
        </w:rPr>
        <w:t>本科学历。</w:t>
      </w:r>
      <w:r>
        <w:rPr>
          <w:rFonts w:ascii="Times New Roman" w:hAnsi="Times New Roman" w:cs="Times New Roman" w:eastAsia="Times New Roman" w:hint="default"/>
          <w:spacing w:val="2"/>
        </w:rPr>
        <w:t>2000</w:t>
      </w:r>
      <w:r>
        <w:rPr>
          <w:spacing w:val="2"/>
        </w:rPr>
        <w:t>年加入本公司</w:t>
      </w:r>
      <w:r>
        <w:rPr>
          <w:rFonts w:ascii="Times New Roman" w:hAnsi="Times New Roman" w:cs="Times New Roman" w:eastAsia="Times New Roman" w:hint="default"/>
          <w:spacing w:val="2"/>
        </w:rPr>
        <w:t>,</w:t>
      </w:r>
      <w:r>
        <w:rPr>
          <w:spacing w:val="2"/>
        </w:rPr>
        <w:t>曾任职于公司</w:t>
      </w:r>
      <w:r>
        <w:rPr>
          <w:rFonts w:ascii="Times New Roman" w:hAnsi="Times New Roman" w:cs="Times New Roman" w:eastAsia="Times New Roman" w:hint="default"/>
          <w:spacing w:val="2"/>
        </w:rPr>
        <w:t>Metersbonwe</w:t>
      </w:r>
      <w:r>
        <w:rPr>
          <w:spacing w:val="2"/>
        </w:rPr>
        <w:t>品牌华东区零</w:t>
      </w:r>
      <w:r>
        <w:rPr>
          <w:w w:val="102"/>
        </w:rPr>
        <w:t> </w:t>
      </w:r>
      <w:r>
        <w:rPr>
          <w:spacing w:val="2"/>
        </w:rPr>
        <w:t>售管理部、</w:t>
      </w:r>
      <w:r>
        <w:rPr>
          <w:rFonts w:ascii="Times New Roman" w:hAnsi="Times New Roman" w:cs="Times New Roman" w:eastAsia="Times New Roman" w:hint="default"/>
          <w:spacing w:val="2"/>
        </w:rPr>
        <w:t>Metersbonwe</w:t>
      </w:r>
      <w:r>
        <w:rPr>
          <w:spacing w:val="2"/>
        </w:rPr>
        <w:t>品牌摇滚品类部、</w:t>
      </w:r>
      <w:r>
        <w:rPr>
          <w:rFonts w:ascii="Times New Roman" w:hAnsi="Times New Roman" w:cs="Times New Roman" w:eastAsia="Times New Roman" w:hint="default"/>
          <w:spacing w:val="2"/>
        </w:rPr>
        <w:t>Metersbonwe</w:t>
      </w:r>
      <w:r>
        <w:rPr>
          <w:spacing w:val="2"/>
        </w:rPr>
        <w:t>品牌男装产品开发企划部。现任</w:t>
      </w:r>
      <w:r>
        <w:rPr>
          <w:rFonts w:ascii="Times New Roman" w:hAnsi="Times New Roman" w:cs="Times New Roman" w:eastAsia="Times New Roman" w:hint="default"/>
          <w:spacing w:val="2"/>
        </w:rPr>
        <w:t>Metersbonwe</w:t>
      </w:r>
      <w:r>
        <w:rPr>
          <w:spacing w:val="2"/>
        </w:rPr>
        <w:t>品牌营销企</w:t>
      </w:r>
      <w:r>
        <w:rPr>
          <w:spacing w:val="26"/>
        </w:rPr>
        <w:t> </w:t>
      </w:r>
      <w:r>
        <w:rPr>
          <w:spacing w:val="3"/>
          <w:w w:val="105"/>
        </w:rPr>
        <w:t>划与商品运营管理部总监。现任公司董事。</w:t>
      </w:r>
      <w:r>
        <w:rPr>
          <w:spacing w:val="3"/>
        </w:rPr>
      </w:r>
    </w:p>
    <w:p>
      <w:pPr>
        <w:spacing w:line="240" w:lineRule="auto" w:before="6"/>
        <w:rPr>
          <w:rFonts w:ascii="宋体" w:hAnsi="宋体" w:cs="宋体" w:eastAsia="宋体" w:hint="default"/>
          <w:sz w:val="24"/>
          <w:szCs w:val="24"/>
        </w:rPr>
      </w:pPr>
    </w:p>
    <w:p>
      <w:pPr>
        <w:pStyle w:val="Heading6"/>
        <w:spacing w:line="240" w:lineRule="auto"/>
        <w:ind w:right="0"/>
        <w:jc w:val="left"/>
      </w:pPr>
      <w:r>
        <w:rPr/>
        <w:t>（二</w:t>
      </w:r>
      <w:r>
        <w:rPr>
          <w:spacing w:val="-16"/>
        </w:rPr>
        <w:t> </w:t>
      </w:r>
      <w:r>
        <w:rPr/>
        <w:t>）监事会成员</w:t>
      </w:r>
    </w:p>
    <w:p>
      <w:pPr>
        <w:pStyle w:val="Heading7"/>
        <w:spacing w:line="295" w:lineRule="auto" w:before="49"/>
        <w:ind w:right="1126"/>
        <w:jc w:val="right"/>
      </w:pPr>
      <w:r>
        <w:rPr>
          <w:rFonts w:ascii="Times New Roman" w:hAnsi="Times New Roman" w:cs="Times New Roman" w:eastAsia="Times New Roman" w:hint="default"/>
        </w:rPr>
        <w:t>1</w:t>
      </w:r>
      <w:r>
        <w:rPr/>
        <w:t>、冯辉：女，</w:t>
      </w:r>
      <w:r>
        <w:rPr>
          <w:rFonts w:ascii="Times New Roman" w:hAnsi="Times New Roman" w:cs="Times New Roman" w:eastAsia="Times New Roman" w:hint="default"/>
        </w:rPr>
        <w:t>1971</w:t>
      </w:r>
      <w:r>
        <w:rPr/>
        <w:t>年出生，中国国籍，本科学历，毕业于重庆建筑工程学院工业与民用建筑专业。</w:t>
      </w:r>
      <w:r>
        <w:rPr>
          <w:rFonts w:ascii="Times New Roman" w:hAnsi="Times New Roman" w:cs="Times New Roman" w:eastAsia="Times New Roman" w:hint="default"/>
        </w:rPr>
        <w:t>2006</w:t>
      </w:r>
      <w:r>
        <w:rPr>
          <w:rFonts w:ascii="Times New Roman" w:hAnsi="Times New Roman" w:cs="Times New Roman" w:eastAsia="Times New Roman" w:hint="default"/>
          <w:spacing w:val="44"/>
        </w:rPr>
        <w:t> </w:t>
      </w:r>
      <w:r>
        <w:rPr/>
        <w:t>年</w:t>
      </w:r>
      <w:r>
        <w:rPr>
          <w:w w:val="102"/>
        </w:rPr>
        <w:t> </w:t>
      </w:r>
      <w:r>
        <w:rPr>
          <w:spacing w:val="4"/>
        </w:rPr>
        <w:t>加入本公司，历任公司经营审计部副总经理、总裁办公室副主任、审批办总经理。现任本公司监事会监事长。</w:t>
      </w:r>
      <w:r>
        <w:rPr>
          <w:spacing w:val="20"/>
        </w:rPr>
        <w:t> </w:t>
      </w:r>
      <w:r>
        <w:rPr>
          <w:spacing w:val="20"/>
        </w:rPr>
      </w:r>
      <w:r>
        <w:rPr>
          <w:rFonts w:ascii="Times New Roman" w:hAnsi="Times New Roman" w:cs="Times New Roman" w:eastAsia="Times New Roman" w:hint="default"/>
          <w:spacing w:val="2"/>
        </w:rPr>
        <w:t>2</w:t>
      </w:r>
      <w:r>
        <w:rPr>
          <w:spacing w:val="2"/>
        </w:rPr>
        <w:t>、蒋勤：女，</w:t>
      </w:r>
      <w:r>
        <w:rPr>
          <w:rFonts w:ascii="Times New Roman" w:hAnsi="Times New Roman" w:cs="Times New Roman" w:eastAsia="Times New Roman" w:hint="default"/>
          <w:spacing w:val="2"/>
        </w:rPr>
        <w:t>1983</w:t>
      </w:r>
      <w:r>
        <w:rPr>
          <w:spacing w:val="2"/>
        </w:rPr>
        <w:t>年出生，中国国籍，本科学历。</w:t>
      </w:r>
      <w:r>
        <w:rPr>
          <w:rFonts w:ascii="Times New Roman" w:hAnsi="Times New Roman" w:cs="Times New Roman" w:eastAsia="Times New Roman" w:hint="default"/>
          <w:spacing w:val="2"/>
        </w:rPr>
        <w:t>2009</w:t>
      </w:r>
      <w:r>
        <w:rPr>
          <w:spacing w:val="2"/>
        </w:rPr>
        <w:t>年加入本公司，先后担任公司人力资源支持部人力</w:t>
      </w:r>
    </w:p>
    <w:p>
      <w:pPr>
        <w:pStyle w:val="Heading7"/>
        <w:spacing w:line="288" w:lineRule="auto" w:before="3"/>
        <w:ind w:left="561" w:right="0" w:hanging="421"/>
        <w:jc w:val="left"/>
      </w:pPr>
      <w:r>
        <w:rPr>
          <w:spacing w:val="3"/>
          <w:w w:val="105"/>
        </w:rPr>
        <w:t>资源专员、</w:t>
      </w:r>
      <w:r>
        <w:rPr>
          <w:rFonts w:ascii="Times New Roman" w:hAnsi="Times New Roman" w:cs="Times New Roman" w:eastAsia="Times New Roman" w:hint="default"/>
          <w:spacing w:val="3"/>
          <w:w w:val="105"/>
        </w:rPr>
        <w:t>C2M</w:t>
      </w:r>
      <w:r>
        <w:rPr>
          <w:spacing w:val="3"/>
          <w:w w:val="105"/>
        </w:rPr>
        <w:t>业务</w:t>
      </w:r>
      <w:r>
        <w:rPr>
          <w:rFonts w:ascii="Times New Roman" w:hAnsi="Times New Roman" w:cs="Times New Roman" w:eastAsia="Times New Roman" w:hint="default"/>
          <w:spacing w:val="3"/>
          <w:w w:val="105"/>
        </w:rPr>
        <w:t>HRBP</w:t>
      </w:r>
      <w:r>
        <w:rPr>
          <w:spacing w:val="3"/>
          <w:w w:val="105"/>
        </w:rPr>
        <w:t>负责人，现任</w:t>
      </w:r>
      <w:r>
        <w:rPr>
          <w:rFonts w:ascii="Times New Roman" w:hAnsi="Times New Roman" w:cs="Times New Roman" w:eastAsia="Times New Roman" w:hint="default"/>
          <w:spacing w:val="3"/>
          <w:w w:val="105"/>
        </w:rPr>
        <w:t>ME&amp;CITY</w:t>
      </w:r>
      <w:r>
        <w:rPr>
          <w:spacing w:val="3"/>
          <w:w w:val="105"/>
        </w:rPr>
        <w:t>品牌人力资源与培训部总经理助理。现任本公司监事。</w:t>
      </w:r>
      <w:r>
        <w:rPr>
          <w:w w:val="102"/>
        </w:rPr>
        <w:t> </w:t>
      </w:r>
      <w:r>
        <w:rPr>
          <w:rFonts w:ascii="Times New Roman" w:hAnsi="Times New Roman" w:cs="Times New Roman" w:eastAsia="Times New Roman" w:hint="default"/>
          <w:spacing w:val="2"/>
        </w:rPr>
        <w:t>3</w:t>
      </w:r>
      <w:r>
        <w:rPr>
          <w:spacing w:val="2"/>
        </w:rPr>
        <w:t>、杨翠玉：女，</w:t>
      </w:r>
      <w:r>
        <w:rPr>
          <w:rFonts w:ascii="Times New Roman" w:hAnsi="Times New Roman" w:cs="Times New Roman" w:eastAsia="Times New Roman" w:hint="default"/>
          <w:spacing w:val="2"/>
        </w:rPr>
        <w:t>1982</w:t>
      </w:r>
      <w:r>
        <w:rPr>
          <w:spacing w:val="2"/>
        </w:rPr>
        <w:t>年出生，中国国籍，本科学历。</w:t>
      </w:r>
      <w:r>
        <w:rPr>
          <w:rFonts w:ascii="Times New Roman" w:hAnsi="Times New Roman" w:cs="Times New Roman" w:eastAsia="Times New Roman" w:hint="default"/>
          <w:spacing w:val="2"/>
        </w:rPr>
        <w:t>2002</w:t>
      </w:r>
      <w:r>
        <w:rPr>
          <w:spacing w:val="2"/>
        </w:rPr>
        <w:t>年加入本公司，在公司信息管理部担任总经理助</w:t>
      </w:r>
    </w:p>
    <w:p>
      <w:pPr>
        <w:pStyle w:val="Heading7"/>
        <w:spacing w:line="304" w:lineRule="auto"/>
        <w:ind w:right="0" w:firstLine="0"/>
        <w:jc w:val="left"/>
      </w:pPr>
      <w:r>
        <w:rPr>
          <w:spacing w:val="5"/>
        </w:rPr>
        <w:t>理，主要负责应用系统运维管理，如业务需求分析管理、应用权限管理、系统配置管理、问题跟进与处理；同</w:t>
      </w:r>
      <w:r>
        <w:rPr>
          <w:spacing w:val="74"/>
        </w:rPr>
        <w:t> </w:t>
      </w:r>
      <w:r>
        <w:rPr>
          <w:spacing w:val="74"/>
        </w:rPr>
      </w:r>
      <w:r>
        <w:rPr>
          <w:spacing w:val="4"/>
          <w:w w:val="105"/>
        </w:rPr>
        <w:t>时负责零售管理执行系统项目推进和系统实施，保证项目能够按期上线和使用。现任本公司监事。</w:t>
      </w:r>
      <w:r>
        <w:rPr>
          <w:spacing w:val="4"/>
        </w:rPr>
      </w:r>
    </w:p>
    <w:p>
      <w:pPr>
        <w:spacing w:line="240" w:lineRule="auto" w:before="6"/>
        <w:rPr>
          <w:rFonts w:ascii="宋体" w:hAnsi="宋体" w:cs="宋体" w:eastAsia="宋体" w:hint="default"/>
          <w:sz w:val="23"/>
          <w:szCs w:val="23"/>
        </w:rPr>
      </w:pPr>
    </w:p>
    <w:p>
      <w:pPr>
        <w:pStyle w:val="Heading6"/>
        <w:spacing w:line="240" w:lineRule="auto"/>
        <w:ind w:right="0"/>
        <w:jc w:val="left"/>
      </w:pPr>
      <w:r>
        <w:rPr/>
        <w:t>（三）高级管理人员</w:t>
      </w:r>
    </w:p>
    <w:p>
      <w:pPr>
        <w:pStyle w:val="Heading7"/>
        <w:spacing w:line="280" w:lineRule="auto" w:before="64"/>
        <w:ind w:right="1128"/>
        <w:jc w:val="both"/>
      </w:pPr>
      <w:r>
        <w:rPr>
          <w:rFonts w:ascii="Times New Roman" w:hAnsi="Times New Roman" w:cs="Times New Roman" w:eastAsia="Times New Roman" w:hint="default"/>
          <w:spacing w:val="2"/>
        </w:rPr>
        <w:t>1</w:t>
      </w:r>
      <w:r>
        <w:rPr>
          <w:spacing w:val="2"/>
        </w:rPr>
        <w:t>、涂珂：男，</w:t>
      </w:r>
      <w:r>
        <w:rPr>
          <w:rFonts w:ascii="Times New Roman" w:hAnsi="Times New Roman" w:cs="Times New Roman" w:eastAsia="Times New Roman" w:hint="default"/>
          <w:spacing w:val="2"/>
        </w:rPr>
        <w:t>1975</w:t>
      </w:r>
      <w:r>
        <w:rPr>
          <w:spacing w:val="2"/>
        </w:rPr>
        <w:t>年出生，中国国籍，本科学历，</w:t>
      </w:r>
      <w:r>
        <w:rPr>
          <w:rFonts w:ascii="Times New Roman" w:hAnsi="Times New Roman" w:cs="Times New Roman" w:eastAsia="Times New Roman" w:hint="default"/>
          <w:spacing w:val="2"/>
        </w:rPr>
        <w:t>1998</w:t>
      </w:r>
      <w:r>
        <w:rPr>
          <w:spacing w:val="2"/>
        </w:rPr>
        <w:t>年毕业于西南财经大学，曾任中国光大银行重庆分</w:t>
      </w:r>
      <w:r>
        <w:rPr>
          <w:w w:val="102"/>
        </w:rPr>
        <w:t> </w:t>
      </w:r>
      <w:r>
        <w:rPr>
          <w:spacing w:val="4"/>
        </w:rPr>
        <w:t>行信贷经理、中国光大银行总行信贷审批经理， </w:t>
      </w:r>
      <w:r>
        <w:rPr>
          <w:rFonts w:ascii="Times New Roman" w:hAnsi="Times New Roman" w:cs="Times New Roman" w:eastAsia="Times New Roman" w:hint="default"/>
          <w:spacing w:val="4"/>
        </w:rPr>
        <w:t>2007</w:t>
      </w:r>
      <w:r>
        <w:rPr>
          <w:spacing w:val="4"/>
        </w:rPr>
        <w:t>年加入本公司，历任公司监事长、董事、财务总监、董事</w:t>
      </w:r>
      <w:r>
        <w:rPr>
          <w:spacing w:val="18"/>
        </w:rPr>
        <w:t> </w:t>
      </w:r>
      <w:r>
        <w:rPr>
          <w:spacing w:val="18"/>
        </w:rPr>
      </w:r>
      <w:r>
        <w:rPr>
          <w:spacing w:val="3"/>
          <w:w w:val="105"/>
        </w:rPr>
        <w:t>会秘书。现任公司副总裁。</w:t>
      </w:r>
      <w:r>
        <w:rPr>
          <w:spacing w:val="3"/>
        </w:rPr>
      </w:r>
    </w:p>
    <w:p>
      <w:pPr>
        <w:pStyle w:val="Heading7"/>
        <w:spacing w:line="240" w:lineRule="auto" w:before="34"/>
        <w:ind w:left="561" w:right="0" w:firstLine="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William   </w:t>
      </w:r>
      <w:r>
        <w:rPr>
          <w:rFonts w:ascii="Times New Roman" w:hAnsi="Times New Roman" w:cs="Times New Roman" w:eastAsia="Times New Roman" w:hint="default"/>
          <w:spacing w:val="8"/>
        </w:rPr>
        <w:t>Wei   </w:t>
      </w:r>
      <w:r>
        <w:rPr>
          <w:rFonts w:ascii="Times New Roman" w:hAnsi="Times New Roman" w:cs="Times New Roman" w:eastAsia="Times New Roman" w:hint="default"/>
          <w:spacing w:val="2"/>
        </w:rPr>
        <w:t>Song</w:t>
      </w:r>
      <w:r>
        <w:rPr>
          <w:spacing w:val="2"/>
        </w:rPr>
        <w:t>（宋玮）：男，</w:t>
      </w:r>
      <w:r>
        <w:rPr>
          <w:spacing w:val="6"/>
        </w:rPr>
        <w:t> </w:t>
      </w:r>
      <w:r>
        <w:rPr>
          <w:rFonts w:ascii="Times New Roman" w:hAnsi="Times New Roman" w:cs="Times New Roman" w:eastAsia="Times New Roman" w:hint="default"/>
          <w:spacing w:val="3"/>
        </w:rPr>
        <w:t>1986</w:t>
      </w:r>
      <w:r>
        <w:rPr>
          <w:spacing w:val="3"/>
        </w:rPr>
        <w:t>年出生，美国国籍，</w:t>
      </w:r>
      <w:r>
        <w:rPr>
          <w:rFonts w:ascii="Times New Roman" w:hAnsi="Times New Roman" w:cs="Times New Roman" w:eastAsia="Times New Roman" w:hint="default"/>
          <w:spacing w:val="3"/>
        </w:rPr>
        <w:t>2008</w:t>
      </w:r>
      <w:r>
        <w:rPr>
          <w:spacing w:val="3"/>
        </w:rPr>
        <w:t>年毕业于美国波士顿大学金融学专业，</w:t>
      </w:r>
    </w:p>
    <w:p>
      <w:pPr>
        <w:pStyle w:val="Heading7"/>
        <w:spacing w:line="288" w:lineRule="auto" w:before="52"/>
        <w:ind w:right="0" w:firstLine="0"/>
        <w:jc w:val="left"/>
      </w:pPr>
      <w:r>
        <w:rPr>
          <w:rFonts w:ascii="Times New Roman" w:hAnsi="Times New Roman" w:cs="Times New Roman" w:eastAsia="Times New Roman" w:hint="default"/>
          <w:spacing w:val="2"/>
        </w:rPr>
        <w:t>2010</w:t>
      </w:r>
      <w:r>
        <w:rPr>
          <w:spacing w:val="2"/>
        </w:rPr>
        <w:t>年取得加拿大 </w:t>
      </w:r>
      <w:r>
        <w:rPr>
          <w:rFonts w:ascii="Times New Roman" w:hAnsi="Times New Roman" w:cs="Times New Roman" w:eastAsia="Times New Roman" w:hint="default"/>
          <w:spacing w:val="3"/>
        </w:rPr>
        <w:t>UBC </w:t>
      </w:r>
      <w:r>
        <w:rPr>
          <w:spacing w:val="6"/>
        </w:rPr>
        <w:t>大学尚德商学院会计学位。曾任职于加拿大能源控股有限公司商业拓展部，加入本公</w:t>
      </w:r>
      <w:r>
        <w:rPr>
          <w:spacing w:val="-55"/>
        </w:rPr>
        <w:t> </w:t>
      </w:r>
      <w:r>
        <w:rPr>
          <w:spacing w:val="-55"/>
        </w:rPr>
      </w:r>
      <w:r>
        <w:rPr>
          <w:spacing w:val="3"/>
          <w:w w:val="105"/>
        </w:rPr>
        <w:t>司后历任战略发展部海外投资部主管。现任公司副总裁。</w:t>
      </w:r>
      <w:r>
        <w:rPr>
          <w:spacing w:val="3"/>
        </w:rPr>
      </w:r>
    </w:p>
    <w:p>
      <w:pPr>
        <w:pStyle w:val="Heading7"/>
        <w:spacing w:line="240" w:lineRule="auto" w:before="13"/>
        <w:ind w:left="561" w:right="0" w:firstLine="0"/>
        <w:jc w:val="left"/>
        <w:rPr>
          <w:rFonts w:ascii="Times New Roman" w:hAnsi="Times New Roman" w:cs="Times New Roman" w:eastAsia="Times New Roman" w:hint="default"/>
        </w:rPr>
      </w:pPr>
      <w:r>
        <w:rPr>
          <w:rFonts w:ascii="Times New Roman" w:hAnsi="Times New Roman" w:cs="Times New Roman" w:eastAsia="Times New Roman" w:hint="default"/>
          <w:spacing w:val="-3"/>
          <w:w w:val="105"/>
        </w:rPr>
        <w:t>3</w:t>
      </w:r>
      <w:r>
        <w:rPr>
          <w:spacing w:val="-3"/>
          <w:w w:val="105"/>
        </w:rPr>
        <w:t>、周文武：男，</w:t>
      </w:r>
      <w:r>
        <w:rPr>
          <w:rFonts w:ascii="Times New Roman" w:hAnsi="Times New Roman" w:cs="Times New Roman" w:eastAsia="Times New Roman" w:hint="default"/>
          <w:spacing w:val="-3"/>
          <w:w w:val="105"/>
        </w:rPr>
        <w:t>1977</w:t>
      </w:r>
      <w:r>
        <w:rPr>
          <w:spacing w:val="-3"/>
          <w:w w:val="105"/>
        </w:rPr>
        <w:t>年出生，中国国籍，大专学历，历任美邦企发公司中山生产办事处负责人、</w:t>
      </w:r>
      <w:r>
        <w:rPr>
          <w:rFonts w:ascii="Times New Roman" w:hAnsi="Times New Roman" w:cs="Times New Roman" w:eastAsia="Times New Roman" w:hint="default"/>
          <w:spacing w:val="-3"/>
          <w:w w:val="105"/>
        </w:rPr>
        <w:t>Metersbonwe</w:t>
      </w:r>
      <w:r>
        <w:rPr>
          <w:rFonts w:ascii="Times New Roman" w:hAnsi="Times New Roman" w:cs="Times New Roman" w:eastAsia="Times New Roman" w:hint="default"/>
          <w:spacing w:val="-3"/>
        </w:rPr>
      </w:r>
    </w:p>
    <w:p>
      <w:pPr>
        <w:pStyle w:val="Heading7"/>
        <w:spacing w:line="240" w:lineRule="auto" w:before="52"/>
        <w:ind w:right="0" w:firstLine="0"/>
        <w:jc w:val="left"/>
      </w:pPr>
      <w:r>
        <w:rPr>
          <w:spacing w:val="4"/>
          <w:w w:val="105"/>
        </w:rPr>
        <w:t>品牌事业部副总裁、供应链管理中心总监、本公司董事。现任公司副总裁。</w:t>
      </w:r>
      <w:r>
        <w:rPr>
          <w:spacing w:val="4"/>
        </w:rPr>
      </w:r>
    </w:p>
    <w:p>
      <w:pPr>
        <w:pStyle w:val="Heading7"/>
        <w:spacing w:line="288" w:lineRule="auto" w:before="66"/>
        <w:ind w:right="1128"/>
        <w:jc w:val="both"/>
      </w:pPr>
      <w:r>
        <w:rPr>
          <w:rFonts w:ascii="Times New Roman" w:hAnsi="Times New Roman" w:cs="Times New Roman" w:eastAsia="Times New Roman" w:hint="default"/>
        </w:rPr>
        <w:t>4</w:t>
      </w:r>
      <w:r>
        <w:rPr/>
        <w:t>、李广：男，</w:t>
      </w:r>
      <w:r>
        <w:rPr>
          <w:rFonts w:ascii="Times New Roman" w:hAnsi="Times New Roman" w:cs="Times New Roman" w:eastAsia="Times New Roman" w:hint="default"/>
        </w:rPr>
        <w:t>1980 </w:t>
      </w:r>
      <w:r>
        <w:rPr>
          <w:spacing w:val="3"/>
        </w:rPr>
        <w:t>年出生，中国国籍，本科学历，</w:t>
      </w:r>
      <w:r>
        <w:rPr>
          <w:rFonts w:ascii="Times New Roman" w:hAnsi="Times New Roman" w:cs="Times New Roman" w:eastAsia="Times New Roman" w:hint="default"/>
          <w:spacing w:val="3"/>
        </w:rPr>
        <w:t>2002</w:t>
      </w:r>
      <w:r>
        <w:rPr>
          <w:rFonts w:ascii="Times New Roman" w:hAnsi="Times New Roman" w:cs="Times New Roman" w:eastAsia="Times New Roman" w:hint="default"/>
          <w:spacing w:val="22"/>
        </w:rPr>
        <w:t> </w:t>
      </w:r>
      <w:r>
        <w:rPr>
          <w:spacing w:val="4"/>
        </w:rPr>
        <w:t>年毕业于安徽财贸学院。历任公司战略发展部副</w:t>
      </w:r>
      <w:r>
        <w:rPr>
          <w:w w:val="102"/>
        </w:rPr>
        <w:t> </w:t>
      </w:r>
      <w:r>
        <w:rPr>
          <w:spacing w:val="2"/>
        </w:rPr>
        <w:t>部长、</w:t>
      </w:r>
      <w:r>
        <w:rPr>
          <w:rFonts w:ascii="Times New Roman" w:hAnsi="Times New Roman" w:cs="Times New Roman" w:eastAsia="Times New Roman" w:hint="default"/>
          <w:spacing w:val="2"/>
        </w:rPr>
        <w:t>Metersbonwe      </w:t>
      </w:r>
      <w:r>
        <w:rPr>
          <w:rFonts w:ascii="Times New Roman" w:hAnsi="Times New Roman" w:cs="Times New Roman" w:eastAsia="Times New Roman" w:hint="default"/>
          <w:spacing w:val="8"/>
        </w:rPr>
        <w:t> </w:t>
      </w:r>
      <w:r>
        <w:rPr>
          <w:spacing w:val="4"/>
        </w:rPr>
        <w:t>商品部总监、商品企划部总监、多品牌全渠道零售业务部总监。现任公司总裁助理。</w:t>
      </w:r>
    </w:p>
    <w:p>
      <w:pPr>
        <w:pStyle w:val="Heading7"/>
        <w:spacing w:line="273" w:lineRule="exact"/>
        <w:ind w:right="0"/>
        <w:jc w:val="both"/>
        <w:rPr>
          <w:sz w:val="21"/>
          <w:szCs w:val="21"/>
        </w:rPr>
      </w:pPr>
      <w:r>
        <w:rPr>
          <w:rFonts w:ascii="Times New Roman" w:hAnsi="Times New Roman" w:cs="Times New Roman" w:eastAsia="Times New Roman" w:hint="default"/>
        </w:rPr>
        <w:t>5</w:t>
      </w:r>
      <w:r>
        <w:rPr/>
        <w:t>、</w:t>
      </w:r>
      <w:r>
        <w:rPr>
          <w:rFonts w:ascii="Times New Roman" w:hAnsi="Times New Roman" w:cs="Times New Roman" w:eastAsia="Times New Roman" w:hint="default"/>
        </w:rPr>
        <w:t>Daniel  Silva</w:t>
      </w:r>
      <w:r>
        <w:rPr/>
        <w:t>（丹尼尔</w:t>
      </w:r>
      <w:r>
        <w:rPr>
          <w:rFonts w:ascii="Times New Roman" w:hAnsi="Times New Roman" w:cs="Times New Roman" w:eastAsia="Times New Roman" w:hint="default"/>
        </w:rPr>
        <w:t>·</w:t>
      </w:r>
      <w:r>
        <w:rPr/>
        <w:t>席尔瓦）：男，</w:t>
      </w:r>
      <w:r>
        <w:rPr>
          <w:rFonts w:ascii="Times New Roman" w:hAnsi="Times New Roman" w:cs="Times New Roman" w:eastAsia="Times New Roman" w:hint="default"/>
        </w:rPr>
        <w:t>1981    </w:t>
      </w:r>
      <w:r>
        <w:rPr/>
        <w:t>年出生，葡萄牙国籍，毕业于</w:t>
      </w:r>
      <w:r>
        <w:rPr>
          <w:rFonts w:ascii="Times New Roman" w:hAnsi="Times New Roman" w:cs="Times New Roman" w:eastAsia="Times New Roman" w:hint="default"/>
        </w:rPr>
        <w:t>ESAD-PONTO-PORTUGA L   </w:t>
      </w:r>
      <w:r>
        <w:rPr>
          <w:rFonts w:ascii="Times New Roman" w:hAnsi="Times New Roman" w:cs="Times New Roman" w:eastAsia="Times New Roman" w:hint="default"/>
          <w:spacing w:val="13"/>
        </w:rPr>
        <w:t> </w:t>
      </w:r>
      <w:r>
        <w:rPr>
          <w:sz w:val="21"/>
          <w:szCs w:val="21"/>
        </w:rPr>
        <w:t>服</w:t>
      </w:r>
    </w:p>
    <w:p>
      <w:pPr>
        <w:pStyle w:val="Heading7"/>
        <w:spacing w:line="240" w:lineRule="auto" w:before="37"/>
        <w:ind w:right="0" w:firstLine="0"/>
        <w:jc w:val="left"/>
        <w:rPr>
          <w:rFonts w:ascii="Times New Roman" w:hAnsi="Times New Roman" w:cs="Times New Roman" w:eastAsia="Times New Roman" w:hint="default"/>
        </w:rPr>
      </w:pPr>
      <w:r>
        <w:rPr>
          <w:w w:val="102"/>
        </w:rPr>
        <w:t>装设计</w:t>
      </w:r>
      <w:r>
        <w:rPr>
          <w:spacing w:val="15"/>
          <w:w w:val="102"/>
        </w:rPr>
        <w:t>专业</w:t>
      </w:r>
      <w:r>
        <w:rPr>
          <w:spacing w:val="-105"/>
          <w:w w:val="102"/>
        </w:rPr>
        <w:t>。</w:t>
      </w:r>
      <w:r>
        <w:rPr>
          <w:w w:val="102"/>
        </w:rPr>
        <w:t>曾</w:t>
      </w:r>
      <w:r>
        <w:rPr>
          <w:spacing w:val="15"/>
          <w:w w:val="102"/>
        </w:rPr>
        <w:t>任</w:t>
      </w:r>
      <w:r>
        <w:rPr>
          <w:w w:val="102"/>
        </w:rPr>
        <w:t>职于</w:t>
      </w:r>
      <w:r>
        <w:rPr>
          <w:spacing w:val="-19"/>
        </w:rPr>
        <w:t> </w:t>
      </w:r>
      <w:r>
        <w:rPr>
          <w:rFonts w:ascii="Times New Roman" w:hAnsi="Times New Roman" w:cs="Times New Roman" w:eastAsia="Times New Roman" w:hint="default"/>
          <w:spacing w:val="15"/>
          <w:w w:val="102"/>
        </w:rPr>
        <w:t>T</w:t>
      </w:r>
      <w:r>
        <w:rPr>
          <w:rFonts w:ascii="Times New Roman" w:hAnsi="Times New Roman" w:cs="Times New Roman" w:eastAsia="Times New Roman" w:hint="default"/>
          <w:spacing w:val="8"/>
          <w:w w:val="102"/>
        </w:rPr>
        <w:t>H</w:t>
      </w:r>
      <w:r>
        <w:rPr>
          <w:rFonts w:ascii="Times New Roman" w:hAnsi="Times New Roman" w:cs="Times New Roman" w:eastAsia="Times New Roman" w:hint="default"/>
          <w:spacing w:val="4"/>
          <w:w w:val="102"/>
        </w:rPr>
        <w:t>R</w:t>
      </w:r>
      <w:r>
        <w:rPr>
          <w:rFonts w:ascii="Times New Roman" w:hAnsi="Times New Roman" w:cs="Times New Roman" w:eastAsia="Times New Roman" w:hint="default"/>
          <w:spacing w:val="-6"/>
          <w:w w:val="102"/>
        </w:rPr>
        <w:t>O</w:t>
      </w:r>
      <w:r>
        <w:rPr>
          <w:rFonts w:ascii="Times New Roman" w:hAnsi="Times New Roman" w:cs="Times New Roman" w:eastAsia="Times New Roman" w:hint="default"/>
          <w:w w:val="102"/>
        </w:rPr>
        <w:t>T</w:t>
      </w:r>
      <w:r>
        <w:rPr>
          <w:rFonts w:ascii="Times New Roman" w:hAnsi="Times New Roman" w:cs="Times New Roman" w:eastAsia="Times New Roman" w:hint="default"/>
          <w:spacing w:val="15"/>
          <w:w w:val="102"/>
        </w:rPr>
        <w:t>T</w:t>
      </w:r>
      <w:r>
        <w:rPr>
          <w:rFonts w:ascii="Times New Roman" w:hAnsi="Times New Roman" w:cs="Times New Roman" w:eastAsia="Times New Roman" w:hint="default"/>
          <w:w w:val="102"/>
        </w:rPr>
        <w:t>L</w:t>
      </w:r>
      <w:r>
        <w:rPr>
          <w:rFonts w:ascii="Times New Roman" w:hAnsi="Times New Roman" w:cs="Times New Roman" w:eastAsia="Times New Roman" w:hint="default"/>
          <w:spacing w:val="-15"/>
          <w:w w:val="102"/>
        </w:rPr>
        <w:t>E</w:t>
      </w:r>
      <w:r>
        <w:rPr>
          <w:rFonts w:ascii="Times New Roman" w:hAnsi="Times New Roman" w:cs="Times New Roman" w:eastAsia="Times New Roman" w:hint="default"/>
          <w:spacing w:val="6"/>
          <w:w w:val="102"/>
        </w:rPr>
        <w:t>M</w:t>
      </w:r>
      <w:r>
        <w:rPr>
          <w:rFonts w:ascii="Times New Roman" w:hAnsi="Times New Roman" w:cs="Times New Roman" w:eastAsia="Times New Roman" w:hint="default"/>
          <w:spacing w:val="8"/>
          <w:w w:val="102"/>
        </w:rPr>
        <w:t>A</w:t>
      </w:r>
      <w:r>
        <w:rPr>
          <w:rFonts w:ascii="Times New Roman" w:hAnsi="Times New Roman" w:cs="Times New Roman" w:eastAsia="Times New Roman" w:hint="default"/>
          <w:spacing w:val="13"/>
          <w:w w:val="102"/>
        </w:rPr>
        <w:t>N</w:t>
      </w:r>
      <w:r>
        <w:rPr>
          <w:spacing w:val="-105"/>
          <w:w w:val="102"/>
        </w:rPr>
        <w:t>、</w:t>
      </w:r>
      <w:r>
        <w:rPr>
          <w:rFonts w:ascii="Times New Roman" w:hAnsi="Times New Roman" w:cs="Times New Roman" w:eastAsia="Times New Roman" w:hint="default"/>
          <w:w w:val="102"/>
        </w:rPr>
        <w:t>Z</w:t>
      </w:r>
      <w:r>
        <w:rPr>
          <w:rFonts w:ascii="Times New Roman" w:hAnsi="Times New Roman" w:cs="Times New Roman" w:eastAsia="Times New Roman" w:hint="default"/>
          <w:w w:val="102"/>
        </w:rPr>
        <w:t>A</w:t>
      </w:r>
      <w:r>
        <w:rPr>
          <w:rFonts w:ascii="Times New Roman" w:hAnsi="Times New Roman" w:cs="Times New Roman" w:eastAsia="Times New Roman" w:hint="default"/>
          <w:spacing w:val="-24"/>
        </w:rPr>
        <w:t> </w:t>
      </w:r>
      <w:r>
        <w:rPr>
          <w:rFonts w:ascii="Times New Roman" w:hAnsi="Times New Roman" w:cs="Times New Roman" w:eastAsia="Times New Roman" w:hint="default"/>
          <w:spacing w:val="-11"/>
          <w:w w:val="102"/>
        </w:rPr>
        <w:t>R</w:t>
      </w:r>
      <w:r>
        <w:rPr>
          <w:rFonts w:ascii="Times New Roman" w:hAnsi="Times New Roman" w:cs="Times New Roman" w:eastAsia="Times New Roman" w:hint="default"/>
          <w:spacing w:val="10"/>
          <w:w w:val="102"/>
        </w:rPr>
        <w:t>A</w:t>
      </w:r>
      <w:r>
        <w:rPr>
          <w:spacing w:val="-90"/>
          <w:w w:val="102"/>
        </w:rPr>
        <w:t>。</w:t>
      </w:r>
      <w:r>
        <w:rPr>
          <w:rFonts w:ascii="Times New Roman" w:hAnsi="Times New Roman" w:cs="Times New Roman" w:eastAsia="Times New Roman" w:hint="default"/>
          <w:spacing w:val="7"/>
          <w:w w:val="102"/>
        </w:rPr>
        <w:t>2</w:t>
      </w:r>
      <w:r>
        <w:rPr>
          <w:rFonts w:ascii="Times New Roman" w:hAnsi="Times New Roman" w:cs="Times New Roman" w:eastAsia="Times New Roman" w:hint="default"/>
          <w:spacing w:val="-8"/>
          <w:w w:val="102"/>
        </w:rPr>
        <w:t>0</w:t>
      </w:r>
      <w:r>
        <w:rPr>
          <w:rFonts w:ascii="Times New Roman" w:hAnsi="Times New Roman" w:cs="Times New Roman" w:eastAsia="Times New Roman" w:hint="default"/>
          <w:spacing w:val="7"/>
          <w:w w:val="102"/>
        </w:rPr>
        <w:t>1</w:t>
      </w:r>
      <w:r>
        <w:rPr>
          <w:rFonts w:ascii="Times New Roman" w:hAnsi="Times New Roman" w:cs="Times New Roman" w:eastAsia="Times New Roman" w:hint="default"/>
          <w:w w:val="102"/>
        </w:rPr>
        <w:t>4</w:t>
      </w:r>
      <w:r>
        <w:rPr>
          <w:rFonts w:ascii="Times New Roman" w:hAnsi="Times New Roman" w:cs="Times New Roman" w:eastAsia="Times New Roman" w:hint="default"/>
        </w:rPr>
        <w:t> </w:t>
      </w:r>
      <w:r>
        <w:rPr>
          <w:rFonts w:ascii="Times New Roman" w:hAnsi="Times New Roman" w:cs="Times New Roman" w:eastAsia="Times New Roman" w:hint="default"/>
          <w:spacing w:val="-12"/>
        </w:rPr>
        <w:t> </w:t>
      </w:r>
      <w:r>
        <w:rPr>
          <w:w w:val="102"/>
        </w:rPr>
        <w:t>年加</w:t>
      </w:r>
      <w:r>
        <w:rPr>
          <w:spacing w:val="15"/>
          <w:w w:val="102"/>
        </w:rPr>
        <w:t>入</w:t>
      </w:r>
      <w:r>
        <w:rPr>
          <w:w w:val="102"/>
        </w:rPr>
        <w:t>本公</w:t>
      </w:r>
      <w:r>
        <w:rPr>
          <w:spacing w:val="15"/>
          <w:w w:val="102"/>
        </w:rPr>
        <w:t>司</w:t>
      </w:r>
      <w:r>
        <w:rPr>
          <w:spacing w:val="-105"/>
          <w:w w:val="102"/>
        </w:rPr>
        <w:t>，</w:t>
      </w:r>
      <w:r>
        <w:rPr>
          <w:spacing w:val="15"/>
          <w:w w:val="102"/>
        </w:rPr>
        <w:t>历</w:t>
      </w:r>
      <w:r>
        <w:rPr>
          <w:w w:val="102"/>
        </w:rPr>
        <w:t>任公</w:t>
      </w:r>
      <w:r>
        <w:rPr>
          <w:spacing w:val="15"/>
          <w:w w:val="102"/>
        </w:rPr>
        <w:t>司</w:t>
      </w:r>
      <w:r>
        <w:rPr>
          <w:w w:val="102"/>
        </w:rPr>
        <w:t>男装</w:t>
      </w:r>
      <w:r>
        <w:rPr>
          <w:spacing w:val="15"/>
          <w:w w:val="102"/>
        </w:rPr>
        <w:t>产</w:t>
      </w:r>
      <w:r>
        <w:rPr>
          <w:w w:val="102"/>
        </w:rPr>
        <w:t>品部</w:t>
      </w:r>
      <w:r>
        <w:rPr>
          <w:spacing w:val="15"/>
          <w:w w:val="102"/>
        </w:rPr>
        <w:t>设</w:t>
      </w:r>
      <w:r>
        <w:rPr>
          <w:w w:val="102"/>
        </w:rPr>
        <w:t>计</w:t>
      </w:r>
      <w:r>
        <w:rPr>
          <w:spacing w:val="15"/>
          <w:w w:val="102"/>
        </w:rPr>
        <w:t>总</w:t>
      </w:r>
      <w:r>
        <w:rPr>
          <w:w w:val="102"/>
        </w:rPr>
        <w:t>监</w:t>
      </w:r>
      <w:r>
        <w:rPr>
          <w:spacing w:val="-102"/>
          <w:w w:val="102"/>
        </w:rPr>
        <w:t>、</w:t>
      </w:r>
      <w:r>
        <w:rPr>
          <w:rFonts w:ascii="Times New Roman" w:hAnsi="Times New Roman" w:cs="Times New Roman" w:eastAsia="Times New Roman" w:hint="default"/>
          <w:w w:val="102"/>
        </w:rPr>
        <w:t>M</w:t>
      </w:r>
      <w:r>
        <w:rPr>
          <w:rFonts w:ascii="Times New Roman" w:hAnsi="Times New Roman" w:cs="Times New Roman" w:eastAsia="Times New Roman" w:hint="default"/>
          <w:spacing w:val="-27"/>
        </w:rPr>
        <w:t> </w:t>
      </w:r>
      <w:r>
        <w:rPr>
          <w:rFonts w:ascii="Times New Roman" w:hAnsi="Times New Roman" w:cs="Times New Roman" w:eastAsia="Times New Roman" w:hint="default"/>
          <w:w w:val="102"/>
        </w:rPr>
        <w:t>E</w:t>
      </w:r>
      <w:r>
        <w:rPr>
          <w:rFonts w:ascii="Times New Roman" w:hAnsi="Times New Roman" w:cs="Times New Roman" w:eastAsia="Times New Roman" w:hint="default"/>
          <w:spacing w:val="13"/>
          <w:w w:val="102"/>
        </w:rPr>
        <w:t>&amp;</w:t>
      </w:r>
      <w:r>
        <w:rPr>
          <w:rFonts w:ascii="Times New Roman" w:hAnsi="Times New Roman" w:cs="Times New Roman" w:eastAsia="Times New Roman" w:hint="default"/>
          <w:spacing w:val="-11"/>
          <w:w w:val="102"/>
        </w:rPr>
        <w:t>C</w:t>
      </w:r>
      <w:r>
        <w:rPr>
          <w:rFonts w:ascii="Times New Roman" w:hAnsi="Times New Roman" w:cs="Times New Roman" w:eastAsia="Times New Roman" w:hint="default"/>
          <w:spacing w:val="-5"/>
          <w:w w:val="102"/>
        </w:rPr>
        <w:t>I</w:t>
      </w:r>
      <w:r>
        <w:rPr>
          <w:rFonts w:ascii="Times New Roman" w:hAnsi="Times New Roman" w:cs="Times New Roman" w:eastAsia="Times New Roman" w:hint="default"/>
          <w:spacing w:val="15"/>
          <w:w w:val="102"/>
        </w:rPr>
        <w:t>T</w:t>
      </w:r>
      <w:r>
        <w:rPr>
          <w:rFonts w:ascii="Times New Roman" w:hAnsi="Times New Roman" w:cs="Times New Roman" w:eastAsia="Times New Roman" w:hint="default"/>
          <w:w w:val="102"/>
        </w:rPr>
        <w:t>Y</w:t>
      </w:r>
      <w:r>
        <w:rPr>
          <w:rFonts w:ascii="Times New Roman" w:hAnsi="Times New Roman" w:cs="Times New Roman" w:eastAsia="Times New Roman" w:hint="default"/>
        </w:rPr>
      </w:r>
    </w:p>
    <w:p>
      <w:pPr>
        <w:spacing w:after="0" w:line="240" w:lineRule="auto"/>
        <w:jc w:val="left"/>
        <w:rPr>
          <w:rFonts w:ascii="Times New Roman" w:hAnsi="Times New Roman" w:cs="Times New Roman" w:eastAsia="Times New Roman" w:hint="default"/>
        </w:rPr>
        <w:sectPr>
          <w:pgSz w:w="11910" w:h="16850"/>
          <w:pgMar w:header="731" w:footer="981" w:top="1040" w:bottom="1180" w:left="1000" w:right="0"/>
        </w:sectPr>
      </w:pPr>
    </w:p>
    <w:p>
      <w:pPr>
        <w:spacing w:line="240" w:lineRule="auto" w:before="9"/>
        <w:rPr>
          <w:rFonts w:ascii="Times New Roman" w:hAnsi="Times New Roman" w:cs="Times New Roman" w:eastAsia="Times New Roman" w:hint="default"/>
          <w:sz w:val="29"/>
          <w:szCs w:val="29"/>
        </w:rPr>
      </w:pPr>
    </w:p>
    <w:p>
      <w:pPr>
        <w:pStyle w:val="Heading7"/>
        <w:spacing w:line="240" w:lineRule="auto" w:before="45"/>
        <w:ind w:right="0" w:firstLine="0"/>
        <w:jc w:val="left"/>
      </w:pPr>
      <w:r>
        <w:rPr>
          <w:spacing w:val="3"/>
          <w:w w:val="105"/>
        </w:rPr>
        <w:t>品牌部总监。现任公司总裁助理。</w:t>
      </w:r>
      <w:r>
        <w:rPr>
          <w:spacing w:val="3"/>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BodyText"/>
        <w:spacing w:line="240" w:lineRule="auto"/>
        <w:ind w:right="0"/>
        <w:jc w:val="left"/>
      </w:pPr>
      <w:r>
        <w:rPr/>
        <w:t>在股东单位任职情况</w:t>
      </w:r>
    </w:p>
    <w:p>
      <w:pPr>
        <w:pStyle w:val="BodyText"/>
        <w:spacing w:line="240" w:lineRule="auto" w:before="1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17"/>
        <w:gridCol w:w="3229"/>
        <w:gridCol w:w="1082"/>
        <w:gridCol w:w="1216"/>
        <w:gridCol w:w="1352"/>
        <w:gridCol w:w="1487"/>
      </w:tblGrid>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08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90" w:right="74"/>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4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80" w:right="119" w:hanging="91"/>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32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上海华服投资有限公司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16" w:type="dxa"/>
            <w:tcBorders>
              <w:top w:val="single" w:sz="6" w:space="0" w:color="000000"/>
              <w:left w:val="single" w:sz="6" w:space="0" w:color="000000"/>
              <w:bottom w:val="single" w:sz="6" w:space="0" w:color="000000"/>
              <w:right w:val="single" w:sz="6" w:space="0" w:color="000000"/>
            </w:tcBorders>
          </w:tcPr>
          <w:p>
            <w:pPr/>
          </w:p>
        </w:tc>
        <w:tc>
          <w:tcPr>
            <w:tcW w:w="1352" w:type="dxa"/>
            <w:tcBorders>
              <w:top w:val="single" w:sz="6" w:space="0" w:color="000000"/>
              <w:left w:val="single" w:sz="6" w:space="0" w:color="000000"/>
              <w:bottom w:val="single" w:sz="6" w:space="0" w:color="000000"/>
              <w:right w:val="single" w:sz="6" w:space="0" w:color="000000"/>
            </w:tcBorders>
          </w:tcPr>
          <w:p>
            <w:pPr/>
          </w:p>
        </w:tc>
        <w:tc>
          <w:tcPr>
            <w:tcW w:w="14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5"/>
        <w:ind w:right="0"/>
        <w:jc w:val="left"/>
      </w:pPr>
      <w:r>
        <w:rPr/>
        <w:t>在其他单位任职情况</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4"/>
        <w:rPr>
          <w:rFonts w:ascii="宋体" w:hAnsi="宋体" w:cs="宋体" w:eastAsia="宋体" w:hint="default"/>
          <w:sz w:val="7"/>
          <w:szCs w:val="7"/>
        </w:rPr>
      </w:pPr>
    </w:p>
    <w:tbl>
      <w:tblPr>
        <w:tblW w:w="0" w:type="auto"/>
        <w:jc w:val="left"/>
        <w:tblInd w:w="126" w:type="dxa"/>
        <w:tblLayout w:type="fixed"/>
        <w:tblCellMar>
          <w:top w:w="0" w:type="dxa"/>
          <w:left w:w="0" w:type="dxa"/>
          <w:bottom w:w="0" w:type="dxa"/>
          <w:right w:w="0" w:type="dxa"/>
        </w:tblCellMar>
        <w:tblLook w:val="01E0"/>
      </w:tblPr>
      <w:tblGrid>
        <w:gridCol w:w="1232"/>
        <w:gridCol w:w="3289"/>
        <w:gridCol w:w="1082"/>
        <w:gridCol w:w="1231"/>
        <w:gridCol w:w="1367"/>
        <w:gridCol w:w="1382"/>
      </w:tblGrid>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5"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4"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0" w:right="44" w:hanging="91"/>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上海祺格实业有限公司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胡周斌</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上海笔尔工业设计有限公司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胡周斌</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上海华瑞银行股份有限公司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04</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17</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光正集团股份有限公司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06</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上海兰生股份有限公司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06</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19</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奥瑞金包装股份有限公司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05</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30</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老百姓大药房连锁股份有限公司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02</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27</w:t>
            </w:r>
          </w:p>
          <w:p>
            <w:pPr>
              <w:pStyle w:val="TableParagraph"/>
              <w:spacing w:line="240" w:lineRule="auto" w:before="36"/>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p>
          <w:p>
            <w:pPr>
              <w:pStyle w:val="TableParagraph"/>
              <w:spacing w:line="240" w:lineRule="auto" w:before="36"/>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润中国际控股有限公司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独立非执行 董事</w:t>
            </w:r>
          </w:p>
        </w:tc>
        <w:tc>
          <w:tcPr>
            <w:tcW w:w="12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9"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pacing w:val="5"/>
                <w:sz w:val="18"/>
                <w:szCs w:val="18"/>
              </w:rPr>
              <w:t>10</w:t>
            </w:r>
            <w:r>
              <w:rPr>
                <w:rFonts w:ascii="宋体" w:hAnsi="宋体" w:cs="宋体" w:eastAsia="宋体" w:hint="default"/>
                <w:spacing w:val="5"/>
                <w:sz w:val="18"/>
                <w:szCs w:val="18"/>
              </w:rPr>
              <w:t>月</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10</w:t>
            </w:r>
          </w:p>
          <w:p>
            <w:pPr>
              <w:pStyle w:val="TableParagraph"/>
              <w:spacing w:line="240" w:lineRule="auto" w:before="51"/>
              <w:ind w:left="29"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城云国际有限公司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成都泰合健康科技集团股份有限公司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福建华通银行股份有限公司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华东政法大学法律学院</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导师</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上海市行政法学研究会</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上海城市管理行政执法研究会</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裕福控股集团有限公司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4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裕福支付有限公司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32"/>
        <w:gridCol w:w="3289"/>
        <w:gridCol w:w="1082"/>
        <w:gridCol w:w="1231"/>
        <w:gridCol w:w="1367"/>
        <w:gridCol w:w="1382"/>
      </w:tblGrid>
      <w:tr>
        <w:trPr>
          <w:trHeight w:val="72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裕福实业投资股份有限公司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裕福电子商务有限公司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裕福高新科技有限公司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北京裕福科技发展有限公司（有限合伙）</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4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30" w:right="16"/>
              <w:jc w:val="left"/>
              <w:rPr>
                <w:rFonts w:ascii="宋体" w:hAnsi="宋体" w:cs="宋体" w:eastAsia="宋体" w:hint="default"/>
                <w:sz w:val="18"/>
                <w:szCs w:val="18"/>
              </w:rPr>
            </w:pPr>
            <w:r>
              <w:rPr>
                <w:rFonts w:ascii="宋体" w:hAnsi="宋体" w:cs="宋体" w:eastAsia="宋体" w:hint="default"/>
                <w:spacing w:val="-1"/>
                <w:sz w:val="18"/>
                <w:szCs w:val="18"/>
              </w:rPr>
              <w:t>北京兴业世家科技发展有限公司（有限合</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伙）</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4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福讯信息技术有限公司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北京裕福区块链技术有限公司</w:t>
            </w:r>
          </w:p>
        </w:tc>
        <w:tc>
          <w:tcPr>
            <w:tcW w:w="10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1"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公司现任及报告期内离任董事、监事和高级管理人员近三年证券监管机构处罚的情况</w:t>
      </w:r>
    </w:p>
    <w:p>
      <w:pPr>
        <w:pStyle w:val="BodyText"/>
        <w:spacing w:line="240" w:lineRule="auto" w:before="1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4"/>
      <w:bookmarkEnd w:id="124"/>
      <w:r>
        <w:rPr>
          <w:b w:val="0"/>
          <w:bCs w:val="0"/>
        </w:rPr>
      </w:r>
      <w:r>
        <w:rPr/>
        <w:t>四、董事、监事、高级管理人员报酬情况</w:t>
      </w:r>
      <w:r>
        <w:rPr>
          <w:b w:val="0"/>
          <w:bCs w:val="0"/>
        </w:rPr>
      </w:r>
    </w:p>
    <w:p>
      <w:pPr>
        <w:spacing w:line="240" w:lineRule="auto" w:before="13"/>
        <w:rPr>
          <w:rFonts w:ascii="宋体" w:hAnsi="宋体" w:cs="宋体" w:eastAsia="宋体" w:hint="default"/>
          <w:b/>
          <w:bCs/>
          <w:sz w:val="24"/>
          <w:szCs w:val="24"/>
        </w:rPr>
      </w:pPr>
    </w:p>
    <w:p>
      <w:pPr>
        <w:pStyle w:val="BodyText"/>
        <w:spacing w:line="240" w:lineRule="auto"/>
        <w:ind w:right="0"/>
        <w:jc w:val="left"/>
      </w:pPr>
      <w:r>
        <w:rPr/>
        <w:t>董事、监事、高级管理人员报酬的决策程序、确定依据、实际支付情况</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309" w:lineRule="auto"/>
        <w:ind w:right="1038" w:firstLine="420"/>
        <w:jc w:val="left"/>
      </w:pPr>
      <w:r>
        <w:rPr>
          <w:rFonts w:ascii="Times New Roman" w:hAnsi="Times New Roman" w:cs="Times New Roman" w:eastAsia="Times New Roman" w:hint="default"/>
          <w:spacing w:val="-3"/>
        </w:rPr>
        <w:t>1</w:t>
      </w:r>
      <w:r>
        <w:rPr>
          <w:spacing w:val="-3"/>
        </w:rPr>
        <w:t>、公司严格按照《公司章程》及《薪酬与考核委员会工作细则》等制度制订公司董事、监事及高级管理人员薪酬方案，</w:t>
      </w:r>
      <w:r>
        <w:rPr/>
        <w:t> </w:t>
      </w:r>
      <w:r>
        <w:rPr>
          <w:spacing w:val="-2"/>
        </w:rPr>
        <w:t>由董事会薪酬与考核委员会审议并提交公司提交董事会审议通过，最终由股东大会审议批准。在公司任职的董事、监事、高</w:t>
      </w:r>
      <w:r>
        <w:rPr>
          <w:spacing w:val="-42"/>
        </w:rPr>
        <w:t> </w:t>
      </w:r>
      <w:r>
        <w:rPr>
          <w:spacing w:val="-42"/>
        </w:rPr>
      </w:r>
      <w:r>
        <w:rPr>
          <w:spacing w:val="-2"/>
        </w:rPr>
        <w:t>级管理人员按其职务根据公司现行的薪酬制度领取报酬，并依据风险、责任、利益相一致的原则，年底根据经营业绩和个人</w:t>
      </w:r>
      <w:r>
        <w:rPr>
          <w:spacing w:val="-42"/>
        </w:rPr>
        <w:t> </w:t>
      </w:r>
      <w:r>
        <w:rPr>
          <w:spacing w:val="-42"/>
        </w:rPr>
      </w:r>
      <w:r>
        <w:rPr>
          <w:spacing w:val="-2"/>
        </w:rPr>
        <w:t>绩效，严格按照考核评定程序，由董事会确定其年度奖金和奖惩方式；董事、监事报酬每月按标准准时支付到个人账户。公</w:t>
      </w:r>
      <w:r>
        <w:rPr>
          <w:spacing w:val="-57"/>
        </w:rPr>
        <w:t> </w:t>
      </w:r>
      <w:r>
        <w:rPr>
          <w:spacing w:val="-57"/>
        </w:rPr>
      </w:r>
      <w:r>
        <w:rPr/>
        <w:t>司高级管理人员报酬按各自考核结果进行发放。</w:t>
      </w:r>
    </w:p>
    <w:p>
      <w:pPr>
        <w:pStyle w:val="BodyText"/>
        <w:spacing w:line="288" w:lineRule="auto" w:before="42"/>
        <w:ind w:right="1149" w:firstLine="420"/>
        <w:jc w:val="left"/>
      </w:pPr>
      <w:r>
        <w:rPr>
          <w:rFonts w:ascii="Times New Roman" w:hAnsi="Times New Roman" w:cs="Times New Roman" w:eastAsia="Times New Roman" w:hint="default"/>
        </w:rPr>
        <w:t>2</w:t>
      </w:r>
      <w:r>
        <w:rPr/>
        <w:t>、公司独立董事年度津贴经公司股东大会审议通过后确定，年度津贴为每人税后</w:t>
      </w:r>
      <w:r>
        <w:rPr>
          <w:rFonts w:ascii="Times New Roman" w:hAnsi="Times New Roman" w:cs="Times New Roman" w:eastAsia="Times New Roman" w:hint="default"/>
        </w:rPr>
        <w:t>8</w:t>
      </w:r>
      <w:r>
        <w:rPr/>
        <w:t>万元人民币，按季度发放，公司负 担独立董事为参加会议发生的差旅费、办公费等履职费用。</w:t>
      </w:r>
    </w:p>
    <w:p>
      <w:pPr>
        <w:spacing w:line="240" w:lineRule="auto" w:before="4"/>
        <w:rPr>
          <w:rFonts w:ascii="宋体" w:hAnsi="宋体" w:cs="宋体" w:eastAsia="宋体" w:hint="default"/>
          <w:sz w:val="26"/>
          <w:szCs w:val="26"/>
        </w:rPr>
      </w:pPr>
    </w:p>
    <w:p>
      <w:pPr>
        <w:pStyle w:val="BodyText"/>
        <w:spacing w:line="240" w:lineRule="auto" w:before="44"/>
        <w:ind w:right="0"/>
        <w:jc w:val="left"/>
      </w:pPr>
      <w:r>
        <w:rPr/>
        <w:t>公司报告期内董事、监事和高级管理人员报酬情况</w:t>
      </w:r>
    </w:p>
    <w:p>
      <w:pPr>
        <w:pStyle w:val="BodyText"/>
        <w:spacing w:line="240" w:lineRule="auto" w:before="110"/>
        <w:ind w:left="0" w:right="1110"/>
        <w:jc w:val="right"/>
      </w:pPr>
      <w:r>
        <w:rPr/>
        <w:pict>
          <v:shape style="position:absolute;margin-left:151.649994pt;margin-top:79.816719pt;width:110.45pt;height:15.8pt;mso-position-horizontal-relative:page;mso-position-vertical-relative:paragraph;z-index:-926248" type="#_x0000_t202" filled="false" stroked="false">
            <v:textbox inset="0,0,0,0">
              <w:txbxContent>
                <w:p>
                  <w:pPr>
                    <w:pStyle w:val="BodyText"/>
                    <w:spacing w:line="240" w:lineRule="auto" w:before="45"/>
                    <w:ind w:left="0" w:right="0"/>
                    <w:jc w:val="left"/>
                  </w:pPr>
                  <w:r>
                    <w:rPr/>
                    <w:t>总裁助理，</w:t>
                  </w:r>
                </w:p>
              </w:txbxContent>
            </v:textbox>
            <w10:wrap type="none"/>
          </v:shape>
        </w:pict>
      </w:r>
      <w:r>
        <w:rPr/>
        <w:t>单位：万元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29"/>
              <w:jc w:val="center"/>
              <w:rPr>
                <w:rFonts w:ascii="宋体" w:hAnsi="宋体" w:cs="宋体" w:eastAsia="宋体" w:hint="default"/>
                <w:sz w:val="18"/>
                <w:szCs w:val="18"/>
              </w:rPr>
            </w:pPr>
            <w:r>
              <w:rPr>
                <w:rFonts w:ascii="宋体" w:hAnsi="宋体" w:cs="宋体" w:eastAsia="宋体" w:hint="default"/>
                <w:sz w:val="18"/>
                <w:szCs w:val="18"/>
              </w:rPr>
              <w:t>年龄</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10" w:right="59"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10" w:right="59" w:hanging="181"/>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胡佳佳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5" w:right="0"/>
              <w:jc w:val="left"/>
              <w:rPr>
                <w:rFonts w:ascii="宋体" w:hAnsi="宋体" w:cs="宋体" w:eastAsia="宋体" w:hint="default"/>
                <w:sz w:val="18"/>
                <w:szCs w:val="18"/>
              </w:rPr>
            </w:pPr>
            <w:r>
              <w:rPr>
                <w:rFonts w:ascii="宋体" w:hAnsi="宋体" w:cs="宋体" w:eastAsia="宋体" w:hint="default"/>
                <w:sz w:val="18"/>
                <w:szCs w:val="18"/>
              </w:rPr>
              <w:t>胡周斌</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30" w:right="61"/>
              <w:jc w:val="left"/>
              <w:rPr>
                <w:rFonts w:ascii="宋体" w:hAnsi="宋体" w:cs="宋体" w:eastAsia="宋体" w:hint="default"/>
                <w:sz w:val="18"/>
                <w:szCs w:val="18"/>
              </w:rPr>
            </w:pPr>
            <w:r>
              <w:rPr>
                <w:rFonts w:ascii="宋体" w:hAnsi="宋体" w:cs="宋体" w:eastAsia="宋体" w:hint="default"/>
                <w:sz w:val="18"/>
                <w:szCs w:val="18"/>
              </w:rPr>
              <w:t>董事， 董事会秘书，财 务总监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315"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68.350pt;height:15.8pt;mso-position-horizontal-relative:char;mso-position-vertical-relative:line" coordorigin="0,0" coordsize="1367,316">
                  <v:group style="position:absolute;left:0;top:0;width:1367;height:316" coordorigin="0,0" coordsize="1367,316">
                    <v:shape style="position:absolute;left:0;top:0;width:1367;height:316" coordorigin="0,0" coordsize="1367,316" path="m0,316l1366,316,1366,0,0,0,0,316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55</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张玉虎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48.81</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林晓东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36.25</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9.52</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9.52</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51</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9.52</w:t>
            </w:r>
          </w:p>
        </w:tc>
        <w:tc>
          <w:tcPr>
            <w:tcW w:w="136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周涛</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42</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32.88</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冯辉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38.49</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蔡敏旭</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28.4</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 w:right="0"/>
              <w:jc w:val="left"/>
              <w:rPr>
                <w:rFonts w:ascii="Times New Roman" w:hAnsi="Times New Roman" w:cs="Times New Roman" w:eastAsia="Times New Roman" w:hint="default"/>
                <w:sz w:val="18"/>
                <w:szCs w:val="18"/>
              </w:rPr>
            </w:pPr>
            <w:r>
              <w:rPr>
                <w:rFonts w:ascii="Times New Roman"/>
                <w:sz w:val="18"/>
              </w:rPr>
              <w:t>Daniel</w:t>
            </w:r>
            <w:r>
              <w:rPr>
                <w:rFonts w:ascii="Times New Roman"/>
                <w:spacing w:val="-10"/>
                <w:sz w:val="18"/>
              </w:rPr>
              <w:t> </w:t>
            </w:r>
            <w:r>
              <w:rPr>
                <w:rFonts w:ascii="Times New Roman"/>
                <w:sz w:val="18"/>
              </w:rPr>
              <w:t>Silva</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39</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265.17</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杨翠玉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28.7</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涂珂</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45</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66</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64" w:lineRule="auto" w:before="87"/>
              <w:ind w:left="15" w:right="429"/>
              <w:jc w:val="left"/>
              <w:rPr>
                <w:rFonts w:ascii="Times New Roman" w:hAnsi="Times New Roman" w:cs="Times New Roman" w:eastAsia="Times New Roman" w:hint="default"/>
                <w:sz w:val="18"/>
                <w:szCs w:val="18"/>
              </w:rPr>
            </w:pPr>
            <w:r>
              <w:rPr>
                <w:rFonts w:ascii="Times New Roman"/>
                <w:spacing w:val="-3"/>
                <w:sz w:val="18"/>
              </w:rPr>
              <w:t>William</w:t>
            </w:r>
            <w:r>
              <w:rPr>
                <w:rFonts w:ascii="Times New Roman"/>
                <w:spacing w:val="-1"/>
                <w:sz w:val="18"/>
              </w:rPr>
              <w:t> </w:t>
            </w:r>
            <w:r>
              <w:rPr>
                <w:rFonts w:ascii="Times New Roman"/>
                <w:spacing w:val="-4"/>
                <w:sz w:val="18"/>
              </w:rPr>
              <w:t>Wei</w:t>
            </w:r>
            <w:r>
              <w:rPr>
                <w:rFonts w:ascii="Times New Roman"/>
                <w:sz w:val="18"/>
              </w:rPr>
              <w:t> Song</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34</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110</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周文武</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33</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田芳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38</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17.45</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李广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总裁助理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54.9</w:t>
            </w: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9"/>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8"/>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964.61</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27"/>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0"/>
        <w:jc w:val="left"/>
      </w:pPr>
      <w:r>
        <w:rPr/>
        <w:t>公司董事、高级管理人员报告期内被授予的股权激励情况</w:t>
      </w:r>
    </w:p>
    <w:p>
      <w:pPr>
        <w:pStyle w:val="BodyText"/>
        <w:spacing w:line="240" w:lineRule="auto" w:before="12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五、公司员工情况" w:id="125"/>
      <w:bookmarkEnd w:id="125"/>
      <w:r>
        <w:rPr>
          <w:b w:val="0"/>
          <w:bCs w:val="0"/>
        </w:rPr>
      </w:r>
      <w:r>
        <w:rPr/>
        <w:t>五、公司员工情况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员工数量、专业构成及教育程度" w:id="126"/>
      <w:bookmarkEnd w:id="126"/>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3"/>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4781"/>
        <w:gridCol w:w="4793"/>
      </w:tblGrid>
      <w:tr>
        <w:trPr>
          <w:trHeight w:val="406"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1,209</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4,079</w:t>
            </w:r>
          </w:p>
        </w:tc>
      </w:tr>
      <w:tr>
        <w:trPr>
          <w:trHeight w:val="391"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5,288</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8"/>
              <w:jc w:val="right"/>
              <w:rPr>
                <w:rFonts w:ascii="Times New Roman" w:hAnsi="Times New Roman" w:cs="Times New Roman" w:eastAsia="Times New Roman" w:hint="default"/>
                <w:sz w:val="18"/>
                <w:szCs w:val="18"/>
              </w:rPr>
            </w:pPr>
            <w:r>
              <w:rPr>
                <w:rFonts w:ascii="Times New Roman"/>
                <w:sz w:val="18"/>
              </w:rPr>
              <w:t>5,425</w:t>
            </w:r>
          </w:p>
        </w:tc>
      </w:tr>
      <w:tr>
        <w:trPr>
          <w:trHeight w:val="413"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87</w:t>
            </w:r>
          </w:p>
        </w:tc>
      </w:tr>
      <w:tr>
        <w:trPr>
          <w:trHeight w:val="398"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21"/>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4"/>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6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390"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183</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3,810</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108</w:t>
            </w:r>
          </w:p>
        </w:tc>
      </w:tr>
      <w:tr>
        <w:trPr>
          <w:trHeight w:val="406"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171</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309</w:t>
            </w:r>
          </w:p>
        </w:tc>
      </w:tr>
      <w:tr>
        <w:trPr>
          <w:trHeight w:val="390"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物流人员</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524</w:t>
            </w:r>
          </w:p>
        </w:tc>
      </w:tr>
      <w:tr>
        <w:trPr>
          <w:trHeight w:val="405" w:hRule="exact"/>
        </w:trPr>
        <w:tc>
          <w:tcPr>
            <w:tcW w:w="4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设计与工艺人员</w:t>
            </w:r>
          </w:p>
        </w:tc>
        <w:tc>
          <w:tcPr>
            <w:tcW w:w="4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183</w:t>
            </w:r>
          </w:p>
        </w:tc>
      </w:tr>
      <w:tr>
        <w:trPr>
          <w:trHeight w:val="413"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3"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5,288</w:t>
            </w:r>
          </w:p>
        </w:tc>
      </w:tr>
      <w:tr>
        <w:trPr>
          <w:trHeight w:val="398" w:hRule="exact"/>
        </w:trPr>
        <w:tc>
          <w:tcPr>
            <w:tcW w:w="957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 w:right="21"/>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390" w:hRule="exact"/>
        </w:trPr>
        <w:tc>
          <w:tcPr>
            <w:tcW w:w="47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7" w:right="0"/>
              <w:jc w:val="left"/>
              <w:rPr>
                <w:rFonts w:ascii="宋体" w:hAnsi="宋体" w:cs="宋体" w:eastAsia="宋体" w:hint="default"/>
                <w:sz w:val="18"/>
                <w:szCs w:val="18"/>
              </w:rPr>
            </w:pPr>
            <w:r>
              <w:rPr>
                <w:rFonts w:ascii="宋体" w:hAnsi="宋体" w:cs="宋体" w:eastAsia="宋体" w:hint="default"/>
                <w:sz w:val="18"/>
                <w:szCs w:val="18"/>
              </w:rPr>
              <w:t>数量（人）</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38</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1,020</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1,167</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3,063</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5,288</w:t>
            </w:r>
          </w:p>
        </w:tc>
      </w:tr>
    </w:tbl>
    <w:p>
      <w:pPr>
        <w:spacing w:line="240" w:lineRule="auto" w:before="11"/>
        <w:rPr>
          <w:rFonts w:ascii="宋体" w:hAnsi="宋体" w:cs="宋体" w:eastAsia="宋体" w:hint="default"/>
          <w:b/>
          <w:bCs/>
          <w:sz w:val="19"/>
          <w:szCs w:val="19"/>
        </w:rPr>
      </w:pPr>
    </w:p>
    <w:p>
      <w:pPr>
        <w:pStyle w:val="Heading5"/>
        <w:spacing w:line="240" w:lineRule="auto" w:before="35"/>
        <w:ind w:right="0"/>
        <w:jc w:val="left"/>
        <w:rPr>
          <w:b w:val="0"/>
          <w:bCs w:val="0"/>
        </w:rPr>
      </w:pPr>
      <w:bookmarkStart w:name="2、薪酬政策" w:id="127"/>
      <w:bookmarkEnd w:id="127"/>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5"/>
        <w:rPr>
          <w:rFonts w:ascii="宋体" w:hAnsi="宋体" w:cs="宋体" w:eastAsia="宋体" w:hint="default"/>
          <w:b/>
          <w:bCs/>
          <w:sz w:val="26"/>
          <w:szCs w:val="26"/>
        </w:rPr>
      </w:pPr>
    </w:p>
    <w:p>
      <w:pPr>
        <w:pStyle w:val="BodyText"/>
        <w:spacing w:line="276" w:lineRule="auto"/>
        <w:ind w:right="1169" w:firstLine="420"/>
        <w:jc w:val="left"/>
      </w:pPr>
      <w:r>
        <w:rPr/>
        <w:t>公司一直致力于构建</w:t>
      </w:r>
      <w:r>
        <w:rPr>
          <w:rFonts w:ascii="Times New Roman" w:hAnsi="Times New Roman" w:cs="Times New Roman" w:eastAsia="Times New Roman" w:hint="default"/>
        </w:rPr>
        <w:t>“</w:t>
      </w:r>
      <w:r>
        <w:rPr/>
        <w:t>公平公开透明</w:t>
      </w:r>
      <w:r>
        <w:rPr>
          <w:rFonts w:ascii="Times New Roman" w:hAnsi="Times New Roman" w:cs="Times New Roman" w:eastAsia="Times New Roman" w:hint="default"/>
        </w:rPr>
        <w:t>”</w:t>
      </w:r>
      <w:r>
        <w:rPr/>
        <w:t>的薪酬绩效体系，以业绩结果为导向，建立科学合理的利润分享机制，引导业务 团队始终关注客户、关注财务结果、关注投入产出，真正实现以岗位价值和业绩贡献来付薪的理念。</w:t>
      </w:r>
    </w:p>
    <w:p>
      <w:pPr>
        <w:spacing w:line="240" w:lineRule="auto" w:before="8"/>
        <w:rPr>
          <w:rFonts w:ascii="宋体" w:hAnsi="宋体" w:cs="宋体" w:eastAsia="宋体" w:hint="default"/>
          <w:sz w:val="26"/>
          <w:szCs w:val="26"/>
        </w:rPr>
      </w:pPr>
    </w:p>
    <w:p>
      <w:pPr>
        <w:pStyle w:val="Heading5"/>
        <w:spacing w:line="240" w:lineRule="auto"/>
        <w:ind w:right="0"/>
        <w:jc w:val="left"/>
        <w:rPr>
          <w:b w:val="0"/>
          <w:bCs w:val="0"/>
        </w:rPr>
      </w:pPr>
      <w:bookmarkStart w:name="3、培训计划" w:id="128"/>
      <w:bookmarkEnd w:id="128"/>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公司建立了一套完整的人才选拔和发展机制，并通过长期实践形成了科学合理的人才培养体系。</w:t>
      </w:r>
    </w:p>
    <w:p>
      <w:pPr>
        <w:pStyle w:val="BodyText"/>
        <w:spacing w:line="290" w:lineRule="auto" w:before="94"/>
        <w:ind w:right="0"/>
        <w:jc w:val="left"/>
      </w:pPr>
      <w:r>
        <w:rPr>
          <w:spacing w:val="-1"/>
        </w:rPr>
        <w:t>（</w:t>
      </w:r>
      <w:r>
        <w:rPr>
          <w:rFonts w:ascii="Times New Roman" w:hAnsi="Times New Roman" w:cs="Times New Roman" w:eastAsia="Times New Roman" w:hint="default"/>
          <w:spacing w:val="-1"/>
        </w:rPr>
        <w:t>1</w:t>
      </w:r>
      <w:r>
        <w:rPr>
          <w:spacing w:val="-1"/>
        </w:rPr>
        <w:t>）管理培训生项目每年从国内一流高校里选拔数百名优秀毕业生，通过</w:t>
      </w:r>
      <w:r>
        <w:rPr>
          <w:rFonts w:ascii="Times New Roman" w:hAnsi="Times New Roman" w:cs="Times New Roman" w:eastAsia="Times New Roman" w:hint="default"/>
          <w:spacing w:val="-1"/>
        </w:rPr>
        <w:t>2-3</w:t>
      </w:r>
      <w:r>
        <w:rPr>
          <w:spacing w:val="-1"/>
        </w:rPr>
        <w:t>年的聚焦培养和轮岗机制，帮助他们迅速成长</w:t>
      </w:r>
      <w:r>
        <w:rPr>
          <w:spacing w:val="-73"/>
        </w:rPr>
        <w:t> </w:t>
      </w:r>
      <w:r>
        <w:rPr>
          <w:spacing w:val="-73"/>
        </w:rPr>
      </w:r>
      <w:r>
        <w:rPr/>
        <w:t>成为各自业务领域的核心骨干。</w:t>
      </w:r>
    </w:p>
    <w:p>
      <w:pPr>
        <w:pStyle w:val="BodyText"/>
        <w:spacing w:line="290" w:lineRule="auto" w:before="41"/>
        <w:ind w:right="1119"/>
        <w:jc w:val="left"/>
      </w:pPr>
      <w:r>
        <w:rPr/>
        <w:t>（</w:t>
      </w:r>
      <w:r>
        <w:rPr>
          <w:rFonts w:ascii="Times New Roman" w:hAnsi="Times New Roman" w:cs="Times New Roman" w:eastAsia="Times New Roman" w:hint="default"/>
        </w:rPr>
        <w:t>2</w:t>
      </w:r>
      <w:r>
        <w:rPr/>
        <w:t>）高潜人才项目致力于选拔公司内部有发展潜力的骨干员工，聚焦资源重点培养发展，帮助他们尽快成为各自管理与专 业岗位的继任者。</w:t>
      </w:r>
    </w:p>
    <w:p>
      <w:pPr>
        <w:pStyle w:val="BodyText"/>
        <w:spacing w:line="288" w:lineRule="auto" w:before="57"/>
        <w:ind w:right="1119"/>
        <w:jc w:val="left"/>
      </w:pPr>
      <w:r>
        <w:rPr/>
        <w:t>（</w:t>
      </w:r>
      <w:r>
        <w:rPr>
          <w:rFonts w:ascii="Times New Roman" w:hAnsi="Times New Roman" w:cs="Times New Roman" w:eastAsia="Times New Roman" w:hint="default"/>
        </w:rPr>
        <w:t>3</w:t>
      </w:r>
      <w:r>
        <w:rPr/>
        <w:t>）公司组建了强大的专业培训团队，按照产品开发和上市节奏安排专业知识培训，并不断强化对于零售终端的场景化服 务及营销能力培训，提升团队的专业能力与销售技巧。</w:t>
      </w:r>
    </w:p>
    <w:p>
      <w:pPr>
        <w:pStyle w:val="BodyText"/>
        <w:spacing w:line="273" w:lineRule="auto" w:before="59"/>
        <w:ind w:right="1119"/>
        <w:jc w:val="left"/>
      </w:pPr>
      <w:r>
        <w:rPr/>
        <w:t>（</w:t>
      </w:r>
      <w:r>
        <w:rPr>
          <w:rFonts w:ascii="Times New Roman" w:hAnsi="Times New Roman" w:cs="Times New Roman" w:eastAsia="Times New Roman" w:hint="default"/>
        </w:rPr>
        <w:t>4</w:t>
      </w:r>
      <w:r>
        <w:rPr/>
        <w:t>）公司拥有美特斯邦威大学这一平台，重点聚焦企业文化传播落地、领导力与通用素质培养、各类培训资源与技术整合 以及移动培训平台建设，为专业培训与人才发展工作提供强有力的保障。</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5"/>
        <w:spacing w:line="240" w:lineRule="auto"/>
        <w:ind w:right="0"/>
        <w:jc w:val="left"/>
        <w:rPr>
          <w:b w:val="0"/>
          <w:bCs w:val="0"/>
        </w:rPr>
      </w:pPr>
      <w:bookmarkStart w:name="4、劳务外包情况" w:id="129"/>
      <w:bookmarkEnd w:id="129"/>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2232" w:right="3215"/>
        <w:jc w:val="center"/>
        <w:rPr>
          <w:b w:val="0"/>
          <w:bCs w:val="0"/>
        </w:rPr>
      </w:pPr>
      <w:bookmarkStart w:name="第十节公司治理" w:id="130"/>
      <w:bookmarkEnd w:id="130"/>
      <w:r>
        <w:rPr>
          <w:b w:val="0"/>
          <w:bCs w:val="0"/>
        </w:rPr>
      </w:r>
      <w:bookmarkStart w:name="_bookmark9" w:id="131"/>
      <w:bookmarkEnd w:id="131"/>
      <w:r>
        <w:rPr>
          <w:b w:val="0"/>
          <w:bCs w:val="0"/>
        </w:rPr>
      </w:r>
      <w:r>
        <w:rPr>
          <w:spacing w:val="5"/>
        </w:rPr>
        <w:t>第十节公司治理</w:t>
      </w:r>
      <w:r>
        <w:rPr>
          <w:b w:val="0"/>
          <w:bCs w:val="0"/>
          <w:spacing w:val="5"/>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公司治理的基本状况" w:id="132"/>
      <w:bookmarkEnd w:id="132"/>
      <w:r>
        <w:rPr>
          <w:b w:val="0"/>
          <w:bCs w:val="0"/>
        </w:rPr>
      </w:r>
      <w:r>
        <w:rPr/>
        <w:t>一、公司治理的基本状况</w:t>
      </w:r>
      <w:r>
        <w:rPr>
          <w:b w:val="0"/>
          <w:bCs w:val="0"/>
        </w:rPr>
      </w:r>
    </w:p>
    <w:p>
      <w:pPr>
        <w:spacing w:line="240" w:lineRule="auto" w:before="5"/>
        <w:rPr>
          <w:rFonts w:ascii="宋体" w:hAnsi="宋体" w:cs="宋体" w:eastAsia="宋体" w:hint="default"/>
          <w:b/>
          <w:bCs/>
          <w:sz w:val="26"/>
          <w:szCs w:val="26"/>
        </w:rPr>
      </w:pPr>
    </w:p>
    <w:p>
      <w:pPr>
        <w:pStyle w:val="Heading7"/>
        <w:spacing w:line="304" w:lineRule="auto"/>
        <w:ind w:right="1132"/>
        <w:jc w:val="both"/>
      </w:pPr>
      <w:r>
        <w:rPr>
          <w:spacing w:val="4"/>
        </w:rPr>
        <w:t>报告期内，公司严格按照《公司法》、《证券法》、《上市公司治理准则》和《深圳证券交易所股票上市</w:t>
      </w:r>
      <w:r>
        <w:rPr>
          <w:w w:val="102"/>
        </w:rPr>
        <w:t> </w:t>
      </w:r>
      <w:r>
        <w:rPr>
          <w:spacing w:val="4"/>
        </w:rPr>
        <w:t>规则》等相关法律、法规的规定，不断完善公司法人治理结构，健全内部控制体系，进一步实现规范运作。</w:t>
      </w:r>
    </w:p>
    <w:p>
      <w:pPr>
        <w:pStyle w:val="Heading7"/>
        <w:spacing w:line="290" w:lineRule="auto" w:before="15"/>
        <w:ind w:right="1132"/>
        <w:jc w:val="both"/>
      </w:pPr>
      <w:r>
        <w:rPr>
          <w:spacing w:val="4"/>
        </w:rPr>
        <w:t>目前，公司整体运作比较规范、独立性强、信息披露规范，实际情况与中国证监会有关上市公司治理的规</w:t>
      </w:r>
      <w:r>
        <w:rPr>
          <w:w w:val="102"/>
        </w:rPr>
        <w:t> </w:t>
      </w:r>
      <w:r>
        <w:rPr>
          <w:spacing w:val="3"/>
          <w:w w:val="105"/>
        </w:rPr>
        <w:t>范性文件要求基本符合。</w:t>
      </w:r>
      <w:r>
        <w:rPr>
          <w:spacing w:val="3"/>
        </w:rPr>
      </w:r>
    </w:p>
    <w:p>
      <w:pPr>
        <w:pStyle w:val="Heading7"/>
        <w:spacing w:line="295" w:lineRule="auto" w:before="27"/>
        <w:ind w:right="1118"/>
        <w:jc w:val="left"/>
      </w:pPr>
      <w:r>
        <w:rPr>
          <w:rFonts w:ascii="Times New Roman" w:hAnsi="Times New Roman" w:cs="Times New Roman" w:eastAsia="Times New Roman" w:hint="default"/>
        </w:rPr>
        <w:t>1</w:t>
      </w:r>
      <w:r>
        <w:rPr/>
        <w:t>、关于股东与股东大会：报告期内，公司严格按照《上市公司股东大会规范意见》和《股东大会议事规则》</w:t>
      </w:r>
      <w:r>
        <w:rPr>
          <w:w w:val="102"/>
        </w:rPr>
        <w:t> </w:t>
      </w:r>
      <w:r>
        <w:rPr>
          <w:spacing w:val="5"/>
        </w:rPr>
        <w:t>的规定和要求，规范股东大会的召集、召开、表决程序，平等对待所有股东，确保股东特别是中小股东能充分</w:t>
      </w:r>
      <w:r>
        <w:rPr>
          <w:spacing w:val="74"/>
        </w:rPr>
        <w:t> </w:t>
      </w:r>
      <w:r>
        <w:rPr>
          <w:spacing w:val="74"/>
        </w:rPr>
      </w:r>
      <w:r>
        <w:rPr>
          <w:spacing w:val="2"/>
          <w:w w:val="105"/>
        </w:rPr>
        <w:t>行使其权利。</w:t>
      </w:r>
      <w:r>
        <w:rPr>
          <w:spacing w:val="2"/>
        </w:rPr>
      </w:r>
    </w:p>
    <w:p>
      <w:pPr>
        <w:pStyle w:val="Heading7"/>
        <w:spacing w:line="288" w:lineRule="auto" w:before="22"/>
        <w:ind w:right="1129"/>
        <w:jc w:val="both"/>
      </w:pPr>
      <w:r>
        <w:rPr>
          <w:rFonts w:ascii="Times New Roman" w:hAnsi="Times New Roman" w:cs="Times New Roman" w:eastAsia="Times New Roman" w:hint="default"/>
          <w:spacing w:val="2"/>
        </w:rPr>
        <w:t>2</w:t>
      </w:r>
      <w:r>
        <w:rPr>
          <w:spacing w:val="2"/>
        </w:rPr>
        <w:t>、关于控股股东与上市公司的关系：公司控股股东行为规范，能依法行使其权利，并承担相应义务，没有</w:t>
      </w:r>
      <w:r>
        <w:rPr>
          <w:w w:val="102"/>
        </w:rPr>
        <w:t> </w:t>
      </w:r>
      <w:r>
        <w:rPr>
          <w:spacing w:val="5"/>
        </w:rPr>
        <w:t>超越公司股东大会直接或间接干预公司的决策和经营活动。公司具有独立的经营能力和完备的供销系统，公司</w:t>
      </w:r>
      <w:r>
        <w:rPr>
          <w:spacing w:val="77"/>
        </w:rPr>
        <w:t> </w:t>
      </w:r>
      <w:r>
        <w:rPr>
          <w:spacing w:val="77"/>
        </w:rPr>
      </w:r>
      <w:r>
        <w:rPr>
          <w:spacing w:val="3"/>
          <w:w w:val="105"/>
        </w:rPr>
        <w:t>董事会、监事会和内部机构能够独立运作。</w:t>
      </w:r>
      <w:r>
        <w:rPr>
          <w:spacing w:val="3"/>
        </w:rPr>
      </w:r>
    </w:p>
    <w:p>
      <w:pPr>
        <w:pStyle w:val="Heading7"/>
        <w:spacing w:line="295" w:lineRule="auto" w:before="28"/>
        <w:ind w:right="1132"/>
        <w:jc w:val="both"/>
      </w:pPr>
      <w:r>
        <w:rPr>
          <w:rFonts w:ascii="Times New Roman" w:hAnsi="Times New Roman" w:cs="Times New Roman" w:eastAsia="Times New Roman" w:hint="default"/>
          <w:spacing w:val="2"/>
        </w:rPr>
        <w:t>3</w:t>
      </w:r>
      <w:r>
        <w:rPr>
          <w:spacing w:val="2"/>
        </w:rPr>
        <w:t>、关于董事和董事会：公司严格按照《公司法》、《公司章程》规定的选聘程序选举董事，董事会的人数</w:t>
      </w:r>
      <w:r>
        <w:rPr>
          <w:w w:val="102"/>
        </w:rPr>
        <w:t> </w:t>
      </w:r>
      <w:r>
        <w:rPr>
          <w:spacing w:val="5"/>
        </w:rPr>
        <w:t>及结构符合法律法规和《公司章程》的要求。全体董事严格按照《公司法》、《公司章程》和《董事会议事规</w:t>
      </w:r>
      <w:r>
        <w:rPr>
          <w:spacing w:val="74"/>
        </w:rPr>
        <w:t> </w:t>
      </w:r>
      <w:r>
        <w:rPr>
          <w:spacing w:val="74"/>
        </w:rPr>
      </w:r>
      <w:r>
        <w:rPr>
          <w:spacing w:val="5"/>
        </w:rPr>
        <w:t>则》的规定，规范董事会的召集、召开和表决；公司董事认真出席董事会和股东大会，积极参加对相关知识的</w:t>
      </w:r>
      <w:r>
        <w:rPr>
          <w:spacing w:val="74"/>
        </w:rPr>
        <w:t> </w:t>
      </w:r>
      <w:r>
        <w:rPr>
          <w:spacing w:val="74"/>
        </w:rPr>
      </w:r>
      <w:r>
        <w:rPr>
          <w:spacing w:val="4"/>
          <w:w w:val="105"/>
        </w:rPr>
        <w:t>培训，熟悉有关法律法规，勤勉尽责。</w:t>
      </w:r>
      <w:r>
        <w:rPr>
          <w:spacing w:val="4"/>
        </w:rPr>
      </w:r>
    </w:p>
    <w:p>
      <w:pPr>
        <w:pStyle w:val="Heading7"/>
        <w:spacing w:line="300" w:lineRule="auto" w:before="22"/>
        <w:ind w:right="1126"/>
        <w:jc w:val="both"/>
      </w:pPr>
      <w:r>
        <w:rPr>
          <w:rFonts w:ascii="Times New Roman" w:hAnsi="Times New Roman" w:cs="Times New Roman" w:eastAsia="Times New Roman" w:hint="default"/>
          <w:spacing w:val="2"/>
        </w:rPr>
        <w:t>4</w:t>
      </w:r>
      <w:r>
        <w:rPr>
          <w:spacing w:val="2"/>
        </w:rPr>
        <w:t>、关于监事和监事会：公司严格按照《公司法》、《公司章程》的规定选举产生监事，监事会的人数及</w:t>
      </w:r>
      <w:r>
        <w:rPr>
          <w:spacing w:val="38"/>
        </w:rPr>
        <w:t> </w:t>
      </w:r>
      <w:r>
        <w:rPr/>
        <w:t>结</w:t>
      </w:r>
      <w:r>
        <w:rPr>
          <w:w w:val="102"/>
        </w:rPr>
        <w:t> </w:t>
      </w:r>
      <w:r>
        <w:rPr>
          <w:spacing w:val="5"/>
        </w:rPr>
        <w:t>构符合法律法规和《公司章程》的要求。监事会严格按照《公司章程》、《监事会议事规则》的规定，规范监</w:t>
      </w:r>
      <w:r>
        <w:rPr>
          <w:spacing w:val="74"/>
        </w:rPr>
        <w:t> </w:t>
      </w:r>
      <w:r>
        <w:rPr>
          <w:spacing w:val="74"/>
        </w:rPr>
      </w:r>
      <w:r>
        <w:rPr>
          <w:spacing w:val="5"/>
        </w:rPr>
        <w:t>事会的召集、召开和表决，公司监事认真履行职责，诚信、勤勉、尽责地对公司财务以及董事、高级管理人员</w:t>
      </w:r>
      <w:r>
        <w:rPr>
          <w:spacing w:val="74"/>
        </w:rPr>
        <w:t> </w:t>
      </w:r>
      <w:r>
        <w:rPr>
          <w:spacing w:val="74"/>
        </w:rPr>
      </w:r>
      <w:r>
        <w:rPr>
          <w:spacing w:val="4"/>
          <w:w w:val="105"/>
        </w:rPr>
        <w:t>履行职责的合法、合规性进行监督，维护公司及股东的合法权益。</w:t>
      </w:r>
      <w:r>
        <w:rPr>
          <w:spacing w:val="4"/>
        </w:rPr>
      </w:r>
    </w:p>
    <w:p>
      <w:pPr>
        <w:pStyle w:val="Heading7"/>
        <w:spacing w:line="288" w:lineRule="auto" w:before="4"/>
        <w:ind w:right="1133"/>
        <w:jc w:val="both"/>
      </w:pPr>
      <w:r>
        <w:rPr>
          <w:rFonts w:ascii="Times New Roman" w:hAnsi="Times New Roman" w:cs="Times New Roman" w:eastAsia="Times New Roman" w:hint="default"/>
          <w:spacing w:val="2"/>
        </w:rPr>
        <w:t>5</w:t>
      </w:r>
      <w:r>
        <w:rPr>
          <w:spacing w:val="2"/>
        </w:rPr>
        <w:t>、关于绩效评价与激励约束机制：公司逐步建立和完善公正、透明的董事、监事和高级管理人员的绩效评</w:t>
      </w:r>
      <w:r>
        <w:rPr>
          <w:w w:val="102"/>
        </w:rPr>
        <w:t> </w:t>
      </w:r>
      <w:r>
        <w:rPr>
          <w:spacing w:val="4"/>
          <w:w w:val="105"/>
        </w:rPr>
        <w:t>价标准和激励约束机制，公司高管人员的聘任公开、透明，符合法律法规的规定。</w:t>
      </w:r>
      <w:r>
        <w:rPr>
          <w:spacing w:val="4"/>
        </w:rPr>
      </w:r>
    </w:p>
    <w:p>
      <w:pPr>
        <w:pStyle w:val="Heading7"/>
        <w:spacing w:line="288" w:lineRule="auto" w:before="28"/>
        <w:ind w:right="1110"/>
        <w:jc w:val="both"/>
      </w:pPr>
      <w:r>
        <w:rPr>
          <w:rFonts w:ascii="Times New Roman" w:hAnsi="Times New Roman" w:cs="Times New Roman" w:eastAsia="Times New Roman" w:hint="default"/>
          <w:spacing w:val="3"/>
        </w:rPr>
        <w:t>6</w:t>
      </w:r>
      <w:r>
        <w:rPr>
          <w:spacing w:val="3"/>
        </w:rPr>
        <w:t>、关于相关利益者：公司能够充分尊重和维护相关利益者的合法权益，积极与相关利益者合作，加强与各</w:t>
      </w:r>
      <w:r>
        <w:rPr>
          <w:spacing w:val="15"/>
          <w:w w:val="102"/>
        </w:rPr>
        <w:t> </w:t>
      </w:r>
      <w:r>
        <w:rPr>
          <w:spacing w:val="4"/>
          <w:w w:val="105"/>
        </w:rPr>
        <w:t>方的沟通和交流，实现股东、员工、社会等各方利益的均衡，以推动公司持续、稳定、健康地发展。</w:t>
      </w:r>
      <w:r>
        <w:rPr>
          <w:spacing w:val="4"/>
        </w:rPr>
      </w:r>
    </w:p>
    <w:p>
      <w:pPr>
        <w:pStyle w:val="Heading7"/>
        <w:spacing w:line="295" w:lineRule="auto" w:before="28"/>
        <w:ind w:right="1132"/>
        <w:jc w:val="both"/>
      </w:pPr>
      <w:r>
        <w:rPr>
          <w:rFonts w:ascii="Times New Roman" w:hAnsi="Times New Roman" w:cs="Times New Roman" w:eastAsia="Times New Roman" w:hint="default"/>
          <w:spacing w:val="2"/>
        </w:rPr>
        <w:t>7</w:t>
      </w:r>
      <w:r>
        <w:rPr>
          <w:spacing w:val="2"/>
        </w:rPr>
        <w:t>、关于信息披露与透明度：公司严格按照《信息披露管理制度》和《投资者关系管理制度》的要求，指定</w:t>
      </w:r>
      <w:r>
        <w:rPr>
          <w:w w:val="102"/>
        </w:rPr>
        <w:t> </w:t>
      </w:r>
      <w:r>
        <w:rPr>
          <w:spacing w:val="5"/>
        </w:rPr>
        <w:t>公司董事会秘书负责信息披露工作、接待股东来访和咨询，严格按照有关规定真实、准确、完整、及时地披露</w:t>
      </w:r>
      <w:r>
        <w:rPr>
          <w:spacing w:val="74"/>
        </w:rPr>
        <w:t> </w:t>
      </w:r>
      <w:r>
        <w:rPr>
          <w:spacing w:val="74"/>
        </w:rPr>
      </w:r>
      <w:r>
        <w:rPr>
          <w:spacing w:val="5"/>
        </w:rPr>
        <w:t>有关信息，确保公司所有股东能够以平等的机会获得信息。为加大对年报信息披露责任人的问责力度，提高年</w:t>
      </w:r>
      <w:r>
        <w:rPr>
          <w:spacing w:val="74"/>
        </w:rPr>
        <w:t> </w:t>
      </w:r>
      <w:r>
        <w:rPr>
          <w:spacing w:val="74"/>
        </w:rPr>
      </w:r>
      <w:r>
        <w:rPr>
          <w:spacing w:val="4"/>
          <w:w w:val="105"/>
        </w:rPr>
        <w:t>报信息披露质量和透明度，截至本报告出具日，公司已建立年报信息披露重大差错责任追究机制。</w:t>
      </w:r>
      <w:r>
        <w:rPr>
          <w:spacing w:val="4"/>
        </w:rPr>
      </w:r>
    </w:p>
    <w:p>
      <w:pPr>
        <w:spacing w:line="240" w:lineRule="auto" w:before="0"/>
        <w:rPr>
          <w:rFonts w:ascii="宋体" w:hAnsi="宋体" w:cs="宋体" w:eastAsia="宋体" w:hint="default"/>
          <w:sz w:val="29"/>
          <w:szCs w:val="29"/>
        </w:rPr>
      </w:pPr>
    </w:p>
    <w:p>
      <w:pPr>
        <w:pStyle w:val="BodyText"/>
        <w:spacing w:line="240" w:lineRule="auto"/>
        <w:ind w:right="0"/>
        <w:jc w:val="left"/>
      </w:pPr>
      <w:r>
        <w:rPr/>
        <w:t>公司治理的实际状况与中国证监会发布的有关上市公司治理的规范性文件是否存在重大差异</w:t>
      </w:r>
    </w:p>
    <w:p>
      <w:pPr>
        <w:pStyle w:val="BodyText"/>
        <w:spacing w:line="319" w:lineRule="auto" w:before="125"/>
        <w:ind w:right="35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公司治理的实际状况与中国证监会发布的有关上市公司治理的规范性文件不存在重大差异。</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二、公司相对于控股股东在业务、人员、资产、机构、财务等方面的独立情况" w:id="133"/>
      <w:bookmarkEnd w:id="133"/>
      <w:r>
        <w:rPr>
          <w:b w:val="0"/>
          <w:bCs w:val="0"/>
        </w:rPr>
      </w:r>
      <w:r>
        <w:rPr/>
        <w:t>二、公司相对于控股股东在业务、人员、资产、机构、财务等方面的独立情况</w:t>
      </w:r>
      <w:r>
        <w:rPr>
          <w:b w:val="0"/>
          <w:bCs w:val="0"/>
        </w:rPr>
      </w:r>
    </w:p>
    <w:p>
      <w:pPr>
        <w:spacing w:line="240" w:lineRule="auto" w:before="3"/>
        <w:rPr>
          <w:rFonts w:ascii="宋体" w:hAnsi="宋体" w:cs="宋体" w:eastAsia="宋体" w:hint="default"/>
          <w:b/>
          <w:bCs/>
          <w:sz w:val="25"/>
          <w:szCs w:val="25"/>
        </w:rPr>
      </w:pPr>
    </w:p>
    <w:p>
      <w:pPr>
        <w:pStyle w:val="Heading7"/>
        <w:spacing w:line="304" w:lineRule="auto"/>
        <w:ind w:right="1132"/>
        <w:jc w:val="both"/>
      </w:pPr>
      <w:r>
        <w:rPr>
          <w:spacing w:val="4"/>
        </w:rPr>
        <w:t>公司在业务、资产、人员、机构和财务等方面均与公司控股股东、实际控制人及其控制的其他企业严格分</w:t>
      </w:r>
      <w:r>
        <w:rPr>
          <w:w w:val="102"/>
        </w:rPr>
        <w:t> </w:t>
      </w:r>
      <w:r>
        <w:rPr>
          <w:spacing w:val="4"/>
          <w:w w:val="105"/>
        </w:rPr>
        <w:t>开，具备完整的与经营有关的业务体系及独立面向市场的能力。</w:t>
      </w:r>
      <w:r>
        <w:rPr>
          <w:spacing w:val="4"/>
        </w:rPr>
      </w:r>
    </w:p>
    <w:p>
      <w:pPr>
        <w:pStyle w:val="Heading7"/>
        <w:spacing w:line="288" w:lineRule="auto"/>
        <w:ind w:right="0"/>
        <w:jc w:val="left"/>
      </w:pPr>
      <w:r>
        <w:rPr>
          <w:rFonts w:ascii="Times New Roman" w:hAnsi="Times New Roman" w:cs="Times New Roman" w:eastAsia="Times New Roman" w:hint="default"/>
        </w:rPr>
        <w:t>1</w:t>
      </w:r>
      <w:r>
        <w:rPr/>
        <w:t>、资产完整及独立：公司合法拥有与目前业务有关的土地、房屋、设备以及商标等资产的所有权或使用权。</w:t>
      </w:r>
      <w:r>
        <w:rPr>
          <w:w w:val="102"/>
        </w:rPr>
        <w:t> </w:t>
      </w:r>
      <w:r>
        <w:rPr>
          <w:spacing w:val="4"/>
          <w:w w:val="105"/>
        </w:rPr>
        <w:t>公司独立拥有该等资产，不存在被股东单位或其他关联方占用的情形。</w:t>
      </w:r>
      <w:r>
        <w:rPr>
          <w:spacing w:val="4"/>
        </w:rPr>
      </w:r>
    </w:p>
    <w:p>
      <w:pPr>
        <w:pStyle w:val="Heading7"/>
        <w:spacing w:line="240" w:lineRule="auto" w:before="29"/>
        <w:ind w:left="561" w:right="0" w:firstLine="0"/>
        <w:jc w:val="left"/>
      </w:pPr>
      <w:r>
        <w:rPr>
          <w:rFonts w:ascii="Times New Roman" w:hAnsi="Times New Roman" w:cs="Times New Roman" w:eastAsia="Times New Roman" w:hint="default"/>
          <w:spacing w:val="2"/>
          <w:w w:val="105"/>
        </w:rPr>
        <w:t>2</w:t>
      </w:r>
      <w:r>
        <w:rPr>
          <w:spacing w:val="2"/>
          <w:w w:val="105"/>
        </w:rPr>
        <w:t>、业务独立：公司拥有独立完整的业务体系，能够面向市场独立经营，独立核算和决策，独立承担责任与</w:t>
      </w:r>
      <w:r>
        <w:rPr>
          <w:spacing w:val="2"/>
        </w:rPr>
      </w:r>
    </w:p>
    <w:p>
      <w:pPr>
        <w:spacing w:after="0" w:line="240" w:lineRule="auto"/>
        <w:jc w:val="left"/>
        <w:sectPr>
          <w:pgSz w:w="11910" w:h="16850"/>
          <w:pgMar w:header="731" w:footer="981" w:top="1040" w:bottom="1180" w:left="1000" w:right="0"/>
        </w:sectPr>
      </w:pPr>
    </w:p>
    <w:p>
      <w:pPr>
        <w:spacing w:line="240" w:lineRule="auto" w:before="3"/>
        <w:rPr>
          <w:rFonts w:ascii="宋体" w:hAnsi="宋体" w:cs="宋体" w:eastAsia="宋体" w:hint="default"/>
          <w:sz w:val="26"/>
          <w:szCs w:val="26"/>
        </w:rPr>
      </w:pPr>
    </w:p>
    <w:p>
      <w:pPr>
        <w:pStyle w:val="Heading7"/>
        <w:spacing w:line="304" w:lineRule="auto" w:before="45"/>
        <w:ind w:right="0" w:firstLine="0"/>
        <w:jc w:val="left"/>
      </w:pPr>
      <w:r>
        <w:rPr>
          <w:spacing w:val="5"/>
        </w:rPr>
        <w:t>风险，未受到公司控股股东的干涉、控制，亦未因与公司控股股东及其控制的其他企业之间存在关联关系而使</w:t>
      </w:r>
      <w:r>
        <w:rPr>
          <w:spacing w:val="74"/>
        </w:rPr>
        <w:t> </w:t>
      </w:r>
      <w:r>
        <w:rPr>
          <w:spacing w:val="74"/>
        </w:rPr>
      </w:r>
      <w:r>
        <w:rPr>
          <w:spacing w:val="3"/>
          <w:w w:val="105"/>
        </w:rPr>
        <w:t>公司经营自主权的完整性、独立性受到不良影响。</w:t>
      </w:r>
      <w:r>
        <w:rPr>
          <w:spacing w:val="3"/>
        </w:rPr>
      </w:r>
    </w:p>
    <w:p>
      <w:pPr>
        <w:pStyle w:val="Heading7"/>
        <w:spacing w:line="295" w:lineRule="auto" w:before="15"/>
        <w:ind w:right="1126"/>
        <w:jc w:val="both"/>
      </w:pPr>
      <w:r>
        <w:rPr>
          <w:rFonts w:ascii="Times New Roman" w:hAnsi="Times New Roman" w:cs="Times New Roman" w:eastAsia="Times New Roman" w:hint="default"/>
          <w:spacing w:val="2"/>
        </w:rPr>
        <w:t>3</w:t>
      </w:r>
      <w:r>
        <w:rPr>
          <w:spacing w:val="2"/>
        </w:rPr>
        <w:t>、人员独立：公司董事、监事及其他高级管理人员均按照《公司法》及公司《公司章程》合法产生；公司</w:t>
      </w:r>
      <w:r>
        <w:rPr>
          <w:w w:val="102"/>
        </w:rPr>
        <w:t> </w:t>
      </w:r>
      <w:r>
        <w:rPr>
          <w:spacing w:val="5"/>
        </w:rPr>
        <w:t>的总裁、副总裁、财务负责人和董事会秘书等高级管理人员未在控股股东及其控制的其他企业中担任除董事、</w:t>
      </w:r>
      <w:r>
        <w:rPr>
          <w:spacing w:val="74"/>
        </w:rPr>
        <w:t> </w:t>
      </w:r>
      <w:r>
        <w:rPr>
          <w:spacing w:val="74"/>
        </w:rPr>
      </w:r>
      <w:r>
        <w:rPr>
          <w:spacing w:val="5"/>
        </w:rPr>
        <w:t>监事以外的其它职务，未在控股股东及其控制的其他企业中领薪；公司财务人员未在控股股东、实际控制人及</w:t>
      </w:r>
      <w:r>
        <w:rPr>
          <w:spacing w:val="80"/>
        </w:rPr>
        <w:t> </w:t>
      </w:r>
      <w:r>
        <w:rPr>
          <w:spacing w:val="80"/>
        </w:rPr>
      </w:r>
      <w:r>
        <w:rPr>
          <w:spacing w:val="3"/>
          <w:w w:val="105"/>
        </w:rPr>
        <w:t>其控制的其他企业中兼职。</w:t>
      </w:r>
      <w:r>
        <w:rPr>
          <w:spacing w:val="3"/>
        </w:rPr>
      </w:r>
    </w:p>
    <w:p>
      <w:pPr>
        <w:pStyle w:val="Heading7"/>
        <w:spacing w:line="295" w:lineRule="auto" w:before="22"/>
        <w:ind w:right="1118"/>
        <w:jc w:val="left"/>
      </w:pPr>
      <w:r>
        <w:rPr>
          <w:rFonts w:ascii="Times New Roman" w:hAnsi="Times New Roman" w:cs="Times New Roman" w:eastAsia="Times New Roman" w:hint="default"/>
        </w:rPr>
        <w:t>4</w:t>
      </w:r>
      <w:r>
        <w:rPr/>
        <w:t>、机构独立：公司已依法建立健全股东大会、董事会、监事会等机构，聘请了总裁、副总裁、财务负责人、</w:t>
      </w:r>
      <w:r>
        <w:rPr>
          <w:w w:val="102"/>
        </w:rPr>
        <w:t> </w:t>
      </w:r>
      <w:r>
        <w:rPr>
          <w:spacing w:val="5"/>
        </w:rPr>
        <w:t>董事会秘书等高级管理人员在内的高级管理层，公司独立行使经营管理职权，独立于公司的控股股东、实际控</w:t>
      </w:r>
      <w:r>
        <w:rPr>
          <w:spacing w:val="75"/>
        </w:rPr>
        <w:t> </w:t>
      </w:r>
      <w:r>
        <w:rPr>
          <w:spacing w:val="75"/>
        </w:rPr>
      </w:r>
      <w:r>
        <w:rPr>
          <w:spacing w:val="5"/>
        </w:rPr>
        <w:t>制人及其控制的其他企业，不存在机构混同的情形。公司的办公场所独立于股东单位，不存在混合经营、合署</w:t>
      </w:r>
      <w:r>
        <w:rPr>
          <w:spacing w:val="75"/>
        </w:rPr>
        <w:t> </w:t>
      </w:r>
      <w:r>
        <w:rPr>
          <w:spacing w:val="75"/>
        </w:rPr>
      </w:r>
      <w:r>
        <w:rPr>
          <w:spacing w:val="2"/>
          <w:w w:val="105"/>
        </w:rPr>
        <w:t>办公的情形。</w:t>
      </w:r>
      <w:r>
        <w:rPr>
          <w:spacing w:val="2"/>
        </w:rPr>
      </w:r>
    </w:p>
    <w:p>
      <w:pPr>
        <w:pStyle w:val="Heading7"/>
        <w:spacing w:line="295" w:lineRule="auto" w:before="22"/>
        <w:ind w:right="1126"/>
        <w:jc w:val="both"/>
      </w:pPr>
      <w:r>
        <w:rPr>
          <w:rFonts w:ascii="Times New Roman" w:hAnsi="Times New Roman" w:cs="Times New Roman" w:eastAsia="Times New Roman" w:hint="default"/>
          <w:spacing w:val="2"/>
        </w:rPr>
        <w:t>5</w:t>
      </w:r>
      <w:r>
        <w:rPr>
          <w:spacing w:val="2"/>
        </w:rPr>
        <w:t>、财务独立：公司设立了独立的财务会计部门，并依据《中华人民共和国会计法》、《企业会计准则》建</w:t>
      </w:r>
      <w:r>
        <w:rPr>
          <w:w w:val="102"/>
        </w:rPr>
        <w:t> </w:t>
      </w:r>
      <w:r>
        <w:rPr>
          <w:spacing w:val="5"/>
        </w:rPr>
        <w:t>立了独立的财务核算体系和规范的财务管理制度，能够独立作出财务决策，具有规范的财务会计制度和对子公</w:t>
      </w:r>
      <w:r>
        <w:rPr>
          <w:spacing w:val="80"/>
        </w:rPr>
        <w:t> </w:t>
      </w:r>
      <w:r>
        <w:rPr>
          <w:spacing w:val="80"/>
        </w:rPr>
      </w:r>
      <w:r>
        <w:rPr>
          <w:spacing w:val="5"/>
        </w:rPr>
        <w:t>司的财务管理制度。公司在银行独立开立账户，依法进行纳税申报和履行纳税义务，独立对外签订合同，不存</w:t>
      </w:r>
      <w:r>
        <w:rPr>
          <w:spacing w:val="74"/>
        </w:rPr>
        <w:t> </w:t>
      </w:r>
      <w:r>
        <w:rPr>
          <w:spacing w:val="74"/>
        </w:rPr>
      </w:r>
      <w:r>
        <w:rPr>
          <w:spacing w:val="4"/>
          <w:w w:val="105"/>
        </w:rPr>
        <w:t>在与控股股东、实际控制人及其控制的其它企业共用银行账户的情形。</w:t>
      </w:r>
      <w:r>
        <w:rPr>
          <w:spacing w:val="4"/>
        </w:rPr>
      </w:r>
    </w:p>
    <w:p>
      <w:pPr>
        <w:spacing w:line="240" w:lineRule="auto" w:before="5"/>
        <w:rPr>
          <w:rFonts w:ascii="宋体" w:hAnsi="宋体" w:cs="宋体" w:eastAsia="宋体" w:hint="default"/>
          <w:sz w:val="21"/>
          <w:szCs w:val="21"/>
        </w:rPr>
      </w:pPr>
    </w:p>
    <w:p>
      <w:pPr>
        <w:pStyle w:val="Heading2"/>
        <w:spacing w:line="240" w:lineRule="auto"/>
        <w:ind w:right="0"/>
        <w:jc w:val="left"/>
        <w:rPr>
          <w:b w:val="0"/>
          <w:bCs w:val="0"/>
        </w:rPr>
      </w:pPr>
      <w:bookmarkStart w:name="三、同业竞争情况" w:id="134"/>
      <w:bookmarkEnd w:id="134"/>
      <w:r>
        <w:rPr>
          <w:b w:val="0"/>
          <w:bCs w:val="0"/>
        </w:rPr>
      </w:r>
      <w:r>
        <w:rPr/>
        <w:t>三、同业竞争情况</w:t>
      </w:r>
      <w:r>
        <w:rPr>
          <w:b w:val="0"/>
          <w:bCs w:val="0"/>
        </w:rPr>
      </w:r>
    </w:p>
    <w:p>
      <w:pPr>
        <w:spacing w:line="240" w:lineRule="auto" w:before="3"/>
        <w:rPr>
          <w:rFonts w:ascii="宋体" w:hAnsi="宋体" w:cs="宋体" w:eastAsia="宋体" w:hint="default"/>
          <w:b/>
          <w:bCs/>
          <w:sz w:val="27"/>
          <w:szCs w:val="27"/>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2"/>
        <w:rPr>
          <w:rFonts w:ascii="宋体" w:hAnsi="宋体" w:cs="宋体" w:eastAsia="宋体" w:hint="default"/>
          <w:sz w:val="24"/>
          <w:szCs w:val="24"/>
        </w:rPr>
      </w:pPr>
    </w:p>
    <w:p>
      <w:pPr>
        <w:pStyle w:val="Heading2"/>
        <w:spacing w:line="240" w:lineRule="auto"/>
        <w:ind w:right="0"/>
        <w:jc w:val="left"/>
        <w:rPr>
          <w:b w:val="0"/>
          <w:bCs w:val="0"/>
        </w:rPr>
      </w:pPr>
      <w:bookmarkStart w:name="四、报告期内召开的年度股东大会和临时股东大会的有关情况" w:id="135"/>
      <w:bookmarkEnd w:id="135"/>
      <w:r>
        <w:rPr>
          <w:b w:val="0"/>
          <w:bCs w:val="0"/>
        </w:rPr>
      </w:r>
      <w:r>
        <w:rPr/>
        <w:t>四、报告期内召开的年度股东大会和临时股东大会的有关情况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本报告期股东大会情况" w:id="136"/>
      <w:bookmarkEnd w:id="136"/>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0"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434"/>
              <w:jc w:val="right"/>
              <w:rPr>
                <w:rFonts w:ascii="宋体" w:hAnsi="宋体" w:cs="宋体" w:eastAsia="宋体" w:hint="default"/>
                <w:sz w:val="18"/>
                <w:szCs w:val="18"/>
              </w:rPr>
            </w:pPr>
            <w:r>
              <w:rPr>
                <w:rFonts w:ascii="宋体" w:hAnsi="宋体" w:cs="宋体" w:eastAsia="宋体" w:hint="default"/>
                <w:sz w:val="18"/>
                <w:szCs w:val="18"/>
              </w:rPr>
              <w:t>会议类型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9"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3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59"/>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年第一次临时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59.68%</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7"/>
                <w:szCs w:val="17"/>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2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60"/>
              <w:ind w:left="15" w:right="73"/>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年年度股东大 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年度股东大会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59.84%</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r>
        <w:trPr>
          <w:trHeight w:val="7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88" w:lineRule="auto" w:before="45"/>
              <w:ind w:left="15" w:right="74"/>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年第二次临时 股东大会</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481"/>
              <w:jc w:val="right"/>
              <w:rPr>
                <w:rFonts w:ascii="宋体" w:hAnsi="宋体" w:cs="宋体" w:eastAsia="宋体" w:hint="default"/>
                <w:sz w:val="18"/>
                <w:szCs w:val="18"/>
              </w:rPr>
            </w:pPr>
            <w:r>
              <w:rPr>
                <w:rFonts w:ascii="宋体" w:hAnsi="宋体" w:cs="宋体" w:eastAsia="宋体" w:hint="default"/>
                <w:sz w:val="18"/>
                <w:szCs w:val="18"/>
              </w:rPr>
              <w:t>临时股东大会</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59.82%</w:t>
            </w:r>
            <w:r>
              <w:rPr>
                <w:rFonts w:ascii="Times New Roman"/>
                <w:sz w:val="18"/>
              </w:rPr>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5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巨潮资讯网</w:t>
            </w:r>
          </w:p>
        </w:tc>
      </w:tr>
    </w:tbl>
    <w:p>
      <w:pPr>
        <w:spacing w:line="240" w:lineRule="auto" w:before="11"/>
        <w:rPr>
          <w:rFonts w:ascii="宋体" w:hAnsi="宋体" w:cs="宋体" w:eastAsia="宋体" w:hint="default"/>
          <w:b/>
          <w:bCs/>
          <w:sz w:val="19"/>
          <w:szCs w:val="19"/>
        </w:rPr>
      </w:pPr>
    </w:p>
    <w:p>
      <w:pPr>
        <w:pStyle w:val="Heading5"/>
        <w:spacing w:line="240" w:lineRule="auto" w:before="35"/>
        <w:ind w:right="0"/>
        <w:jc w:val="left"/>
        <w:rPr>
          <w:b w:val="0"/>
          <w:bCs w:val="0"/>
        </w:rPr>
      </w:pPr>
      <w:bookmarkStart w:name="2、表决权恢复的优先股股东请求召开临时股东大会" w:id="137"/>
      <w:bookmarkEnd w:id="137"/>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8"/>
      <w:bookmarkEnd w:id="138"/>
      <w:r>
        <w:rPr>
          <w:b w:val="0"/>
          <w:bCs w:val="0"/>
        </w:rPr>
      </w:r>
      <w:r>
        <w:rPr/>
        <w:t>五、报告期内独立董事履行职责的情况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bookmarkStart w:name="1、独立董事出席董事会及股东大会的情况" w:id="139"/>
      <w:bookmarkEnd w:id="139"/>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2"/>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427"/>
        <w:gridCol w:w="1172"/>
        <w:gridCol w:w="1156"/>
        <w:gridCol w:w="1172"/>
        <w:gridCol w:w="1156"/>
        <w:gridCol w:w="1171"/>
        <w:gridCol w:w="1157"/>
        <w:gridCol w:w="1171"/>
      </w:tblGrid>
      <w:tr>
        <w:trPr>
          <w:trHeight w:val="406" w:hRule="exact"/>
        </w:trPr>
        <w:tc>
          <w:tcPr>
            <w:tcW w:w="9582"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7"/>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1" w:hRule="exact"/>
        </w:trPr>
        <w:tc>
          <w:tcPr>
            <w:tcW w:w="14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150"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5" w:right="30"/>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5" w:right="29"/>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300" w:right="29" w:hanging="271"/>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95" w:right="28" w:hanging="451"/>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30" w:right="29"/>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321" w:lineRule="auto"/>
              <w:ind w:left="405" w:right="29" w:hanging="361"/>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bl>
    <w:p>
      <w:pPr>
        <w:spacing w:after="0" w:line="321"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1427"/>
        <w:gridCol w:w="1172"/>
        <w:gridCol w:w="1156"/>
        <w:gridCol w:w="1172"/>
        <w:gridCol w:w="1156"/>
        <w:gridCol w:w="1171"/>
        <w:gridCol w:w="1157"/>
        <w:gridCol w:w="1171"/>
      </w:tblGrid>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单喆慜</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w:t>
            </w:r>
          </w:p>
        </w:tc>
      </w:tr>
      <w:tr>
        <w:trPr>
          <w:trHeight w:val="405"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沈福俊</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w:t>
            </w:r>
          </w:p>
        </w:tc>
      </w:tr>
      <w:tr>
        <w:trPr>
          <w:trHeight w:val="390" w:hRule="exact"/>
        </w:trPr>
        <w:tc>
          <w:tcPr>
            <w:tcW w:w="1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郑俊豪</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44"/>
        <w:ind w:right="0"/>
        <w:jc w:val="both"/>
      </w:pPr>
      <w:r>
        <w:rPr/>
        <w:t>连续两次未亲自出席董事会的说明</w:t>
      </w:r>
    </w:p>
    <w:p>
      <w:pPr>
        <w:spacing w:line="240" w:lineRule="auto" w:before="0"/>
        <w:rPr>
          <w:rFonts w:ascii="宋体" w:hAnsi="宋体" w:cs="宋体" w:eastAsia="宋体" w:hint="default"/>
          <w:sz w:val="18"/>
          <w:szCs w:val="18"/>
        </w:rPr>
      </w:pPr>
    </w:p>
    <w:p>
      <w:pPr>
        <w:pStyle w:val="Heading5"/>
        <w:spacing w:line="240" w:lineRule="auto" w:before="139"/>
        <w:ind w:right="0"/>
        <w:jc w:val="both"/>
        <w:rPr>
          <w:b w:val="0"/>
          <w:bCs w:val="0"/>
        </w:rPr>
      </w:pPr>
      <w:bookmarkStart w:name="2、独立董事对公司有关事项提出异议的情况" w:id="140"/>
      <w:bookmarkEnd w:id="140"/>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both"/>
      </w:pPr>
      <w:r>
        <w:rPr/>
        <w:t>独立董事对公司有关事项是否提出异议</w:t>
      </w:r>
    </w:p>
    <w:p>
      <w:pPr>
        <w:pStyle w:val="BodyText"/>
        <w:spacing w:line="319" w:lineRule="auto" w:before="140"/>
        <w:ind w:right="696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报告期内独立董事对公司有关事项未提出异议。</w:t>
      </w: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bookmarkStart w:name="3、独立董事履行职责的其他说明" w:id="141"/>
      <w:bookmarkEnd w:id="141"/>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both"/>
      </w:pPr>
      <w:r>
        <w:rPr/>
        <w:t>独立董事对公司有关建议是否被采纳</w:t>
      </w:r>
    </w:p>
    <w:p>
      <w:pPr>
        <w:pStyle w:val="BodyText"/>
        <w:spacing w:line="319" w:lineRule="auto" w:before="139"/>
        <w:ind w:right="67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独立董事对公司有关建议被采纳或未被采纳的说明</w:t>
      </w:r>
    </w:p>
    <w:p>
      <w:pPr>
        <w:pStyle w:val="BodyText"/>
        <w:spacing w:line="480" w:lineRule="auto" w:before="140"/>
        <w:ind w:right="1133" w:firstLine="420"/>
        <w:jc w:val="both"/>
      </w:pPr>
      <w:r>
        <w:rPr/>
        <w:t>公司独立董事单喆慜女士、沈福俊先生及郑俊豪先生，严格按照有关法律、法规及《公司章程》的规定履行职责，按 </w:t>
      </w:r>
      <w:r>
        <w:rPr>
          <w:spacing w:val="-2"/>
        </w:rPr>
        <w:t>时亲自以现场或通讯方式参加了全部董事会会议，认真审议各项议案，客观的发表自己的看法及观点，并利用自己的专业知</w:t>
      </w:r>
      <w:r>
        <w:rPr>
          <w:spacing w:val="-75"/>
        </w:rPr>
        <w:t> </w:t>
      </w:r>
      <w:r>
        <w:rPr>
          <w:spacing w:val="-75"/>
        </w:rPr>
      </w:r>
      <w:r>
        <w:rPr>
          <w:spacing w:val="-2"/>
        </w:rPr>
        <w:t>识做出独立、公正的判断。同时各位独立董事还深入公司现场调查，了解公司经营状况和内部控制的建设及董事会决议执行</w:t>
      </w:r>
      <w:r>
        <w:rPr>
          <w:spacing w:val="-75"/>
        </w:rPr>
        <w:t> </w:t>
      </w:r>
      <w:r>
        <w:rPr>
          <w:spacing w:val="-75"/>
        </w:rPr>
      </w:r>
      <w:r>
        <w:rPr/>
        <w:t>情况，为公司经营和发展提出了合理化的意见和建议。</w:t>
      </w:r>
    </w:p>
    <w:p>
      <w:pPr>
        <w:pStyle w:val="BodyText"/>
        <w:spacing w:line="468" w:lineRule="auto" w:before="50"/>
        <w:ind w:right="1129" w:firstLine="420"/>
        <w:jc w:val="both"/>
      </w:pPr>
      <w:r>
        <w:rPr/>
        <w:t>本年度，公司共召开了</w:t>
      </w:r>
      <w:r>
        <w:rPr>
          <w:rFonts w:ascii="Times New Roman" w:hAnsi="Times New Roman" w:cs="Times New Roman" w:eastAsia="Times New Roman" w:hint="default"/>
        </w:rPr>
        <w:t>9</w:t>
      </w:r>
      <w:r>
        <w:rPr/>
        <w:t>次董事会和</w:t>
      </w:r>
      <w:r>
        <w:rPr>
          <w:rFonts w:ascii="Times New Roman" w:hAnsi="Times New Roman" w:cs="Times New Roman" w:eastAsia="Times New Roman" w:hint="default"/>
        </w:rPr>
        <w:t>3</w:t>
      </w:r>
      <w:r>
        <w:rPr/>
        <w:t>次股东大会。本年度公司董事会、股东大会的召集召开符合法定程序，重大经营 </w:t>
      </w:r>
      <w:r>
        <w:rPr>
          <w:spacing w:val="-2"/>
        </w:rPr>
        <w:t>决策事项均履行了相关程序，合法有效，未发生独立董事对公司董事会各项议案及公司其它事项提出异议的情况，独立董事</w:t>
      </w:r>
      <w:r>
        <w:rPr>
          <w:spacing w:val="-68"/>
        </w:rPr>
        <w:t> </w:t>
      </w:r>
      <w:r>
        <w:rPr>
          <w:spacing w:val="-68"/>
        </w:rPr>
      </w:r>
      <w:r>
        <w:rPr/>
        <w:t>对公司有关建议均被公司采纳。</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3"/>
          <w:szCs w:val="23"/>
        </w:rPr>
      </w:pPr>
    </w:p>
    <w:p>
      <w:pPr>
        <w:pStyle w:val="Heading2"/>
        <w:spacing w:line="240" w:lineRule="auto"/>
        <w:ind w:right="0"/>
        <w:jc w:val="both"/>
        <w:rPr>
          <w:b w:val="0"/>
          <w:bCs w:val="0"/>
        </w:rPr>
      </w:pPr>
      <w:bookmarkStart w:name="六、董事会下设专门委员会在报告期内履行职责情况" w:id="142"/>
      <w:bookmarkEnd w:id="142"/>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7"/>
          <w:szCs w:val="27"/>
        </w:rPr>
      </w:pPr>
    </w:p>
    <w:p>
      <w:pPr>
        <w:pStyle w:val="BodyText"/>
        <w:spacing w:line="360" w:lineRule="auto"/>
        <w:ind w:left="411" w:right="1115" w:hanging="271"/>
        <w:jc w:val="left"/>
      </w:pPr>
      <w:r>
        <w:rPr>
          <w:rFonts w:ascii="Times New Roman" w:hAnsi="Times New Roman" w:cs="Times New Roman" w:eastAsia="Times New Roman" w:hint="default"/>
        </w:rPr>
        <w:t>1</w:t>
      </w:r>
      <w:r>
        <w:rPr/>
        <w:t>、审计委员会 </w:t>
      </w:r>
      <w:r>
        <w:rPr>
          <w:spacing w:val="-2"/>
        </w:rPr>
        <w:t>报告期内，董事会审计委员会共召开</w:t>
      </w:r>
      <w:r>
        <w:rPr>
          <w:rFonts w:ascii="Times New Roman" w:hAnsi="Times New Roman" w:cs="Times New Roman" w:eastAsia="Times New Roman" w:hint="default"/>
          <w:spacing w:val="-2"/>
        </w:rPr>
        <w:t>6</w:t>
      </w:r>
      <w:r>
        <w:rPr>
          <w:spacing w:val="-2"/>
        </w:rPr>
        <w:t>次会议，审议了公司定期报告、内审部门提交的内部审计报告、年度审计计划及总</w:t>
      </w:r>
    </w:p>
    <w:p>
      <w:pPr>
        <w:pStyle w:val="BodyText"/>
        <w:spacing w:line="477" w:lineRule="auto" w:before="131"/>
        <w:ind w:right="1130"/>
        <w:jc w:val="both"/>
      </w:pPr>
      <w:r>
        <w:rPr>
          <w:spacing w:val="-2"/>
        </w:rPr>
        <w:t>结等事项，详细了解公司财务状况和经营情况，严格审查公司内部控制制度的建设及执行情况，对公司财务状况和经营情况</w:t>
      </w:r>
      <w:r>
        <w:rPr>
          <w:spacing w:val="-75"/>
        </w:rPr>
        <w:t> </w:t>
      </w:r>
      <w:r>
        <w:rPr>
          <w:spacing w:val="-75"/>
        </w:rPr>
      </w:r>
      <w:r>
        <w:rPr>
          <w:spacing w:val="-2"/>
        </w:rPr>
        <w:t>实施了有效的指导和监督。在年度审计工作过程中，公司董事会审计委员会在公司年审注册会计师进场前审阅了公司编制的</w:t>
      </w:r>
      <w:r>
        <w:rPr>
          <w:spacing w:val="-72"/>
        </w:rPr>
        <w:t> </w:t>
      </w:r>
      <w:r>
        <w:rPr>
          <w:spacing w:val="-72"/>
        </w:rPr>
      </w:r>
      <w:r>
        <w:rPr>
          <w:spacing w:val="-2"/>
        </w:rPr>
        <w:t>财务会计报表，认为财务会计报表基本能够反映公司的财务状况和经营成果。年审注册会计师进场前，审计委员会与会计师</w:t>
      </w:r>
      <w:r>
        <w:rPr>
          <w:spacing w:val="-69"/>
        </w:rPr>
        <w:t> </w:t>
      </w:r>
      <w:r>
        <w:rPr>
          <w:spacing w:val="-69"/>
        </w:rPr>
      </w:r>
      <w:r>
        <w:rPr>
          <w:spacing w:val="-2"/>
        </w:rPr>
        <w:t>事务所共同协商确定了公司本年度财务报告审计工作的时间安排，并不断加强与年审会计师的沟通，督促其在约定时限内提</w:t>
      </w:r>
      <w:r>
        <w:rPr>
          <w:spacing w:val="-72"/>
        </w:rPr>
        <w:t> </w:t>
      </w:r>
      <w:r>
        <w:rPr>
          <w:spacing w:val="-72"/>
        </w:rPr>
      </w:r>
      <w:r>
        <w:rPr>
          <w:spacing w:val="-2"/>
        </w:rPr>
        <w:t>交审计报告。在年审注册会计师出具初步审计意见后审计委员会又一次审阅了公司财务会计报表，认为公司财务会计报表真</w:t>
      </w:r>
      <w:r>
        <w:rPr>
          <w:spacing w:val="-72"/>
        </w:rPr>
        <w:t> </w:t>
      </w:r>
      <w:r>
        <w:rPr>
          <w:spacing w:val="-72"/>
        </w:rPr>
      </w:r>
      <w:r>
        <w:rPr/>
        <w:t>实、准确、完整的反映了公司的财务状况和经营成果。</w:t>
      </w:r>
    </w:p>
    <w:p>
      <w:pPr>
        <w:pStyle w:val="BodyText"/>
        <w:spacing w:line="226" w:lineRule="exact"/>
        <w:ind w:right="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、战略委员会</w:t>
      </w:r>
    </w:p>
    <w:p>
      <w:pPr>
        <w:spacing w:after="0" w:line="226" w:lineRule="exact"/>
        <w:jc w:val="both"/>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p>
      <w:pPr>
        <w:pStyle w:val="BodyText"/>
        <w:spacing w:line="448" w:lineRule="auto"/>
        <w:ind w:right="0" w:firstLine="270"/>
        <w:jc w:val="left"/>
      </w:pPr>
      <w:r>
        <w:rPr>
          <w:spacing w:val="-1"/>
        </w:rPr>
        <w:t>报告期内，公司董事会战略委员会召开会议，结合公司实际情况对拟非公开发行</w:t>
      </w:r>
      <w:r>
        <w:rPr>
          <w:rFonts w:ascii="Times New Roman" w:hAnsi="Times New Roman" w:cs="Times New Roman" w:eastAsia="Times New Roman" w:hint="default"/>
          <w:spacing w:val="-1"/>
        </w:rPr>
        <w:t>A</w:t>
      </w:r>
      <w:r>
        <w:rPr>
          <w:spacing w:val="-1"/>
        </w:rPr>
        <w:t>股股票等相关事项进行了研究和讨论，</w:t>
      </w:r>
      <w:r>
        <w:rPr/>
        <w:t> 为公司发展战略决策提供支持。</w:t>
      </w:r>
    </w:p>
    <w:p>
      <w:pPr>
        <w:pStyle w:val="BodyText"/>
        <w:spacing w:line="468" w:lineRule="auto" w:before="73"/>
        <w:ind w:right="0"/>
        <w:jc w:val="left"/>
      </w:pPr>
      <w:r>
        <w:rPr>
          <w:rFonts w:ascii="Times New Roman" w:hAnsi="Times New Roman" w:cs="Times New Roman" w:eastAsia="Times New Roman" w:hint="default"/>
        </w:rPr>
        <w:t>3</w:t>
      </w:r>
      <w:r>
        <w:rPr/>
        <w:t>、薪酬与考核委员会 </w:t>
      </w:r>
      <w:r>
        <w:rPr>
          <w:spacing w:val="-2"/>
        </w:rPr>
        <w:t>报告期内，公司董事会薪酬与考核委员会召开会议，对董事和高管薪酬等相关事宜进行了认真研究和核查，为公司董事会的</w:t>
      </w:r>
      <w:r>
        <w:rPr>
          <w:spacing w:val="-74"/>
        </w:rPr>
        <w:t> </w:t>
      </w:r>
      <w:r>
        <w:rPr>
          <w:spacing w:val="-74"/>
        </w:rPr>
      </w:r>
      <w:r>
        <w:rPr/>
        <w:t>规范运作提出了合理的建议。</w:t>
      </w:r>
    </w:p>
    <w:p>
      <w:pPr>
        <w:pStyle w:val="BodyText"/>
        <w:spacing w:line="460" w:lineRule="auto" w:before="59"/>
        <w:ind w:right="1115"/>
        <w:jc w:val="left"/>
      </w:pPr>
      <w:r>
        <w:rPr>
          <w:rFonts w:ascii="Times New Roman" w:hAnsi="Times New Roman" w:cs="Times New Roman" w:eastAsia="Times New Roman" w:hint="default"/>
        </w:rPr>
        <w:t>4</w:t>
      </w:r>
      <w:r>
        <w:rPr/>
        <w:t>、提名委员会 </w:t>
      </w:r>
      <w:r>
        <w:rPr>
          <w:spacing w:val="-2"/>
        </w:rPr>
        <w:t>报告期内，董事会提名委员会召开会议，对公司拟聘任的董事、财务总监任职资格等事项进行了认真的核查，并同意提交董</w:t>
      </w:r>
      <w:r>
        <w:rPr>
          <w:spacing w:val="-42"/>
        </w:rPr>
        <w:t> </w:t>
      </w:r>
      <w:r>
        <w:rPr>
          <w:spacing w:val="-42"/>
        </w:rPr>
      </w:r>
      <w:r>
        <w:rPr/>
        <w:t>事会审议。</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七、监事会工作情况" w:id="143"/>
      <w:bookmarkEnd w:id="143"/>
      <w:r>
        <w:rPr>
          <w:b w:val="0"/>
          <w:bCs w:val="0"/>
        </w:rPr>
      </w:r>
      <w:r>
        <w:rPr/>
        <w:t>七、监事会工作情况</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19" w:lineRule="auto" w:before="139"/>
        <w:ind w:right="76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监事会对报告期内的监督事项无异议。</w:t>
      </w:r>
    </w:p>
    <w:p>
      <w:pPr>
        <w:spacing w:line="240" w:lineRule="auto" w:before="7"/>
        <w:rPr>
          <w:rFonts w:ascii="宋体" w:hAnsi="宋体" w:cs="宋体" w:eastAsia="宋体" w:hint="default"/>
          <w:sz w:val="22"/>
          <w:szCs w:val="22"/>
        </w:rPr>
      </w:pPr>
    </w:p>
    <w:p>
      <w:pPr>
        <w:pStyle w:val="Heading2"/>
        <w:spacing w:line="240" w:lineRule="auto"/>
        <w:ind w:right="0"/>
        <w:jc w:val="left"/>
        <w:rPr>
          <w:b w:val="0"/>
          <w:bCs w:val="0"/>
        </w:rPr>
      </w:pPr>
      <w:bookmarkStart w:name="八、高级管理人员的考评及激励情况" w:id="144"/>
      <w:bookmarkEnd w:id="144"/>
      <w:r>
        <w:rPr>
          <w:b w:val="0"/>
          <w:bCs w:val="0"/>
        </w:rPr>
      </w:r>
      <w:r>
        <w:rPr/>
        <w:t>八、高级管理人员的考评及激励情况</w:t>
      </w:r>
      <w:r>
        <w:rPr>
          <w:b w:val="0"/>
          <w:bCs w:val="0"/>
        </w:rPr>
      </w:r>
    </w:p>
    <w:p>
      <w:pPr>
        <w:spacing w:line="240" w:lineRule="auto" w:before="11"/>
        <w:rPr>
          <w:rFonts w:ascii="宋体" w:hAnsi="宋体" w:cs="宋体" w:eastAsia="宋体" w:hint="default"/>
          <w:b/>
          <w:bCs/>
          <w:sz w:val="31"/>
          <w:szCs w:val="31"/>
        </w:rPr>
      </w:pPr>
    </w:p>
    <w:p>
      <w:pPr>
        <w:pStyle w:val="BodyText"/>
        <w:spacing w:line="472" w:lineRule="auto"/>
        <w:ind w:right="1029" w:firstLine="420"/>
        <w:jc w:val="left"/>
      </w:pPr>
      <w:r>
        <w:rPr/>
        <w:t>公司严格按照《公司章程》及《薪酬与考核委员会工作细则》等制度制订高级管理人员考评及薪酬方案，充分调动和 激发高级管理人员积极性和主动性。在公司任职的高级管理人员按其职务根据公司现行的薪酬制度领取报酬，并依据风险、 责任、利益相一致的原则，年底根据经营业绩和个人绩效，严格按照考核评定程序，由董事会确定其年度奖金和奖惩方式， </w:t>
      </w:r>
      <w:r>
        <w:rPr>
          <w:spacing w:val="-2"/>
        </w:rPr>
        <w:t>相关奖金按各自考核结果进行发放。</w:t>
      </w:r>
      <w:r>
        <w:rPr>
          <w:rFonts w:ascii="Times New Roman" w:hAnsi="Times New Roman" w:cs="Times New Roman" w:eastAsia="Times New Roman" w:hint="default"/>
          <w:spacing w:val="-2"/>
        </w:rPr>
        <w:t>2018</w:t>
      </w:r>
      <w:r>
        <w:rPr>
          <w:spacing w:val="-2"/>
        </w:rPr>
        <w:t>年度公司顺利实施了公司第一期员工持股计划，进一步调动了中高层管理人员的积</w:t>
      </w:r>
      <w:r>
        <w:rPr>
          <w:spacing w:val="-65"/>
        </w:rPr>
        <w:t> </w:t>
      </w:r>
      <w:r>
        <w:rPr>
          <w:spacing w:val="-65"/>
        </w:rPr>
      </w:r>
      <w:r>
        <w:rPr>
          <w:spacing w:val="-2"/>
        </w:rPr>
        <w:t>极性和主动性，实现股东利益最大化。为维护公司本次员工持股计划持有人的利益，公司第四届董事会第二十一次会议通过</w:t>
      </w:r>
      <w:r>
        <w:rPr>
          <w:spacing w:val="-75"/>
        </w:rPr>
        <w:t> </w:t>
      </w:r>
      <w:r>
        <w:rPr>
          <w:spacing w:val="-75"/>
        </w:rPr>
      </w:r>
      <w:r>
        <w:rPr/>
        <w:t>了《关于公司第一期员工持股计划存续期展望的议案》，员工持股计划存续期延长</w:t>
      </w:r>
      <w:r>
        <w:rPr>
          <w:rFonts w:ascii="Times New Roman" w:hAnsi="Times New Roman" w:cs="Times New Roman" w:eastAsia="Times New Roman" w:hint="default"/>
        </w:rPr>
        <w:t>12</w:t>
      </w:r>
      <w:r>
        <w:rPr/>
        <w:t>个月。</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5"/>
      <w:bookmarkEnd w:id="145"/>
      <w:r>
        <w:rPr>
          <w:b w:val="0"/>
          <w:bCs w:val="0"/>
        </w:rPr>
      </w:r>
      <w:r>
        <w:rPr/>
        <w:t>九、内部控制评价报告</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报告期内发现的内部控制重大缺陷的具体情况" w:id="146"/>
      <w:bookmarkEnd w:id="146"/>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2、内控自我评价报告" w:id="147"/>
      <w:bookmarkEnd w:id="147"/>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3192"/>
        <w:gridCol w:w="6390"/>
      </w:tblGrid>
      <w:tr>
        <w:trPr>
          <w:trHeight w:val="406"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BodyText"/>
        <w:spacing w:line="240" w:lineRule="auto" w:before="44"/>
        <w:ind w:left="0" w:right="1128"/>
        <w:jc w:val="right"/>
      </w:pPr>
      <w:r>
        <w:rPr/>
        <w:pict>
          <v:shape style="position:absolute;margin-left:56.325001pt;margin-top:-252.25827pt;width:480.25pt;height:623.050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5"/>
                    <w:gridCol w:w="3323"/>
                    <w:gridCol w:w="3064"/>
                  </w:tblGrid>
                  <w:tr>
                    <w:trPr>
                      <w:trHeight w:val="720"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7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15" w:right="103"/>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8" w:hRule="exact"/>
                    </w:trPr>
                    <w:tc>
                      <w:tcPr>
                        <w:tcW w:w="958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 w:right="14"/>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12"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right="25"/>
                          <w:jc w:val="center"/>
                          <w:rPr>
                            <w:rFonts w:ascii="宋体" w:hAnsi="宋体" w:cs="宋体" w:eastAsia="宋体" w:hint="default"/>
                            <w:sz w:val="18"/>
                            <w:szCs w:val="18"/>
                          </w:rPr>
                        </w:pPr>
                        <w:r>
                          <w:rPr>
                            <w:rFonts w:ascii="宋体" w:hAnsi="宋体" w:cs="宋体" w:eastAsia="宋体" w:hint="default"/>
                            <w:sz w:val="18"/>
                            <w:szCs w:val="18"/>
                          </w:rPr>
                          <w:t>类别</w:t>
                        </w:r>
                      </w:p>
                    </w:tc>
                    <w:tc>
                      <w:tcPr>
                        <w:tcW w:w="33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2"/>
                          <w:ind w:left="14"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5089"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3" w:type="dxa"/>
                        <w:tcBorders>
                          <w:top w:val="single" w:sz="6" w:space="0" w:color="000000"/>
                          <w:left w:val="single" w:sz="6" w:space="0" w:color="000000"/>
                          <w:bottom w:val="single" w:sz="6" w:space="0" w:color="000000"/>
                          <w:right w:val="single" w:sz="6" w:space="0" w:color="000000"/>
                        </w:tcBorders>
                      </w:tcPr>
                      <w:p>
                        <w:pPr>
                          <w:pStyle w:val="TableParagraph"/>
                          <w:spacing w:line="328" w:lineRule="auto" w:before="30"/>
                          <w:ind w:left="18" w:right="46"/>
                          <w:jc w:val="both"/>
                          <w:rPr>
                            <w:rFonts w:ascii="Times New Roman" w:hAnsi="Times New Roman" w:cs="Times New Roman" w:eastAsia="Times New Roman" w:hint="default"/>
                            <w:sz w:val="18"/>
                            <w:szCs w:val="18"/>
                          </w:rPr>
                        </w:pPr>
                        <w:r>
                          <w:rPr>
                            <w:rFonts w:ascii="宋体" w:hAnsi="宋体" w:cs="宋体" w:eastAsia="宋体" w:hint="default"/>
                            <w:sz w:val="18"/>
                            <w:szCs w:val="18"/>
                          </w:rPr>
                          <w:t>重大缺陷：是指一个或多个控制缺陷的组 合，可能导致企业严重偏离控制目标。出 现下列情形之一的，认定为重大缺陷：</w:t>
                        </w:r>
                        <w:r>
                          <w:rPr>
                            <w:rFonts w:ascii="Times New Roman" w:hAnsi="Times New Roman" w:cs="Times New Roman" w:eastAsia="Times New Roman" w:hint="default"/>
                            <w:sz w:val="18"/>
                            <w:szCs w:val="18"/>
                          </w:rPr>
                          <w:t>1.</w:t>
                        </w:r>
                      </w:p>
                      <w:p>
                        <w:pPr>
                          <w:pStyle w:val="TableParagraph"/>
                          <w:spacing w:line="273" w:lineRule="auto"/>
                          <w:ind w:left="18" w:right="47"/>
                          <w:jc w:val="both"/>
                          <w:rPr>
                            <w:rFonts w:ascii="宋体" w:hAnsi="宋体" w:cs="宋体" w:eastAsia="宋体" w:hint="default"/>
                            <w:sz w:val="18"/>
                            <w:szCs w:val="18"/>
                          </w:rPr>
                        </w:pPr>
                        <w:r>
                          <w:rPr>
                            <w:rFonts w:ascii="宋体" w:hAnsi="宋体" w:cs="宋体" w:eastAsia="宋体" w:hint="default"/>
                            <w:sz w:val="18"/>
                            <w:szCs w:val="18"/>
                          </w:rPr>
                          <w:t>董事、监事和高级管理人员舞弊行为；</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公司审计委员会和审计部对内部控制的监</w:t>
                        </w:r>
                      </w:p>
                      <w:p>
                        <w:pPr>
                          <w:pStyle w:val="TableParagraph"/>
                          <w:spacing w:line="312" w:lineRule="auto" w:before="70"/>
                          <w:ind w:left="18" w:right="47"/>
                          <w:jc w:val="both"/>
                          <w:rPr>
                            <w:rFonts w:ascii="宋体" w:hAnsi="宋体" w:cs="宋体" w:eastAsia="宋体" w:hint="default"/>
                            <w:sz w:val="18"/>
                            <w:szCs w:val="18"/>
                          </w:rPr>
                        </w:pPr>
                        <w:r>
                          <w:rPr>
                            <w:rFonts w:ascii="宋体" w:hAnsi="宋体" w:cs="宋体" w:eastAsia="宋体" w:hint="default"/>
                            <w:sz w:val="18"/>
                            <w:szCs w:val="18"/>
                          </w:rPr>
                          <w:t>督无效；</w:t>
                        </w:r>
                        <w:r>
                          <w:rPr>
                            <w:rFonts w:ascii="Times New Roman" w:hAnsi="Times New Roman" w:cs="Times New Roman" w:eastAsia="Times New Roman" w:hint="default"/>
                            <w:sz w:val="18"/>
                            <w:szCs w:val="18"/>
                          </w:rPr>
                          <w:t>3.</w:t>
                        </w:r>
                        <w:r>
                          <w:rPr>
                            <w:rFonts w:ascii="宋体" w:hAnsi="宋体" w:cs="宋体" w:eastAsia="宋体" w:hint="default"/>
                            <w:sz w:val="18"/>
                            <w:szCs w:val="18"/>
                          </w:rPr>
                          <w:t>注册会计师对公司财务报表出 具无保留意见以外的其他三种意见审计报 告。重要缺陷：是指一个或多个控制缺陷 的组合，其严重程度和经济后果低于重大 缺陷，但是仍有可能导致企业偏离控制目 标。出现下列情形之一的，认定为重大缺</w:t>
                        </w:r>
                      </w:p>
                      <w:p>
                        <w:pPr>
                          <w:pStyle w:val="TableParagraph"/>
                          <w:spacing w:line="290" w:lineRule="auto" w:before="41"/>
                          <w:ind w:left="18" w:right="47"/>
                          <w:jc w:val="both"/>
                          <w:rPr>
                            <w:rFonts w:ascii="宋体" w:hAnsi="宋体" w:cs="宋体" w:eastAsia="宋体" w:hint="default"/>
                            <w:sz w:val="18"/>
                            <w:szCs w:val="18"/>
                          </w:rPr>
                        </w:pPr>
                        <w:r>
                          <w:rPr>
                            <w:rFonts w:ascii="宋体" w:hAnsi="宋体" w:cs="宋体" w:eastAsia="宋体" w:hint="default"/>
                            <w:sz w:val="18"/>
                            <w:szCs w:val="18"/>
                          </w:rPr>
                          <w:t>陷：</w:t>
                        </w:r>
                        <w:r>
                          <w:rPr>
                            <w:rFonts w:ascii="Times New Roman" w:hAnsi="Times New Roman" w:cs="Times New Roman" w:eastAsia="Times New Roman" w:hint="default"/>
                            <w:sz w:val="18"/>
                            <w:szCs w:val="18"/>
                          </w:rPr>
                          <w:t>1.</w:t>
                        </w:r>
                        <w:r>
                          <w:rPr>
                            <w:rFonts w:ascii="宋体" w:hAnsi="宋体" w:cs="宋体" w:eastAsia="宋体" w:hint="default"/>
                            <w:sz w:val="18"/>
                            <w:szCs w:val="18"/>
                          </w:rPr>
                          <w:t>未建立反舞弊程序和控制措施；</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公司内部审计机构未能有效发挥监督职</w:t>
                        </w:r>
                      </w:p>
                      <w:p>
                        <w:pPr>
                          <w:pStyle w:val="TableParagraph"/>
                          <w:spacing w:line="297" w:lineRule="auto" w:before="56"/>
                          <w:ind w:left="18" w:right="46"/>
                          <w:jc w:val="both"/>
                          <w:rPr>
                            <w:rFonts w:ascii="宋体" w:hAnsi="宋体" w:cs="宋体" w:eastAsia="宋体" w:hint="default"/>
                            <w:sz w:val="18"/>
                            <w:szCs w:val="18"/>
                          </w:rPr>
                        </w:pPr>
                        <w:r>
                          <w:rPr>
                            <w:rFonts w:ascii="宋体" w:hAnsi="宋体" w:cs="宋体" w:eastAsia="宋体" w:hint="default"/>
                            <w:sz w:val="18"/>
                            <w:szCs w:val="18"/>
                          </w:rPr>
                          <w:t>能；</w:t>
                        </w:r>
                        <w:r>
                          <w:rPr>
                            <w:rFonts w:ascii="Times New Roman" w:hAnsi="Times New Roman" w:cs="Times New Roman" w:eastAsia="Times New Roman" w:hint="default"/>
                            <w:sz w:val="18"/>
                            <w:szCs w:val="18"/>
                          </w:rPr>
                          <w:t>3.</w:t>
                        </w:r>
                        <w:r>
                          <w:rPr>
                            <w:rFonts w:ascii="宋体" w:hAnsi="宋体" w:cs="宋体" w:eastAsia="宋体" w:hint="default"/>
                            <w:sz w:val="18"/>
                            <w:szCs w:val="18"/>
                          </w:rPr>
                          <w:t>公司以前的财务报告出现重大错报 需要进行追溯调整。一般缺陷：不属于重 大缺陷、重要缺陷的其他内部控制缺陷。</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97" w:lineRule="auto"/>
                          <w:ind w:left="30" w:right="14"/>
                          <w:jc w:val="both"/>
                          <w:rPr>
                            <w:rFonts w:ascii="宋体" w:hAnsi="宋体" w:cs="宋体" w:eastAsia="宋体" w:hint="default"/>
                            <w:sz w:val="18"/>
                            <w:szCs w:val="18"/>
                          </w:rPr>
                        </w:pPr>
                        <w:r>
                          <w:rPr>
                            <w:rFonts w:ascii="宋体" w:hAnsi="宋体" w:cs="宋体" w:eastAsia="宋体" w:hint="default"/>
                            <w:spacing w:val="-1"/>
                            <w:sz w:val="18"/>
                            <w:szCs w:val="18"/>
                          </w:rPr>
                          <w:t>重大缺陷：</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重要业务缺乏制度控制或</w:t>
                        </w:r>
                        <w:r>
                          <w:rPr>
                            <w:rFonts w:ascii="宋体" w:hAnsi="宋体" w:cs="宋体" w:eastAsia="宋体" w:hint="default"/>
                            <w:spacing w:val="-87"/>
                            <w:sz w:val="18"/>
                            <w:szCs w:val="18"/>
                          </w:rPr>
                          <w:t> </w:t>
                        </w:r>
                        <w:r>
                          <w:rPr>
                            <w:rFonts w:ascii="宋体" w:hAnsi="宋体" w:cs="宋体" w:eastAsia="宋体" w:hint="default"/>
                            <w:spacing w:val="-1"/>
                            <w:sz w:val="18"/>
                            <w:szCs w:val="18"/>
                          </w:rPr>
                          <w:t>制度体系失效；</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内部控制重大缺陷未</w:t>
                        </w:r>
                        <w:r>
                          <w:rPr>
                            <w:rFonts w:ascii="宋体" w:hAnsi="宋体" w:cs="宋体" w:eastAsia="宋体" w:hint="default"/>
                            <w:spacing w:val="-86"/>
                            <w:sz w:val="18"/>
                            <w:szCs w:val="18"/>
                          </w:rPr>
                          <w:t> </w:t>
                        </w:r>
                        <w:r>
                          <w:rPr>
                            <w:rFonts w:ascii="宋体" w:hAnsi="宋体" w:cs="宋体" w:eastAsia="宋体" w:hint="default"/>
                            <w:spacing w:val="-2"/>
                            <w:sz w:val="18"/>
                            <w:szCs w:val="18"/>
                          </w:rPr>
                          <w:t>得到整改。重要缺陷：</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重要业务制度</w:t>
                        </w:r>
                        <w:r>
                          <w:rPr>
                            <w:rFonts w:ascii="宋体" w:hAnsi="宋体" w:cs="宋体" w:eastAsia="宋体" w:hint="default"/>
                            <w:spacing w:val="-82"/>
                            <w:sz w:val="18"/>
                            <w:szCs w:val="18"/>
                          </w:rPr>
                          <w:t> </w:t>
                        </w:r>
                        <w:r>
                          <w:rPr>
                            <w:rFonts w:ascii="宋体" w:hAnsi="宋体" w:cs="宋体" w:eastAsia="宋体" w:hint="default"/>
                            <w:spacing w:val="-1"/>
                            <w:sz w:val="18"/>
                            <w:szCs w:val="18"/>
                          </w:rPr>
                          <w:t>体系存在缺陷；</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内部控制重要缺陷未</w:t>
                        </w:r>
                        <w:r>
                          <w:rPr>
                            <w:rFonts w:ascii="宋体" w:hAnsi="宋体" w:cs="宋体" w:eastAsia="宋体" w:hint="default"/>
                            <w:spacing w:val="-86"/>
                            <w:sz w:val="18"/>
                            <w:szCs w:val="18"/>
                          </w:rPr>
                          <w:t> </w:t>
                        </w:r>
                        <w:r>
                          <w:rPr>
                            <w:rFonts w:ascii="宋体" w:hAnsi="宋体" w:cs="宋体" w:eastAsia="宋体" w:hint="default"/>
                            <w:spacing w:val="-9"/>
                            <w:sz w:val="18"/>
                            <w:szCs w:val="18"/>
                          </w:rPr>
                          <w:t>得到整改。一般缺陷：不属于重大缺陷</w:t>
                        </w:r>
                      </w:p>
                      <w:p>
                        <w:pPr>
                          <w:pStyle w:val="TableParagraph"/>
                          <w:spacing w:line="240" w:lineRule="auto" w:before="36"/>
                          <w:ind w:left="30" w:right="0"/>
                          <w:jc w:val="both"/>
                          <w:rPr>
                            <w:rFonts w:ascii="宋体" w:hAnsi="宋体" w:cs="宋体" w:eastAsia="宋体" w:hint="default"/>
                            <w:sz w:val="18"/>
                            <w:szCs w:val="18"/>
                          </w:rPr>
                        </w:pPr>
                        <w:r>
                          <w:rPr>
                            <w:rFonts w:ascii="宋体" w:hAnsi="宋体" w:cs="宋体" w:eastAsia="宋体" w:hint="default"/>
                            <w:sz w:val="18"/>
                            <w:szCs w:val="18"/>
                          </w:rPr>
                          <w:t>重要缺陷的其他内部控制缺陷。</w:t>
                        </w:r>
                      </w:p>
                    </w:tc>
                  </w:tr>
                  <w:tr>
                    <w:trPr>
                      <w:trHeight w:val="3514"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3" w:type="dxa"/>
                        <w:tcBorders>
                          <w:top w:val="single" w:sz="6" w:space="0" w:color="000000"/>
                          <w:left w:val="single" w:sz="6" w:space="0" w:color="000000"/>
                          <w:bottom w:val="single" w:sz="6" w:space="0" w:color="000000"/>
                          <w:right w:val="single" w:sz="18" w:space="0" w:color="FFFFFF"/>
                        </w:tcBorders>
                      </w:tcPr>
                      <w:p>
                        <w:pPr>
                          <w:pStyle w:val="TableParagraph"/>
                          <w:spacing w:line="319" w:lineRule="auto" w:before="30"/>
                          <w:ind w:left="18" w:right="32"/>
                          <w:jc w:val="left"/>
                          <w:rPr>
                            <w:rFonts w:ascii="Times New Roman" w:hAnsi="Times New Roman" w:cs="Times New Roman" w:eastAsia="Times New Roman" w:hint="default"/>
                            <w:sz w:val="18"/>
                            <w:szCs w:val="18"/>
                          </w:rPr>
                        </w:pPr>
                        <w:r>
                          <w:rPr>
                            <w:rFonts w:ascii="宋体" w:hAnsi="宋体" w:cs="宋体" w:eastAsia="宋体" w:hint="default"/>
                            <w:sz w:val="18"/>
                            <w:szCs w:val="18"/>
                          </w:rPr>
                          <w:t>财务报表的错报金额落在如下区间的为重 大缺陷：</w:t>
                        </w:r>
                        <w:r>
                          <w:rPr>
                            <w:rFonts w:ascii="Times New Roman" w:hAnsi="Times New Roman" w:cs="Times New Roman" w:eastAsia="Times New Roman" w:hint="default"/>
                            <w:sz w:val="18"/>
                            <w:szCs w:val="18"/>
                          </w:rPr>
                          <w:t>1.</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合并报表营业收入的</w:t>
                        </w:r>
                        <w:r>
                          <w:rPr>
                            <w:rFonts w:ascii="宋体" w:hAnsi="宋体" w:cs="宋体" w:eastAsia="宋体" w:hint="default"/>
                            <w:spacing w:val="-8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合并报表资产总额的</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0.5%</w:t>
                        </w:r>
                      </w:p>
                      <w:p>
                        <w:pPr>
                          <w:pStyle w:val="TableParagraph"/>
                          <w:spacing w:line="206" w:lineRule="exact"/>
                          <w:ind w:left="18" w:right="-1"/>
                          <w:jc w:val="left"/>
                          <w:rPr>
                            <w:rFonts w:ascii="宋体" w:hAnsi="宋体" w:cs="宋体" w:eastAsia="宋体" w:hint="default"/>
                            <w:sz w:val="18"/>
                            <w:szCs w:val="18"/>
                          </w:rPr>
                        </w:pPr>
                        <w:r>
                          <w:rPr>
                            <w:rFonts w:ascii="宋体" w:hAnsi="宋体" w:cs="宋体" w:eastAsia="宋体" w:hint="default"/>
                            <w:sz w:val="18"/>
                            <w:szCs w:val="18"/>
                          </w:rPr>
                          <w:t>财务报表的错报金额落在如下区间的为重</w:t>
                        </w:r>
                      </w:p>
                      <w:p>
                        <w:pPr>
                          <w:pStyle w:val="TableParagraph"/>
                          <w:spacing w:line="302" w:lineRule="auto" w:before="94"/>
                          <w:ind w:left="18" w:right="-1"/>
                          <w:jc w:val="both"/>
                          <w:rPr>
                            <w:rFonts w:ascii="宋体" w:hAnsi="宋体" w:cs="宋体" w:eastAsia="宋体" w:hint="default"/>
                            <w:sz w:val="18"/>
                            <w:szCs w:val="18"/>
                          </w:rPr>
                        </w:pPr>
                        <w:r>
                          <w:rPr>
                            <w:rFonts w:ascii="宋体" w:hAnsi="宋体" w:cs="宋体" w:eastAsia="宋体" w:hint="default"/>
                            <w:spacing w:val="-3"/>
                            <w:sz w:val="18"/>
                            <w:szCs w:val="18"/>
                          </w:rPr>
                          <w:t>要缺陷：</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合并报表营业收入的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0.25% </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错</w:t>
                        </w:r>
                        <w:r>
                          <w:rPr>
                            <w:rFonts w:ascii="宋体" w:hAnsi="宋体" w:cs="宋体" w:eastAsia="宋体" w:hint="default"/>
                            <w:sz w:val="18"/>
                            <w:szCs w:val="18"/>
                          </w:rPr>
                          <w:t> 报</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合并报表营业收入的</w:t>
                        </w:r>
                        <w:r>
                          <w:rPr>
                            <w:rFonts w:ascii="宋体" w:hAnsi="宋体" w:cs="宋体" w:eastAsia="宋体" w:hint="default"/>
                            <w:spacing w:val="-36"/>
                            <w:sz w:val="18"/>
                            <w:szCs w:val="18"/>
                          </w:rPr>
                          <w:t> </w:t>
                        </w:r>
                        <w:r>
                          <w:rPr>
                            <w:rFonts w:ascii="Times New Roman" w:hAnsi="Times New Roman" w:cs="Times New Roman" w:eastAsia="Times New Roman" w:hint="default"/>
                            <w:spacing w:val="-9"/>
                            <w:sz w:val="18"/>
                            <w:szCs w:val="18"/>
                          </w:rPr>
                          <w:t>0.5%</w:t>
                        </w:r>
                        <w:r>
                          <w:rPr>
                            <w:rFonts w:ascii="宋体" w:hAnsi="宋体" w:cs="宋体" w:eastAsia="宋体" w:hint="default"/>
                            <w:spacing w:val="-9"/>
                            <w:sz w:val="18"/>
                            <w:szCs w:val="18"/>
                          </w:rPr>
                          <w:t>；</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合并报表</w:t>
                        </w:r>
                        <w:r>
                          <w:rPr>
                            <w:rFonts w:ascii="宋体" w:hAnsi="宋体" w:cs="宋体" w:eastAsia="宋体" w:hint="default"/>
                            <w:spacing w:val="-85"/>
                            <w:sz w:val="18"/>
                            <w:szCs w:val="18"/>
                          </w:rPr>
                          <w:t> </w:t>
                        </w:r>
                        <w:r>
                          <w:rPr>
                            <w:rFonts w:ascii="宋体" w:hAnsi="宋体" w:cs="宋体" w:eastAsia="宋体" w:hint="default"/>
                            <w:sz w:val="18"/>
                            <w:szCs w:val="18"/>
                          </w:rPr>
                          <w:t>资产总额的</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0.25%</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合并报表资产总</w:t>
                        </w:r>
                        <w:r>
                          <w:rPr>
                            <w:rFonts w:ascii="宋体" w:hAnsi="宋体" w:cs="宋体" w:eastAsia="宋体" w:hint="default"/>
                            <w:spacing w:val="-88"/>
                            <w:sz w:val="18"/>
                            <w:szCs w:val="18"/>
                          </w:rPr>
                          <w:t> </w:t>
                        </w:r>
                        <w:r>
                          <w:rPr>
                            <w:rFonts w:ascii="宋体" w:hAnsi="宋体" w:cs="宋体" w:eastAsia="宋体" w:hint="default"/>
                            <w:sz w:val="18"/>
                            <w:szCs w:val="18"/>
                          </w:rPr>
                          <w:t>额的</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。财务报表的错报金额落在如下 </w:t>
                        </w:r>
                        <w:r>
                          <w:rPr>
                            <w:rFonts w:ascii="宋体" w:hAnsi="宋体" w:cs="宋体" w:eastAsia="宋体" w:hint="default"/>
                            <w:spacing w:val="-2"/>
                            <w:sz w:val="18"/>
                            <w:szCs w:val="18"/>
                          </w:rPr>
                          <w:t>区间的为一般缺陷：</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错报</w:t>
                        </w:r>
                        <w:r>
                          <w:rPr>
                            <w:rFonts w:ascii="Times New Roman" w:hAnsi="Times New Roman" w:cs="Times New Roman" w:eastAsia="Times New Roman" w:hint="default"/>
                            <w:spacing w:val="-2"/>
                            <w:sz w:val="18"/>
                            <w:szCs w:val="18"/>
                          </w:rPr>
                          <w:t>&lt;</w:t>
                        </w:r>
                        <w:r>
                          <w:rPr>
                            <w:rFonts w:ascii="宋体" w:hAnsi="宋体" w:cs="宋体" w:eastAsia="宋体" w:hint="default"/>
                            <w:spacing w:val="-2"/>
                            <w:sz w:val="18"/>
                            <w:szCs w:val="18"/>
                          </w:rPr>
                          <w:t>合并报表营业</w:t>
                        </w:r>
                        <w:r>
                          <w:rPr>
                            <w:rFonts w:ascii="宋体" w:hAnsi="宋体" w:cs="宋体" w:eastAsia="宋体" w:hint="default"/>
                            <w:spacing w:val="-75"/>
                            <w:sz w:val="18"/>
                            <w:szCs w:val="18"/>
                          </w:rPr>
                          <w:t> </w:t>
                        </w:r>
                        <w:r>
                          <w:rPr>
                            <w:rFonts w:ascii="宋体" w:hAnsi="宋体" w:cs="宋体" w:eastAsia="宋体" w:hint="default"/>
                            <w:sz w:val="18"/>
                            <w:szCs w:val="18"/>
                          </w:rPr>
                          <w:t>收入的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错报</w:t>
                        </w:r>
                        <w:r>
                          <w:rPr>
                            <w:rFonts w:ascii="Times New Roman" w:hAnsi="Times New Roman" w:cs="Times New Roman" w:eastAsia="Times New Roman" w:hint="default"/>
                            <w:sz w:val="18"/>
                            <w:szCs w:val="18"/>
                          </w:rPr>
                          <w:t>&lt;</w:t>
                        </w:r>
                        <w:r>
                          <w:rPr>
                            <w:rFonts w:ascii="宋体" w:hAnsi="宋体" w:cs="宋体" w:eastAsia="宋体" w:hint="default"/>
                            <w:sz w:val="18"/>
                            <w:szCs w:val="18"/>
                          </w:rPr>
                          <w:t>合并报表资产总额 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tc>
                    <w:tc>
                      <w:tcPr>
                        <w:tcW w:w="3064" w:type="dxa"/>
                        <w:tcBorders>
                          <w:top w:val="single" w:sz="6" w:space="0" w:color="000000"/>
                          <w:left w:val="single" w:sz="18" w:space="0" w:color="FFFFFF"/>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193" w:lineRule="exact"/>
                          <w:ind w:left="-13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06" w:lineRule="exact"/>
                          <w:ind w:left="15" w:right="0"/>
                          <w:jc w:val="both"/>
                          <w:rPr>
                            <w:rFonts w:ascii="宋体" w:hAnsi="宋体" w:cs="宋体" w:eastAsia="宋体" w:hint="default"/>
                            <w:sz w:val="18"/>
                            <w:szCs w:val="18"/>
                          </w:rPr>
                        </w:pPr>
                        <w:r>
                          <w:rPr>
                            <w:rFonts w:ascii="宋体" w:hAnsi="宋体" w:cs="宋体" w:eastAsia="宋体" w:hint="default"/>
                            <w:sz w:val="18"/>
                            <w:szCs w:val="18"/>
                          </w:rPr>
                          <w:t>重大缺陷：直接财产损失金额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合并报</w:t>
                        </w:r>
                      </w:p>
                      <w:p>
                        <w:pPr>
                          <w:pStyle w:val="TableParagraph"/>
                          <w:spacing w:line="300" w:lineRule="auto" w:before="66"/>
                          <w:ind w:left="15" w:right="13"/>
                          <w:jc w:val="both"/>
                          <w:rPr>
                            <w:rFonts w:ascii="宋体" w:hAnsi="宋体" w:cs="宋体" w:eastAsia="宋体" w:hint="default"/>
                            <w:sz w:val="18"/>
                            <w:szCs w:val="18"/>
                          </w:rPr>
                        </w:pPr>
                        <w:r>
                          <w:rPr>
                            <w:rFonts w:ascii="宋体" w:hAnsi="宋体" w:cs="宋体" w:eastAsia="宋体" w:hint="default"/>
                            <w:sz w:val="18"/>
                            <w:szCs w:val="18"/>
                          </w:rPr>
                          <w:t>表资产总额的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；重要缺陷：合并 报表资产总额的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0.25%&lt;</w:t>
                        </w:r>
                        <w:r>
                          <w:rPr>
                            <w:rFonts w:ascii="宋体" w:hAnsi="宋体" w:cs="宋体" w:eastAsia="宋体" w:hint="default"/>
                            <w:sz w:val="18"/>
                            <w:szCs w:val="18"/>
                          </w:rPr>
                          <w:t>直接财产损失</w:t>
                        </w:r>
                        <w:r>
                          <w:rPr>
                            <w:rFonts w:ascii="宋体" w:hAnsi="宋体" w:cs="宋体" w:eastAsia="宋体" w:hint="default"/>
                            <w:spacing w:val="-88"/>
                            <w:sz w:val="18"/>
                            <w:szCs w:val="18"/>
                          </w:rPr>
                          <w:t> </w:t>
                        </w:r>
                        <w:r>
                          <w:rPr>
                            <w:rFonts w:ascii="宋体" w:hAnsi="宋体" w:cs="宋体" w:eastAsia="宋体" w:hint="default"/>
                            <w:sz w:val="18"/>
                            <w:szCs w:val="18"/>
                          </w:rPr>
                          <w:t>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合并报表资产总额的</w:t>
                        </w:r>
                        <w:r>
                          <w:rPr>
                            <w:rFonts w:ascii="宋体" w:hAnsi="宋体" w:cs="宋体" w:eastAsia="宋体" w:hint="default"/>
                            <w:spacing w:val="-38"/>
                            <w:sz w:val="18"/>
                            <w:szCs w:val="18"/>
                          </w:rPr>
                          <w:t> </w:t>
                        </w:r>
                        <w:r>
                          <w:rPr>
                            <w:rFonts w:ascii="Times New Roman" w:hAnsi="Times New Roman" w:cs="Times New Roman" w:eastAsia="Times New Roman" w:hint="default"/>
                            <w:spacing w:val="-7"/>
                            <w:sz w:val="18"/>
                            <w:szCs w:val="18"/>
                          </w:rPr>
                          <w:t>0.5%</w:t>
                        </w:r>
                        <w:r>
                          <w:rPr>
                            <w:rFonts w:ascii="宋体" w:hAnsi="宋体" w:cs="宋体" w:eastAsia="宋体" w:hint="default"/>
                            <w:spacing w:val="-7"/>
                            <w:sz w:val="18"/>
                            <w:szCs w:val="18"/>
                          </w:rPr>
                          <w:t>；一般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缺陷：直接财产损失金额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合并报表资</w:t>
                        </w:r>
                        <w:r>
                          <w:rPr>
                            <w:rFonts w:ascii="宋体" w:hAnsi="宋体" w:cs="宋体" w:eastAsia="宋体" w:hint="default"/>
                            <w:spacing w:val="-82"/>
                            <w:sz w:val="18"/>
                            <w:szCs w:val="18"/>
                          </w:rPr>
                          <w:t> </w:t>
                        </w:r>
                        <w:r>
                          <w:rPr>
                            <w:rFonts w:ascii="宋体" w:hAnsi="宋体" w:cs="宋体" w:eastAsia="宋体" w:hint="default"/>
                            <w:sz w:val="18"/>
                            <w:szCs w:val="18"/>
                          </w:rPr>
                          <w:t>产总额的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0.25%</w:t>
                        </w:r>
                        <w:r>
                          <w:rPr>
                            <w:rFonts w:ascii="宋体" w:hAnsi="宋体" w:cs="宋体" w:eastAsia="宋体" w:hint="default"/>
                            <w:sz w:val="18"/>
                            <w:szCs w:val="18"/>
                          </w:rPr>
                          <w:t>。</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6"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405"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w:t>
                        </w:r>
                      </w:p>
                    </w:tc>
                  </w:tr>
                  <w:tr>
                    <w:trPr>
                      <w:trHeight w:val="390" w:hRule="exact"/>
                    </w:trPr>
                    <w:tc>
                      <w:tcPr>
                        <w:tcW w:w="319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7" w:type="dxa"/>
                        <w:gridSpan w:val="2"/>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2"/>
          <w:szCs w:val="12"/>
        </w:rPr>
      </w:pPr>
    </w:p>
    <w:p>
      <w:pPr>
        <w:spacing w:line="1141" w:lineRule="exact"/>
        <w:ind w:left="6659"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152.450pt;height:57.05pt;mso-position-horizontal-relative:char;mso-position-vertical-relative:line" coordorigin="0,0" coordsize="3049,1141">
            <v:group style="position:absolute;left:0;top:0;width:3049;height:781" coordorigin="0,0" coordsize="3049,781">
              <v:shape style="position:absolute;left:0;top:0;width:3049;height:781" coordorigin="0,0" coordsize="3049,781" path="m0,781l3049,781,3049,0,0,0,0,781xe" filled="true" fillcolor="#ffffff" stroked="false">
                <v:path arrowok="t"/>
                <v:fill type="solid"/>
              </v:shape>
            </v:group>
            <v:group style="position:absolute;left:30;top:781;width:3004;height:360" coordorigin="30,781" coordsize="3004,360">
              <v:shape style="position:absolute;left:30;top:781;width:3004;height:360" coordorigin="30,781" coordsize="3004,360" path="m30,1141l3034,1141,3034,781,30,781,30,1141xe" filled="true" fillcolor="#ffffff" stroked="false">
                <v:path arrowok="t"/>
                <v:fill type="solid"/>
              </v:shape>
            </v:group>
          </v:group>
        </w:pict>
      </w:r>
      <w:r>
        <w:rPr>
          <w:rFonts w:ascii="宋体" w:hAnsi="宋体" w:cs="宋体" w:eastAsia="宋体" w:hint="default"/>
          <w:position w:val="-22"/>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2"/>
        <w:spacing w:line="240" w:lineRule="auto" w:before="26"/>
        <w:ind w:right="0"/>
        <w:jc w:val="left"/>
        <w:rPr>
          <w:b w:val="0"/>
          <w:bCs w:val="0"/>
        </w:rPr>
      </w:pPr>
      <w:bookmarkStart w:name="十、内部控制审计报告或鉴证报告" w:id="148"/>
      <w:bookmarkEnd w:id="148"/>
      <w:r>
        <w:rPr>
          <w:b w:val="0"/>
          <w:bCs w:val="0"/>
        </w:rPr>
      </w:r>
      <w:r>
        <w:rPr/>
        <w:t>十、内部控制审计报告或鉴证报告</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内部控制鉴证报告</w:t>
      </w:r>
    </w:p>
    <w:p>
      <w:pPr>
        <w:spacing w:after="0" w:line="240" w:lineRule="auto"/>
        <w:jc w:val="lef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2651"/>
        <w:gridCol w:w="6931"/>
      </w:tblGrid>
      <w:tr>
        <w:trPr>
          <w:trHeight w:val="405" w:hRule="exact"/>
        </w:trPr>
        <w:tc>
          <w:tcPr>
            <w:tcW w:w="958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 w:right="17"/>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06" w:hRule="exact"/>
        </w:trPr>
        <w:tc>
          <w:tcPr>
            <w:tcW w:w="9582" w:type="dxa"/>
            <w:gridSpan w:val="2"/>
            <w:tcBorders>
              <w:top w:val="single" w:sz="6" w:space="0" w:color="000000"/>
              <w:left w:val="single" w:sz="6" w:space="0" w:color="000000"/>
              <w:bottom w:val="single" w:sz="6" w:space="0" w:color="000000"/>
              <w:right w:val="single" w:sz="6" w:space="0" w:color="000000"/>
            </w:tcBorders>
          </w:tcPr>
          <w:p>
            <w:pPr>
              <w:pStyle w:val="TableParagraph"/>
              <w:spacing w:line="302" w:lineRule="auto" w:before="45"/>
              <w:ind w:left="15" w:right="97"/>
              <w:jc w:val="left"/>
              <w:rPr>
                <w:rFonts w:ascii="宋体" w:hAnsi="宋体" w:cs="宋体" w:eastAsia="宋体" w:hint="default"/>
                <w:sz w:val="18"/>
                <w:szCs w:val="18"/>
              </w:rPr>
            </w:pPr>
            <w:r>
              <w:rPr>
                <w:rFonts w:ascii="宋体" w:hAnsi="宋体" w:cs="宋体" w:eastAsia="宋体" w:hint="default"/>
                <w:sz w:val="18"/>
                <w:szCs w:val="18"/>
              </w:rPr>
              <w:t>经安永华明审核认为，于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日本公司及其子公司在上述内部控制评估报告中所述与财务报表相关的内部控 制在所有重大方面有效地保持了按照《企业内部控制基本规范》</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[2008]7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建立的与财务报表相关的内部控制。</w:t>
            </w: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宋体" w:hAnsi="宋体" w:cs="宋体" w:eastAsia="宋体" w:hint="default"/>
                <w:sz w:val="18"/>
                <w:szCs w:val="18"/>
              </w:rPr>
              <w:t>上海美特斯邦威服饰股份有限公司内部控制审核报告（</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391"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3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5"/>
        <w:ind w:right="0"/>
        <w:jc w:val="left"/>
      </w:pPr>
      <w:r>
        <w:rPr/>
        <w:t>会计师事务所是否出具非标准意见的内部控制鉴证报告</w:t>
      </w:r>
    </w:p>
    <w:p>
      <w:pPr>
        <w:pStyle w:val="BodyText"/>
        <w:spacing w:line="333" w:lineRule="auto" w:before="124"/>
        <w:ind w:right="462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会计师事务所出具的内部控制鉴证报告与董事会的自我评价报告意见是否一致</w:t>
      </w:r>
    </w:p>
    <w:p>
      <w:pPr>
        <w:pStyle w:val="BodyText"/>
        <w:spacing w:line="240" w:lineRule="auto" w:before="5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040" w:right="0"/>
        <w:jc w:val="left"/>
        <w:rPr>
          <w:b w:val="0"/>
          <w:bCs w:val="0"/>
        </w:rPr>
      </w:pPr>
      <w:bookmarkStart w:name="第十一节公司债券相关情况" w:id="149"/>
      <w:bookmarkEnd w:id="149"/>
      <w:r>
        <w:rPr>
          <w:b w:val="0"/>
          <w:bCs w:val="0"/>
        </w:rPr>
      </w:r>
      <w:bookmarkStart w:name="_bookmark10" w:id="150"/>
      <w:bookmarkEnd w:id="150"/>
      <w:r>
        <w:rPr>
          <w:b w:val="0"/>
          <w:bCs w:val="0"/>
        </w:rPr>
      </w:r>
      <w:r>
        <w:rPr>
          <w:spacing w:val="5"/>
        </w:rPr>
        <w:t>第十一节公司债券相关情况</w:t>
      </w:r>
      <w:r>
        <w:rPr>
          <w:b w:val="0"/>
          <w:bCs w:val="0"/>
          <w:spacing w:val="5"/>
        </w:rPr>
      </w:r>
    </w:p>
    <w:p>
      <w:pPr>
        <w:spacing w:line="240" w:lineRule="auto" w:before="5"/>
        <w:rPr>
          <w:rFonts w:ascii="宋体" w:hAnsi="宋体" w:cs="宋体" w:eastAsia="宋体" w:hint="default"/>
          <w:b/>
          <w:bCs/>
          <w:sz w:val="41"/>
          <w:szCs w:val="41"/>
        </w:rPr>
      </w:pPr>
    </w:p>
    <w:p>
      <w:pPr>
        <w:pStyle w:val="BodyText"/>
        <w:spacing w:line="367" w:lineRule="auto"/>
        <w:ind w:right="2109"/>
        <w:jc w:val="left"/>
      </w:pPr>
      <w:r>
        <w:rPr/>
        <w:t>公司是否存在公开发行并在证券交易所上市，且在年度报告批准报出日未到期或到期未能全额兑付的公司债券 否</w:t>
      </w:r>
    </w:p>
    <w:p>
      <w:pPr>
        <w:spacing w:after="0" w:line="367"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pStyle w:val="Heading1"/>
        <w:spacing w:line="240" w:lineRule="auto"/>
        <w:ind w:left="3595" w:right="0"/>
        <w:jc w:val="left"/>
        <w:rPr>
          <w:b w:val="0"/>
          <w:bCs w:val="0"/>
        </w:rPr>
      </w:pPr>
      <w:bookmarkStart w:name="第十二节 财务报告" w:id="151"/>
      <w:bookmarkEnd w:id="151"/>
      <w:r>
        <w:rPr>
          <w:b w:val="0"/>
          <w:bCs w:val="0"/>
        </w:rPr>
      </w:r>
      <w:bookmarkStart w:name="_bookmark11" w:id="152"/>
      <w:bookmarkEnd w:id="152"/>
      <w:r>
        <w:rPr>
          <w:b w:val="0"/>
          <w:bCs w:val="0"/>
        </w:rPr>
      </w:r>
      <w:r>
        <w:rPr>
          <w:spacing w:val="6"/>
        </w:rPr>
        <w:t>第十二节</w:t>
      </w:r>
      <w:r>
        <w:rPr>
          <w:spacing w:val="49"/>
        </w:rPr>
        <w:t> </w:t>
      </w:r>
      <w:r>
        <w:rPr>
          <w:spacing w:val="3"/>
        </w:rPr>
        <w:t>财务报告</w:t>
      </w:r>
      <w:r>
        <w:rPr>
          <w:b w:val="0"/>
          <w:bCs w:val="0"/>
          <w:spacing w:val="3"/>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3"/>
      <w:bookmarkEnd w:id="153"/>
      <w:r>
        <w:rPr>
          <w:b w:val="0"/>
          <w:bCs w:val="0"/>
        </w:rPr>
      </w:r>
      <w:r>
        <w:rPr/>
        <w:t>一、审计报告</w:t>
      </w:r>
      <w:r>
        <w:rPr>
          <w:b w:val="0"/>
          <w:bCs w:val="0"/>
        </w:rPr>
      </w:r>
    </w:p>
    <w:p>
      <w:pPr>
        <w:spacing w:line="240" w:lineRule="auto" w:before="2"/>
        <w:rPr>
          <w:rFonts w:ascii="宋体" w:hAnsi="宋体" w:cs="宋体" w:eastAsia="宋体" w:hint="default"/>
          <w:b/>
          <w:bCs/>
          <w:sz w:val="26"/>
          <w:szCs w:val="26"/>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安永华明会计师事务所（特殊合伙）</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安永华明</w:t>
            </w:r>
            <w:r>
              <w:rPr>
                <w:rFonts w:ascii="Times New Roman" w:hAnsi="Times New Roman" w:cs="Times New Roman" w:eastAsia="Times New Roman" w:hint="default"/>
                <w:sz w:val="18"/>
                <w:szCs w:val="18"/>
              </w:rPr>
              <w:t>(2020)</w:t>
            </w:r>
            <w:r>
              <w:rPr>
                <w:rFonts w:ascii="宋体" w:hAnsi="宋体" w:cs="宋体" w:eastAsia="宋体" w:hint="default"/>
                <w:sz w:val="18"/>
                <w:szCs w:val="18"/>
              </w:rPr>
              <w:t>审字第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60644982_B01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2" w:right="0"/>
              <w:jc w:val="left"/>
              <w:rPr>
                <w:rFonts w:ascii="宋体" w:hAnsi="宋体" w:cs="宋体" w:eastAsia="宋体" w:hint="default"/>
                <w:sz w:val="18"/>
                <w:szCs w:val="18"/>
              </w:rPr>
            </w:pPr>
            <w:r>
              <w:rPr>
                <w:rFonts w:ascii="宋体" w:hAnsi="宋体" w:cs="宋体" w:eastAsia="宋体" w:hint="default"/>
                <w:sz w:val="18"/>
                <w:szCs w:val="18"/>
              </w:rPr>
              <w:t>董彦亮、柳婧</w:t>
            </w:r>
          </w:p>
        </w:tc>
      </w:tr>
    </w:tbl>
    <w:p>
      <w:pPr>
        <w:pStyle w:val="BodyText"/>
        <w:spacing w:line="240" w:lineRule="auto" w:before="44"/>
        <w:ind w:left="2233" w:right="2798"/>
        <w:jc w:val="center"/>
      </w:pPr>
      <w:r>
        <w:rPr/>
        <w:t>审计报告正文</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3"/>
          <w:szCs w:val="13"/>
        </w:rPr>
      </w:pPr>
    </w:p>
    <w:p>
      <w:pPr>
        <w:pStyle w:val="BodyText"/>
        <w:spacing w:line="276" w:lineRule="auto"/>
        <w:ind w:left="7095" w:right="1095" w:hanging="406"/>
        <w:jc w:val="left"/>
      </w:pPr>
      <w:r>
        <w:rPr/>
        <w:t>安永华明</w:t>
      </w:r>
      <w:r>
        <w:rPr>
          <w:spacing w:val="-14"/>
        </w:rPr>
        <w:t> </w:t>
      </w:r>
      <w:r>
        <w:rPr>
          <w:rFonts w:ascii="Times New Roman" w:hAnsi="Times New Roman" w:cs="Times New Roman" w:eastAsia="Times New Roman" w:hint="default"/>
        </w:rPr>
        <w:t>(2020)</w:t>
      </w:r>
      <w:r>
        <w:rPr/>
        <w:t>审字第</w:t>
      </w:r>
      <w:r>
        <w:rPr>
          <w:rFonts w:ascii="Times New Roman" w:hAnsi="Times New Roman" w:cs="Times New Roman" w:eastAsia="Times New Roman" w:hint="default"/>
        </w:rPr>
        <w:t>60644982_B01</w:t>
      </w:r>
      <w:r>
        <w:rPr/>
        <w:t>号 上海美特斯邦威服饰股份有限公司</w:t>
      </w:r>
    </w:p>
    <w:p>
      <w:pPr>
        <w:spacing w:line="240" w:lineRule="auto" w:before="10"/>
        <w:rPr>
          <w:rFonts w:ascii="宋体" w:hAnsi="宋体" w:cs="宋体" w:eastAsia="宋体" w:hint="default"/>
          <w:sz w:val="24"/>
          <w:szCs w:val="24"/>
        </w:rPr>
      </w:pPr>
    </w:p>
    <w:p>
      <w:pPr>
        <w:pStyle w:val="BodyText"/>
        <w:spacing w:line="643" w:lineRule="auto" w:before="44"/>
        <w:ind w:left="711" w:right="7150" w:hanging="571"/>
        <w:jc w:val="left"/>
      </w:pPr>
      <w:r>
        <w:rPr/>
        <w:t>上海美特斯邦威服饰股份有限公司全体股东： 一、审计意见</w:t>
      </w:r>
    </w:p>
    <w:p>
      <w:pPr>
        <w:pStyle w:val="BodyText"/>
        <w:spacing w:line="290" w:lineRule="auto" w:before="92"/>
        <w:ind w:right="1126" w:firstLine="480"/>
        <w:jc w:val="both"/>
      </w:pPr>
      <w:r>
        <w:rPr>
          <w:spacing w:val="-1"/>
        </w:rPr>
        <w:t>我们审计了上海美特斯邦威服饰股份有限公司的财务报表，包括</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日的合并及公司资产负债表，</w:t>
      </w:r>
      <w:r>
        <w:rPr>
          <w:rFonts w:ascii="Times New Roman" w:hAnsi="Times New Roman" w:cs="Times New Roman" w:eastAsia="Times New Roman" w:hint="default"/>
          <w:spacing w:val="-1"/>
        </w:rPr>
        <w:t>2019</w:t>
      </w:r>
      <w:r>
        <w:rPr>
          <w:spacing w:val="-1"/>
        </w:rPr>
        <w:t>年度</w:t>
      </w:r>
      <w:r>
        <w:rPr/>
        <w:t> 的合并及公司利润表、股东权益变动表和现金流量表以及相关财务报表附注。</w:t>
      </w:r>
    </w:p>
    <w:p>
      <w:pPr>
        <w:spacing w:line="240" w:lineRule="auto" w:before="0"/>
        <w:rPr>
          <w:rFonts w:ascii="宋体" w:hAnsi="宋体" w:cs="宋体" w:eastAsia="宋体" w:hint="default"/>
          <w:sz w:val="18"/>
          <w:szCs w:val="18"/>
        </w:rPr>
      </w:pPr>
    </w:p>
    <w:p>
      <w:pPr>
        <w:pStyle w:val="BodyText"/>
        <w:spacing w:line="304" w:lineRule="auto" w:before="121"/>
        <w:ind w:right="1128" w:firstLine="480"/>
        <w:jc w:val="both"/>
      </w:pPr>
      <w:r>
        <w:rPr>
          <w:spacing w:val="-1"/>
        </w:rPr>
        <w:t>我们认为，后附的上海美特斯邦威服饰股份有限公司的财务报表在所有重大方面按照企业会计准则的规定编制，公允</w:t>
      </w:r>
      <w:r>
        <w:rPr/>
        <w:t> 反映了上海美特斯邦威服饰股份有限公司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日的合并及公司财务状况以及</w:t>
      </w:r>
      <w:r>
        <w:rPr>
          <w:rFonts w:ascii="Times New Roman" w:hAnsi="Times New Roman" w:cs="Times New Roman" w:eastAsia="Times New Roman" w:hint="default"/>
        </w:rPr>
        <w:t>2019</w:t>
      </w:r>
      <w:r>
        <w:rPr/>
        <w:t>年度的合并及公司经营成果和现 金流量。</w:t>
      </w:r>
    </w:p>
    <w:p>
      <w:pPr>
        <w:spacing w:line="240" w:lineRule="auto" w:before="6"/>
        <w:rPr>
          <w:rFonts w:ascii="宋体" w:hAnsi="宋体" w:cs="宋体" w:eastAsia="宋体" w:hint="default"/>
          <w:sz w:val="26"/>
          <w:szCs w:val="26"/>
        </w:rPr>
      </w:pPr>
    </w:p>
    <w:p>
      <w:pPr>
        <w:pStyle w:val="BodyText"/>
        <w:spacing w:line="240" w:lineRule="auto"/>
        <w:ind w:left="621" w:right="0"/>
        <w:jc w:val="left"/>
      </w:pPr>
      <w:r>
        <w:rPr/>
        <w:t>二、形成审计意见的基础</w:t>
      </w:r>
    </w:p>
    <w:p>
      <w:pPr>
        <w:spacing w:line="240" w:lineRule="auto" w:before="0"/>
        <w:rPr>
          <w:rFonts w:ascii="宋体" w:hAnsi="宋体" w:cs="宋体" w:eastAsia="宋体" w:hint="default"/>
          <w:sz w:val="18"/>
          <w:szCs w:val="18"/>
        </w:rPr>
      </w:pPr>
    </w:p>
    <w:p>
      <w:pPr>
        <w:pStyle w:val="BodyText"/>
        <w:spacing w:line="304" w:lineRule="auto" w:before="159"/>
        <w:ind w:right="1109" w:firstLine="480"/>
        <w:jc w:val="both"/>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 </w:t>
      </w:r>
      <w:r>
        <w:rPr>
          <w:spacing w:val="-2"/>
        </w:rPr>
        <w:t>步阐述了我们在这些准则下的责任。按照中国注册会计师职业道德守则，我们独立于上海美特斯邦威服饰股份有限公司，并</w:t>
      </w:r>
      <w:r>
        <w:rPr>
          <w:spacing w:val="-75"/>
        </w:rPr>
        <w:t> </w:t>
      </w:r>
      <w:r>
        <w:rPr>
          <w:spacing w:val="-75"/>
        </w:rPr>
      </w:r>
      <w:r>
        <w:rPr/>
        <w:t>履行了职业道德方面的其他责任。我们相信，我们获取的审计证据是充分、适当的，为发表审计意见提供了基础。</w:t>
      </w:r>
    </w:p>
    <w:p>
      <w:pPr>
        <w:pStyle w:val="BodyText"/>
        <w:spacing w:line="616" w:lineRule="exact" w:before="63"/>
        <w:ind w:left="621" w:right="0"/>
        <w:jc w:val="left"/>
      </w:pPr>
      <w:r>
        <w:rPr/>
        <w:t>三、关键审计事项 </w:t>
      </w:r>
      <w:r>
        <w:rPr>
          <w:spacing w:val="-1"/>
        </w:rPr>
        <w:t>关键审计事项是我们根据职业判断，认为对本期财务报表审计最为重要的事项。这些事项的应对以对财务报表整体进</w:t>
      </w:r>
    </w:p>
    <w:p>
      <w:pPr>
        <w:pStyle w:val="BodyText"/>
        <w:spacing w:line="218" w:lineRule="exact"/>
        <w:ind w:right="0"/>
        <w:jc w:val="left"/>
      </w:pPr>
      <w:r>
        <w:rPr/>
        <w:t>行审计并形成审计意见为背景，我们不对这些事项单独发表意见。我们对下述每一事项在审计中是如何应对的描述也以此为</w:t>
      </w:r>
    </w:p>
    <w:p>
      <w:pPr>
        <w:pStyle w:val="BodyText"/>
        <w:spacing w:line="240" w:lineRule="auto" w:before="79"/>
        <w:ind w:right="0"/>
        <w:jc w:val="left"/>
      </w:pPr>
      <w:r>
        <w:rPr/>
        <w:t>背景。</w:t>
      </w:r>
    </w:p>
    <w:p>
      <w:pPr>
        <w:spacing w:line="240" w:lineRule="auto" w:before="0"/>
        <w:rPr>
          <w:rFonts w:ascii="宋体" w:hAnsi="宋体" w:cs="宋体" w:eastAsia="宋体" w:hint="default"/>
          <w:sz w:val="18"/>
          <w:szCs w:val="18"/>
        </w:rPr>
      </w:pPr>
    </w:p>
    <w:p>
      <w:pPr>
        <w:pStyle w:val="BodyText"/>
        <w:spacing w:line="304" w:lineRule="auto" w:before="160"/>
        <w:ind w:right="0"/>
        <w:jc w:val="left"/>
      </w:pPr>
      <w:r>
        <w:rPr>
          <w:spacing w:val="-3"/>
          <w:w w:val="100"/>
        </w:rPr>
        <w:t>我们已经履行了本报告</w:t>
      </w:r>
      <w:r>
        <w:rPr>
          <w:rFonts w:ascii="Times New Roman" w:hAnsi="Times New Roman" w:cs="Times New Roman" w:eastAsia="Times New Roman" w:hint="default"/>
          <w:spacing w:val="-3"/>
          <w:w w:val="100"/>
        </w:rPr>
        <w:t>“</w:t>
      </w:r>
      <w:r>
        <w:rPr>
          <w:spacing w:val="-3"/>
          <w:w w:val="100"/>
        </w:rPr>
        <w:t>注册会计师对财务报表审计的责任</w:t>
      </w:r>
      <w:r>
        <w:rPr>
          <w:rFonts w:ascii="Times New Roman" w:hAnsi="Times New Roman" w:cs="Times New Roman" w:eastAsia="Times New Roman" w:hint="default"/>
          <w:spacing w:val="-3"/>
          <w:w w:val="100"/>
        </w:rPr>
        <w:t>”</w:t>
      </w:r>
      <w:r>
        <w:rPr>
          <w:spacing w:val="-3"/>
          <w:w w:val="100"/>
        </w:rPr>
        <w:t>部分阐述的责任，包括与这些关键审计事项相关的责任。相应地，</w:t>
      </w:r>
      <w:r>
        <w:rPr>
          <w:spacing w:val="-65"/>
          <w:w w:val="100"/>
        </w:rPr>
        <w:t> </w:t>
      </w:r>
      <w:r>
        <w:rPr>
          <w:spacing w:val="-65"/>
          <w:w w:val="100"/>
        </w:rPr>
      </w:r>
      <w:r>
        <w:rPr>
          <w:spacing w:val="-2"/>
        </w:rPr>
        <w:t>我们的审计工作包括执行为应对评估的财务报表重大错报风险而设计的审计程序。我们执行审计程序的结果，包括应对下述</w:t>
      </w:r>
      <w:r>
        <w:rPr>
          <w:spacing w:val="-72"/>
        </w:rPr>
        <w:t> </w:t>
      </w:r>
      <w:r>
        <w:rPr>
          <w:spacing w:val="-72"/>
        </w:rPr>
      </w:r>
      <w:r>
        <w:rPr/>
        <w:t>关键审计事项所执行的程序，为财务报表整体发表审计意见提供了基础。</w:t>
      </w:r>
    </w:p>
    <w:p>
      <w:pPr>
        <w:spacing w:after="0" w:line="304" w:lineRule="auto"/>
        <w:jc w:val="left"/>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0"/>
          <w:szCs w:val="20"/>
        </w:rPr>
      </w:pPr>
    </w:p>
    <w:tbl>
      <w:tblPr>
        <w:tblW w:w="0" w:type="auto"/>
        <w:jc w:val="left"/>
        <w:tblInd w:w="111" w:type="dxa"/>
        <w:tblLayout w:type="fixed"/>
        <w:tblCellMar>
          <w:top w:w="0" w:type="dxa"/>
          <w:left w:w="0" w:type="dxa"/>
          <w:bottom w:w="0" w:type="dxa"/>
          <w:right w:w="0" w:type="dxa"/>
        </w:tblCellMar>
        <w:tblLook w:val="01E0"/>
      </w:tblPr>
      <w:tblGrid>
        <w:gridCol w:w="5197"/>
        <w:gridCol w:w="4475"/>
      </w:tblGrid>
      <w:tr>
        <w:trPr>
          <w:trHeight w:val="338" w:hRule="exact"/>
        </w:trPr>
        <w:tc>
          <w:tcPr>
            <w:tcW w:w="519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47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35" w:lineRule="exact"/>
              <w:ind w:left="390"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52" w:hRule="exact"/>
        </w:trPr>
        <w:tc>
          <w:tcPr>
            <w:tcW w:w="9672"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5"/>
              <w:ind w:left="15" w:right="0"/>
              <w:jc w:val="left"/>
              <w:rPr>
                <w:rFonts w:ascii="宋体" w:hAnsi="宋体" w:cs="宋体" w:eastAsia="宋体" w:hint="default"/>
                <w:sz w:val="19"/>
                <w:szCs w:val="19"/>
              </w:rPr>
            </w:pPr>
            <w:r>
              <w:rPr>
                <w:rFonts w:ascii="Times New Roman" w:hAnsi="Times New Roman" w:cs="Times New Roman" w:eastAsia="Times New Roman" w:hint="default"/>
                <w:b/>
                <w:bCs/>
                <w:i/>
                <w:sz w:val="18"/>
                <w:szCs w:val="18"/>
              </w:rPr>
              <w:t>1.</w:t>
            </w:r>
            <w:r>
              <w:rPr>
                <w:rFonts w:ascii="宋体" w:hAnsi="宋体" w:cs="宋体" w:eastAsia="宋体" w:hint="default"/>
                <w:b/>
                <w:bCs/>
                <w:i/>
                <w:sz w:val="19"/>
                <w:szCs w:val="19"/>
              </w:rPr>
              <w:t>存货跌价准备</w:t>
            </w:r>
            <w:r>
              <w:rPr>
                <w:rFonts w:ascii="宋体" w:hAnsi="宋体" w:cs="宋体" w:eastAsia="宋体" w:hint="default"/>
                <w:sz w:val="19"/>
                <w:szCs w:val="19"/>
              </w:rPr>
            </w:r>
          </w:p>
        </w:tc>
      </w:tr>
      <w:tr>
        <w:trPr>
          <w:trHeight w:val="4414" w:hRule="exact"/>
        </w:trPr>
        <w:tc>
          <w:tcPr>
            <w:tcW w:w="519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3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日，上海美特斯邦威服饰股份有限公司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贵公司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宋体" w:hAnsi="宋体" w:cs="宋体" w:eastAsia="宋体" w:hint="default"/>
                <w:spacing w:val="-69"/>
                <w:sz w:val="18"/>
                <w:szCs w:val="18"/>
              </w:rPr>
              <w:t> </w:t>
            </w:r>
            <w:r>
              <w:rPr>
                <w:rFonts w:ascii="宋体" w:hAnsi="宋体" w:cs="宋体" w:eastAsia="宋体" w:hint="default"/>
                <w:spacing w:val="22"/>
                <w:sz w:val="18"/>
                <w:szCs w:val="18"/>
              </w:rPr>
              <w:t>其子公司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以</w:t>
            </w:r>
            <w:r>
              <w:rPr>
                <w:rFonts w:ascii="宋体" w:hAnsi="宋体" w:cs="宋体" w:eastAsia="宋体" w:hint="default"/>
                <w:spacing w:val="-60"/>
                <w:sz w:val="18"/>
                <w:szCs w:val="18"/>
              </w:rPr>
              <w:t> </w:t>
            </w:r>
            <w:r>
              <w:rPr>
                <w:rFonts w:ascii="宋体" w:hAnsi="宋体" w:cs="宋体" w:eastAsia="宋体" w:hint="default"/>
                <w:sz w:val="18"/>
                <w:szCs w:val="18"/>
              </w:rPr>
              <w:t>下</w:t>
            </w:r>
            <w:r>
              <w:rPr>
                <w:rFonts w:ascii="宋体" w:hAnsi="宋体" w:cs="宋体" w:eastAsia="宋体" w:hint="default"/>
                <w:spacing w:val="-60"/>
                <w:sz w:val="18"/>
                <w:szCs w:val="18"/>
              </w:rPr>
              <w:t> </w:t>
            </w:r>
            <w:r>
              <w:rPr>
                <w:rFonts w:ascii="宋体" w:hAnsi="宋体" w:cs="宋体" w:eastAsia="宋体" w:hint="default"/>
                <w:sz w:val="18"/>
                <w:szCs w:val="18"/>
              </w:rPr>
              <w:t>合</w:t>
            </w:r>
            <w:r>
              <w:rPr>
                <w:rFonts w:ascii="宋体" w:hAnsi="宋体" w:cs="宋体" w:eastAsia="宋体" w:hint="default"/>
                <w:spacing w:val="-45"/>
                <w:sz w:val="18"/>
                <w:szCs w:val="18"/>
              </w:rPr>
              <w:t> </w:t>
            </w:r>
            <w:r>
              <w:rPr>
                <w:rFonts w:ascii="宋体" w:hAnsi="宋体" w:cs="宋体" w:eastAsia="宋体" w:hint="default"/>
                <w:sz w:val="18"/>
                <w:szCs w:val="18"/>
              </w:rPr>
              <w:t>称</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5"/>
                <w:sz w:val="18"/>
                <w:szCs w:val="18"/>
              </w:rPr>
              <w:t> </w:t>
            </w:r>
            <w:r>
              <w:rPr>
                <w:rFonts w:ascii="宋体" w:hAnsi="宋体" w:cs="宋体" w:eastAsia="宋体" w:hint="default"/>
                <w:spacing w:val="20"/>
                <w:sz w:val="18"/>
                <w:szCs w:val="18"/>
              </w:rPr>
              <w:t>贵集团</w:t>
            </w:r>
            <w:r>
              <w:rPr>
                <w:rFonts w:ascii="宋体" w:hAnsi="宋体" w:cs="宋体" w:eastAsia="宋体" w:hint="default"/>
                <w:spacing w:val="-61"/>
                <w:sz w:val="18"/>
                <w:szCs w:val="18"/>
              </w:rPr>
              <w:t> </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的</w:t>
            </w:r>
            <w:r>
              <w:rPr>
                <w:rFonts w:ascii="宋体" w:hAnsi="宋体" w:cs="宋体" w:eastAsia="宋体" w:hint="default"/>
                <w:spacing w:val="-60"/>
                <w:sz w:val="18"/>
                <w:szCs w:val="18"/>
              </w:rPr>
              <w:t> </w:t>
            </w:r>
            <w:r>
              <w:rPr>
                <w:rFonts w:ascii="宋体" w:hAnsi="宋体" w:cs="宋体" w:eastAsia="宋体" w:hint="default"/>
                <w:sz w:val="18"/>
                <w:szCs w:val="18"/>
              </w:rPr>
              <w:t>存</w:t>
            </w:r>
            <w:r>
              <w:rPr>
                <w:rFonts w:ascii="宋体" w:hAnsi="宋体" w:cs="宋体" w:eastAsia="宋体" w:hint="default"/>
                <w:spacing w:val="-45"/>
                <w:sz w:val="18"/>
                <w:szCs w:val="18"/>
              </w:rPr>
              <w:t> </w:t>
            </w:r>
            <w:r>
              <w:rPr>
                <w:rFonts w:ascii="宋体" w:hAnsi="宋体" w:cs="宋体" w:eastAsia="宋体" w:hint="default"/>
                <w:sz w:val="18"/>
                <w:szCs w:val="18"/>
              </w:rPr>
              <w:t>货</w:t>
            </w:r>
            <w:r>
              <w:rPr>
                <w:rFonts w:ascii="宋体" w:hAnsi="宋体" w:cs="宋体" w:eastAsia="宋体" w:hint="default"/>
                <w:spacing w:val="-60"/>
                <w:sz w:val="18"/>
                <w:szCs w:val="18"/>
              </w:rPr>
              <w:t> </w:t>
            </w:r>
            <w:r>
              <w:rPr>
                <w:rFonts w:ascii="宋体" w:hAnsi="宋体" w:cs="宋体" w:eastAsia="宋体" w:hint="default"/>
                <w:sz w:val="18"/>
                <w:szCs w:val="18"/>
              </w:rPr>
              <w:t>余</w:t>
            </w:r>
            <w:r>
              <w:rPr>
                <w:rFonts w:ascii="宋体" w:hAnsi="宋体" w:cs="宋体" w:eastAsia="宋体" w:hint="default"/>
                <w:spacing w:val="-60"/>
                <w:sz w:val="18"/>
                <w:szCs w:val="18"/>
              </w:rPr>
              <w:t> </w:t>
            </w:r>
            <w:r>
              <w:rPr>
                <w:rFonts w:ascii="宋体" w:hAnsi="宋体" w:cs="宋体" w:eastAsia="宋体" w:hint="default"/>
                <w:sz w:val="18"/>
                <w:szCs w:val="18"/>
              </w:rPr>
              <w:t>额</w:t>
            </w:r>
            <w:r>
              <w:rPr>
                <w:rFonts w:ascii="宋体" w:hAnsi="宋体" w:cs="宋体" w:eastAsia="宋体" w:hint="default"/>
                <w:spacing w:val="-60"/>
                <w:sz w:val="18"/>
                <w:szCs w:val="18"/>
              </w:rPr>
              <w:t> </w:t>
            </w:r>
            <w:r>
              <w:rPr>
                <w:rFonts w:ascii="宋体" w:hAnsi="宋体" w:cs="宋体" w:eastAsia="宋体" w:hint="default"/>
                <w:sz w:val="18"/>
                <w:szCs w:val="18"/>
              </w:rPr>
              <w:t>分</w:t>
            </w:r>
            <w:r>
              <w:rPr>
                <w:rFonts w:ascii="宋体" w:hAnsi="宋体" w:cs="宋体" w:eastAsia="宋体" w:hint="default"/>
                <w:spacing w:val="-45"/>
                <w:sz w:val="18"/>
                <w:szCs w:val="18"/>
              </w:rPr>
              <w:t> </w:t>
            </w:r>
            <w:r>
              <w:rPr>
                <w:rFonts w:ascii="宋体" w:hAnsi="宋体" w:cs="宋体" w:eastAsia="宋体" w:hint="default"/>
                <w:sz w:val="18"/>
                <w:szCs w:val="18"/>
              </w:rPr>
              <w:t>别</w:t>
            </w:r>
            <w:r>
              <w:rPr>
                <w:rFonts w:ascii="宋体" w:hAnsi="宋体" w:cs="宋体" w:eastAsia="宋体" w:hint="default"/>
                <w:spacing w:val="-60"/>
                <w:sz w:val="18"/>
                <w:szCs w:val="18"/>
              </w:rPr>
              <w:t> </w:t>
            </w:r>
            <w:r>
              <w:rPr>
                <w:rFonts w:ascii="宋体" w:hAnsi="宋体" w:cs="宋体" w:eastAsia="宋体" w:hint="default"/>
                <w:sz w:val="18"/>
                <w:szCs w:val="18"/>
              </w:rPr>
              <w:t>为</w:t>
            </w:r>
            <w:r>
              <w:rPr>
                <w:rFonts w:ascii="宋体" w:hAnsi="宋体" w:cs="宋体" w:eastAsia="宋体" w:hint="default"/>
                <w:spacing w:val="-60"/>
                <w:sz w:val="18"/>
                <w:szCs w:val="18"/>
              </w:rPr>
              <w:t> </w:t>
            </w:r>
            <w:r>
              <w:rPr>
                <w:rFonts w:ascii="宋体" w:hAnsi="宋体" w:cs="宋体" w:eastAsia="宋体" w:hint="default"/>
                <w:sz w:val="18"/>
                <w:szCs w:val="18"/>
              </w:rPr>
              <w:t>人</w:t>
            </w:r>
            <w:r>
              <w:rPr>
                <w:rFonts w:ascii="宋体" w:hAnsi="宋体" w:cs="宋体" w:eastAsia="宋体" w:hint="default"/>
                <w:spacing w:val="-45"/>
                <w:sz w:val="18"/>
                <w:szCs w:val="18"/>
              </w:rPr>
              <w:t> </w:t>
            </w:r>
            <w:r>
              <w:rPr>
                <w:rFonts w:ascii="宋体" w:hAnsi="宋体" w:cs="宋体" w:eastAsia="宋体" w:hint="default"/>
                <w:sz w:val="18"/>
                <w:szCs w:val="18"/>
              </w:rPr>
              <w:t>民</w:t>
            </w:r>
            <w:r>
              <w:rPr>
                <w:rFonts w:ascii="宋体" w:hAnsi="宋体" w:cs="宋体" w:eastAsia="宋体" w:hint="default"/>
                <w:spacing w:val="-60"/>
                <w:sz w:val="18"/>
                <w:szCs w:val="18"/>
              </w:rPr>
              <w:t> </w:t>
            </w:r>
            <w:r>
              <w:rPr>
                <w:rFonts w:ascii="宋体" w:hAnsi="宋体" w:cs="宋体" w:eastAsia="宋体" w:hint="default"/>
                <w:sz w:val="18"/>
                <w:szCs w:val="18"/>
              </w:rPr>
              <w:t>币</w:t>
            </w:r>
            <w:r>
              <w:rPr>
                <w:rFonts w:ascii="宋体" w:hAnsi="宋体" w:cs="宋体" w:eastAsia="宋体" w:hint="default"/>
                <w:sz w:val="18"/>
                <w:szCs w:val="18"/>
              </w:rPr>
              <w:t> </w:t>
            </w:r>
            <w:r>
              <w:rPr>
                <w:rFonts w:ascii="Times New Roman" w:hAnsi="Times New Roman" w:cs="Times New Roman" w:eastAsia="Times New Roman" w:hint="default"/>
                <w:sz w:val="18"/>
                <w:szCs w:val="18"/>
              </w:rPr>
              <w:t>1,294,056,848</w:t>
            </w:r>
            <w:r>
              <w:rPr>
                <w:rFonts w:ascii="宋体" w:hAnsi="宋体" w:cs="宋体" w:eastAsia="宋体" w:hint="default"/>
                <w:sz w:val="18"/>
                <w:szCs w:val="18"/>
              </w:rPr>
              <w:t>元，</w:t>
            </w:r>
            <w:r>
              <w:rPr>
                <w:rFonts w:ascii="Times New Roman" w:hAnsi="Times New Roman" w:cs="Times New Roman" w:eastAsia="Times New Roman" w:hint="default"/>
                <w:sz w:val="18"/>
                <w:szCs w:val="18"/>
              </w:rPr>
              <w:t>2,052,546,752</w:t>
            </w:r>
            <w:r>
              <w:rPr>
                <w:rFonts w:ascii="宋体" w:hAnsi="宋体" w:cs="宋体" w:eastAsia="宋体" w:hint="default"/>
                <w:sz w:val="18"/>
                <w:szCs w:val="18"/>
              </w:rPr>
              <w:t>元，占贵公司及贵集团资产总额的</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3"/>
                <w:sz w:val="18"/>
                <w:szCs w:val="18"/>
              </w:rPr>
              <w:t>比重分别为</w:t>
            </w:r>
            <w:r>
              <w:rPr>
                <w:rFonts w:ascii="Times New Roman" w:hAnsi="Times New Roman" w:cs="Times New Roman" w:eastAsia="Times New Roman" w:hint="default"/>
                <w:spacing w:val="-3"/>
                <w:sz w:val="18"/>
                <w:szCs w:val="18"/>
              </w:rPr>
              <w:t>14.64%</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32.18%</w:t>
            </w:r>
            <w:r>
              <w:rPr>
                <w:rFonts w:ascii="宋体" w:hAnsi="宋体" w:cs="宋体" w:eastAsia="宋体" w:hint="default"/>
                <w:spacing w:val="-3"/>
                <w:sz w:val="18"/>
                <w:szCs w:val="18"/>
              </w:rPr>
              <w:t>。该等存货按照成本与可变现净值孰低</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3"/>
                <w:sz w:val="18"/>
                <w:szCs w:val="18"/>
              </w:rPr>
              <w:t>计量。当存货的可变现净值低于其账面价值时，即表明存货发生了</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减值。作为服装零售企业，产品的售价受服装的季节性和时尚性影</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响很大，其可变现净值随着库龄增加而降低，因此管理层结合实际</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5"/>
                <w:sz w:val="18"/>
                <w:szCs w:val="18"/>
              </w:rPr>
              <w:t>销售情况、预计销售计划、存货库龄、存货是否陈旧、滞销等因素</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3"/>
                <w:sz w:val="18"/>
                <w:szCs w:val="18"/>
              </w:rPr>
              <w:t>根据存货的估计售价、估计的销售费用以及相关税费后的金额估计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存货的可变现净值。由于存货金额重大，且确定可变现净值的过程</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涉及重大判断和会计估计，因此我们将存货跌价准备认定为关键审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计事项。</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15"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关于存货跌价准备的披露请见财务报表附注三、</w:t>
            </w:r>
            <w:r>
              <w:rPr>
                <w:rFonts w:ascii="Times New Roman" w:hAnsi="Times New Roman" w:cs="Times New Roman" w:eastAsia="Times New Roman" w:hint="default"/>
                <w:spacing w:val="-5"/>
                <w:sz w:val="18"/>
                <w:szCs w:val="18"/>
              </w:rPr>
              <w:t>8</w:t>
            </w:r>
            <w:r>
              <w:rPr>
                <w:rFonts w:ascii="宋体" w:hAnsi="宋体" w:cs="宋体" w:eastAsia="宋体" w:hint="default"/>
                <w:spacing w:val="-5"/>
                <w:sz w:val="18"/>
                <w:szCs w:val="18"/>
              </w:rPr>
              <w:t>及</w:t>
            </w:r>
            <w:r>
              <w:rPr>
                <w:rFonts w:ascii="Times New Roman" w:hAnsi="Times New Roman" w:cs="Times New Roman" w:eastAsia="Times New Roman" w:hint="default"/>
                <w:spacing w:val="-5"/>
                <w:sz w:val="18"/>
                <w:szCs w:val="18"/>
              </w:rPr>
              <w:t>27</w:t>
            </w:r>
            <w:r>
              <w:rPr>
                <w:rFonts w:ascii="宋体" w:hAnsi="宋体" w:cs="宋体" w:eastAsia="宋体" w:hint="default"/>
                <w:spacing w:val="-5"/>
                <w:sz w:val="18"/>
                <w:szCs w:val="18"/>
              </w:rPr>
              <w:t>，五、</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及</w:t>
            </w:r>
            <w:r>
              <w:rPr>
                <w:rFonts w:ascii="Times New Roman" w:hAnsi="Times New Roman" w:cs="Times New Roman" w:eastAsia="Times New Roman" w:hint="default"/>
                <w:spacing w:val="-5"/>
                <w:sz w:val="18"/>
                <w:szCs w:val="18"/>
              </w:rPr>
              <w:t>17</w:t>
            </w:r>
          </w:p>
        </w:tc>
        <w:tc>
          <w:tcPr>
            <w:tcW w:w="447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5"/>
              <w:ind w:right="-40"/>
              <w:jc w:val="left"/>
              <w:rPr>
                <w:rFonts w:ascii="宋体" w:hAnsi="宋体" w:cs="宋体" w:eastAsia="宋体" w:hint="default"/>
                <w:sz w:val="18"/>
                <w:szCs w:val="18"/>
              </w:rPr>
            </w:pPr>
            <w:r>
              <w:rPr>
                <w:rFonts w:ascii="宋体" w:hAnsi="宋体" w:cs="宋体" w:eastAsia="宋体" w:hint="default"/>
                <w:sz w:val="18"/>
                <w:szCs w:val="18"/>
              </w:rPr>
              <w:t>我们了解并评估管理层对于存货跌价的内部控制的设计。 </w:t>
            </w:r>
            <w:r>
              <w:rPr>
                <w:rFonts w:ascii="宋体" w:hAnsi="宋体" w:cs="宋体" w:eastAsia="宋体" w:hint="default"/>
                <w:spacing w:val="-2"/>
                <w:sz w:val="18"/>
                <w:szCs w:val="18"/>
              </w:rPr>
              <w:t>我们对管理层的存货盘点流程进行测试，实施存货的监盘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和抽盘程序，关注存货的状态，特别是毁损的存货。我们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获取了存货的库龄表，并进行测试。我们检查管理层编制</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3"/>
                <w:sz w:val="18"/>
                <w:szCs w:val="18"/>
              </w:rPr>
              <w:t>的存货跌价准备计算表，复核该计算表中数据的来源、完</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整性和准确性。同时我们对管理层采用的存货可变现净值</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的计算方法和商业依据进行质疑和评估，我们检查存货</w:t>
            </w:r>
          </w:p>
          <w:p>
            <w:pPr>
              <w:pStyle w:val="TableParagraph"/>
              <w:spacing w:line="309" w:lineRule="auto" w:before="20"/>
              <w:ind w:right="1"/>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2019</w:t>
            </w:r>
            <w:r>
              <w:rPr>
                <w:rFonts w:ascii="宋体" w:hAnsi="宋体" w:cs="宋体" w:eastAsia="宋体" w:hint="default"/>
                <w:spacing w:val="-2"/>
                <w:sz w:val="18"/>
                <w:szCs w:val="18"/>
              </w:rPr>
              <w:t>年的销售价格及期后实际销售价格，评估估计的销售</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2"/>
                <w:sz w:val="18"/>
                <w:szCs w:val="18"/>
              </w:rPr>
              <w:t>费用以及相关税费的合理性，作为对管理层使用的可变现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净值的合理性的判断依据。我们根据跌价准备计提政策重</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新计算了存货减值结果。此外，我们检查了贵集团财务报</w:t>
            </w:r>
          </w:p>
          <w:p>
            <w:pPr>
              <w:pStyle w:val="TableParagraph"/>
              <w:spacing w:line="240" w:lineRule="auto" w:before="28"/>
              <w:ind w:right="0"/>
              <w:jc w:val="left"/>
              <w:rPr>
                <w:rFonts w:ascii="宋体" w:hAnsi="宋体" w:cs="宋体" w:eastAsia="宋体" w:hint="default"/>
                <w:sz w:val="18"/>
                <w:szCs w:val="18"/>
              </w:rPr>
            </w:pPr>
            <w:r>
              <w:rPr>
                <w:rFonts w:ascii="宋体" w:hAnsi="宋体" w:cs="宋体" w:eastAsia="宋体" w:hint="default"/>
                <w:sz w:val="18"/>
                <w:szCs w:val="18"/>
              </w:rPr>
              <w:t>表附注中相关披露的充分性和完整性。</w:t>
            </w:r>
          </w:p>
        </w:tc>
      </w:tr>
    </w:tbl>
    <w:p>
      <w:pPr>
        <w:spacing w:line="240" w:lineRule="auto" w:before="9"/>
        <w:rPr>
          <w:rFonts w:ascii="Times New Roman" w:hAnsi="Times New Roman" w:cs="Times New Roman" w:eastAsia="Times New Roman" w:hint="default"/>
          <w:sz w:val="26"/>
          <w:szCs w:val="26"/>
        </w:rPr>
      </w:pPr>
    </w:p>
    <w:tbl>
      <w:tblPr>
        <w:tblW w:w="0" w:type="auto"/>
        <w:jc w:val="left"/>
        <w:tblInd w:w="111" w:type="dxa"/>
        <w:tblLayout w:type="fixed"/>
        <w:tblCellMar>
          <w:top w:w="0" w:type="dxa"/>
          <w:left w:w="0" w:type="dxa"/>
          <w:bottom w:w="0" w:type="dxa"/>
          <w:right w:w="0" w:type="dxa"/>
        </w:tblCellMar>
        <w:tblLook w:val="01E0"/>
      </w:tblPr>
      <w:tblGrid>
        <w:gridCol w:w="5197"/>
        <w:gridCol w:w="4475"/>
      </w:tblGrid>
      <w:tr>
        <w:trPr>
          <w:trHeight w:val="345" w:hRule="exact"/>
        </w:trPr>
        <w:tc>
          <w:tcPr>
            <w:tcW w:w="5197"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47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53" w:hRule="exact"/>
        </w:trPr>
        <w:tc>
          <w:tcPr>
            <w:tcW w:w="9672"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2"/>
              <w:ind w:left="1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长期资产</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固定资产，无形资产，长期待摊费用</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减值</w:t>
            </w:r>
            <w:r>
              <w:rPr>
                <w:rFonts w:ascii="宋体" w:hAnsi="宋体" w:cs="宋体" w:eastAsia="宋体" w:hint="default"/>
                <w:sz w:val="18"/>
                <w:szCs w:val="18"/>
              </w:rPr>
            </w:r>
          </w:p>
        </w:tc>
      </w:tr>
      <w:tr>
        <w:trPr>
          <w:trHeight w:val="4084" w:hRule="exact"/>
        </w:trPr>
        <w:tc>
          <w:tcPr>
            <w:tcW w:w="519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4"/>
              <w:ind w:left="15" w:right="-15"/>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日，贵集团上述长期资产余额为人民币</w:t>
            </w:r>
            <w:r>
              <w:rPr>
                <w:rFonts w:ascii="Times New Roman" w:hAnsi="Times New Roman" w:cs="Times New Roman" w:eastAsia="Times New Roman" w:hint="default"/>
                <w:sz w:val="18"/>
                <w:szCs w:val="18"/>
              </w:rPr>
              <w:t>1,308,434,162 </w:t>
            </w:r>
            <w:r>
              <w:rPr>
                <w:rFonts w:ascii="宋体" w:hAnsi="宋体" w:cs="宋体" w:eastAsia="宋体" w:hint="default"/>
                <w:spacing w:val="-2"/>
                <w:sz w:val="18"/>
                <w:szCs w:val="18"/>
              </w:rPr>
              <w:t>元，占总资产比重为</w:t>
            </w:r>
            <w:r>
              <w:rPr>
                <w:rFonts w:ascii="Times New Roman" w:hAnsi="Times New Roman" w:cs="Times New Roman" w:eastAsia="Times New Roman" w:hint="default"/>
                <w:spacing w:val="-2"/>
                <w:sz w:val="18"/>
                <w:szCs w:val="18"/>
              </w:rPr>
              <w:t>20.52%</w:t>
            </w:r>
            <w:r>
              <w:rPr>
                <w:rFonts w:ascii="宋体" w:hAnsi="宋体" w:cs="宋体" w:eastAsia="宋体" w:hint="default"/>
                <w:spacing w:val="-2"/>
                <w:sz w:val="18"/>
                <w:szCs w:val="18"/>
              </w:rPr>
              <w:t>。管理层应当在资产负债表日判断资产</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是否存在可能发生减值的迹象。资产存在减值迹象的，应当进行减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值测试，估计资产的可收回金额。当资产的可收回金额低于其账面</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价值时，即表明资产发生了减值，管理层应当确认资产减值损失，</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并把资产的账面价值减记至可收回金额。可收回金额根据资产的公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允价值减去处置费用后的净额与资产预计未来现金流量的现值两 </w:t>
            </w:r>
            <w:r>
              <w:rPr>
                <w:rFonts w:ascii="宋体" w:hAnsi="宋体" w:cs="宋体" w:eastAsia="宋体" w:hint="default"/>
                <w:spacing w:val="-3"/>
                <w:sz w:val="18"/>
                <w:szCs w:val="18"/>
              </w:rPr>
              <w:t>者之间较高者确定。由于长期资产减值测试过程复杂，且对未来现</w:t>
            </w:r>
          </w:p>
          <w:p>
            <w:pPr>
              <w:pStyle w:val="TableParagraph"/>
              <w:spacing w:line="321" w:lineRule="auto" w:before="26"/>
              <w:ind w:left="15" w:right="4"/>
              <w:jc w:val="left"/>
              <w:rPr>
                <w:rFonts w:ascii="宋体" w:hAnsi="宋体" w:cs="宋体" w:eastAsia="宋体" w:hint="default"/>
                <w:sz w:val="18"/>
                <w:szCs w:val="18"/>
              </w:rPr>
            </w:pPr>
            <w:r>
              <w:rPr>
                <w:rFonts w:ascii="宋体" w:hAnsi="宋体" w:cs="宋体" w:eastAsia="宋体" w:hint="default"/>
                <w:spacing w:val="-3"/>
                <w:sz w:val="18"/>
                <w:szCs w:val="18"/>
              </w:rPr>
              <w:t>金流的预测、折现率、收入增长趋势的预测等涉及重大的管理层判</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断和估计，因此我们将长期资产减值认定为关键审计事项。</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27"/>
              <w:ind w:left="15" w:right="118"/>
              <w:jc w:val="left"/>
              <w:rPr>
                <w:rFonts w:ascii="宋体" w:hAnsi="宋体" w:cs="宋体" w:eastAsia="宋体" w:hint="default"/>
                <w:sz w:val="18"/>
                <w:szCs w:val="18"/>
              </w:rPr>
            </w:pPr>
            <w:r>
              <w:rPr>
                <w:rFonts w:ascii="宋体" w:hAnsi="宋体" w:cs="宋体" w:eastAsia="宋体" w:hint="default"/>
                <w:sz w:val="18"/>
                <w:szCs w:val="18"/>
              </w:rPr>
              <w:t>关于长期资产减值的披露请见财务报表附注三、</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及</w:t>
            </w:r>
            <w:r>
              <w:rPr>
                <w:rFonts w:ascii="Times New Roman" w:hAnsi="Times New Roman" w:cs="Times New Roman" w:eastAsia="Times New Roman" w:hint="default"/>
                <w:sz w:val="18"/>
                <w:szCs w:val="18"/>
              </w:rPr>
              <w:t>27</w:t>
            </w:r>
            <w:r>
              <w:rPr>
                <w:rFonts w:ascii="宋体" w:hAnsi="宋体" w:cs="宋体" w:eastAsia="宋体" w:hint="default"/>
                <w:sz w:val="18"/>
                <w:szCs w:val="18"/>
              </w:rPr>
              <w:t>，五、</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14</w:t>
            </w:r>
            <w:r>
              <w:rPr>
                <w:rFonts w:ascii="宋体" w:hAnsi="宋体" w:cs="宋体" w:eastAsia="宋体" w:hint="default"/>
                <w:sz w:val="18"/>
                <w:szCs w:val="18"/>
              </w:rPr>
              <w:t>及</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447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ind w:right="3"/>
              <w:jc w:val="left"/>
              <w:rPr>
                <w:rFonts w:ascii="宋体" w:hAnsi="宋体" w:cs="宋体" w:eastAsia="宋体" w:hint="default"/>
                <w:sz w:val="18"/>
                <w:szCs w:val="18"/>
              </w:rPr>
            </w:pPr>
            <w:r>
              <w:rPr>
                <w:rFonts w:ascii="宋体" w:hAnsi="宋体" w:cs="宋体" w:eastAsia="宋体" w:hint="default"/>
                <w:sz w:val="18"/>
                <w:szCs w:val="18"/>
              </w:rPr>
              <w:t>我们获取并复核了管理层有关长期资产是否出现减值迹 </w:t>
            </w:r>
            <w:r>
              <w:rPr>
                <w:rFonts w:ascii="宋体" w:hAnsi="宋体" w:cs="宋体" w:eastAsia="宋体" w:hint="default"/>
                <w:spacing w:val="-3"/>
                <w:sz w:val="18"/>
                <w:szCs w:val="18"/>
              </w:rPr>
              <w:t>象的分析。针对存在减值迹象的长期资产，我们复核了管</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理层编制的未来净现值折现表，对管理层估计的每年的收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入增长率、折现率和减值测试方法等进行了评估，我们结</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合管理层去年编制的现金流量预测与本年实际经营数据 </w:t>
            </w:r>
            <w:r>
              <w:rPr>
                <w:rFonts w:ascii="宋体" w:hAnsi="宋体" w:cs="宋体" w:eastAsia="宋体" w:hint="default"/>
                <w:spacing w:val="-3"/>
                <w:sz w:val="18"/>
                <w:szCs w:val="18"/>
              </w:rPr>
              <w:t>的偏差，历史业绩情况及未来经营计划，对管理层编制的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在未来资产使用年限内现金流量预测进行评估。另外我们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2"/>
                <w:sz w:val="18"/>
                <w:szCs w:val="18"/>
              </w:rPr>
              <w:t>获取管理层的关店计划，复核截至报告日实际的店铺清单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与管理层于资产负债日的判断是否相符。同时，我们复核</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pacing w:val="-2"/>
                <w:sz w:val="18"/>
                <w:szCs w:val="18"/>
              </w:rPr>
              <w:t>管理层现金流预测敏感性分析，在调低收入和调高费用的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情况下未来现金流量的折现对长期资产可收回金额的影 </w:t>
            </w:r>
            <w:r>
              <w:rPr>
                <w:rFonts w:ascii="宋体" w:hAnsi="宋体" w:cs="宋体" w:eastAsia="宋体" w:hint="default"/>
                <w:spacing w:val="-3"/>
                <w:sz w:val="18"/>
                <w:szCs w:val="18"/>
              </w:rPr>
              <w:t>响。此外，我们检查了贵集团财务报表附注中相关披露的</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充分性和完整性。</w:t>
            </w:r>
          </w:p>
        </w:tc>
      </w:tr>
    </w:tbl>
    <w:p>
      <w:pPr>
        <w:spacing w:line="240" w:lineRule="auto" w:before="1"/>
        <w:rPr>
          <w:rFonts w:ascii="Times New Roman" w:hAnsi="Times New Roman" w:cs="Times New Roman" w:eastAsia="Times New Roman" w:hint="default"/>
          <w:sz w:val="28"/>
          <w:szCs w:val="28"/>
        </w:rPr>
      </w:pPr>
    </w:p>
    <w:tbl>
      <w:tblPr>
        <w:tblW w:w="0" w:type="auto"/>
        <w:jc w:val="left"/>
        <w:tblInd w:w="111" w:type="dxa"/>
        <w:tblLayout w:type="fixed"/>
        <w:tblCellMar>
          <w:top w:w="0" w:type="dxa"/>
          <w:left w:w="0" w:type="dxa"/>
          <w:bottom w:w="0" w:type="dxa"/>
          <w:right w:w="0" w:type="dxa"/>
        </w:tblCellMar>
        <w:tblLook w:val="01E0"/>
      </w:tblPr>
      <w:tblGrid>
        <w:gridCol w:w="5182"/>
        <w:gridCol w:w="4490"/>
      </w:tblGrid>
      <w:tr>
        <w:trPr>
          <w:trHeight w:val="345" w:hRule="exact"/>
        </w:trPr>
        <w:tc>
          <w:tcPr>
            <w:tcW w:w="5182" w:type="dxa"/>
            <w:tcBorders>
              <w:top w:val="single" w:sz="6" w:space="0" w:color="000000"/>
              <w:left w:val="single" w:sz="6" w:space="0" w:color="000000"/>
              <w:bottom w:val="single" w:sz="12" w:space="0" w:color="F1F1F1"/>
              <w:right w:val="single" w:sz="6" w:space="0" w:color="000000"/>
            </w:tcBorders>
            <w:shd w:val="clear" w:color="auto" w:fill="BEBEBE"/>
          </w:tcPr>
          <w:p>
            <w:pPr>
              <w:pStyle w:val="TableParagraph"/>
              <w:spacing w:line="240" w:lineRule="auto" w:before="7"/>
              <w:ind w:left="15" w:right="0"/>
              <w:jc w:val="left"/>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490" w:type="dxa"/>
            <w:tcBorders>
              <w:top w:val="single" w:sz="6" w:space="0" w:color="000000"/>
              <w:left w:val="single" w:sz="6" w:space="0" w:color="000000"/>
              <w:bottom w:val="single" w:sz="12" w:space="0" w:color="F1F1F1"/>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38" w:hRule="exact"/>
        </w:trPr>
        <w:tc>
          <w:tcPr>
            <w:tcW w:w="9672"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3"/>
              <w:ind w:left="1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收入确认</w:t>
            </w:r>
            <w:r>
              <w:rPr>
                <w:rFonts w:ascii="宋体" w:hAnsi="宋体" w:cs="宋体" w:eastAsia="宋体" w:hint="default"/>
                <w:sz w:val="18"/>
                <w:szCs w:val="18"/>
              </w:rPr>
            </w:r>
          </w:p>
        </w:tc>
      </w:tr>
      <w:tr>
        <w:trPr>
          <w:trHeight w:val="2222" w:hRule="exact"/>
        </w:trPr>
        <w:tc>
          <w:tcPr>
            <w:tcW w:w="518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29"/>
              <w:ind w:left="15" w:right="-9"/>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2019</w:t>
            </w:r>
            <w:r>
              <w:rPr>
                <w:rFonts w:ascii="宋体" w:hAnsi="宋体" w:cs="宋体" w:eastAsia="宋体" w:hint="default"/>
                <w:spacing w:val="-1"/>
                <w:sz w:val="18"/>
                <w:szCs w:val="18"/>
              </w:rPr>
              <w:t>年度合并财务报表营业收入为人民币</w:t>
            </w:r>
            <w:r>
              <w:rPr>
                <w:rFonts w:ascii="Times New Roman" w:hAnsi="Times New Roman" w:cs="Times New Roman" w:eastAsia="Times New Roman" w:hint="default"/>
                <w:spacing w:val="-1"/>
                <w:sz w:val="18"/>
                <w:szCs w:val="18"/>
              </w:rPr>
              <w:t>5,463,291,977</w:t>
            </w:r>
            <w:r>
              <w:rPr>
                <w:rFonts w:ascii="宋体" w:hAnsi="宋体" w:cs="宋体" w:eastAsia="宋体" w:hint="default"/>
                <w:spacing w:val="-1"/>
                <w:sz w:val="18"/>
                <w:szCs w:val="18"/>
              </w:rPr>
              <w:t>元，其中零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1"/>
                <w:sz w:val="18"/>
                <w:szCs w:val="18"/>
              </w:rPr>
              <w:t>售业务收入金额为人民币</w:t>
            </w:r>
            <w:r>
              <w:rPr>
                <w:rFonts w:ascii="Times New Roman" w:hAnsi="Times New Roman" w:cs="Times New Roman" w:eastAsia="Times New Roman" w:hint="default"/>
                <w:spacing w:val="-1"/>
                <w:sz w:val="18"/>
                <w:szCs w:val="18"/>
              </w:rPr>
              <w:t>3,335,644,212</w:t>
            </w:r>
            <w:r>
              <w:rPr>
                <w:rFonts w:ascii="宋体" w:hAnsi="宋体" w:cs="宋体" w:eastAsia="宋体" w:hint="default"/>
                <w:spacing w:val="-1"/>
                <w:sz w:val="18"/>
                <w:szCs w:val="18"/>
              </w:rPr>
              <w:t>元，批发业务收入金额为人</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pacing w:val="-1"/>
                <w:sz w:val="18"/>
                <w:szCs w:val="18"/>
              </w:rPr>
              <w:t>民币</w:t>
            </w:r>
            <w:r>
              <w:rPr>
                <w:rFonts w:ascii="Times New Roman" w:hAnsi="Times New Roman" w:cs="Times New Roman" w:eastAsia="Times New Roman" w:hint="default"/>
                <w:spacing w:val="-1"/>
                <w:sz w:val="18"/>
                <w:szCs w:val="18"/>
              </w:rPr>
              <w:t>2,074,125,341</w:t>
            </w:r>
            <w:r>
              <w:rPr>
                <w:rFonts w:ascii="宋体" w:hAnsi="宋体" w:cs="宋体" w:eastAsia="宋体" w:hint="default"/>
                <w:spacing w:val="-1"/>
                <w:sz w:val="18"/>
                <w:szCs w:val="18"/>
              </w:rPr>
              <w:t>元，零售业务主要通过直营店、专柜和电商平台</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销售服饰产品获取的收入，批发业务主要为向加盟商销售服饰产品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获取的收入。根据贵集团的收入确认政策，于风险报酬转移时确认</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收入。由于零售收入零星、分散、客单量大，而加盟商众多且业务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6"/>
                <w:sz w:val="18"/>
                <w:szCs w:val="18"/>
              </w:rPr>
              <w:t>模式复杂、业务交易发生频繁，收入确认存在重大判断及错报风险</w:t>
            </w:r>
          </w:p>
        </w:tc>
        <w:tc>
          <w:tcPr>
            <w:tcW w:w="449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4"/>
              <w:ind w:right="-25"/>
              <w:jc w:val="left"/>
              <w:rPr>
                <w:rFonts w:ascii="宋体" w:hAnsi="宋体" w:cs="宋体" w:eastAsia="宋体" w:hint="default"/>
                <w:sz w:val="18"/>
                <w:szCs w:val="18"/>
              </w:rPr>
            </w:pPr>
            <w:r>
              <w:rPr>
                <w:rFonts w:ascii="宋体" w:hAnsi="宋体" w:cs="宋体" w:eastAsia="宋体" w:hint="default"/>
                <w:sz w:val="18"/>
                <w:szCs w:val="18"/>
              </w:rPr>
              <w:t>我们了解及评估管理层对零售及批发收入相关的内部控 制的设计，并测试关键控制执行的有效性。我们对零售及 批发收入执行分析性复核程序。我们获取了加盟商清单， 抽样检查了与加盟商签订的合同。我们通过抽查发货记 </w:t>
            </w:r>
            <w:r>
              <w:rPr>
                <w:rFonts w:ascii="宋体" w:hAnsi="宋体" w:cs="宋体" w:eastAsia="宋体" w:hint="default"/>
                <w:spacing w:val="-2"/>
                <w:sz w:val="18"/>
                <w:szCs w:val="18"/>
              </w:rPr>
              <w:t>录、物流记录等原始单据执行了零售及批发收入确认细节</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测试。我们抽样选取若干加盟店铺执行实地走访，与加盟</w:t>
            </w:r>
            <w:r>
              <w:rPr>
                <w:rFonts w:ascii="宋体" w:hAnsi="宋体" w:cs="宋体" w:eastAsia="宋体" w:hint="default"/>
                <w:sz w:val="18"/>
                <w:szCs w:val="18"/>
              </w:rPr>
              <w:t> 商进行访谈，核实收入确认的真实性。我们抽样向加盟商</w:t>
            </w:r>
          </w:p>
        </w:tc>
      </w:tr>
    </w:tbl>
    <w:p>
      <w:pPr>
        <w:spacing w:after="0" w:line="319"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6"/>
          <w:szCs w:val="16"/>
        </w:rPr>
      </w:pPr>
    </w:p>
    <w:p>
      <w:pPr>
        <w:pStyle w:val="BodyText"/>
        <w:spacing w:line="240" w:lineRule="auto"/>
        <w:ind w:left="0" w:right="1056"/>
        <w:jc w:val="right"/>
      </w:pPr>
      <w:r>
        <w:rPr/>
        <w:pict>
          <v:shape style="position:absolute;margin-left:55.575001pt;margin-top:-254.458267pt;width:484.75pt;height:302.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82"/>
                    <w:gridCol w:w="4490"/>
                  </w:tblGrid>
                  <w:tr>
                    <w:trPr>
                      <w:trHeight w:val="1906" w:hRule="exact"/>
                    </w:trPr>
                    <w:tc>
                      <w:tcPr>
                        <w:tcW w:w="51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5" w:right="-15"/>
                          <w:jc w:val="left"/>
                          <w:rPr>
                            <w:rFonts w:ascii="宋体" w:hAnsi="宋体" w:cs="宋体" w:eastAsia="宋体" w:hint="default"/>
                            <w:sz w:val="18"/>
                            <w:szCs w:val="18"/>
                          </w:rPr>
                        </w:pPr>
                        <w:r>
                          <w:rPr>
                            <w:rFonts w:ascii="宋体" w:hAnsi="宋体" w:cs="宋体" w:eastAsia="宋体" w:hint="default"/>
                            <w:sz w:val="18"/>
                            <w:szCs w:val="18"/>
                          </w:rPr>
                          <w:t>因此我们将收入确认认定为关键审计事项。</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5" w:right="-15"/>
                          <w:jc w:val="left"/>
                          <w:rPr>
                            <w:rFonts w:ascii="宋体" w:hAnsi="宋体" w:cs="宋体" w:eastAsia="宋体" w:hint="default"/>
                            <w:sz w:val="18"/>
                            <w:szCs w:val="18"/>
                          </w:rPr>
                        </w:pPr>
                        <w:r>
                          <w:rPr>
                            <w:rFonts w:ascii="宋体" w:hAnsi="宋体" w:cs="宋体" w:eastAsia="宋体" w:hint="default"/>
                            <w:sz w:val="18"/>
                            <w:szCs w:val="18"/>
                          </w:rPr>
                          <w:t>关于营业收入的披露请见财务报表附注三</w:t>
                        </w:r>
                        <w:r>
                          <w:rPr>
                            <w:rFonts w:ascii="宋体" w:hAnsi="宋体" w:cs="宋体" w:eastAsia="宋体" w:hint="default"/>
                            <w:spacing w:val="-42"/>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及</w:t>
                        </w:r>
                        <w:r>
                          <w:rPr>
                            <w:rFonts w:ascii="Times New Roman" w:hAnsi="Times New Roman" w:cs="Times New Roman" w:eastAsia="Times New Roman" w:hint="default"/>
                            <w:sz w:val="18"/>
                            <w:szCs w:val="18"/>
                          </w:rPr>
                          <w:t>27</w:t>
                        </w:r>
                        <w:r>
                          <w:rPr>
                            <w:rFonts w:ascii="宋体" w:hAnsi="宋体" w:cs="宋体" w:eastAsia="宋体" w:hint="default"/>
                            <w:spacing w:val="-45"/>
                            <w:sz w:val="18"/>
                            <w:szCs w:val="18"/>
                          </w:rPr>
                          <w:t>，</w:t>
                        </w:r>
                        <w:r>
                          <w:rPr>
                            <w:rFonts w:ascii="宋体" w:hAnsi="宋体" w:cs="宋体" w:eastAsia="宋体" w:hint="default"/>
                            <w:sz w:val="18"/>
                            <w:szCs w:val="18"/>
                          </w:rPr>
                          <w:t>五</w:t>
                        </w:r>
                        <w:r>
                          <w:rPr>
                            <w:rFonts w:ascii="宋体" w:hAnsi="宋体" w:cs="宋体" w:eastAsia="宋体" w:hint="default"/>
                            <w:spacing w:val="-45"/>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5"/>
                            <w:sz w:val="18"/>
                            <w:szCs w:val="18"/>
                          </w:rPr>
                          <w:t>0</w:t>
                        </w:r>
                        <w:r>
                          <w:rPr>
                            <w:rFonts w:ascii="宋体" w:hAnsi="宋体" w:cs="宋体" w:eastAsia="宋体" w:hint="default"/>
                            <w:spacing w:val="-45"/>
                            <w:sz w:val="18"/>
                            <w:szCs w:val="18"/>
                          </w:rPr>
                          <w:t>、</w:t>
                        </w:r>
                        <w:r>
                          <w:rPr>
                            <w:rFonts w:ascii="宋体" w:hAnsi="宋体" w:cs="宋体" w:eastAsia="宋体" w:hint="default"/>
                            <w:sz w:val="18"/>
                            <w:szCs w:val="18"/>
                          </w:rPr>
                          <w:t>十三</w:t>
                        </w:r>
                        <w:r>
                          <w:rPr>
                            <w:rFonts w:ascii="宋体" w:hAnsi="宋体" w:cs="宋体" w:eastAsia="宋体" w:hint="default"/>
                            <w:spacing w:val="-74"/>
                            <w:sz w:val="18"/>
                            <w:szCs w:val="18"/>
                          </w:rPr>
                          <w:t>、</w:t>
                        </w:r>
                        <w:r>
                          <w:rPr>
                            <w:rFonts w:ascii="宋体" w:hAnsi="宋体" w:cs="宋体" w:eastAsia="宋体" w:hint="default"/>
                            <w:sz w:val="18"/>
                            <w:szCs w:val="18"/>
                          </w:rPr>
                        </w:r>
                      </w:p>
                      <w:p>
                        <w:pPr>
                          <w:pStyle w:val="TableParagraph"/>
                          <w:spacing w:line="240" w:lineRule="auto" w:before="6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449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4"/>
                          <w:ind w:right="1"/>
                          <w:jc w:val="both"/>
                          <w:rPr>
                            <w:rFonts w:ascii="宋体" w:hAnsi="宋体" w:cs="宋体" w:eastAsia="宋体" w:hint="default"/>
                            <w:sz w:val="18"/>
                            <w:szCs w:val="18"/>
                          </w:rPr>
                        </w:pPr>
                        <w:r>
                          <w:rPr>
                            <w:rFonts w:ascii="宋体" w:hAnsi="宋体" w:cs="宋体" w:eastAsia="宋体" w:hint="default"/>
                            <w:spacing w:val="-2"/>
                            <w:sz w:val="18"/>
                            <w:szCs w:val="18"/>
                          </w:rPr>
                          <w:t>函证了收入金额，并就未回函部分执行替代测试。我们对</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零售及批发收入的销售执行截止性测试，查看期后应收账</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款的回款情况。我们获取并复核管理层对退货估计的计算</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表，结合销售协议相关约定、历史退货情况等评估管理层</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估计销售退回金额的合理性。此外，我们检查了贵集团财</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务报表附注中相关披露的充分性和完整性。</w:t>
                        </w:r>
                      </w:p>
                    </w:tc>
                  </w:tr>
                  <w:tr>
                    <w:trPr>
                      <w:trHeight w:val="345" w:hRule="exact"/>
                    </w:trPr>
                    <w:tc>
                      <w:tcPr>
                        <w:tcW w:w="9672" w:type="dxa"/>
                        <w:gridSpan w:val="2"/>
                        <w:tcBorders>
                          <w:top w:val="single" w:sz="6" w:space="0" w:color="000000"/>
                          <w:left w:val="single" w:sz="6" w:space="0" w:color="000000"/>
                          <w:bottom w:val="single" w:sz="6" w:space="0" w:color="000000"/>
                          <w:right w:val="single" w:sz="6" w:space="0" w:color="000000"/>
                        </w:tcBorders>
                        <w:shd w:val="clear" w:color="auto" w:fill="F1F1F1"/>
                      </w:tcPr>
                      <w:p>
                        <w:pPr>
                          <w:pStyle w:val="TableParagraph"/>
                          <w:spacing w:line="240" w:lineRule="auto" w:before="29"/>
                          <w:ind w:left="15"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应收账款坏账准备</w:t>
                        </w:r>
                        <w:r>
                          <w:rPr>
                            <w:rFonts w:ascii="宋体" w:hAnsi="宋体" w:cs="宋体" w:eastAsia="宋体" w:hint="default"/>
                            <w:sz w:val="18"/>
                            <w:szCs w:val="18"/>
                          </w:rPr>
                        </w:r>
                      </w:p>
                    </w:tc>
                  </w:tr>
                  <w:tr>
                    <w:trPr>
                      <w:trHeight w:val="3783" w:hRule="exact"/>
                    </w:trPr>
                    <w:tc>
                      <w:tcPr>
                        <w:tcW w:w="5182"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9"/>
                          <w:ind w:left="15" w:right="-15"/>
                          <w:jc w:val="both"/>
                          <w:rPr>
                            <w:rFonts w:ascii="宋体" w:hAnsi="宋体" w:cs="宋体" w:eastAsia="宋体" w:hint="default"/>
                            <w:sz w:val="18"/>
                            <w:szCs w:val="18"/>
                          </w:rPr>
                        </w:pPr>
                        <w:r>
                          <w:rPr>
                            <w:rFonts w:ascii="宋体" w:hAnsi="宋体" w:cs="宋体" w:eastAsia="宋体" w:hint="default"/>
                            <w:sz w:val="18"/>
                            <w:szCs w:val="18"/>
                          </w:rPr>
                          <w:t>截至</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日，应收账款账面余额为人民币</w:t>
                        </w:r>
                        <w:r>
                          <w:rPr>
                            <w:rFonts w:ascii="Times New Roman" w:hAnsi="Times New Roman" w:cs="Times New Roman" w:eastAsia="Times New Roman" w:hint="default"/>
                            <w:sz w:val="18"/>
                            <w:szCs w:val="18"/>
                          </w:rPr>
                          <w:t>1,135,161,189 </w:t>
                        </w:r>
                        <w:r>
                          <w:rPr>
                            <w:rFonts w:ascii="宋体" w:hAnsi="宋体" w:cs="宋体" w:eastAsia="宋体" w:hint="default"/>
                            <w:spacing w:val="-2"/>
                            <w:sz w:val="18"/>
                            <w:szCs w:val="18"/>
                          </w:rPr>
                          <w:t>元，计提坏账准备为人民币</w:t>
                        </w:r>
                        <w:r>
                          <w:rPr>
                            <w:rFonts w:ascii="Times New Roman" w:hAnsi="Times New Roman" w:cs="Times New Roman" w:eastAsia="Times New Roman" w:hint="default"/>
                            <w:spacing w:val="-2"/>
                            <w:sz w:val="18"/>
                            <w:szCs w:val="18"/>
                          </w:rPr>
                          <w:t>202,479,167</w:t>
                        </w:r>
                        <w:r>
                          <w:rPr>
                            <w:rFonts w:ascii="宋体" w:hAnsi="宋体" w:cs="宋体" w:eastAsia="宋体" w:hint="default"/>
                            <w:spacing w:val="-2"/>
                            <w:sz w:val="18"/>
                            <w:szCs w:val="18"/>
                          </w:rPr>
                          <w:t>元。贵集团应收账款主要来</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2"/>
                            <w:sz w:val="18"/>
                            <w:szCs w:val="18"/>
                          </w:rPr>
                          <w:t>自加盟商，其运营绩效和财务能力将直接影响其应收账款的偿还。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3"/>
                            <w:sz w:val="18"/>
                            <w:szCs w:val="18"/>
                          </w:rPr>
                          <w:t>贵集团以存续期内预期信用损失金额计提应收账款坏账准备。管理</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3"/>
                            <w:sz w:val="18"/>
                            <w:szCs w:val="18"/>
                          </w:rPr>
                          <w:t>层运用判断评估预期信用损失。在估计预期信用损失时，应收账款</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3"/>
                            <w:sz w:val="18"/>
                            <w:szCs w:val="18"/>
                          </w:rPr>
                          <w:t>根据不同客户的风险特征分组计提坏账准备。预期信用损失率基于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类似应收账款的历史损失经验，并根据前瞻性信息做出调整。</w:t>
                        </w: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5" w:right="0"/>
                          <w:jc w:val="both"/>
                          <w:rPr>
                            <w:rFonts w:ascii="宋体" w:hAnsi="宋体" w:cs="宋体" w:eastAsia="宋体" w:hint="default"/>
                            <w:sz w:val="18"/>
                            <w:szCs w:val="18"/>
                          </w:rPr>
                        </w:pPr>
                        <w:r>
                          <w:rPr>
                            <w:rFonts w:ascii="宋体" w:hAnsi="宋体" w:cs="宋体" w:eastAsia="宋体" w:hint="default"/>
                            <w:sz w:val="18"/>
                            <w:szCs w:val="18"/>
                          </w:rPr>
                          <w:t>关于应收账款的披露请见财务报表附注三、</w:t>
                        </w:r>
                        <w:r>
                          <w:rPr>
                            <w:rFonts w:ascii="Times New Roman" w:hAnsi="Times New Roman" w:cs="Times New Roman" w:eastAsia="Times New Roman" w:hint="default"/>
                            <w:sz w:val="18"/>
                            <w:szCs w:val="18"/>
                          </w:rPr>
                          <w:t>7</w:t>
                        </w:r>
                        <w:r>
                          <w:rPr>
                            <w:rFonts w:ascii="宋体" w:hAnsi="宋体" w:cs="宋体" w:eastAsia="宋体" w:hint="default"/>
                            <w:sz w:val="18"/>
                            <w:szCs w:val="18"/>
                          </w:rPr>
                          <w:t>及</w:t>
                        </w:r>
                        <w:r>
                          <w:rPr>
                            <w:rFonts w:ascii="Times New Roman" w:hAnsi="Times New Roman" w:cs="Times New Roman" w:eastAsia="Times New Roman" w:hint="default"/>
                            <w:sz w:val="18"/>
                            <w:szCs w:val="18"/>
                          </w:rPr>
                          <w:t>27</w:t>
                        </w:r>
                        <w:r>
                          <w:rPr>
                            <w:rFonts w:ascii="宋体" w:hAnsi="宋体" w:cs="宋体" w:eastAsia="宋体" w:hint="default"/>
                            <w:sz w:val="18"/>
                            <w:szCs w:val="18"/>
                          </w:rPr>
                          <w:t>，五、</w:t>
                        </w:r>
                        <w:r>
                          <w:rPr>
                            <w:rFonts w:ascii="Times New Roman" w:hAnsi="Times New Roman" w:cs="Times New Roman" w:eastAsia="Times New Roman" w:hint="default"/>
                            <w:sz w:val="18"/>
                            <w:szCs w:val="18"/>
                          </w:rPr>
                          <w:t>2</w:t>
                        </w:r>
                        <w:r>
                          <w:rPr>
                            <w:rFonts w:ascii="宋体" w:hAnsi="宋体" w:cs="宋体" w:eastAsia="宋体" w:hint="default"/>
                            <w:sz w:val="18"/>
                            <w:szCs w:val="18"/>
                          </w:rPr>
                          <w:t>及</w:t>
                        </w:r>
                        <w:r>
                          <w:rPr>
                            <w:rFonts w:ascii="Times New Roman" w:hAnsi="Times New Roman" w:cs="Times New Roman" w:eastAsia="Times New Roman" w:hint="default"/>
                            <w:sz w:val="18"/>
                            <w:szCs w:val="18"/>
                          </w:rPr>
                          <w:t>17</w:t>
                        </w:r>
                        <w:r>
                          <w:rPr>
                            <w:rFonts w:ascii="宋体" w:hAnsi="宋体" w:cs="宋体" w:eastAsia="宋体" w:hint="default"/>
                            <w:sz w:val="18"/>
                            <w:szCs w:val="18"/>
                          </w:rPr>
                          <w:t>。</w:t>
                        </w:r>
                      </w:p>
                    </w:tc>
                    <w:tc>
                      <w:tcPr>
                        <w:tcW w:w="4490"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4"/>
                          <w:ind w:right="1"/>
                          <w:jc w:val="left"/>
                          <w:rPr>
                            <w:rFonts w:ascii="宋体" w:hAnsi="宋体" w:cs="宋体" w:eastAsia="宋体" w:hint="default"/>
                            <w:sz w:val="18"/>
                            <w:szCs w:val="18"/>
                          </w:rPr>
                        </w:pPr>
                        <w:r>
                          <w:rPr>
                            <w:rFonts w:ascii="宋体" w:hAnsi="宋体" w:cs="宋体" w:eastAsia="宋体" w:hint="default"/>
                            <w:sz w:val="18"/>
                            <w:szCs w:val="18"/>
                          </w:rPr>
                          <w:t>我们了解并评估管理层对于应收账款坏账准备估计和计 </w:t>
                        </w:r>
                        <w:r>
                          <w:rPr>
                            <w:rFonts w:ascii="宋体" w:hAnsi="宋体" w:cs="宋体" w:eastAsia="宋体" w:hint="default"/>
                            <w:spacing w:val="-2"/>
                            <w:sz w:val="18"/>
                            <w:szCs w:val="18"/>
                          </w:rPr>
                          <w:t>提相关的内部控制的设计。我们查询并对比了同行业坏账</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准备计提政策，评估管理层制定坏账政策的合理性，评估</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管理层对应收账款预期信用损失估计的合理性，具体考虑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基于前瞻性因素修正后的损失率。我们获取并检查了管理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层编制的应收账款坏账准备计算表，复核管理层计提坏账</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准备时作出会计估计的依据，考虑客户的财务状况、逾期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情况，检查并分析应收账款的期后回款情况，判断其坏账</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计提的合理性。我们对应收账款余额执行实质性分析程 </w:t>
                        </w:r>
                        <w:r>
                          <w:rPr>
                            <w:rFonts w:ascii="宋体" w:hAnsi="宋体" w:cs="宋体" w:eastAsia="宋体" w:hint="default"/>
                            <w:spacing w:val="-6"/>
                            <w:sz w:val="18"/>
                            <w:szCs w:val="18"/>
                          </w:rPr>
                          <w:t>序，抽样进行函证，并就未回函部分执行替代测试。此外</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我们检查了贵集团财务报表附注中相关披露的充分性和 完整性。</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5"/>
          <w:szCs w:val="15"/>
        </w:rPr>
      </w:pPr>
    </w:p>
    <w:p>
      <w:pPr>
        <w:pStyle w:val="BodyText"/>
        <w:spacing w:line="240" w:lineRule="auto"/>
        <w:ind w:left="621" w:right="0"/>
        <w:jc w:val="left"/>
      </w:pPr>
      <w:r>
        <w:rPr/>
        <w:t>四、其他信息</w:t>
      </w:r>
    </w:p>
    <w:p>
      <w:pPr>
        <w:spacing w:line="240" w:lineRule="auto" w:before="0"/>
        <w:rPr>
          <w:rFonts w:ascii="宋体" w:hAnsi="宋体" w:cs="宋体" w:eastAsia="宋体" w:hint="default"/>
          <w:sz w:val="18"/>
          <w:szCs w:val="18"/>
        </w:rPr>
      </w:pPr>
    </w:p>
    <w:p>
      <w:pPr>
        <w:pStyle w:val="BodyText"/>
        <w:spacing w:line="321" w:lineRule="auto" w:before="159"/>
        <w:ind w:right="0" w:firstLine="480"/>
        <w:jc w:val="left"/>
      </w:pPr>
      <w:r>
        <w:rPr>
          <w:spacing w:val="-1"/>
        </w:rPr>
        <w:t>上海美特斯邦威服饰股份有限公司管理层对其他信息负责。其他信息包括年度报告中涵盖的信息，但不包括财务报表</w:t>
      </w:r>
      <w:r>
        <w:rPr/>
        <w:t> 和我们的审计报告。</w:t>
      </w:r>
    </w:p>
    <w:p>
      <w:pPr>
        <w:pStyle w:val="BodyText"/>
        <w:spacing w:line="630" w:lineRule="exact" w:before="25"/>
        <w:ind w:left="621" w:right="1089"/>
        <w:jc w:val="left"/>
      </w:pPr>
      <w:r>
        <w:rPr/>
        <w:t>我们对财务报表发表的审计意见不涵盖其他信息，我们也不对其他信息发表任何形式的鉴证结论。</w:t>
      </w:r>
      <w:r>
        <w:rPr>
          <w:spacing w:val="-85"/>
        </w:rPr>
        <w:t> </w:t>
      </w:r>
      <w:r>
        <w:rPr>
          <w:spacing w:val="-85"/>
        </w:rPr>
      </w:r>
      <w:r>
        <w:rPr/>
        <w:t>结合我们对财务报表的审计，我们的责任是阅读其他信息，在此过程中，考虑其他信息是否与财务报表或我们在审计</w:t>
      </w:r>
    </w:p>
    <w:p>
      <w:pPr>
        <w:pStyle w:val="BodyText"/>
        <w:spacing w:line="215" w:lineRule="exact"/>
        <w:ind w:right="0"/>
        <w:jc w:val="left"/>
      </w:pPr>
      <w:r>
        <w:rPr/>
        <w:t>过程中了解到的情况存在重大不一致或者似乎存在重大错报。</w:t>
      </w:r>
    </w:p>
    <w:p>
      <w:pPr>
        <w:spacing w:line="240" w:lineRule="auto" w:before="0"/>
        <w:rPr>
          <w:rFonts w:ascii="宋体" w:hAnsi="宋体" w:cs="宋体" w:eastAsia="宋体" w:hint="default"/>
          <w:sz w:val="18"/>
          <w:szCs w:val="18"/>
        </w:rPr>
      </w:pPr>
    </w:p>
    <w:p>
      <w:pPr>
        <w:pStyle w:val="BodyText"/>
        <w:spacing w:line="321" w:lineRule="auto" w:before="144"/>
        <w:ind w:right="1089" w:firstLine="480"/>
        <w:jc w:val="left"/>
      </w:pPr>
      <w:r>
        <w:rPr/>
        <w:t>基于我们已执行的工作，如果我们确定其他信息存在重大错报，我们应当报告该事实。在这方面，我们无任何事项需 要报告。</w:t>
      </w:r>
    </w:p>
    <w:p>
      <w:pPr>
        <w:pStyle w:val="BodyText"/>
        <w:spacing w:line="616" w:lineRule="exact" w:before="51"/>
        <w:ind w:left="621" w:right="1089"/>
        <w:jc w:val="left"/>
      </w:pPr>
      <w:r>
        <w:rPr/>
        <w:t>五、管理层和治理层对财务报表的责任 管理层负责按照企业会计准则的规定编制财务报表，使其实现公允反映，并设计、执行和维护必要的内部控制，以使</w:t>
      </w:r>
    </w:p>
    <w:p>
      <w:pPr>
        <w:pStyle w:val="BodyText"/>
        <w:spacing w:line="217" w:lineRule="exact"/>
        <w:ind w:right="0"/>
        <w:jc w:val="left"/>
      </w:pPr>
      <w:r>
        <w:rPr/>
        <w:t>财务报表不存在由于舞弊或错误导致的重大错报。</w:t>
      </w:r>
    </w:p>
    <w:p>
      <w:pPr>
        <w:spacing w:line="240" w:lineRule="auto" w:before="0"/>
        <w:rPr>
          <w:rFonts w:ascii="宋体" w:hAnsi="宋体" w:cs="宋体" w:eastAsia="宋体" w:hint="default"/>
          <w:sz w:val="18"/>
          <w:szCs w:val="18"/>
        </w:rPr>
      </w:pPr>
    </w:p>
    <w:p>
      <w:pPr>
        <w:pStyle w:val="BodyText"/>
        <w:spacing w:line="240" w:lineRule="auto" w:before="159"/>
        <w:ind w:left="621" w:right="0"/>
        <w:jc w:val="left"/>
      </w:pPr>
      <w:r>
        <w:rPr/>
        <w:t>在编制财务报表时，管理层负责评估上海美特斯邦威服饰股份有限公司的持续经营能力，披露与持续经营相关的事项</w:t>
      </w:r>
    </w:p>
    <w:p>
      <w:pPr>
        <w:pStyle w:val="BodyText"/>
        <w:spacing w:line="592" w:lineRule="auto" w:before="80"/>
        <w:ind w:left="621" w:right="3790" w:hanging="481"/>
        <w:jc w:val="left"/>
      </w:pP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，并运用持续经营假设，除非计划进行清算、终止运营或别无其他现实的选择。</w:t>
      </w:r>
      <w:r>
        <w:rPr>
          <w:w w:val="99"/>
        </w:rPr>
        <w:t> </w:t>
      </w:r>
      <w:r>
        <w:rPr/>
        <w:t>治理层负责监督上海美特斯邦威服饰股份有限公司的财务报告过程。</w:t>
      </w:r>
    </w:p>
    <w:p>
      <w:pPr>
        <w:pStyle w:val="BodyText"/>
        <w:spacing w:line="240" w:lineRule="auto" w:before="130"/>
        <w:ind w:left="621" w:right="0"/>
        <w:jc w:val="left"/>
      </w:pPr>
      <w:r>
        <w:rPr/>
        <w:t>六、注册会计师对财务报表审计的责任</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before="44"/>
        <w:ind w:right="1120" w:firstLine="480"/>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75"/>
        </w:rPr>
        <w:t> </w:t>
      </w:r>
      <w:r>
        <w:rPr>
          <w:spacing w:val="-75"/>
        </w:rPr>
      </w:r>
      <w:r>
        <w:rPr>
          <w:spacing w:val="-2"/>
        </w:rPr>
        <w:t>弊或错误导致，如果合理预期错报单独或汇总起来可能影响财务报表使用者依据财务报表作出的经济决策，则通常认为错报</w:t>
      </w:r>
      <w:r>
        <w:rPr>
          <w:spacing w:val="-70"/>
        </w:rPr>
        <w:t> </w:t>
      </w:r>
      <w:r>
        <w:rPr>
          <w:spacing w:val="-70"/>
        </w:rPr>
      </w:r>
      <w:r>
        <w:rPr/>
        <w:t>是重大的。</w:t>
      </w:r>
    </w:p>
    <w:p>
      <w:pPr>
        <w:spacing w:line="240" w:lineRule="auto" w:before="10"/>
        <w:rPr>
          <w:rFonts w:ascii="宋体" w:hAnsi="宋体" w:cs="宋体" w:eastAsia="宋体" w:hint="default"/>
          <w:sz w:val="25"/>
          <w:szCs w:val="25"/>
        </w:rPr>
      </w:pPr>
    </w:p>
    <w:p>
      <w:pPr>
        <w:pStyle w:val="BodyText"/>
        <w:spacing w:line="240" w:lineRule="auto"/>
        <w:ind w:left="621" w:right="0"/>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97" w:lineRule="auto"/>
        <w:ind w:right="1136" w:firstLine="75"/>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t>识别和评估由于舞弊或错误导致的财务报表重大错报风险，设计和实施审计程序以应对这些风险，并获取充分、适当</w:t>
      </w:r>
      <w:r>
        <w:rPr>
          <w:w w:val="99"/>
        </w:rPr>
        <w:t> </w:t>
      </w:r>
      <w:r>
        <w:rPr>
          <w:spacing w:val="-2"/>
        </w:rPr>
        <w:t>的审计证据，作为发表审计意见的基础。由于舞弊可能涉及串通、伪造、故意遗漏、虚假陈述或凌驾于内部控制之上，未能</w:t>
      </w:r>
      <w:r>
        <w:rPr>
          <w:spacing w:val="-73"/>
        </w:rPr>
        <w:t> </w:t>
      </w:r>
      <w:r>
        <w:rPr>
          <w:spacing w:val="-73"/>
        </w:rPr>
      </w:r>
      <w:r>
        <w:rPr/>
        <w:t>发现由于舞弊导致的重大错报的风险高于未能发现由于错误导致的重大错报的风险。</w:t>
      </w:r>
    </w:p>
    <w:p>
      <w:pPr>
        <w:pStyle w:val="BodyText"/>
        <w:spacing w:line="240" w:lineRule="auto" w:before="51"/>
        <w:ind w:left="216" w:right="0"/>
        <w:jc w:val="both"/>
      </w:pPr>
      <w:r>
        <w:rPr>
          <w:rFonts w:ascii="Times New Roman" w:hAnsi="Times New Roman" w:cs="Times New Roman" w:eastAsia="Times New Roman" w:hint="default"/>
        </w:rPr>
        <w:t>(2) </w:t>
      </w:r>
      <w:r>
        <w:rPr>
          <w:rFonts w:ascii="Times New Roman" w:hAnsi="Times New Roman" w:cs="Times New Roman" w:eastAsia="Times New Roman" w:hint="default"/>
          <w:spacing w:val="44"/>
        </w:rPr>
        <w:t> </w:t>
      </w:r>
      <w:r>
        <w:rPr/>
        <w:t>了解与审计相关的内部控制，以设计恰当的审计程序，但目的并非对内部控制的有效性发表意见。</w:t>
      </w:r>
    </w:p>
    <w:p>
      <w:pPr>
        <w:pStyle w:val="BodyText"/>
        <w:spacing w:line="240" w:lineRule="auto" w:before="66"/>
        <w:ind w:left="216" w:right="0"/>
        <w:jc w:val="both"/>
      </w:pPr>
      <w:r>
        <w:rPr>
          <w:rFonts w:ascii="Times New Roman" w:hAnsi="Times New Roman" w:cs="Times New Roman" w:eastAsia="Times New Roman" w:hint="default"/>
        </w:rPr>
        <w:t>(3) </w:t>
      </w:r>
      <w:r>
        <w:rPr>
          <w:rFonts w:ascii="Times New Roman" w:hAnsi="Times New Roman" w:cs="Times New Roman" w:eastAsia="Times New Roman" w:hint="default"/>
          <w:spacing w:val="44"/>
        </w:rPr>
        <w:t> </w:t>
      </w:r>
      <w:r>
        <w:rPr/>
        <w:t>评价管理层选用会计政策的恰当性和作出会计估计及相关披露的合理性。</w:t>
      </w:r>
    </w:p>
    <w:p>
      <w:pPr>
        <w:pStyle w:val="BodyText"/>
        <w:spacing w:line="297" w:lineRule="auto" w:before="66"/>
        <w:ind w:right="1121" w:firstLine="75"/>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24"/>
        </w:rPr>
        <w:t> </w:t>
      </w:r>
      <w:r>
        <w:rPr/>
        <w:t>对管理层使用持续经营假设的恰当性得出结论。同时，根据获取的审计证据，就可能导致对上海美特斯邦威服饰股份</w:t>
      </w:r>
      <w:r>
        <w:rPr>
          <w:w w:val="99"/>
        </w:rPr>
        <w:t> </w:t>
      </w:r>
      <w:r>
        <w:rPr>
          <w:spacing w:val="-2"/>
          <w:w w:val="99"/>
        </w:rPr>
        <w:t>有限公司持续经营能力产生重大疑虑的事项或情况是否存在重大不确定性得出结论。如果我们得出结论认为存在重大不确定</w:t>
      </w:r>
      <w:r>
        <w:rPr>
          <w:spacing w:val="-58"/>
          <w:w w:val="99"/>
        </w:rPr>
        <w:t> </w:t>
      </w:r>
      <w:r>
        <w:rPr>
          <w:spacing w:val="-58"/>
          <w:w w:val="99"/>
        </w:rPr>
      </w:r>
      <w:r>
        <w:rPr>
          <w:spacing w:val="-2"/>
        </w:rPr>
        <w:t>性，审计准则要求我们在审计报告中提请报表使用者注意财务报表中的相关披露；如果披露不充分，我们应当发表非无保留</w:t>
      </w:r>
    </w:p>
    <w:p>
      <w:pPr>
        <w:pStyle w:val="BodyText"/>
        <w:spacing w:line="321" w:lineRule="auto" w:before="36"/>
        <w:ind w:right="1134"/>
        <w:jc w:val="both"/>
      </w:pPr>
      <w:r>
        <w:rPr>
          <w:spacing w:val="-2"/>
        </w:rPr>
        <w:t>意见。我们的结论基于截至审计报告日可获得的信息。然而，未来的事项或情况可能导致上海美特斯邦威服饰股份有限公司</w:t>
      </w:r>
      <w:r>
        <w:rPr>
          <w:spacing w:val="-73"/>
        </w:rPr>
        <w:t> </w:t>
      </w:r>
      <w:r>
        <w:rPr>
          <w:spacing w:val="-73"/>
        </w:rPr>
      </w:r>
      <w:r>
        <w:rPr/>
        <w:t>不能持续经营。</w:t>
      </w:r>
    </w:p>
    <w:p>
      <w:pPr>
        <w:pStyle w:val="BodyText"/>
        <w:spacing w:line="240" w:lineRule="auto" w:before="33"/>
        <w:ind w:left="216" w:right="0"/>
        <w:jc w:val="both"/>
      </w:pPr>
      <w:r>
        <w:rPr>
          <w:rFonts w:ascii="Times New Roman" w:hAnsi="Times New Roman" w:cs="Times New Roman" w:eastAsia="Times New Roman" w:hint="default"/>
        </w:rPr>
        <w:t>(5)  </w:t>
      </w:r>
      <w:r>
        <w:rPr>
          <w:rFonts w:ascii="Times New Roman" w:hAnsi="Times New Roman" w:cs="Times New Roman" w:eastAsia="Times New Roman" w:hint="default"/>
          <w:spacing w:val="4"/>
        </w:rPr>
        <w:t> </w:t>
      </w:r>
      <w:r>
        <w:rPr/>
        <w:t>评价财务报表的总体列报、结构和内容</w:t>
      </w:r>
      <w:r>
        <w:rPr>
          <w:rFonts w:ascii="Times New Roman" w:hAnsi="Times New Roman" w:cs="Times New Roman" w:eastAsia="Times New Roman" w:hint="default"/>
        </w:rPr>
        <w:t>(</w:t>
      </w:r>
      <w:r>
        <w:rPr/>
        <w:t>包括披露</w:t>
      </w:r>
      <w:r>
        <w:rPr>
          <w:rFonts w:ascii="Times New Roman" w:hAnsi="Times New Roman" w:cs="Times New Roman" w:eastAsia="Times New Roman" w:hint="default"/>
        </w:rPr>
        <w:t>)</w:t>
      </w:r>
      <w:r>
        <w:rPr/>
        <w:t>，并评价财务报表是否公允反映相关交易和事项。</w:t>
      </w:r>
    </w:p>
    <w:p>
      <w:pPr>
        <w:pStyle w:val="BodyText"/>
        <w:spacing w:line="288" w:lineRule="auto" w:before="51"/>
        <w:ind w:right="1136" w:firstLine="75"/>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26"/>
        </w:rPr>
        <w:t> </w:t>
      </w:r>
      <w:r>
        <w:rPr/>
        <w:t>就上海美特斯邦威服饰股份有限公司中实体或业务活动的财务信息获取充分、适当的审计证据，以对财务报表发表审</w:t>
      </w:r>
      <w:r>
        <w:rPr>
          <w:w w:val="99"/>
        </w:rPr>
        <w:t> </w:t>
      </w:r>
      <w:r>
        <w:rPr/>
        <w:t>计意见。我们负责指导、监督和执行集团审计，并对审计意见承担全部责任。</w:t>
      </w:r>
    </w:p>
    <w:p>
      <w:pPr>
        <w:spacing w:line="240" w:lineRule="auto" w:before="0"/>
        <w:rPr>
          <w:rFonts w:ascii="宋体" w:hAnsi="宋体" w:cs="宋体" w:eastAsia="宋体" w:hint="default"/>
          <w:sz w:val="18"/>
          <w:szCs w:val="18"/>
        </w:rPr>
      </w:pPr>
    </w:p>
    <w:p>
      <w:pPr>
        <w:pStyle w:val="BodyText"/>
        <w:spacing w:line="321" w:lineRule="auto" w:before="123"/>
        <w:ind w:right="1152" w:firstLine="435"/>
        <w:jc w:val="both"/>
      </w:pPr>
      <w:r>
        <w:rPr/>
        <w:t>我们与治理层就计划的审计范围、时间安排和重大审计发现等事项进行沟通，包括沟通我们在审计中识别出的值得关 注的内部控制缺陷。</w:t>
      </w:r>
    </w:p>
    <w:p>
      <w:pPr>
        <w:spacing w:line="240" w:lineRule="auto" w:before="5"/>
        <w:rPr>
          <w:rFonts w:ascii="宋体" w:hAnsi="宋体" w:cs="宋体" w:eastAsia="宋体" w:hint="default"/>
          <w:sz w:val="24"/>
          <w:szCs w:val="24"/>
        </w:rPr>
      </w:pPr>
    </w:p>
    <w:p>
      <w:pPr>
        <w:pStyle w:val="BodyText"/>
        <w:spacing w:line="336" w:lineRule="auto"/>
        <w:ind w:right="1152" w:firstLine="435"/>
        <w:jc w:val="both"/>
      </w:pPr>
      <w:r>
        <w:rPr/>
        <w:t>我们还就已遵守与独立性相关的职业道德要求向治理层提供声明，并与治理层沟通可能被合理认为影响我们独立性的 所有关系和其他事项，以及相关的防范措施</w:t>
      </w:r>
      <w:r>
        <w:rPr>
          <w:rFonts w:ascii="Times New Roman" w:hAnsi="Times New Roman" w:cs="Times New Roman" w:eastAsia="Times New Roman" w:hint="default"/>
        </w:rPr>
        <w:t>(</w:t>
      </w:r>
      <w:r>
        <w:rPr/>
        <w:t>如适用</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21"/>
          <w:szCs w:val="21"/>
        </w:rPr>
      </w:pPr>
    </w:p>
    <w:p>
      <w:pPr>
        <w:pStyle w:val="BodyText"/>
        <w:spacing w:line="314" w:lineRule="auto"/>
        <w:ind w:right="1136" w:firstLine="435"/>
        <w:jc w:val="both"/>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r>
        <w:rPr>
          <w:spacing w:val="-75"/>
        </w:rPr>
        <w:t> </w:t>
      </w:r>
      <w:r>
        <w:rPr>
          <w:spacing w:val="-75"/>
        </w:rPr>
      </w:r>
      <w:r>
        <w:rPr/>
        <w:t>成的负面后果超过在公众利益方面产生的益处，我们确定不应在审计报告中沟通该事项。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5"/>
          <w:szCs w:val="15"/>
        </w:rPr>
      </w:pPr>
    </w:p>
    <w:p>
      <w:pPr>
        <w:pStyle w:val="BodyText"/>
        <w:spacing w:line="240" w:lineRule="auto"/>
        <w:ind w:right="0"/>
        <w:jc w:val="both"/>
      </w:pPr>
      <w:r>
        <w:rPr/>
        <w:t>安永华明会计师事务所</w:t>
      </w:r>
      <w:r>
        <w:rPr>
          <w:rFonts w:ascii="Times New Roman" w:hAnsi="Times New Roman" w:cs="Times New Roman" w:eastAsia="Times New Roman" w:hint="default"/>
        </w:rPr>
        <w:t>(</w:t>
      </w:r>
      <w:r>
        <w:rPr/>
        <w:t>特殊普通合伙</w:t>
      </w:r>
      <w:r>
        <w:rPr>
          <w:rFonts w:ascii="Times New Roman" w:hAnsi="Times New Roman" w:cs="Times New Roman" w:eastAsia="Times New Roman" w:hint="default"/>
        </w:rPr>
        <w:t>)       </w:t>
      </w:r>
      <w:r>
        <w:rPr>
          <w:rFonts w:ascii="Times New Roman" w:hAnsi="Times New Roman" w:cs="Times New Roman" w:eastAsia="Times New Roman" w:hint="default"/>
          <w:spacing w:val="3"/>
        </w:rPr>
        <w:t> </w:t>
      </w:r>
      <w:r>
        <w:rPr/>
        <w:t>中国注册会计师：董彦亮</w:t>
      </w:r>
    </w:p>
    <w:p>
      <w:pPr>
        <w:pStyle w:val="BodyText"/>
        <w:spacing w:line="240" w:lineRule="auto" w:before="51"/>
        <w:ind w:left="982"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项目合伙人</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BodyText"/>
        <w:tabs>
          <w:tab w:pos="4887" w:val="left" w:leader="none"/>
        </w:tabs>
        <w:spacing w:line="240" w:lineRule="auto" w:before="159"/>
        <w:ind w:left="3055" w:right="0"/>
        <w:jc w:val="left"/>
      </w:pPr>
      <w:r>
        <w:rPr/>
        <w:t>中国注册会计师：柳</w:t>
        <w:tab/>
        <w:t>婧</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2"/>
        <w:spacing w:line="240" w:lineRule="auto" w:before="175"/>
        <w:ind w:right="0"/>
        <w:jc w:val="left"/>
        <w:rPr>
          <w:b w:val="0"/>
          <w:bCs w:val="0"/>
        </w:rPr>
      </w:pPr>
      <w:bookmarkStart w:name="二、财务报表" w:id="154"/>
      <w:bookmarkEnd w:id="154"/>
      <w:r>
        <w:rPr>
          <w:b w:val="0"/>
          <w:bCs w:val="0"/>
        </w:rPr>
      </w:r>
      <w:r>
        <w:rPr/>
        <w:t>二、财务报表</w:t>
      </w:r>
      <w:r>
        <w:rPr>
          <w:b w:val="0"/>
          <w:bCs w:val="0"/>
        </w:rPr>
      </w:r>
    </w:p>
    <w:p>
      <w:pPr>
        <w:spacing w:line="240" w:lineRule="auto" w:before="1"/>
        <w:rPr>
          <w:rFonts w:ascii="宋体" w:hAnsi="宋体" w:cs="宋体" w:eastAsia="宋体" w:hint="default"/>
          <w:b/>
          <w:bCs/>
          <w:sz w:val="26"/>
          <w:szCs w:val="26"/>
        </w:rPr>
      </w:pPr>
    </w:p>
    <w:p>
      <w:pPr>
        <w:pStyle w:val="BodyText"/>
        <w:spacing w:line="240" w:lineRule="auto"/>
        <w:ind w:right="0"/>
        <w:jc w:val="left"/>
      </w:pPr>
      <w:r>
        <w:rPr/>
        <w:t>财务附注中报表的单位为：元</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1、合并资产负债表" w:id="155"/>
      <w:bookmarkEnd w:id="155"/>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编制单位：上海美特斯邦威服饰股份有限公司</w:t>
      </w:r>
    </w:p>
    <w:p>
      <w:pPr>
        <w:pStyle w:val="BodyText"/>
        <w:spacing w:line="240" w:lineRule="auto" w:before="140"/>
        <w:ind w:left="2233" w:right="3201"/>
        <w:jc w:val="center"/>
      </w:pPr>
      <w:r>
        <w:rPr>
          <w:rFonts w:ascii="Times New Roman" w:hAnsi="Times New Roman" w:cs="Times New Roman" w:eastAsia="Times New Roman" w:hint="default"/>
        </w:rPr>
        <w:t>2019 </w:t>
      </w:r>
      <w:r>
        <w:rPr/>
        <w:t>年</w:t>
      </w:r>
      <w:r>
        <w:rPr>
          <w:spacing w:val="-45"/>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pStyle w:val="BodyText"/>
        <w:spacing w:line="240" w:lineRule="auto" w:before="81"/>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375,122,904.00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381,662,965.00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5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932,682,022.00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1,217,243,227.00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167,635,845.00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244,432,348.00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166,797,914.00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183,712,070.00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3"/>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2,052,546,752.00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2,348,821,208.00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208,279,318.00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75,487,859.00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59,973,988.00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3,978,552,614.00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4,435,845,806.00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156,244,592.00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339,818,666.00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598,281,750.00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557,811,744.00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289,308,021.00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276,021,051.00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1,105,730,715.00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1,211,586,636.00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3,434,860.00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2,109,737.00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37,070,224.00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60,566,524.00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165,633,223.00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282,300,776.00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35,706,873.00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35,055,644.00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7,835,724.00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7,835,724.00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2,399,245,982.00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2,773,106,502.00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31"/>
              <w:jc w:val="right"/>
              <w:rPr>
                <w:rFonts w:ascii="Times New Roman" w:hAnsi="Times New Roman" w:cs="Times New Roman" w:eastAsia="Times New Roman" w:hint="default"/>
                <w:sz w:val="18"/>
                <w:szCs w:val="18"/>
              </w:rPr>
            </w:pPr>
            <w:r>
              <w:rPr>
                <w:rFonts w:ascii="Times New Roman"/>
                <w:sz w:val="18"/>
              </w:rPr>
              <w:t>6,377,798,596.00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7,208,952,308.00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1,178,000,000.00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1,080,000,000.00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982,793,949.00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947,880,036.00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1,248,709,602.00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1,393,434,021.00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75,405,946.00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60,975,433.00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86,043,183.00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108,447,998.00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144,036,873.00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185,744,148.00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622,988,951.00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554,775,433.00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995,811.00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4,337,978,504.00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4,331,257,069.00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4,337,978,504.00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4,331,257,069.00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2,512,500,000.00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2,512,500,000.00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5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161,473,545.00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161,473,545.00</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430,938.00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184,510.00</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523,409,142.00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523,409,142.00</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w w:val="95"/>
                <w:sz w:val="18"/>
              </w:rPr>
              <w:t>-1,157,993,533.00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-319,871,958.00</w:t>
            </w:r>
            <w:r>
              <w:rPr>
                <w:rFonts w:ascii="Times New Roman"/>
                <w:sz w:val="18"/>
              </w:rPr>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2,039,820,092.00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2,877,695,239.00</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2,039,820,092.00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2,877,695,239.00</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6,377,798,596.00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7,208,952,308.00</w:t>
            </w:r>
          </w:p>
        </w:tc>
      </w:tr>
    </w:tbl>
    <w:p>
      <w:pPr>
        <w:spacing w:line="240" w:lineRule="auto" w:before="3"/>
        <w:rPr>
          <w:rFonts w:ascii="Times New Roman" w:hAnsi="Times New Roman" w:cs="Times New Roman" w:eastAsia="Times New Roman" w:hint="default"/>
          <w:sz w:val="22"/>
          <w:szCs w:val="22"/>
        </w:rPr>
      </w:pPr>
    </w:p>
    <w:p>
      <w:pPr>
        <w:pStyle w:val="BodyText"/>
        <w:tabs>
          <w:tab w:pos="3565" w:val="left" w:leader="none"/>
          <w:tab w:pos="7710" w:val="left" w:leader="none"/>
        </w:tabs>
        <w:spacing w:line="240" w:lineRule="auto" w:before="44"/>
        <w:ind w:right="0"/>
        <w:jc w:val="left"/>
      </w:pPr>
      <w:r>
        <w:rPr/>
        <w:t>法定代表人：胡佳佳</w:t>
        <w:tab/>
        <w:t>主管会计工作负责人：胡周斌</w:t>
        <w:tab/>
        <w:t>会计机构负责人：曾焕滨</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2、母公司资产负债表" w:id="156"/>
      <w:bookmarkEnd w:id="156"/>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66"/>
        <w:gridCol w:w="3305"/>
        <w:gridCol w:w="3304"/>
      </w:tblGrid>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8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5"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279,253,807.00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208,612,433.00</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62"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145,000,000.00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160,000,000.00</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3,435,025,436.00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3,796,179,031.00</w:t>
            </w: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87,789,246.00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125,802,714.00</w:t>
            </w: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836,549,032.00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758,053,575.00</w:t>
            </w: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142"/>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141"/>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1,294,056,848.00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1,402,309,192.00</w:t>
            </w:r>
          </w:p>
        </w:tc>
      </w:tr>
      <w:tr>
        <w:trPr>
          <w:trHeight w:val="390" w:hRule="exact"/>
        </w:trPr>
        <w:tc>
          <w:tcPr>
            <w:tcW w:w="29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5"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4,626,774.00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6,082,301,143.00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6,450,956,945.00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34,483,200.00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31,978,880.00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1,324,082,468.00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1,289,562,462.00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1,046,551,398.00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1,078,794,098.00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43,454,633.00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72,821,119.00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2,593,763.00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1,711,840.00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20,522,529.00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43,233,924.00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46,043,937.00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67,200,190.00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7,835,724.00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7,835,724.00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2,525,567,652.00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2,593,138,237.00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8,607,868,795.00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9,044,095,182.00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963,000,000.00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1,055,000,000.00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1,182,849,747.00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972,880,036.00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1,473,284,755.00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1,654,396,955.00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128,200,494.00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158,349,684.00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37,937,925.00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34,182,146.00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108,876,725.00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144,507,253.00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675,046,973.00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536,247,692.00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995,811.00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3"/>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4,569,196,619.00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4,555,563,766.00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4,569,196,619.00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4,555,563,766.00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2,512,500,000.00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2,512,500,000.00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23"/>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86,308,819.00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86,308,819.00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430,938.00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184,510.00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420,734,371.00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420,734,371.00</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1,018,698,048.00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1,468,803,716.00</w:t>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4,038,672,176.00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4,488,531,416.00</w:t>
            </w:r>
          </w:p>
        </w:tc>
      </w:tr>
      <w:tr>
        <w:trPr>
          <w:trHeight w:val="406"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8,607,868,795.00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9,044,095,182.00</w:t>
            </w: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0"/>
        <w:jc w:val="left"/>
        <w:rPr>
          <w:b w:val="0"/>
          <w:bCs w:val="0"/>
        </w:rPr>
      </w:pPr>
      <w:bookmarkStart w:name="3、合并利润表" w:id="157"/>
      <w:bookmarkEnd w:id="157"/>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5,463,291,977.00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7,677,369,050.00</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5,463,291,977.00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7,677,369,050.00</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98"/>
              <w:jc w:val="righ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5,879,439,043.00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7,390,300,333.00</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3,376,080,032.00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4,248,566,805.00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97"/>
              <w:jc w:val="righ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提取保险责任合同准备金</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28,663,627.00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43,373,108.00</w:t>
            </w: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2,128,197,247.00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2,710,599,737.00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147,517,126.00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151,673,217.00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108,913,317.00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155,552,394.00</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90,067,694.00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80,535,072.00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97"/>
              <w:jc w:val="right"/>
              <w:rPr>
                <w:rFonts w:ascii="宋体" w:hAnsi="宋体" w:cs="宋体" w:eastAsia="宋体" w:hint="default"/>
                <w:sz w:val="18"/>
                <w:szCs w:val="18"/>
              </w:rPr>
            </w:pPr>
            <w:r>
              <w:rPr>
                <w:rFonts w:ascii="宋体" w:hAnsi="宋体" w:cs="宋体" w:eastAsia="宋体" w:hint="default"/>
                <w:sz w:val="18"/>
                <w:szCs w:val="18"/>
              </w:rPr>
              <w:t>其中：利息费用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78,236,612.00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64,085,852.00</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97"/>
              <w:jc w:val="right"/>
              <w:rPr>
                <w:rFonts w:ascii="宋体" w:hAnsi="宋体" w:cs="宋体" w:eastAsia="宋体" w:hint="default"/>
                <w:sz w:val="18"/>
                <w:szCs w:val="18"/>
              </w:rPr>
            </w:pPr>
            <w:r>
              <w:rPr>
                <w:rFonts w:ascii="宋体" w:hAnsi="宋体" w:cs="宋体" w:eastAsia="宋体" w:hint="default"/>
                <w:sz w:val="18"/>
                <w:szCs w:val="18"/>
              </w:rPr>
              <w:t>利息收入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2,059,575.00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3,657,573.00</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27,616,969.00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33,106,419.00</w:t>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42,713,656.00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48,327,961.00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8" w:firstLine="721"/>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40,223,578.00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48,327,961.00</w:t>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57"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60"/>
              <w:ind w:right="96"/>
              <w:jc w:val="righ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spacing w:line="240" w:lineRule="auto" w:before="60"/>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信用减值损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-130,131,735.00</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资产减值损</w:t>
            </w:r>
            <w:r>
              <w:rPr>
                <w:rFonts w:ascii="宋体" w:hAnsi="宋体" w:cs="宋体" w:eastAsia="宋体" w:hint="default"/>
                <w:spacing w:val="-76"/>
                <w:sz w:val="18"/>
                <w:szCs w:val="18"/>
              </w:rPr>
              <w:t>失</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-314,255,965.00</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-312,987,299.00</w:t>
            </w:r>
            <w:r>
              <w:rPr>
                <w:rFonts w:ascii="Times New Roman"/>
                <w:sz w:val="18"/>
              </w:rPr>
            </w: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资产处置收</w:t>
            </w:r>
            <w:r>
              <w:rPr>
                <w:rFonts w:ascii="宋体" w:hAnsi="宋体" w:cs="宋体" w:eastAsia="宋体" w:hint="default"/>
                <w:spacing w:val="-76"/>
                <w:sz w:val="18"/>
                <w:szCs w:val="18"/>
              </w:rPr>
              <w:t>益</w:t>
            </w:r>
            <w:r>
              <w:rPr>
                <w:rFonts w:ascii="宋体" w:hAnsi="宋体" w:cs="宋体" w:eastAsia="宋体" w:hint="default"/>
                <w:sz w:val="18"/>
                <w:szCs w:val="18"/>
              </w:rPr>
              <w:t>（损失</w:t>
            </w:r>
            <w:r>
              <w:rPr>
                <w:rFonts w:ascii="宋体" w:hAnsi="宋体" w:cs="宋体" w:eastAsia="宋体" w:hint="default"/>
                <w:spacing w:val="2"/>
                <w:sz w:val="18"/>
                <w:szCs w:val="18"/>
              </w:rPr>
              <w:t>以</w:t>
            </w:r>
            <w:r>
              <w:rPr>
                <w:rFonts w:ascii="Times New Roman" w:hAnsi="Times New Roman" w:cs="Times New Roman" w:eastAsia="Times New Roman" w:hint="default"/>
                <w:spacing w:val="10"/>
                <w:w w:val="100"/>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5"/>
                <w:w w:val="100"/>
                <w:sz w:val="18"/>
                <w:szCs w:val="18"/>
              </w:rPr>
              <w:t>”</w:t>
            </w:r>
            <w:r>
              <w:rPr>
                <w:rFonts w:ascii="宋体" w:hAnsi="宋体" w:cs="宋体" w:eastAsia="宋体" w:hint="default"/>
                <w:sz w:val="18"/>
                <w:szCs w:val="18"/>
              </w:rPr>
              <w:t>号填</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4,349,379.00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-727,185.00</w:t>
            </w:r>
            <w:r>
              <w:rPr>
                <w:rFonts w:ascii="Times New Roman"/>
                <w:sz w:val="18"/>
              </w:rPr>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-785,854,762.00</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54,788,613.00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7,511,566.00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8,509,812.00</w:t>
            </w: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41,265,825.00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14,517,574.00</w:t>
            </w:r>
          </w:p>
        </w:tc>
      </w:tr>
      <w:tr>
        <w:trPr>
          <w:trHeight w:val="405" w:hRule="exact"/>
        </w:trPr>
        <w:tc>
          <w:tcPr>
            <w:tcW w:w="3064" w:type="dxa"/>
            <w:tcBorders>
              <w:top w:val="single" w:sz="6" w:space="0" w:color="000000"/>
              <w:left w:val="single" w:sz="6" w:space="0" w:color="000000"/>
              <w:bottom w:val="single" w:sz="6" w:space="0" w:color="000000"/>
              <w:right w:val="single" w:sz="18" w:space="0" w:color="FFFFFF"/>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宋体" w:hAnsi="宋体" w:cs="宋体" w:eastAsia="宋体" w:hint="default"/>
                <w:spacing w:val="-7"/>
                <w:sz w:val="18"/>
                <w:szCs w:val="18"/>
              </w:rPr>
              <w:t>四、利润总额（亏损总额以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号填列</w:t>
            </w:r>
          </w:p>
        </w:tc>
        <w:tc>
          <w:tcPr>
            <w:tcW w:w="3222" w:type="dxa"/>
            <w:tcBorders>
              <w:top w:val="single" w:sz="6" w:space="0" w:color="000000"/>
              <w:left w:val="single" w:sz="24" w:space="0" w:color="FFFFFF"/>
              <w:bottom w:val="single" w:sz="6" w:space="0" w:color="000000"/>
              <w:right w:val="single" w:sz="6" w:space="0" w:color="000000"/>
            </w:tcBorders>
          </w:tcPr>
          <w:p>
            <w:pPr>
              <w:pStyle w:val="TableParagraph"/>
              <w:tabs>
                <w:tab w:pos="1982" w:val="left" w:leader="none"/>
              </w:tabs>
              <w:spacing w:line="240" w:lineRule="auto" w:before="60"/>
              <w:ind w:left="-15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-819,609,021.00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48,780,851.00</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5,863,829.00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8,419,280.00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-825,472,850.00</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40,361,571.00</w:t>
            </w: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87"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-825,472,850.00</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40,361,571.00</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87"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-825,472,850.00</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40,361,571.00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246,428.00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 的税后净额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246,428.00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（一）不能重分类进损益的其他综</w:t>
            </w:r>
            <w:r>
              <w:rPr>
                <w:rFonts w:ascii="宋体" w:hAnsi="宋体" w:cs="宋体" w:eastAsia="宋体" w:hint="default"/>
                <w:sz w:val="18"/>
                <w:szCs w:val="18"/>
              </w:rPr>
              <w:t> 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right="23"/>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3064"/>
        <w:gridCol w:w="3222"/>
        <w:gridCol w:w="3289"/>
      </w:tblGrid>
      <w:tr>
        <w:trPr>
          <w:trHeight w:val="36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值变动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8" w:firstLine="345"/>
              <w:jc w:val="left"/>
              <w:rPr>
                <w:rFonts w:ascii="宋体" w:hAnsi="宋体" w:cs="宋体" w:eastAsia="宋体" w:hint="default"/>
                <w:sz w:val="18"/>
                <w:szCs w:val="18"/>
              </w:rPr>
            </w:pPr>
            <w:r>
              <w:rPr>
                <w:rFonts w:ascii="宋体" w:hAnsi="宋体" w:cs="宋体" w:eastAsia="宋体" w:hint="default"/>
                <w:spacing w:val="-1"/>
                <w:sz w:val="18"/>
                <w:szCs w:val="18"/>
              </w:rPr>
              <w:t>（二）将重分类进损益的其他综合</w:t>
            </w:r>
            <w:r>
              <w:rPr>
                <w:rFonts w:ascii="宋体" w:hAnsi="宋体" w:cs="宋体" w:eastAsia="宋体" w:hint="default"/>
                <w:sz w:val="18"/>
                <w:szCs w:val="18"/>
              </w:rPr>
              <w:t> 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246,428.00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246,428.00</w:t>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动</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03"/>
              <w:jc w:val="righ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59"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 税后净额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-825,226,422.00</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40,356,076.00</w:t>
            </w:r>
          </w:p>
        </w:tc>
      </w:tr>
      <w:tr>
        <w:trPr>
          <w:trHeight w:val="721"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-825,226,422.00</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40,356,076.00</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8"/>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222" w:type="dxa"/>
            <w:tcBorders>
              <w:top w:val="single" w:sz="6" w:space="0" w:color="000000"/>
              <w:left w:val="single" w:sz="12" w:space="0" w:color="D2D2D2"/>
              <w:bottom w:val="single" w:sz="6" w:space="0" w:color="000000"/>
              <w:right w:val="single" w:sz="6" w:space="0" w:color="000000"/>
            </w:tcBorders>
          </w:tcPr>
          <w:p>
            <w:pPr/>
          </w:p>
        </w:tc>
        <w:tc>
          <w:tcPr>
            <w:tcW w:w="328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2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28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-0.33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0.02</w:t>
            </w:r>
          </w:p>
        </w:tc>
      </w:tr>
      <w:tr>
        <w:trPr>
          <w:trHeight w:val="405" w:hRule="exact"/>
        </w:trPr>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22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-0.33</w:t>
            </w:r>
            <w:r>
              <w:rPr>
                <w:rFonts w:ascii="Times New Roman"/>
                <w:sz w:val="18"/>
              </w:rPr>
            </w:r>
          </w:p>
        </w:tc>
        <w:tc>
          <w:tcPr>
            <w:tcW w:w="32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0.02</w:t>
            </w:r>
          </w:p>
        </w:tc>
      </w:tr>
    </w:tbl>
    <w:p>
      <w:pPr>
        <w:pStyle w:val="BodyText"/>
        <w:tabs>
          <w:tab w:pos="3565" w:val="left" w:leader="none"/>
          <w:tab w:pos="7710" w:val="left" w:leader="none"/>
        </w:tabs>
        <w:spacing w:line="612" w:lineRule="auto" w:before="45"/>
        <w:ind w:right="1218"/>
        <w:jc w:val="left"/>
      </w:pPr>
      <w:r>
        <w:rPr/>
        <w:t>本期发生同一控制下企业合并的，被合并方在合并前实现的净利润为：元，上期被合并方实现的净利润为：元。 法定代表人：胡佳佳</w:t>
        <w:tab/>
        <w:t>主管会计工作负责人：胡周斌</w:t>
        <w:tab/>
        <w:t>会计机构负责人：曾焕滨</w:t>
      </w:r>
    </w:p>
    <w:p>
      <w:pPr>
        <w:spacing w:after="0" w:line="612"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5"/>
        <w:spacing w:line="240" w:lineRule="auto" w:before="35"/>
        <w:ind w:right="0"/>
        <w:jc w:val="left"/>
        <w:rPr>
          <w:b w:val="0"/>
          <w:bCs w:val="0"/>
        </w:rPr>
      </w:pPr>
      <w:bookmarkStart w:name="4、母公司利润表" w:id="158"/>
      <w:bookmarkEnd w:id="158"/>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4,425,089,803.00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6,074,789,505.00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3,336,808,209.00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4,578,573,889.00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11,752,106.00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14,312,424.00</w:t>
            </w:r>
          </w:p>
        </w:tc>
      </w:tr>
      <w:tr>
        <w:trPr>
          <w:trHeight w:val="39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741,637,920.00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801,263,450.00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273,775,966.00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194,116,277.00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78,314,681.00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114,526,007.00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86,022,380.00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80,255,566.00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08"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76,799,598.00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61,807,102.00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49"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1,305,797.00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2,809,204.00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11,753,467.00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18,096,463.00</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99,623,578.00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48,327,961.00</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4" w:firstLine="721"/>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40,223,578.00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48,327,961.00</w:t>
            </w:r>
          </w:p>
        </w:tc>
      </w:tr>
      <w:tr>
        <w:trPr>
          <w:trHeight w:val="103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7" w:right="52" w:firstLine="1081"/>
              <w:jc w:val="left"/>
              <w:rPr>
                <w:rFonts w:ascii="宋体" w:hAnsi="宋体" w:cs="宋体" w:eastAsia="宋体" w:hint="default"/>
                <w:sz w:val="18"/>
                <w:szCs w:val="18"/>
              </w:rPr>
            </w:pP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8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28"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-259,551,002.00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-196,362,325.00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-177,375,866.00</w:t>
            </w:r>
            <w:r>
              <w:rPr>
                <w:rFonts w:ascii="Times New Roman"/>
                <w:sz w:val="18"/>
              </w:rPr>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28"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75,541.00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-727,185.00</w:t>
            </w:r>
            <w:r>
              <w:rPr>
                <w:rFonts w:ascii="Times New Roman"/>
                <w:sz w:val="18"/>
              </w:rPr>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-447,682,200.00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180,063,265.00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2,345,228.00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4,166,742.00</w:t>
            </w: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1,445,694.00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356,619.00</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60"/>
              <w:ind w:left="7" w:right="65"/>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3"/>
                <w:sz w:val="18"/>
                <w:szCs w:val="18"/>
              </w:rPr>
              <w:t> </w:t>
            </w:r>
            <w:r>
              <w:rPr>
                <w:rFonts w:ascii="宋体" w:hAnsi="宋体" w:cs="宋体" w:eastAsia="宋体" w:hint="default"/>
                <w:sz w:val="18"/>
                <w:szCs w:val="18"/>
              </w:rPr>
              <w:t>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-446,782,666.00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183,873,388.00</w:t>
            </w: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59"/>
        <w:gridCol w:w="3312"/>
        <w:gridCol w:w="3304"/>
      </w:tblGrid>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-446,782,666.00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183,873,388.00</w:t>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30"/>
              <w:ind w:left="7"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-446,782,666.00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183,873,388.00</w:t>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36" w:lineRule="auto" w:before="44"/>
              <w:ind w:left="7" w:right="53"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246,428.00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5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246,428.00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246,428.00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-5,495.00</w:t>
            </w:r>
            <w:r>
              <w:rPr>
                <w:rFonts w:ascii="Times New Roman"/>
                <w:sz w:val="18"/>
              </w:rPr>
            </w: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59"/>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98"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90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-446,536,238.00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183,867,893.00</w:t>
            </w:r>
          </w:p>
        </w:tc>
      </w:tr>
      <w:tr>
        <w:trPr>
          <w:trHeight w:val="406"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6" w:space="0" w:color="000000"/>
              <w:left w:val="single" w:sz="12"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05" w:type="dxa"/>
            <w:tcBorders>
              <w:top w:val="single" w:sz="6" w:space="0" w:color="000000"/>
              <w:left w:val="single" w:sz="6" w:space="0" w:color="000000"/>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0"/>
        <w:jc w:val="left"/>
        <w:rPr>
          <w:b w:val="0"/>
          <w:bCs w:val="0"/>
        </w:rPr>
      </w:pPr>
      <w:bookmarkStart w:name="5、合并现金流量表" w:id="159"/>
      <w:bookmarkEnd w:id="159"/>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6,872,588,342.00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8,241,942,329.00</w:t>
            </w:r>
          </w:p>
        </w:tc>
      </w:tr>
      <w:tr>
        <w:trPr>
          <w:trHeight w:val="72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10,739,347.00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10,052,387.00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47"/>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127,224,557.00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102,792,994.00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7,010,552,246.00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8,354,787,710.00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4,273,851,816.00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4,425,895,911.00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845,320,653.00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1,146,881,080.00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395,156,734.00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392,961,165.00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1,379,614,916.00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1,767,129,970.00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6,893,944,119.00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7,732,868,126.00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116,608,127.00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621,919,584.00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8,970,006.00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3,286,829.00</w:t>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8,970,006.00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3,286,829.00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138,393,408.00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287,163,541.00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138,393,408.00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287,163,541.00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-129,423,402.00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-283,876,712.00</w:t>
            </w:r>
            <w:r>
              <w:rPr>
                <w:rFonts w:ascii="Times New Roman"/>
                <w:sz w:val="18"/>
              </w:rPr>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2,557,304,623.00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1,782,000,000.00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1,181,740.00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77,843,371.00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2,558,486,363.00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1,859,843,371.00</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2,463,143,763.00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2,130,364,928.00</w:t>
            </w:r>
          </w:p>
        </w:tc>
      </w:tr>
      <w:tr>
        <w:trPr>
          <w:trHeight w:val="7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38"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87,885,646.00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81,382,174.00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8"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8"/>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85,070,461.00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2,636,099,870.00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2,211,747,102.00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-77,613,507.00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-351,903,731.00</w:t>
            </w:r>
            <w:r>
              <w:rPr>
                <w:rFonts w:ascii="Times New Roman"/>
                <w:sz w:val="18"/>
              </w:rPr>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7"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974"/>
        <w:gridCol w:w="3305"/>
        <w:gridCol w:w="3304"/>
      </w:tblGrid>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-90,428,782.00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-13,860,859.00</w:t>
            </w:r>
            <w:r>
              <w:rPr>
                <w:rFonts w:ascii="Times New Roman"/>
                <w:sz w:val="18"/>
              </w:rPr>
            </w:r>
          </w:p>
        </w:tc>
      </w:tr>
      <w:tr>
        <w:trPr>
          <w:trHeight w:val="405"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75"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380,481,225.00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394,342,084.00</w:t>
            </w:r>
          </w:p>
        </w:tc>
      </w:tr>
      <w:tr>
        <w:trPr>
          <w:trHeight w:val="390" w:hRule="exact"/>
        </w:trPr>
        <w:tc>
          <w:tcPr>
            <w:tcW w:w="297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290,052,443.00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380,481,225.00</w:t>
            </w: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0"/>
        <w:jc w:val="left"/>
        <w:rPr>
          <w:b w:val="0"/>
          <w:bCs w:val="0"/>
        </w:rPr>
      </w:pPr>
      <w:bookmarkStart w:name="6、母公司现金流量表" w:id="160"/>
      <w:bookmarkEnd w:id="160"/>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944"/>
        <w:gridCol w:w="3327"/>
        <w:gridCol w:w="3304"/>
      </w:tblGrid>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6"/>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5,201,935,070.00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6,139,894,865.00</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1,522,733.00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696,463.00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8"/>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48,706,497.00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75,650,195.00</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5,252,164,300.00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6,216,241,523.00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3,777,362,688.00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4,553,805,844.00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253,100,364.00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384,473,855.00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130,978,545.00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112,901,026.00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889,866,143.00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884,030,324.00</w:t>
            </w: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5,051,307,740.00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5,935,211,049.00</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200,856,560.00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281,030,474.00</w:t>
            </w:r>
          </w:p>
        </w:tc>
      </w:tr>
      <w:tr>
        <w:trPr>
          <w:trHeight w:val="4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2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37"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771,463.00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635,094.00</w:t>
            </w:r>
          </w:p>
        </w:tc>
      </w:tr>
      <w:tr>
        <w:trPr>
          <w:trHeight w:val="706"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38"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8"/>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771,463.00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635,094.00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16,224,515.00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60,177,844.00</w:t>
            </w: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2,050,000.00</w:t>
            </w:r>
          </w:p>
        </w:tc>
      </w:tr>
      <w:tr>
        <w:trPr>
          <w:trHeight w:val="721"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38"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8"/>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27"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94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2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16,224,515.00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62,227,844.00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2951"/>
        <w:gridCol w:w="3320"/>
        <w:gridCol w:w="3304"/>
      </w:tblGrid>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-15,453,052.00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-61,592,750.00</w:t>
            </w:r>
            <w:r>
              <w:rPr>
                <w:rFonts w:ascii="Times New Roman"/>
                <w:sz w:val="18"/>
              </w:rPr>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20"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304"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2,067,304,623.00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1,697,000,000.00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7"/>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60,000,000.00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77,843,371.00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2,127,304,623.00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1,774,843,371.00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2,163,143,763.00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1,990,364,928.00</w:t>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7"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78,922,991.00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78,735,442.00</w:t>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83,888,721.00</w:t>
            </w: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2,325,955,475.00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2,069,100,370.00</w:t>
            </w: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-198,650,852.00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-294,256,999.00</w:t>
            </w:r>
            <w:r>
              <w:rPr>
                <w:rFonts w:ascii="Times New Roman"/>
                <w:sz w:val="18"/>
              </w:rPr>
            </w:r>
          </w:p>
        </w:tc>
      </w:tr>
      <w:tr>
        <w:trPr>
          <w:trHeight w:val="7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46"/>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20" w:type="dxa"/>
            <w:tcBorders>
              <w:top w:val="single" w:sz="6" w:space="0" w:color="000000"/>
              <w:left w:val="single" w:sz="18" w:space="0" w:color="D2D2D2"/>
              <w:bottom w:val="single" w:sz="6" w:space="0" w:color="000000"/>
              <w:right w:val="single" w:sz="6" w:space="0" w:color="000000"/>
            </w:tcBorders>
          </w:tcPr>
          <w:p>
            <w:pPr/>
          </w:p>
        </w:tc>
        <w:tc>
          <w:tcPr>
            <w:tcW w:w="330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-13,247,344.00</w:t>
            </w:r>
            <w:r>
              <w:rPr>
                <w:rFonts w:ascii="Times New Roman"/>
                <w:sz w:val="18"/>
              </w:rPr>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-74,819,275.00</w:t>
            </w:r>
            <w:r>
              <w:rPr>
                <w:rFonts w:ascii="Times New Roman"/>
                <w:sz w:val="18"/>
              </w:rPr>
            </w:r>
          </w:p>
        </w:tc>
      </w:tr>
      <w:tr>
        <w:trPr>
          <w:trHeight w:val="405"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47"/>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207,430,691.00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282,249,966.00</w:t>
            </w:r>
          </w:p>
        </w:tc>
      </w:tr>
      <w:tr>
        <w:trPr>
          <w:trHeight w:val="390" w:hRule="exact"/>
        </w:trPr>
        <w:tc>
          <w:tcPr>
            <w:tcW w:w="29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20"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194,183,347.00</w:t>
            </w:r>
          </w:p>
        </w:tc>
        <w:tc>
          <w:tcPr>
            <w:tcW w:w="33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207,430,691.00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7、合并所有者权益变动表" w:id="161"/>
      <w:bookmarkEnd w:id="161"/>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本期金额</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254"/>
        <w:gridCol w:w="488"/>
        <w:gridCol w:w="465"/>
        <w:gridCol w:w="481"/>
        <w:gridCol w:w="466"/>
        <w:gridCol w:w="585"/>
        <w:gridCol w:w="586"/>
        <w:gridCol w:w="586"/>
        <w:gridCol w:w="571"/>
        <w:gridCol w:w="585"/>
        <w:gridCol w:w="586"/>
        <w:gridCol w:w="586"/>
        <w:gridCol w:w="586"/>
        <w:gridCol w:w="586"/>
        <w:gridCol w:w="586"/>
        <w:gridCol w:w="586"/>
      </w:tblGrid>
      <w:tr>
        <w:trPr>
          <w:trHeight w:val="405" w:hRule="exact"/>
        </w:trPr>
        <w:tc>
          <w:tcPr>
            <w:tcW w:w="1254" w:type="dxa"/>
            <w:vMerge w:val="restart"/>
            <w:tcBorders>
              <w:top w:val="single" w:sz="6" w:space="0" w:color="000000"/>
              <w:left w:val="single" w:sz="6" w:space="0" w:color="000000"/>
              <w:right w:val="single" w:sz="6" w:space="0" w:color="000000"/>
            </w:tcBorders>
            <w:shd w:val="clear" w:color="auto" w:fill="D2D2D2"/>
          </w:tcPr>
          <w:p>
            <w:pPr/>
          </w:p>
        </w:tc>
        <w:tc>
          <w:tcPr>
            <w:tcW w:w="8328"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2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98" w:hRule="exact"/>
        </w:trPr>
        <w:tc>
          <w:tcPr>
            <w:tcW w:w="1254" w:type="dxa"/>
            <w:vMerge/>
            <w:tcBorders>
              <w:left w:val="single" w:sz="6" w:space="0" w:color="000000"/>
              <w:right w:val="single" w:sz="6" w:space="0" w:color="000000"/>
            </w:tcBorders>
            <w:shd w:val="clear" w:color="auto" w:fill="D2D2D2"/>
          </w:tcPr>
          <w:p>
            <w:pPr/>
          </w:p>
        </w:tc>
        <w:tc>
          <w:tcPr>
            <w:tcW w:w="7157"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8"/>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0" w:hRule="exact"/>
        </w:trPr>
        <w:tc>
          <w:tcPr>
            <w:tcW w:w="1254" w:type="dxa"/>
            <w:vMerge/>
            <w:tcBorders>
              <w:left w:val="single" w:sz="6" w:space="0" w:color="000000"/>
              <w:right w:val="single" w:sz="6" w:space="0" w:color="000000"/>
            </w:tcBorders>
            <w:shd w:val="clear" w:color="auto" w:fill="D2D2D2"/>
          </w:tcPr>
          <w:p>
            <w:pPr/>
          </w:p>
        </w:tc>
        <w:tc>
          <w:tcPr>
            <w:tcW w:w="7157" w:type="dxa"/>
            <w:gridSpan w:val="13"/>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90" w:right="118"/>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1" w:hRule="exact"/>
        </w:trPr>
        <w:tc>
          <w:tcPr>
            <w:tcW w:w="1254" w:type="dxa"/>
            <w:vMerge/>
            <w:tcBorders>
              <w:left w:val="single" w:sz="6" w:space="0" w:color="000000"/>
              <w:bottom w:val="nil" w:sz="6" w:space="0" w:color="auto"/>
              <w:right w:val="single" w:sz="6" w:space="0" w:color="000000"/>
            </w:tcBorders>
            <w:shd w:val="clear" w:color="auto" w:fill="D2D2D2"/>
          </w:tcPr>
          <w:p>
            <w:pPr/>
          </w:p>
        </w:tc>
        <w:tc>
          <w:tcPr>
            <w:tcW w:w="7157" w:type="dxa"/>
            <w:gridSpan w:val="13"/>
            <w:vMerge/>
            <w:tcBorders>
              <w:left w:val="single" w:sz="6" w:space="0" w:color="000000"/>
              <w:bottom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5"/>
              <w:ind w:left="105"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86" w:type="dxa"/>
            <w:vMerge/>
            <w:tcBorders>
              <w:left w:val="single" w:sz="6" w:space="0" w:color="000000"/>
              <w:right w:val="single" w:sz="6" w:space="0" w:color="000000"/>
            </w:tcBorders>
            <w:shd w:val="clear" w:color="auto" w:fill="D2D2D2"/>
          </w:tcPr>
          <w:p>
            <w:pPr/>
          </w:p>
        </w:tc>
      </w:tr>
      <w:tr>
        <w:trPr>
          <w:trHeight w:val="210" w:hRule="exact"/>
        </w:trPr>
        <w:tc>
          <w:tcPr>
            <w:tcW w:w="1254" w:type="dxa"/>
            <w:vMerge w:val="restart"/>
            <w:tcBorders>
              <w:top w:val="nil" w:sz="6" w:space="0" w:color="auto"/>
              <w:left w:val="single" w:sz="6" w:space="0" w:color="000000"/>
              <w:right w:val="single" w:sz="6" w:space="0" w:color="000000"/>
            </w:tcBorders>
            <w:shd w:val="clear" w:color="auto" w:fill="D2D2D2"/>
          </w:tcPr>
          <w:p>
            <w:pPr>
              <w:pStyle w:val="TableParagraph"/>
              <w:spacing w:line="235" w:lineRule="exact"/>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488" w:type="dxa"/>
            <w:vMerge w:val="restart"/>
            <w:tcBorders>
              <w:top w:val="single" w:sz="6" w:space="0" w:color="000000"/>
              <w:left w:val="single" w:sz="6" w:space="0" w:color="000000"/>
              <w:right w:val="single" w:sz="6" w:space="0" w:color="000000"/>
            </w:tcBorders>
            <w:shd w:val="clear" w:color="auto" w:fill="D2D2D2"/>
          </w:tcPr>
          <w:p>
            <w:pPr/>
          </w:p>
        </w:tc>
        <w:tc>
          <w:tcPr>
            <w:tcW w:w="14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16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90" w:right="118"/>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58" w:hRule="exact"/>
        </w:trPr>
        <w:tc>
          <w:tcPr>
            <w:tcW w:w="1254" w:type="dxa"/>
            <w:vMerge/>
            <w:tcBorders>
              <w:left w:val="single" w:sz="6" w:space="0" w:color="000000"/>
              <w:bottom w:val="nil" w:sz="6" w:space="0" w:color="auto"/>
              <w:right w:val="single" w:sz="6" w:space="0" w:color="000000"/>
            </w:tcBorders>
            <w:shd w:val="clear" w:color="auto" w:fill="D2D2D2"/>
          </w:tcPr>
          <w:p>
            <w:pPr/>
          </w:p>
        </w:tc>
        <w:tc>
          <w:tcPr>
            <w:tcW w:w="488" w:type="dxa"/>
            <w:vMerge/>
            <w:tcBorders>
              <w:left w:val="single" w:sz="6" w:space="0" w:color="000000"/>
              <w:bottom w:val="nil" w:sz="6" w:space="0" w:color="auto"/>
              <w:right w:val="single" w:sz="6" w:space="0" w:color="000000"/>
            </w:tcBorders>
            <w:shd w:val="clear" w:color="auto" w:fill="D2D2D2"/>
          </w:tcPr>
          <w:p>
            <w:pPr/>
          </w:p>
        </w:tc>
        <w:tc>
          <w:tcPr>
            <w:tcW w:w="1412" w:type="dxa"/>
            <w:gridSpan w:val="3"/>
            <w:vMerge/>
            <w:tcBorders>
              <w:left w:val="single" w:sz="6" w:space="0" w:color="000000"/>
              <w:bottom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89" w:right="11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90" w:right="28"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90"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7" w:lineRule="auto" w:before="44"/>
              <w:ind w:left="104"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383" w:hRule="exact"/>
        </w:trPr>
        <w:tc>
          <w:tcPr>
            <w:tcW w:w="1254" w:type="dxa"/>
            <w:vMerge w:val="restart"/>
            <w:tcBorders>
              <w:top w:val="nil" w:sz="6" w:space="0" w:color="auto"/>
              <w:left w:val="single" w:sz="6" w:space="0" w:color="000000"/>
              <w:right w:val="single" w:sz="6" w:space="0" w:color="000000"/>
            </w:tcBorders>
            <w:shd w:val="clear" w:color="auto" w:fill="D2D2D2"/>
          </w:tcPr>
          <w:p>
            <w:pPr/>
          </w:p>
        </w:tc>
        <w:tc>
          <w:tcPr>
            <w:tcW w:w="4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5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5"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5"/>
              <w:ind w:left="135" w:right="43" w:hanging="91"/>
              <w:jc w:val="left"/>
              <w:rPr>
                <w:rFonts w:ascii="宋体" w:hAnsi="宋体" w:cs="宋体" w:eastAsia="宋体" w:hint="default"/>
                <w:sz w:val="18"/>
                <w:szCs w:val="18"/>
              </w:rPr>
            </w:pPr>
            <w:r>
              <w:rPr>
                <w:rFonts w:ascii="宋体" w:hAnsi="宋体" w:cs="宋体" w:eastAsia="宋体" w:hint="default"/>
                <w:sz w:val="18"/>
                <w:szCs w:val="18"/>
              </w:rPr>
              <w:t>优先 股</w:t>
            </w:r>
          </w:p>
        </w:tc>
        <w:tc>
          <w:tcPr>
            <w:tcW w:w="48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5"/>
              <w:ind w:left="135" w:right="60"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37"/>
              <w:ind w:left="10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43" w:hRule="exact"/>
        </w:trPr>
        <w:tc>
          <w:tcPr>
            <w:tcW w:w="1254" w:type="dxa"/>
            <w:vMerge/>
            <w:tcBorders>
              <w:left w:val="single" w:sz="6" w:space="0" w:color="000000"/>
              <w:right w:val="single" w:sz="6" w:space="0" w:color="000000"/>
            </w:tcBorders>
            <w:shd w:val="clear" w:color="auto" w:fill="D2D2D2"/>
          </w:tcPr>
          <w:p>
            <w:pPr/>
          </w:p>
        </w:tc>
        <w:tc>
          <w:tcPr>
            <w:tcW w:w="488" w:type="dxa"/>
            <w:vMerge w:val="restart"/>
            <w:tcBorders>
              <w:top w:val="nil" w:sz="6" w:space="0" w:color="auto"/>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r>
      <w:tr>
        <w:trPr>
          <w:trHeight w:val="116" w:hRule="exact"/>
        </w:trPr>
        <w:tc>
          <w:tcPr>
            <w:tcW w:w="1254" w:type="dxa"/>
            <w:vMerge/>
            <w:tcBorders>
              <w:left w:val="single" w:sz="6" w:space="0" w:color="000000"/>
              <w:right w:val="single" w:sz="6" w:space="0" w:color="000000"/>
            </w:tcBorders>
            <w:shd w:val="clear" w:color="auto" w:fill="D2D2D2"/>
          </w:tcPr>
          <w:p>
            <w:pPr/>
          </w:p>
        </w:tc>
        <w:tc>
          <w:tcPr>
            <w:tcW w:w="488" w:type="dxa"/>
            <w:vMerge/>
            <w:tcBorders>
              <w:left w:val="single" w:sz="6" w:space="0" w:color="000000"/>
              <w:right w:val="single" w:sz="6" w:space="0" w:color="000000"/>
            </w:tcBorders>
            <w:shd w:val="clear" w:color="auto" w:fill="D2D2D2"/>
          </w:tcPr>
          <w:p>
            <w:pPr/>
          </w:p>
        </w:tc>
        <w:tc>
          <w:tcPr>
            <w:tcW w:w="465" w:type="dxa"/>
            <w:vMerge/>
            <w:tcBorders>
              <w:left w:val="single" w:sz="6" w:space="0" w:color="000000"/>
              <w:right w:val="single" w:sz="6" w:space="0" w:color="000000"/>
            </w:tcBorders>
            <w:shd w:val="clear" w:color="auto" w:fill="D2D2D2"/>
          </w:tcPr>
          <w:p>
            <w:pPr/>
          </w:p>
        </w:tc>
        <w:tc>
          <w:tcPr>
            <w:tcW w:w="481" w:type="dxa"/>
            <w:vMerge/>
            <w:tcBorders>
              <w:left w:val="single" w:sz="6" w:space="0" w:color="000000"/>
              <w:right w:val="single" w:sz="6" w:space="0" w:color="000000"/>
            </w:tcBorders>
            <w:shd w:val="clear" w:color="auto" w:fill="D2D2D2"/>
          </w:tcPr>
          <w:p>
            <w:pPr/>
          </w:p>
        </w:tc>
        <w:tc>
          <w:tcPr>
            <w:tcW w:w="466"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val="restart"/>
            <w:tcBorders>
              <w:top w:val="nil" w:sz="6" w:space="0" w:color="auto"/>
              <w:left w:val="single" w:sz="6" w:space="0" w:color="000000"/>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r>
      <w:tr>
        <w:trPr>
          <w:trHeight w:val="98" w:hRule="exact"/>
        </w:trPr>
        <w:tc>
          <w:tcPr>
            <w:tcW w:w="1254" w:type="dxa"/>
            <w:vMerge/>
            <w:tcBorders>
              <w:left w:val="single" w:sz="6" w:space="0" w:color="000000"/>
              <w:bottom w:val="single" w:sz="6" w:space="0" w:color="000000"/>
              <w:right w:val="single" w:sz="6" w:space="0" w:color="000000"/>
            </w:tcBorders>
            <w:shd w:val="clear" w:color="auto" w:fill="D2D2D2"/>
          </w:tcPr>
          <w:p>
            <w:pPr/>
          </w:p>
        </w:tc>
        <w:tc>
          <w:tcPr>
            <w:tcW w:w="488" w:type="dxa"/>
            <w:vMerge/>
            <w:tcBorders>
              <w:left w:val="single" w:sz="6" w:space="0" w:color="000000"/>
              <w:bottom w:val="single" w:sz="6" w:space="0" w:color="000000"/>
              <w:right w:val="single" w:sz="6" w:space="0" w:color="000000"/>
            </w:tcBorders>
            <w:shd w:val="clear" w:color="auto" w:fill="D2D2D2"/>
          </w:tcPr>
          <w:p>
            <w:pPr/>
          </w:p>
        </w:tc>
        <w:tc>
          <w:tcPr>
            <w:tcW w:w="465"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66"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322" w:hRule="exact"/>
        </w:trPr>
        <w:tc>
          <w:tcPr>
            <w:tcW w:w="1254"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2" w:space="0" w:color="D2D2D2"/>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2,512</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161,47</w:t>
            </w:r>
          </w:p>
          <w:p>
            <w:pPr>
              <w:pStyle w:val="TableParagraph"/>
              <w:spacing w:line="240" w:lineRule="auto" w:before="108"/>
              <w:ind w:left="89" w:right="0"/>
              <w:jc w:val="left"/>
              <w:rPr>
                <w:rFonts w:ascii="Times New Roman" w:hAnsi="Times New Roman" w:cs="Times New Roman" w:eastAsia="Times New Roman" w:hint="default"/>
                <w:sz w:val="18"/>
                <w:szCs w:val="18"/>
              </w:rPr>
            </w:pPr>
            <w:r>
              <w:rPr>
                <w:rFonts w:ascii="Times New Roman"/>
                <w:sz w:val="18"/>
              </w:rPr>
              <w:t>3,545.</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00</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9"/>
              <w:ind w:left="14" w:right="0"/>
              <w:jc w:val="center"/>
              <w:rPr>
                <w:rFonts w:ascii="Times New Roman" w:hAnsi="Times New Roman" w:cs="Times New Roman" w:eastAsia="Times New Roman" w:hint="default"/>
                <w:sz w:val="18"/>
                <w:szCs w:val="18"/>
              </w:rPr>
            </w:pPr>
            <w:r>
              <w:rPr>
                <w:rFonts w:ascii="Times New Roman"/>
                <w:sz w:val="18"/>
              </w:rPr>
              <w:t>184,51</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0.00</w:t>
            </w: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523,40</w:t>
            </w:r>
          </w:p>
          <w:p>
            <w:pPr>
              <w:pStyle w:val="TableParagraph"/>
              <w:spacing w:line="240" w:lineRule="auto" w:before="108"/>
              <w:ind w:left="104" w:right="0"/>
              <w:jc w:val="left"/>
              <w:rPr>
                <w:rFonts w:ascii="Times New Roman" w:hAnsi="Times New Roman" w:cs="Times New Roman" w:eastAsia="Times New Roman" w:hint="default"/>
                <w:sz w:val="18"/>
                <w:szCs w:val="18"/>
              </w:rPr>
            </w:pPr>
            <w:r>
              <w:rPr>
                <w:rFonts w:ascii="Times New Roman"/>
                <w:sz w:val="18"/>
              </w:rPr>
              <w:t>9,142.</w:t>
            </w:r>
          </w:p>
          <w:p>
            <w:pPr>
              <w:pStyle w:val="TableParagraph"/>
              <w:spacing w:line="240" w:lineRule="auto" w:before="93"/>
              <w:ind w:left="374" w:right="0"/>
              <w:jc w:val="left"/>
              <w:rPr>
                <w:rFonts w:ascii="Times New Roman" w:hAnsi="Times New Roman" w:cs="Times New Roman" w:eastAsia="Times New Roman" w:hint="default"/>
                <w:sz w:val="18"/>
                <w:szCs w:val="18"/>
              </w:rPr>
            </w:pPr>
            <w:r>
              <w:rPr>
                <w:rFonts w:ascii="Times New Roman"/>
                <w:sz w:val="18"/>
              </w:rPr>
              <w:t>00</w:t>
            </w:r>
          </w:p>
        </w:tc>
        <w:tc>
          <w:tcPr>
            <w:tcW w:w="586" w:type="dxa"/>
            <w:vMerge w:val="restart"/>
            <w:tcBorders>
              <w:top w:val="single" w:sz="24" w:space="0" w:color="D2D2D2"/>
              <w:left w:val="single" w:sz="6" w:space="0" w:color="000000"/>
              <w:right w:val="single" w:sz="6" w:space="0" w:color="000000"/>
            </w:tcBorders>
          </w:tcPr>
          <w:p>
            <w:pPr/>
          </w:p>
        </w:tc>
        <w:tc>
          <w:tcPr>
            <w:tcW w:w="586" w:type="dxa"/>
            <w:vMerge w:val="restart"/>
            <w:tcBorders>
              <w:top w:val="single" w:sz="24" w:space="0" w:color="D2D2D2"/>
              <w:left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-319,8</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71,958</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.00</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2,877,</w:t>
            </w:r>
          </w:p>
          <w:p>
            <w:pPr>
              <w:pStyle w:val="TableParagraph"/>
              <w:spacing w:line="240" w:lineRule="auto" w:before="108"/>
              <w:ind w:left="45" w:right="0"/>
              <w:jc w:val="center"/>
              <w:rPr>
                <w:rFonts w:ascii="Times New Roman" w:hAnsi="Times New Roman" w:cs="Times New Roman" w:eastAsia="Times New Roman" w:hint="default"/>
                <w:sz w:val="18"/>
                <w:szCs w:val="18"/>
              </w:rPr>
            </w:pPr>
            <w:r>
              <w:rPr>
                <w:rFonts w:ascii="Times New Roman"/>
                <w:sz w:val="18"/>
              </w:rPr>
              <w:t>695,23</w:t>
            </w:r>
          </w:p>
          <w:p>
            <w:pPr>
              <w:pStyle w:val="TableParagraph"/>
              <w:spacing w:line="240" w:lineRule="auto" w:before="93"/>
              <w:ind w:left="225" w:right="0"/>
              <w:jc w:val="center"/>
              <w:rPr>
                <w:rFonts w:ascii="Times New Roman" w:hAnsi="Times New Roman" w:cs="Times New Roman" w:eastAsia="Times New Roman" w:hint="default"/>
                <w:sz w:val="18"/>
                <w:szCs w:val="18"/>
              </w:rPr>
            </w:pPr>
            <w:r>
              <w:rPr>
                <w:rFonts w:ascii="Times New Roman"/>
                <w:sz w:val="18"/>
              </w:rPr>
              <w:t>9.00</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42" w:space="0" w:color="D2D2D2"/>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2,877,</w:t>
            </w:r>
          </w:p>
          <w:p>
            <w:pPr>
              <w:pStyle w:val="TableParagraph"/>
              <w:spacing w:line="240" w:lineRule="auto" w:before="108"/>
              <w:ind w:left="14" w:right="0"/>
              <w:jc w:val="center"/>
              <w:rPr>
                <w:rFonts w:ascii="Times New Roman" w:hAnsi="Times New Roman" w:cs="Times New Roman" w:eastAsia="Times New Roman" w:hint="default"/>
                <w:sz w:val="18"/>
                <w:szCs w:val="18"/>
              </w:rPr>
            </w:pPr>
            <w:r>
              <w:rPr>
                <w:rFonts w:ascii="Times New Roman"/>
                <w:sz w:val="18"/>
              </w:rPr>
              <w:t>695,23</w:t>
            </w:r>
          </w:p>
          <w:p>
            <w:pPr>
              <w:pStyle w:val="TableParagraph"/>
              <w:spacing w:line="240" w:lineRule="auto" w:before="93"/>
              <w:ind w:left="195" w:right="0"/>
              <w:jc w:val="center"/>
              <w:rPr>
                <w:rFonts w:ascii="Times New Roman" w:hAnsi="Times New Roman" w:cs="Times New Roman" w:eastAsia="Times New Roman" w:hint="default"/>
                <w:sz w:val="18"/>
                <w:szCs w:val="18"/>
              </w:rPr>
            </w:pPr>
            <w:r>
              <w:rPr>
                <w:rFonts w:ascii="Times New Roman"/>
                <w:sz w:val="18"/>
              </w:rPr>
              <w:t>9.00</w:t>
            </w:r>
          </w:p>
        </w:tc>
      </w:tr>
      <w:tr>
        <w:trPr>
          <w:trHeight w:val="691" w:hRule="exact"/>
        </w:trPr>
        <w:tc>
          <w:tcPr>
            <w:tcW w:w="125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04" w:lineRule="auto" w:before="45"/>
              <w:ind w:left="15" w:right="21"/>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8"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323" w:hRule="exact"/>
        </w:trPr>
        <w:tc>
          <w:tcPr>
            <w:tcW w:w="1254"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157" w:hRule="exact"/>
        </w:trPr>
        <w:tc>
          <w:tcPr>
            <w:tcW w:w="1254" w:type="dxa"/>
            <w:tcBorders>
              <w:top w:val="single" w:sz="6" w:space="0" w:color="000000"/>
              <w:left w:val="single" w:sz="6" w:space="0" w:color="000000"/>
              <w:bottom w:val="nil" w:sz="6" w:space="0" w:color="auto"/>
              <w:right w:val="single" w:sz="6" w:space="0" w:color="000000"/>
            </w:tcBorders>
            <w:shd w:val="clear" w:color="auto" w:fill="D2D2D2"/>
          </w:tcPr>
          <w:p>
            <w:pPr/>
          </w:p>
        </w:tc>
        <w:tc>
          <w:tcPr>
            <w:tcW w:w="488" w:type="dxa"/>
            <w:vMerge w:val="restart"/>
            <w:tcBorders>
              <w:top w:val="single" w:sz="6" w:space="0" w:color="000000"/>
              <w:left w:val="single" w:sz="12" w:space="0" w:color="D2D2D2"/>
              <w:right w:val="single" w:sz="6" w:space="0" w:color="000000"/>
            </w:tcBorders>
          </w:tcPr>
          <w:p>
            <w:pPr/>
          </w:p>
        </w:tc>
        <w:tc>
          <w:tcPr>
            <w:tcW w:w="465" w:type="dxa"/>
            <w:vMerge w:val="restart"/>
            <w:tcBorders>
              <w:top w:val="single" w:sz="6" w:space="0" w:color="000000"/>
              <w:left w:val="single" w:sz="6" w:space="0" w:color="000000"/>
              <w:right w:val="single" w:sz="6" w:space="0" w:color="000000"/>
            </w:tcBorders>
          </w:tcPr>
          <w:p>
            <w:pPr/>
          </w:p>
        </w:tc>
        <w:tc>
          <w:tcPr>
            <w:tcW w:w="481" w:type="dxa"/>
            <w:vMerge w:val="restart"/>
            <w:tcBorders>
              <w:top w:val="single" w:sz="6" w:space="0" w:color="000000"/>
              <w:left w:val="single" w:sz="6" w:space="0" w:color="000000"/>
              <w:right w:val="single" w:sz="6" w:space="0" w:color="000000"/>
            </w:tcBorders>
          </w:tcPr>
          <w:p>
            <w:pPr/>
          </w:p>
        </w:tc>
        <w:tc>
          <w:tcPr>
            <w:tcW w:w="466"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71" w:type="dxa"/>
            <w:vMerge w:val="restart"/>
            <w:tcBorders>
              <w:top w:val="single" w:sz="6" w:space="0" w:color="000000"/>
              <w:left w:val="single" w:sz="6" w:space="0" w:color="000000"/>
              <w:right w:val="single" w:sz="6" w:space="0" w:color="000000"/>
            </w:tcBorders>
          </w:tcPr>
          <w:p>
            <w:pPr/>
          </w:p>
        </w:tc>
        <w:tc>
          <w:tcPr>
            <w:tcW w:w="585"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-12,64</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8,725.</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00</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-12,64</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8,725.</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00</w:t>
            </w:r>
          </w:p>
        </w:tc>
        <w:tc>
          <w:tcPr>
            <w:tcW w:w="586" w:type="dxa"/>
            <w:vMerge w:val="restart"/>
            <w:tcBorders>
              <w:top w:val="single" w:sz="6" w:space="0" w:color="000000"/>
              <w:left w:val="single" w:sz="6" w:space="0" w:color="000000"/>
              <w:right w:val="single" w:sz="6" w:space="0" w:color="000000"/>
            </w:tcBorders>
          </w:tcPr>
          <w:p>
            <w:pPr/>
          </w:p>
        </w:tc>
        <w:tc>
          <w:tcPr>
            <w:tcW w:w="586" w:type="dxa"/>
            <w:vMerge w:val="restart"/>
            <w:tcBorders>
              <w:top w:val="single" w:sz="6" w:space="0" w:color="000000"/>
              <w:left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-12,64</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8,725.</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00</w:t>
            </w:r>
          </w:p>
        </w:tc>
      </w:tr>
      <w:tr>
        <w:trPr>
          <w:trHeight w:val="705" w:hRule="exact"/>
        </w:trPr>
        <w:tc>
          <w:tcPr>
            <w:tcW w:w="125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321" w:lineRule="auto" w:before="45"/>
              <w:ind w:left="15" w:right="21" w:firstLine="360"/>
              <w:jc w:val="left"/>
              <w:rPr>
                <w:rFonts w:ascii="宋体" w:hAnsi="宋体" w:cs="宋体" w:eastAsia="宋体" w:hint="default"/>
                <w:sz w:val="18"/>
                <w:szCs w:val="18"/>
              </w:rPr>
            </w:pPr>
            <w:r>
              <w:rPr>
                <w:rFonts w:ascii="宋体" w:hAnsi="宋体" w:cs="宋体" w:eastAsia="宋体" w:hint="default"/>
                <w:spacing w:val="-12"/>
                <w:sz w:val="18"/>
                <w:szCs w:val="18"/>
              </w:rPr>
              <w:t>加：会计政</w:t>
            </w:r>
            <w:r>
              <w:rPr>
                <w:rFonts w:ascii="宋体" w:hAnsi="宋体" w:cs="宋体" w:eastAsia="宋体" w:hint="default"/>
                <w:sz w:val="18"/>
                <w:szCs w:val="18"/>
              </w:rPr>
              <w:t> 策变更</w:t>
            </w:r>
          </w:p>
        </w:tc>
        <w:tc>
          <w:tcPr>
            <w:tcW w:w="488" w:type="dxa"/>
            <w:vMerge/>
            <w:tcBorders>
              <w:left w:val="single" w:sz="12" w:space="0" w:color="D2D2D2"/>
              <w:right w:val="single" w:sz="6" w:space="0" w:color="000000"/>
            </w:tcBorders>
          </w:tcPr>
          <w:p>
            <w:pPr/>
          </w:p>
        </w:tc>
        <w:tc>
          <w:tcPr>
            <w:tcW w:w="465" w:type="dxa"/>
            <w:vMerge/>
            <w:tcBorders>
              <w:left w:val="single" w:sz="6" w:space="0" w:color="000000"/>
              <w:right w:val="single" w:sz="6" w:space="0" w:color="000000"/>
            </w:tcBorders>
          </w:tcPr>
          <w:p>
            <w:pPr/>
          </w:p>
        </w:tc>
        <w:tc>
          <w:tcPr>
            <w:tcW w:w="481" w:type="dxa"/>
            <w:vMerge/>
            <w:tcBorders>
              <w:left w:val="single" w:sz="6" w:space="0" w:color="000000"/>
              <w:right w:val="single" w:sz="6" w:space="0" w:color="000000"/>
            </w:tcBorders>
          </w:tcPr>
          <w:p>
            <w:pPr/>
          </w:p>
        </w:tc>
        <w:tc>
          <w:tcPr>
            <w:tcW w:w="466"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71" w:type="dxa"/>
            <w:vMerge/>
            <w:tcBorders>
              <w:left w:val="single" w:sz="6" w:space="0" w:color="000000"/>
              <w:right w:val="single" w:sz="6" w:space="0" w:color="000000"/>
            </w:tcBorders>
          </w:tcPr>
          <w:p>
            <w:pPr/>
          </w:p>
        </w:tc>
        <w:tc>
          <w:tcPr>
            <w:tcW w:w="585"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c>
          <w:tcPr>
            <w:tcW w:w="586" w:type="dxa"/>
            <w:vMerge/>
            <w:tcBorders>
              <w:left w:val="single" w:sz="6" w:space="0" w:color="000000"/>
              <w:right w:val="single" w:sz="6" w:space="0" w:color="000000"/>
            </w:tcBorders>
          </w:tcPr>
          <w:p>
            <w:pPr/>
          </w:p>
        </w:tc>
      </w:tr>
      <w:tr>
        <w:trPr>
          <w:trHeight w:val="173" w:hRule="exact"/>
        </w:trPr>
        <w:tc>
          <w:tcPr>
            <w:tcW w:w="1254" w:type="dxa"/>
            <w:tcBorders>
              <w:top w:val="nil" w:sz="6" w:space="0" w:color="auto"/>
              <w:left w:val="single" w:sz="6" w:space="0" w:color="000000"/>
              <w:bottom w:val="single" w:sz="6" w:space="0" w:color="000000"/>
              <w:right w:val="single" w:sz="6" w:space="0" w:color="000000"/>
            </w:tcBorders>
            <w:shd w:val="clear" w:color="auto" w:fill="D2D2D2"/>
          </w:tcPr>
          <w:p>
            <w:pPr/>
          </w:p>
        </w:tc>
        <w:tc>
          <w:tcPr>
            <w:tcW w:w="488" w:type="dxa"/>
            <w:vMerge/>
            <w:tcBorders>
              <w:left w:val="single" w:sz="12" w:space="0" w:color="D2D2D2"/>
              <w:bottom w:val="single" w:sz="6" w:space="0" w:color="000000"/>
              <w:right w:val="single" w:sz="6" w:space="0" w:color="000000"/>
            </w:tcBorders>
          </w:tcPr>
          <w:p>
            <w:pPr/>
          </w:p>
        </w:tc>
        <w:tc>
          <w:tcPr>
            <w:tcW w:w="465" w:type="dxa"/>
            <w:vMerge/>
            <w:tcBorders>
              <w:left w:val="single" w:sz="6" w:space="0" w:color="000000"/>
              <w:bottom w:val="single" w:sz="6" w:space="0" w:color="000000"/>
              <w:right w:val="single" w:sz="6" w:space="0" w:color="000000"/>
            </w:tcBorders>
          </w:tcPr>
          <w:p>
            <w:pPr/>
          </w:p>
        </w:tc>
        <w:tc>
          <w:tcPr>
            <w:tcW w:w="481" w:type="dxa"/>
            <w:vMerge/>
            <w:tcBorders>
              <w:left w:val="single" w:sz="6" w:space="0" w:color="000000"/>
              <w:bottom w:val="single" w:sz="6" w:space="0" w:color="000000"/>
              <w:right w:val="single" w:sz="6" w:space="0" w:color="000000"/>
            </w:tcBorders>
          </w:tcPr>
          <w:p>
            <w:pPr/>
          </w:p>
        </w:tc>
        <w:tc>
          <w:tcPr>
            <w:tcW w:w="466"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71" w:type="dxa"/>
            <w:vMerge/>
            <w:tcBorders>
              <w:left w:val="single" w:sz="6" w:space="0" w:color="000000"/>
              <w:bottom w:val="single" w:sz="6" w:space="0" w:color="000000"/>
              <w:right w:val="single" w:sz="6" w:space="0" w:color="000000"/>
            </w:tcBorders>
          </w:tcPr>
          <w:p>
            <w:pPr/>
          </w:p>
        </w:tc>
        <w:tc>
          <w:tcPr>
            <w:tcW w:w="585"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c>
          <w:tcPr>
            <w:tcW w:w="586" w:type="dxa"/>
            <w:vMerge/>
            <w:tcBorders>
              <w:left w:val="single" w:sz="6" w:space="0" w:color="000000"/>
              <w:bottom w:val="single" w:sz="6" w:space="0" w:color="000000"/>
              <w:right w:val="single" w:sz="6" w:space="0" w:color="000000"/>
            </w:tcBorders>
          </w:tcPr>
          <w:p>
            <w:pPr/>
          </w:p>
        </w:tc>
      </w:tr>
      <w:tr>
        <w:trPr>
          <w:trHeight w:val="706"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36"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80"/>
              <w:ind w:left="15"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8"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36" w:right="0"/>
              <w:jc w:val="left"/>
              <w:rPr>
                <w:rFonts w:ascii="宋体" w:hAnsi="宋体" w:cs="宋体" w:eastAsia="宋体" w:hint="default"/>
                <w:sz w:val="18"/>
                <w:szCs w:val="18"/>
              </w:rPr>
            </w:pPr>
            <w:r>
              <w:rPr>
                <w:rFonts w:ascii="宋体" w:hAnsi="宋体" w:cs="宋体" w:eastAsia="宋体" w:hint="default"/>
                <w:sz w:val="18"/>
                <w:szCs w:val="18"/>
              </w:rPr>
              <w:t>同一</w:t>
            </w:r>
          </w:p>
        </w:tc>
        <w:tc>
          <w:tcPr>
            <w:tcW w:w="488" w:type="dxa"/>
            <w:tcBorders>
              <w:top w:val="single" w:sz="6" w:space="0" w:color="000000"/>
              <w:left w:val="single" w:sz="18" w:space="0" w:color="D2D2D2"/>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67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5" w:right="149"/>
              <w:jc w:val="left"/>
              <w:rPr>
                <w:rFonts w:ascii="宋体" w:hAnsi="宋体" w:cs="宋体" w:eastAsia="宋体" w:hint="default"/>
                <w:sz w:val="18"/>
                <w:szCs w:val="18"/>
              </w:rPr>
            </w:pPr>
            <w:r>
              <w:rPr>
                <w:rFonts w:ascii="宋体" w:hAnsi="宋体" w:cs="宋体" w:eastAsia="宋体" w:hint="default"/>
                <w:sz w:val="18"/>
                <w:szCs w:val="18"/>
              </w:rPr>
              <w:t>控制下企业合 并</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3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21" w:lineRule="auto" w:before="138"/>
              <w:ind w:left="15" w:right="2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2,512</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161,47</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3,545.</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184,51</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523,40</w:t>
            </w:r>
          </w:p>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9,142.</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-332,5</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20,683</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2,865,</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046,51</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4.00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2,865,</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046,51</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4.00</w:t>
            </w: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2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9"/>
                <w:sz w:val="18"/>
                <w:szCs w:val="18"/>
              </w:rPr>
              <w:t>动金额（减少以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246,42</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8.00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-825,4</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72,850</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-825,2</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26,422</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-825,2</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26,422</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.00</w:t>
            </w: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246,42</w:t>
            </w:r>
          </w:p>
          <w:p>
            <w:pPr>
              <w:pStyle w:val="TableParagraph"/>
              <w:spacing w:line="240" w:lineRule="auto" w:before="108"/>
              <w:ind w:left="194" w:right="0"/>
              <w:jc w:val="center"/>
              <w:rPr>
                <w:rFonts w:ascii="Times New Roman" w:hAnsi="Times New Roman" w:cs="Times New Roman" w:eastAsia="Times New Roman" w:hint="default"/>
                <w:sz w:val="18"/>
                <w:szCs w:val="18"/>
              </w:rPr>
            </w:pPr>
            <w:r>
              <w:rPr>
                <w:rFonts w:ascii="Times New Roman"/>
                <w:sz w:val="18"/>
              </w:rPr>
              <w:t>8.00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-825,4</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72,850</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-825,2</w:t>
            </w:r>
          </w:p>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26,422</w:t>
            </w:r>
          </w:p>
          <w:p>
            <w:pPr>
              <w:pStyle w:val="TableParagraph"/>
              <w:spacing w:line="240" w:lineRule="auto" w:before="108"/>
              <w:ind w:left="330"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-825,2</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26,422</w:t>
            </w:r>
          </w:p>
          <w:p>
            <w:pPr>
              <w:pStyle w:val="TableParagraph"/>
              <w:spacing w:line="240" w:lineRule="auto" w:before="108"/>
              <w:ind w:left="315" w:right="0"/>
              <w:jc w:val="left"/>
              <w:rPr>
                <w:rFonts w:ascii="Times New Roman" w:hAnsi="Times New Roman" w:cs="Times New Roman" w:eastAsia="Times New Roman" w:hint="default"/>
                <w:sz w:val="18"/>
                <w:szCs w:val="18"/>
              </w:rPr>
            </w:pPr>
            <w:r>
              <w:rPr>
                <w:rFonts w:ascii="Times New Roman"/>
                <w:sz w:val="18"/>
              </w:rPr>
              <w:t>.00</w:t>
            </w: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29"/>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入和减少资本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．对所有者（或</w:t>
            </w:r>
            <w:r>
              <w:rPr>
                <w:rFonts w:ascii="宋体" w:hAnsi="宋体" w:cs="宋体" w:eastAsia="宋体" w:hint="default"/>
                <w:sz w:val="18"/>
                <w:szCs w:val="18"/>
              </w:rPr>
              <w:t> 股东）的分配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4"/>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67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59"/>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62"/>
        <w:gridCol w:w="481"/>
        <w:gridCol w:w="465"/>
        <w:gridCol w:w="481"/>
        <w:gridCol w:w="466"/>
        <w:gridCol w:w="585"/>
        <w:gridCol w:w="586"/>
        <w:gridCol w:w="586"/>
        <w:gridCol w:w="571"/>
        <w:gridCol w:w="585"/>
        <w:gridCol w:w="586"/>
        <w:gridCol w:w="586"/>
        <w:gridCol w:w="586"/>
        <w:gridCol w:w="586"/>
        <w:gridCol w:w="586"/>
        <w:gridCol w:w="586"/>
      </w:tblGrid>
      <w:tr>
        <w:trPr>
          <w:trHeight w:val="36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5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r>
      <w:tr>
        <w:trPr>
          <w:trHeight w:val="1321"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38"/>
              <w:ind w:left="15" w:right="29"/>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2,512</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65" w:type="dxa"/>
            <w:tcBorders>
              <w:top w:val="single" w:sz="6" w:space="0" w:color="000000"/>
              <w:left w:val="single" w:sz="6" w:space="0" w:color="000000"/>
              <w:bottom w:val="single" w:sz="6" w:space="0" w:color="000000"/>
              <w:right w:val="single" w:sz="6" w:space="0" w:color="000000"/>
            </w:tcBorders>
          </w:tcPr>
          <w:p>
            <w:pPr/>
          </w:p>
        </w:tc>
        <w:tc>
          <w:tcPr>
            <w:tcW w:w="481" w:type="dxa"/>
            <w:tcBorders>
              <w:top w:val="single" w:sz="6" w:space="0" w:color="000000"/>
              <w:left w:val="single" w:sz="6" w:space="0" w:color="000000"/>
              <w:bottom w:val="single" w:sz="6" w:space="0" w:color="000000"/>
              <w:right w:val="single" w:sz="6" w:space="0" w:color="000000"/>
            </w:tcBorders>
          </w:tcPr>
          <w:p>
            <w:pPr/>
          </w:p>
        </w:tc>
        <w:tc>
          <w:tcPr>
            <w:tcW w:w="466"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161,47</w:t>
            </w:r>
          </w:p>
          <w:p>
            <w:pPr>
              <w:pStyle w:val="TableParagraph"/>
              <w:spacing w:line="240" w:lineRule="auto" w:before="93"/>
              <w:ind w:left="89" w:right="0"/>
              <w:jc w:val="left"/>
              <w:rPr>
                <w:rFonts w:ascii="Times New Roman" w:hAnsi="Times New Roman" w:cs="Times New Roman" w:eastAsia="Times New Roman" w:hint="default"/>
                <w:sz w:val="18"/>
                <w:szCs w:val="18"/>
              </w:rPr>
            </w:pPr>
            <w:r>
              <w:rPr>
                <w:rFonts w:ascii="Times New Roman"/>
                <w:sz w:val="18"/>
              </w:rPr>
              <w:t>3,545.</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7"/>
                <w:szCs w:val="17"/>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430,93</w:t>
            </w:r>
          </w:p>
          <w:p>
            <w:pPr>
              <w:pStyle w:val="TableParagraph"/>
              <w:spacing w:line="240" w:lineRule="auto" w:before="93"/>
              <w:ind w:left="194" w:right="0"/>
              <w:jc w:val="center"/>
              <w:rPr>
                <w:rFonts w:ascii="Times New Roman" w:hAnsi="Times New Roman" w:cs="Times New Roman" w:eastAsia="Times New Roman" w:hint="default"/>
                <w:sz w:val="18"/>
                <w:szCs w:val="18"/>
              </w:rPr>
            </w:pPr>
            <w:r>
              <w:rPr>
                <w:rFonts w:ascii="Times New Roman"/>
                <w:sz w:val="18"/>
              </w:rPr>
              <w:t>8.00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523,40</w:t>
            </w:r>
          </w:p>
          <w:p>
            <w:pPr>
              <w:pStyle w:val="TableParagraph"/>
              <w:spacing w:line="240" w:lineRule="auto" w:before="93"/>
              <w:ind w:left="104" w:right="0"/>
              <w:jc w:val="left"/>
              <w:rPr>
                <w:rFonts w:ascii="Times New Roman" w:hAnsi="Times New Roman" w:cs="Times New Roman" w:eastAsia="Times New Roman" w:hint="default"/>
                <w:sz w:val="18"/>
                <w:szCs w:val="18"/>
              </w:rPr>
            </w:pPr>
            <w:r>
              <w:rPr>
                <w:rFonts w:ascii="Times New Roman"/>
                <w:sz w:val="18"/>
              </w:rPr>
              <w:t>9,142.</w:t>
            </w:r>
          </w:p>
          <w:p>
            <w:pPr>
              <w:pStyle w:val="TableParagraph"/>
              <w:spacing w:line="240" w:lineRule="auto" w:before="108"/>
              <w:ind w:left="374"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center"/>
              <w:rPr>
                <w:rFonts w:ascii="Times New Roman" w:hAnsi="Times New Roman" w:cs="Times New Roman" w:eastAsia="Times New Roman" w:hint="default"/>
                <w:sz w:val="18"/>
                <w:szCs w:val="18"/>
              </w:rPr>
            </w:pPr>
            <w:r>
              <w:rPr>
                <w:rFonts w:ascii="Times New Roman"/>
                <w:sz w:val="18"/>
              </w:rPr>
              <w:t>-1,157,</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993,53</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3.00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center"/>
              <w:rPr>
                <w:rFonts w:ascii="Times New Roman" w:hAnsi="Times New Roman" w:cs="Times New Roman" w:eastAsia="Times New Roman" w:hint="default"/>
                <w:sz w:val="18"/>
                <w:szCs w:val="18"/>
              </w:rPr>
            </w:pPr>
            <w:r>
              <w:rPr>
                <w:rFonts w:ascii="Times New Roman"/>
                <w:sz w:val="18"/>
              </w:rPr>
              <w:t>2,039,</w:t>
            </w:r>
          </w:p>
          <w:p>
            <w:pPr>
              <w:pStyle w:val="TableParagraph"/>
              <w:spacing w:line="240" w:lineRule="auto" w:before="93"/>
              <w:ind w:left="45" w:right="0"/>
              <w:jc w:val="center"/>
              <w:rPr>
                <w:rFonts w:ascii="Times New Roman" w:hAnsi="Times New Roman" w:cs="Times New Roman" w:eastAsia="Times New Roman" w:hint="default"/>
                <w:sz w:val="18"/>
                <w:szCs w:val="18"/>
              </w:rPr>
            </w:pPr>
            <w:r>
              <w:rPr>
                <w:rFonts w:ascii="Times New Roman"/>
                <w:sz w:val="18"/>
              </w:rPr>
              <w:t>820,09</w:t>
            </w:r>
          </w:p>
          <w:p>
            <w:pPr>
              <w:pStyle w:val="TableParagraph"/>
              <w:spacing w:line="240" w:lineRule="auto" w:before="108"/>
              <w:ind w:left="225" w:right="0"/>
              <w:jc w:val="center"/>
              <w:rPr>
                <w:rFonts w:ascii="Times New Roman" w:hAnsi="Times New Roman" w:cs="Times New Roman" w:eastAsia="Times New Roman" w:hint="default"/>
                <w:sz w:val="18"/>
                <w:szCs w:val="18"/>
              </w:rPr>
            </w:pPr>
            <w:r>
              <w:rPr>
                <w:rFonts w:ascii="Times New Roman"/>
                <w:sz w:val="18"/>
              </w:rPr>
              <w:t>2.00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2,039,</w:t>
            </w:r>
          </w:p>
          <w:p>
            <w:pPr>
              <w:pStyle w:val="TableParagraph"/>
              <w:spacing w:line="240" w:lineRule="auto" w:before="93"/>
              <w:ind w:left="14" w:right="0"/>
              <w:jc w:val="center"/>
              <w:rPr>
                <w:rFonts w:ascii="Times New Roman" w:hAnsi="Times New Roman" w:cs="Times New Roman" w:eastAsia="Times New Roman" w:hint="default"/>
                <w:sz w:val="18"/>
                <w:szCs w:val="18"/>
              </w:rPr>
            </w:pPr>
            <w:r>
              <w:rPr>
                <w:rFonts w:ascii="Times New Roman"/>
                <w:sz w:val="18"/>
              </w:rPr>
              <w:t>820,09</w:t>
            </w:r>
          </w:p>
          <w:p>
            <w:pPr>
              <w:pStyle w:val="TableParagraph"/>
              <w:spacing w:line="240" w:lineRule="auto" w:before="108"/>
              <w:ind w:left="195" w:right="0"/>
              <w:jc w:val="center"/>
              <w:rPr>
                <w:rFonts w:ascii="Times New Roman" w:hAnsi="Times New Roman" w:cs="Times New Roman" w:eastAsia="Times New Roman" w:hint="default"/>
                <w:sz w:val="18"/>
                <w:szCs w:val="18"/>
              </w:rPr>
            </w:pPr>
            <w:r>
              <w:rPr>
                <w:rFonts w:ascii="Times New Roman"/>
                <w:sz w:val="18"/>
              </w:rPr>
              <w:t>2.00</w:t>
            </w:r>
          </w:p>
        </w:tc>
      </w:tr>
    </w:tbl>
    <w:p>
      <w:pPr>
        <w:pStyle w:val="BodyText"/>
        <w:spacing w:line="240" w:lineRule="auto" w:before="44"/>
        <w:ind w:right="0"/>
        <w:jc w:val="left"/>
      </w:pPr>
      <w:r>
        <w:rPr/>
        <w:t>上期金额</w:t>
      </w:r>
    </w:p>
    <w:p>
      <w:pPr>
        <w:pStyle w:val="BodyText"/>
        <w:spacing w:line="240" w:lineRule="auto" w:before="125"/>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209"/>
        <w:gridCol w:w="481"/>
        <w:gridCol w:w="450"/>
        <w:gridCol w:w="451"/>
        <w:gridCol w:w="496"/>
        <w:gridCol w:w="570"/>
        <w:gridCol w:w="586"/>
        <w:gridCol w:w="571"/>
        <w:gridCol w:w="585"/>
        <w:gridCol w:w="571"/>
        <w:gridCol w:w="586"/>
        <w:gridCol w:w="586"/>
        <w:gridCol w:w="571"/>
        <w:gridCol w:w="571"/>
        <w:gridCol w:w="631"/>
        <w:gridCol w:w="661"/>
      </w:tblGrid>
      <w:tr>
        <w:trPr>
          <w:trHeight w:val="406" w:hRule="exact"/>
        </w:trPr>
        <w:tc>
          <w:tcPr>
            <w:tcW w:w="120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39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365" w:type="dxa"/>
            <w:gridSpan w:val="1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48" w:hRule="exact"/>
        </w:trPr>
        <w:tc>
          <w:tcPr>
            <w:tcW w:w="1209" w:type="dxa"/>
            <w:vMerge/>
            <w:tcBorders>
              <w:left w:val="single" w:sz="6" w:space="0" w:color="000000"/>
              <w:right w:val="single" w:sz="6" w:space="0" w:color="000000"/>
            </w:tcBorders>
            <w:shd w:val="clear" w:color="auto" w:fill="D2D2D2"/>
          </w:tcPr>
          <w:p>
            <w:pPr/>
          </w:p>
        </w:tc>
        <w:tc>
          <w:tcPr>
            <w:tcW w:w="7074" w:type="dxa"/>
            <w:gridSpan w:val="1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32"/>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31" w:type="dxa"/>
            <w:vMerge w:val="restart"/>
            <w:tcBorders>
              <w:top w:val="single" w:sz="6" w:space="0" w:color="000000"/>
              <w:left w:val="single" w:sz="6" w:space="0" w:color="000000"/>
              <w:right w:val="single" w:sz="6" w:space="0" w:color="000000"/>
            </w:tcBorders>
            <w:shd w:val="clear" w:color="auto" w:fill="D2D2D2"/>
          </w:tcPr>
          <w:p>
            <w:pPr/>
          </w:p>
        </w:tc>
        <w:tc>
          <w:tcPr>
            <w:tcW w:w="66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151" w:hRule="exact"/>
        </w:trPr>
        <w:tc>
          <w:tcPr>
            <w:tcW w:w="1209" w:type="dxa"/>
            <w:vMerge/>
            <w:tcBorders>
              <w:left w:val="single" w:sz="6" w:space="0" w:color="000000"/>
              <w:right w:val="single" w:sz="6" w:space="0" w:color="000000"/>
            </w:tcBorders>
            <w:shd w:val="clear" w:color="auto" w:fill="D2D2D2"/>
          </w:tcPr>
          <w:p>
            <w:pPr/>
          </w:p>
        </w:tc>
        <w:tc>
          <w:tcPr>
            <w:tcW w:w="7074" w:type="dxa"/>
            <w:gridSpan w:val="13"/>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nil" w:sz="6" w:space="0" w:color="auto"/>
              <w:right w:val="single" w:sz="6" w:space="0" w:color="000000"/>
            </w:tcBorders>
            <w:shd w:val="clear" w:color="auto" w:fill="D2D2D2"/>
          </w:tcPr>
          <w:p>
            <w:pPr/>
          </w:p>
        </w:tc>
        <w:tc>
          <w:tcPr>
            <w:tcW w:w="661"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45"/>
              <w:ind w:left="60" w:right="4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10" w:hRule="exact"/>
        </w:trPr>
        <w:tc>
          <w:tcPr>
            <w:tcW w:w="1209" w:type="dxa"/>
            <w:vMerge/>
            <w:tcBorders>
              <w:left w:val="single" w:sz="6" w:space="0" w:color="000000"/>
              <w:right w:val="single" w:sz="6" w:space="0" w:color="000000"/>
            </w:tcBorders>
            <w:shd w:val="clear" w:color="auto" w:fill="D2D2D2"/>
          </w:tcPr>
          <w:p>
            <w:pPr/>
          </w:p>
        </w:tc>
        <w:tc>
          <w:tcPr>
            <w:tcW w:w="481" w:type="dxa"/>
            <w:vMerge w:val="restart"/>
            <w:tcBorders>
              <w:top w:val="single" w:sz="6" w:space="0" w:color="000000"/>
              <w:left w:val="single" w:sz="6" w:space="0" w:color="000000"/>
              <w:right w:val="single" w:sz="6" w:space="0" w:color="000000"/>
            </w:tcBorders>
            <w:shd w:val="clear" w:color="auto" w:fill="D2D2D2"/>
          </w:tcPr>
          <w:p>
            <w:pPr/>
          </w:p>
        </w:tc>
        <w:tc>
          <w:tcPr>
            <w:tcW w:w="139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1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0"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90"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5" w:type="dxa"/>
            <w:tcBorders>
              <w:top w:val="single" w:sz="6" w:space="0" w:color="000000"/>
              <w:left w:val="single" w:sz="6" w:space="0" w:color="000000"/>
              <w:bottom w:val="nil" w:sz="6" w:space="0" w:color="auto"/>
              <w:right w:val="single" w:sz="6" w:space="0" w:color="000000"/>
            </w:tcBorders>
            <w:shd w:val="clear" w:color="auto" w:fill="D2D2D2"/>
          </w:tcPr>
          <w:p>
            <w:pPr/>
          </w:p>
        </w:tc>
        <w:tc>
          <w:tcPr>
            <w:tcW w:w="571" w:type="dxa"/>
            <w:tcBorders>
              <w:top w:val="single" w:sz="6" w:space="0" w:color="000000"/>
              <w:left w:val="single" w:sz="6" w:space="0" w:color="000000"/>
              <w:bottom w:val="nil" w:sz="6" w:space="0" w:color="auto"/>
              <w:right w:val="single" w:sz="6" w:space="0" w:color="000000"/>
            </w:tcBorders>
            <w:shd w:val="clear" w:color="auto" w:fill="D2D2D2"/>
          </w:tcPr>
          <w:p>
            <w:pP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571" w:type="dxa"/>
            <w:vMerge w:val="restart"/>
            <w:tcBorders>
              <w:top w:val="single" w:sz="6" w:space="0" w:color="000000"/>
              <w:left w:val="single" w:sz="6" w:space="0" w:color="000000"/>
              <w:right w:val="single" w:sz="6" w:space="0" w:color="000000"/>
            </w:tcBorders>
            <w:shd w:val="clear" w:color="auto" w:fill="D2D2D2"/>
          </w:tcPr>
          <w:p>
            <w:pPr/>
          </w:p>
        </w:tc>
        <w:tc>
          <w:tcPr>
            <w:tcW w:w="631"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30" w:right="43"/>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61" w:type="dxa"/>
            <w:vMerge/>
            <w:tcBorders>
              <w:left w:val="single" w:sz="6" w:space="0" w:color="000000"/>
              <w:right w:val="single" w:sz="6" w:space="0" w:color="000000"/>
            </w:tcBorders>
            <w:shd w:val="clear" w:color="auto" w:fill="D2D2D2"/>
          </w:tcPr>
          <w:p>
            <w:pPr/>
          </w:p>
        </w:tc>
      </w:tr>
      <w:tr>
        <w:trPr>
          <w:trHeight w:val="169" w:hRule="exact"/>
        </w:trPr>
        <w:tc>
          <w:tcPr>
            <w:tcW w:w="1209" w:type="dxa"/>
            <w:vMerge/>
            <w:tcBorders>
              <w:left w:val="single" w:sz="6" w:space="0" w:color="000000"/>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1397" w:type="dxa"/>
            <w:gridSpan w:val="3"/>
            <w:vMerge/>
            <w:tcBorders>
              <w:left w:val="single" w:sz="6" w:space="0" w:color="000000"/>
              <w:bottom w:val="single" w:sz="6" w:space="0" w:color="000000"/>
              <w:right w:val="single" w:sz="6" w:space="0" w:color="000000"/>
            </w:tcBorders>
            <w:shd w:val="clear" w:color="auto" w:fill="D2D2D2"/>
          </w:tcPr>
          <w:p>
            <w:pPr/>
          </w:p>
        </w:tc>
        <w:tc>
          <w:tcPr>
            <w:tcW w:w="570"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4" w:right="88"/>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5" w:right="13" w:hanging="75"/>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z w:val="18"/>
                <w:szCs w:val="18"/>
              </w:rPr>
              <w:t> 存股</w:t>
            </w:r>
          </w:p>
        </w:tc>
        <w:tc>
          <w:tcPr>
            <w:tcW w:w="571" w:type="dxa"/>
            <w:vMerge/>
            <w:tcBorders>
              <w:left w:val="single" w:sz="6" w:space="0" w:color="000000"/>
              <w:right w:val="single" w:sz="6" w:space="0" w:color="000000"/>
            </w:tcBorders>
            <w:shd w:val="clear" w:color="auto" w:fill="D2D2D2"/>
          </w:tcPr>
          <w:p>
            <w:pPr/>
          </w:p>
        </w:tc>
        <w:tc>
          <w:tcPr>
            <w:tcW w:w="58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105" w:right="103"/>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90"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77" w:hRule="exact"/>
        </w:trPr>
        <w:tc>
          <w:tcPr>
            <w:tcW w:w="1209" w:type="dxa"/>
            <w:vMerge/>
            <w:tcBorders>
              <w:left w:val="single" w:sz="6" w:space="0" w:color="000000"/>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4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4"/>
              <w:ind w:left="135" w:right="2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5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64"/>
              <w:ind w:left="135" w:right="28" w:hanging="91"/>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6" w:type="dxa"/>
            <w:tcBorders>
              <w:top w:val="single" w:sz="6" w:space="0" w:color="000000"/>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26"/>
              <w:ind w:left="9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31" w:type="dxa"/>
            <w:vMerge/>
            <w:tcBorders>
              <w:left w:val="single" w:sz="6" w:space="0" w:color="000000"/>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84" w:hRule="exact"/>
        </w:trPr>
        <w:tc>
          <w:tcPr>
            <w:tcW w:w="1209" w:type="dxa"/>
            <w:vMerge/>
            <w:tcBorders>
              <w:left w:val="single" w:sz="6" w:space="0" w:color="000000"/>
              <w:right w:val="single" w:sz="6" w:space="0" w:color="000000"/>
            </w:tcBorders>
            <w:shd w:val="clear" w:color="auto" w:fill="D2D2D2"/>
          </w:tcPr>
          <w:p>
            <w:pPr/>
          </w:p>
        </w:tc>
        <w:tc>
          <w:tcPr>
            <w:tcW w:w="481" w:type="dxa"/>
            <w:vMerge/>
            <w:tcBorders>
              <w:left w:val="single" w:sz="6" w:space="0" w:color="000000"/>
              <w:bottom w:val="nil" w:sz="6" w:space="0" w:color="auto"/>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0"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tcBorders>
              <w:left w:val="single" w:sz="6" w:space="0" w:color="000000"/>
              <w:bottom w:val="single" w:sz="18" w:space="0" w:color="FFFFFF"/>
              <w:right w:val="single" w:sz="6" w:space="0" w:color="000000"/>
            </w:tcBorders>
            <w:shd w:val="clear" w:color="auto" w:fill="D2D2D2"/>
          </w:tcPr>
          <w:p>
            <w:pPr/>
          </w:p>
        </w:tc>
        <w:tc>
          <w:tcPr>
            <w:tcW w:w="631" w:type="dxa"/>
            <w:vMerge/>
            <w:tcBorders>
              <w:left w:val="single" w:sz="6" w:space="0" w:color="000000"/>
              <w:bottom w:val="single" w:sz="18" w:space="0" w:color="FFFFFF"/>
              <w:right w:val="single" w:sz="6" w:space="0" w:color="000000"/>
            </w:tcBorders>
            <w:shd w:val="clear" w:color="auto" w:fill="D2D2D2"/>
          </w:tcPr>
          <w:p>
            <w:pPr/>
          </w:p>
        </w:tc>
        <w:tc>
          <w:tcPr>
            <w:tcW w:w="661" w:type="dxa"/>
            <w:vMerge/>
            <w:tcBorders>
              <w:left w:val="single" w:sz="6" w:space="0" w:color="000000"/>
              <w:right w:val="single" w:sz="6" w:space="0" w:color="000000"/>
            </w:tcBorders>
            <w:shd w:val="clear" w:color="auto" w:fill="D2D2D2"/>
          </w:tcPr>
          <w:p>
            <w:pPr/>
          </w:p>
        </w:tc>
      </w:tr>
      <w:tr>
        <w:trPr>
          <w:trHeight w:val="154" w:hRule="exact"/>
        </w:trPr>
        <w:tc>
          <w:tcPr>
            <w:tcW w:w="1209" w:type="dxa"/>
            <w:vMerge/>
            <w:tcBorders>
              <w:left w:val="single" w:sz="6" w:space="0" w:color="000000"/>
              <w:right w:val="single" w:sz="6" w:space="0" w:color="000000"/>
            </w:tcBorders>
            <w:shd w:val="clear" w:color="auto" w:fill="D2D2D2"/>
          </w:tcPr>
          <w:p>
            <w:pPr/>
          </w:p>
        </w:tc>
        <w:tc>
          <w:tcPr>
            <w:tcW w:w="481" w:type="dxa"/>
            <w:vMerge w:val="restart"/>
            <w:tcBorders>
              <w:top w:val="nil" w:sz="6" w:space="0" w:color="auto"/>
              <w:left w:val="single" w:sz="6" w:space="0" w:color="000000"/>
              <w:right w:val="single" w:sz="6" w:space="0" w:color="000000"/>
            </w:tcBorders>
            <w:shd w:val="clear" w:color="auto" w:fill="D2D2D2"/>
          </w:tcPr>
          <w:p>
            <w:pPr/>
          </w:p>
        </w:tc>
        <w:tc>
          <w:tcPr>
            <w:tcW w:w="450" w:type="dxa"/>
            <w:vMerge/>
            <w:tcBorders>
              <w:left w:val="single" w:sz="6" w:space="0" w:color="000000"/>
              <w:right w:val="single" w:sz="6" w:space="0" w:color="000000"/>
            </w:tcBorders>
            <w:shd w:val="clear" w:color="auto" w:fill="D2D2D2"/>
          </w:tcPr>
          <w:p>
            <w:pPr/>
          </w:p>
        </w:tc>
        <w:tc>
          <w:tcPr>
            <w:tcW w:w="451" w:type="dxa"/>
            <w:vMerge/>
            <w:tcBorders>
              <w:left w:val="single" w:sz="6" w:space="0" w:color="000000"/>
              <w:right w:val="single" w:sz="6" w:space="0" w:color="000000"/>
            </w:tcBorders>
            <w:shd w:val="clear" w:color="auto" w:fill="D2D2D2"/>
          </w:tcPr>
          <w:p>
            <w:pPr/>
          </w:p>
        </w:tc>
        <w:tc>
          <w:tcPr>
            <w:tcW w:w="496" w:type="dxa"/>
            <w:vMerge/>
            <w:tcBorders>
              <w:left w:val="single" w:sz="6" w:space="0" w:color="000000"/>
              <w:bottom w:val="nil" w:sz="6" w:space="0" w:color="auto"/>
              <w:right w:val="single" w:sz="6" w:space="0" w:color="000000"/>
            </w:tcBorders>
            <w:shd w:val="clear" w:color="auto" w:fill="D2D2D2"/>
          </w:tcPr>
          <w:p>
            <w:pPr/>
          </w:p>
        </w:tc>
        <w:tc>
          <w:tcPr>
            <w:tcW w:w="570"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85" w:type="dxa"/>
            <w:vMerge/>
            <w:tcBorders>
              <w:left w:val="single" w:sz="6" w:space="0" w:color="000000"/>
              <w:bottom w:val="nil" w:sz="6" w:space="0" w:color="auto"/>
              <w:right w:val="single" w:sz="6" w:space="0" w:color="000000"/>
            </w:tcBorders>
            <w:shd w:val="clear" w:color="auto" w:fill="D2D2D2"/>
          </w:tcPr>
          <w:p>
            <w:pPr/>
          </w:p>
        </w:tc>
        <w:tc>
          <w:tcPr>
            <w:tcW w:w="571" w:type="dxa"/>
            <w:vMerge/>
            <w:tcBorders>
              <w:left w:val="single" w:sz="6" w:space="0" w:color="000000"/>
              <w:bottom w:val="nil" w:sz="6" w:space="0" w:color="auto"/>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86"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1" w:type="dxa"/>
            <w:vMerge w:val="restart"/>
            <w:tcBorders>
              <w:top w:val="single" w:sz="18" w:space="0" w:color="FFFFFF"/>
              <w:left w:val="single" w:sz="6" w:space="0" w:color="000000"/>
              <w:right w:val="single" w:sz="6" w:space="0" w:color="000000"/>
            </w:tcBorders>
            <w:shd w:val="clear" w:color="auto" w:fill="D2D2D2"/>
          </w:tcPr>
          <w:p>
            <w:pPr/>
          </w:p>
        </w:tc>
        <w:tc>
          <w:tcPr>
            <w:tcW w:w="631" w:type="dxa"/>
            <w:vMerge w:val="restart"/>
            <w:tcBorders>
              <w:top w:val="single" w:sz="18" w:space="0" w:color="FFFFFF"/>
              <w:left w:val="single" w:sz="6" w:space="0" w:color="000000"/>
              <w:right w:val="single" w:sz="6" w:space="0" w:color="000000"/>
            </w:tcBorders>
            <w:shd w:val="clear" w:color="auto" w:fill="D2D2D2"/>
          </w:tcPr>
          <w:p>
            <w:pPr/>
          </w:p>
        </w:tc>
        <w:tc>
          <w:tcPr>
            <w:tcW w:w="661" w:type="dxa"/>
            <w:vMerge/>
            <w:tcBorders>
              <w:left w:val="single" w:sz="6" w:space="0" w:color="000000"/>
              <w:bottom w:val="nil" w:sz="6" w:space="0" w:color="auto"/>
              <w:right w:val="single" w:sz="6" w:space="0" w:color="000000"/>
            </w:tcBorders>
            <w:shd w:val="clear" w:color="auto" w:fill="D2D2D2"/>
          </w:tcPr>
          <w:p>
            <w:pPr/>
          </w:p>
        </w:tc>
      </w:tr>
      <w:tr>
        <w:trPr>
          <w:trHeight w:val="214" w:hRule="exact"/>
        </w:trPr>
        <w:tc>
          <w:tcPr>
            <w:tcW w:w="1209" w:type="dxa"/>
            <w:vMerge/>
            <w:tcBorders>
              <w:left w:val="single" w:sz="6" w:space="0" w:color="000000"/>
              <w:bottom w:val="single" w:sz="6" w:space="0" w:color="000000"/>
              <w:right w:val="single" w:sz="6" w:space="0" w:color="000000"/>
            </w:tcBorders>
            <w:shd w:val="clear" w:color="auto" w:fill="D2D2D2"/>
          </w:tcPr>
          <w:p>
            <w:pPr/>
          </w:p>
        </w:tc>
        <w:tc>
          <w:tcPr>
            <w:tcW w:w="481" w:type="dxa"/>
            <w:vMerge/>
            <w:tcBorders>
              <w:left w:val="single" w:sz="6" w:space="0" w:color="000000"/>
              <w:bottom w:val="single" w:sz="6" w:space="0" w:color="000000"/>
              <w:right w:val="single" w:sz="6" w:space="0" w:color="000000"/>
            </w:tcBorders>
            <w:shd w:val="clear" w:color="auto" w:fill="D2D2D2"/>
          </w:tcPr>
          <w:p>
            <w:pPr/>
          </w:p>
        </w:tc>
        <w:tc>
          <w:tcPr>
            <w:tcW w:w="450" w:type="dxa"/>
            <w:vMerge/>
            <w:tcBorders>
              <w:left w:val="single" w:sz="6" w:space="0" w:color="000000"/>
              <w:bottom w:val="single" w:sz="6" w:space="0" w:color="000000"/>
              <w:right w:val="single" w:sz="6" w:space="0" w:color="000000"/>
            </w:tcBorders>
            <w:shd w:val="clear" w:color="auto" w:fill="D2D2D2"/>
          </w:tcPr>
          <w:p>
            <w:pPr/>
          </w:p>
        </w:tc>
        <w:tc>
          <w:tcPr>
            <w:tcW w:w="451" w:type="dxa"/>
            <w:vMerge/>
            <w:tcBorders>
              <w:left w:val="single" w:sz="6" w:space="0" w:color="000000"/>
              <w:bottom w:val="single" w:sz="6" w:space="0" w:color="000000"/>
              <w:right w:val="single" w:sz="6" w:space="0" w:color="000000"/>
            </w:tcBorders>
            <w:shd w:val="clear" w:color="auto" w:fill="D2D2D2"/>
          </w:tcPr>
          <w:p>
            <w:pPr/>
          </w:p>
        </w:tc>
        <w:tc>
          <w:tcPr>
            <w:tcW w:w="49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0"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85" w:type="dxa"/>
            <w:tcBorders>
              <w:top w:val="nil" w:sz="6" w:space="0" w:color="auto"/>
              <w:left w:val="single" w:sz="6" w:space="0" w:color="000000"/>
              <w:bottom w:val="single" w:sz="6" w:space="0" w:color="000000"/>
              <w:right w:val="single" w:sz="6" w:space="0" w:color="000000"/>
            </w:tcBorders>
            <w:shd w:val="clear" w:color="auto" w:fill="D2D2D2"/>
          </w:tcPr>
          <w:p>
            <w:pPr/>
          </w:p>
        </w:tc>
        <w:tc>
          <w:tcPr>
            <w:tcW w:w="571" w:type="dxa"/>
            <w:tcBorders>
              <w:top w:val="nil" w:sz="6" w:space="0" w:color="auto"/>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86"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31" w:type="dxa"/>
            <w:vMerge/>
            <w:tcBorders>
              <w:left w:val="single" w:sz="6" w:space="0" w:color="000000"/>
              <w:bottom w:val="single" w:sz="6" w:space="0" w:color="000000"/>
              <w:right w:val="single" w:sz="6" w:space="0" w:color="000000"/>
            </w:tcBorders>
            <w:shd w:val="clear" w:color="auto" w:fill="D2D2D2"/>
          </w:tcPr>
          <w:p>
            <w:pPr/>
          </w:p>
        </w:tc>
        <w:tc>
          <w:tcPr>
            <w:tcW w:w="66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336"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321" w:lineRule="auto"/>
              <w:ind w:left="7" w:right="104"/>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37" w:right="0"/>
              <w:jc w:val="left"/>
              <w:rPr>
                <w:rFonts w:ascii="Times New Roman" w:hAnsi="Times New Roman" w:cs="Times New Roman" w:eastAsia="Times New Roman" w:hint="default"/>
                <w:sz w:val="18"/>
                <w:szCs w:val="18"/>
              </w:rPr>
            </w:pPr>
            <w:r>
              <w:rPr>
                <w:rFonts w:ascii="Times New Roman"/>
                <w:sz w:val="18"/>
              </w:rPr>
              <w:t>2,512</w:t>
            </w:r>
          </w:p>
          <w:p>
            <w:pPr>
              <w:pStyle w:val="TableParagraph"/>
              <w:spacing w:line="240" w:lineRule="auto" w:before="93"/>
              <w:ind w:left="82"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8"/>
              <w:ind w:left="37"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161,47</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3,545.</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9" w:right="0"/>
              <w:jc w:val="center"/>
              <w:rPr>
                <w:rFonts w:ascii="Times New Roman" w:hAnsi="Times New Roman" w:cs="Times New Roman" w:eastAsia="Times New Roman" w:hint="default"/>
                <w:sz w:val="18"/>
                <w:szCs w:val="18"/>
              </w:rPr>
            </w:pPr>
            <w:r>
              <w:rPr>
                <w:rFonts w:ascii="Times New Roman"/>
                <w:sz w:val="18"/>
              </w:rPr>
              <w:t>190,00</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5.00</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505,02</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1,803.</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24" w:space="0" w:color="D2D2D2"/>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-341,8</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46,190</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2,837,</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339,16</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3.00</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2,837,3</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39,163.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r>
      <w:tr>
        <w:trPr>
          <w:trHeight w:val="720"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105"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481"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79"/>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481"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03" w:firstLine="721"/>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481"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03"/>
              <w:jc w:val="right"/>
              <w:rPr>
                <w:rFonts w:ascii="宋体" w:hAnsi="宋体" w:cs="宋体" w:eastAsia="宋体" w:hint="default"/>
                <w:sz w:val="18"/>
                <w:szCs w:val="18"/>
              </w:rPr>
            </w:pPr>
            <w:r>
              <w:rPr>
                <w:rFonts w:ascii="宋体" w:hAnsi="宋体" w:cs="宋体" w:eastAsia="宋体" w:hint="default"/>
                <w:sz w:val="18"/>
                <w:szCs w:val="18"/>
              </w:rPr>
              <w:t>其他</w:t>
            </w:r>
          </w:p>
        </w:tc>
        <w:tc>
          <w:tcPr>
            <w:tcW w:w="481" w:type="dxa"/>
            <w:tcBorders>
              <w:top w:val="single" w:sz="6" w:space="0" w:color="000000"/>
              <w:left w:val="single" w:sz="12"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04"/>
              <w:jc w:val="right"/>
              <w:rPr>
                <w:rFonts w:ascii="宋体" w:hAnsi="宋体" w:cs="宋体" w:eastAsia="宋体" w:hint="default"/>
                <w:sz w:val="18"/>
                <w:szCs w:val="18"/>
              </w:rPr>
            </w:pPr>
            <w:r>
              <w:rPr>
                <w:rFonts w:ascii="宋体" w:hAnsi="宋体" w:cs="宋体" w:eastAsia="宋体" w:hint="default"/>
                <w:sz w:val="18"/>
                <w:szCs w:val="18"/>
              </w:rPr>
              <w:t>二、本年期初</w:t>
            </w:r>
          </w:p>
        </w:tc>
        <w:tc>
          <w:tcPr>
            <w:tcW w:w="48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7"/>
              <w:ind w:left="37" w:right="0"/>
              <w:jc w:val="left"/>
              <w:rPr>
                <w:rFonts w:ascii="Times New Roman" w:hAnsi="Times New Roman" w:cs="Times New Roman" w:eastAsia="Times New Roman" w:hint="default"/>
                <w:sz w:val="18"/>
                <w:szCs w:val="18"/>
              </w:rPr>
            </w:pPr>
            <w:r>
              <w:rPr>
                <w:rFonts w:ascii="Times New Roman"/>
                <w:sz w:val="18"/>
              </w:rPr>
              <w:t>2,512</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59" w:right="0"/>
              <w:jc w:val="left"/>
              <w:rPr>
                <w:rFonts w:ascii="Times New Roman" w:hAnsi="Times New Roman" w:cs="Times New Roman" w:eastAsia="Times New Roman" w:hint="default"/>
                <w:sz w:val="18"/>
                <w:szCs w:val="18"/>
              </w:rPr>
            </w:pPr>
            <w:r>
              <w:rPr>
                <w:rFonts w:ascii="Times New Roman"/>
                <w:sz w:val="18"/>
              </w:rPr>
              <w:t>161,47</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190,00</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45" w:right="0"/>
              <w:jc w:val="left"/>
              <w:rPr>
                <w:rFonts w:ascii="Times New Roman" w:hAnsi="Times New Roman" w:cs="Times New Roman" w:eastAsia="Times New Roman" w:hint="default"/>
                <w:sz w:val="18"/>
                <w:szCs w:val="18"/>
              </w:rPr>
            </w:pPr>
            <w:r>
              <w:rPr>
                <w:rFonts w:ascii="Times New Roman"/>
                <w:sz w:val="18"/>
              </w:rPr>
              <w:t>505,02</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0" w:right="0"/>
              <w:jc w:val="left"/>
              <w:rPr>
                <w:rFonts w:ascii="Times New Roman" w:hAnsi="Times New Roman" w:cs="Times New Roman" w:eastAsia="Times New Roman" w:hint="default"/>
                <w:sz w:val="18"/>
                <w:szCs w:val="18"/>
              </w:rPr>
            </w:pPr>
            <w:r>
              <w:rPr>
                <w:rFonts w:ascii="Times New Roman"/>
                <w:sz w:val="18"/>
              </w:rPr>
              <w:t>-341,8</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75" w:right="0"/>
              <w:jc w:val="left"/>
              <w:rPr>
                <w:rFonts w:ascii="Times New Roman" w:hAnsi="Times New Roman" w:cs="Times New Roman" w:eastAsia="Times New Roman" w:hint="default"/>
                <w:sz w:val="18"/>
                <w:szCs w:val="18"/>
              </w:rPr>
            </w:pPr>
            <w:r>
              <w:rPr>
                <w:rFonts w:ascii="Times New Roman"/>
                <w:sz w:val="18"/>
              </w:rPr>
              <w:t>2,837,</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90" w:right="0"/>
              <w:jc w:val="left"/>
              <w:rPr>
                <w:rFonts w:ascii="Times New Roman" w:hAnsi="Times New Roman" w:cs="Times New Roman" w:eastAsia="Times New Roman" w:hint="default"/>
                <w:sz w:val="18"/>
                <w:szCs w:val="18"/>
              </w:rPr>
            </w:pPr>
            <w:r>
              <w:rPr>
                <w:rFonts w:ascii="Times New Roman"/>
                <w:sz w:val="18"/>
              </w:rPr>
              <w:t>2,837,3</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99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3,545.</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225" w:right="0"/>
              <w:jc w:val="left"/>
              <w:rPr>
                <w:rFonts w:ascii="Times New Roman" w:hAnsi="Times New Roman" w:cs="Times New Roman" w:eastAsia="Times New Roman" w:hint="default"/>
                <w:sz w:val="18"/>
                <w:szCs w:val="18"/>
              </w:rPr>
            </w:pPr>
            <w:r>
              <w:rPr>
                <w:rFonts w:ascii="Times New Roman"/>
                <w:sz w:val="18"/>
              </w:rPr>
              <w:t>5.00</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90" w:right="0"/>
              <w:jc w:val="left"/>
              <w:rPr>
                <w:rFonts w:ascii="Times New Roman" w:hAnsi="Times New Roman" w:cs="Times New Roman" w:eastAsia="Times New Roman" w:hint="default"/>
                <w:sz w:val="18"/>
                <w:szCs w:val="18"/>
              </w:rPr>
            </w:pPr>
            <w:r>
              <w:rPr>
                <w:rFonts w:ascii="Times New Roman"/>
                <w:sz w:val="18"/>
              </w:rPr>
              <w:t>1,803.</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60" w:right="0"/>
              <w:jc w:val="left"/>
              <w:rPr>
                <w:rFonts w:ascii="Times New Roman" w:hAnsi="Times New Roman" w:cs="Times New Roman" w:eastAsia="Times New Roman" w:hint="default"/>
                <w:sz w:val="18"/>
                <w:szCs w:val="18"/>
              </w:rPr>
            </w:pPr>
            <w:r>
              <w:rPr>
                <w:rFonts w:ascii="Times New Roman"/>
                <w:sz w:val="18"/>
              </w:rPr>
              <w:t>46,190</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center"/>
              <w:rPr>
                <w:rFonts w:ascii="Times New Roman" w:hAnsi="Times New Roman" w:cs="Times New Roman" w:eastAsia="Times New Roman" w:hint="default"/>
                <w:sz w:val="18"/>
                <w:szCs w:val="18"/>
              </w:rPr>
            </w:pPr>
            <w:r>
              <w:rPr>
                <w:rFonts w:ascii="Times New Roman"/>
                <w:sz w:val="18"/>
              </w:rPr>
              <w:t>339,16</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3.00</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3"/>
              <w:jc w:val="right"/>
              <w:rPr>
                <w:rFonts w:ascii="Times New Roman" w:hAnsi="Times New Roman" w:cs="Times New Roman" w:eastAsia="Times New Roman" w:hint="default"/>
                <w:sz w:val="18"/>
                <w:szCs w:val="18"/>
              </w:rPr>
            </w:pPr>
            <w:r>
              <w:rPr>
                <w:rFonts w:ascii="Times New Roman"/>
                <w:sz w:val="18"/>
              </w:rPr>
              <w:t>39,163.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r>
      <w:tr>
        <w:trPr>
          <w:trHeight w:val="13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4"/>
              <w:jc w:val="left"/>
              <w:rPr>
                <w:rFonts w:ascii="宋体" w:hAnsi="宋体" w:cs="宋体" w:eastAsia="宋体" w:hint="default"/>
                <w:sz w:val="18"/>
                <w:szCs w:val="18"/>
              </w:rPr>
            </w:pPr>
            <w:r>
              <w:rPr>
                <w:rFonts w:ascii="宋体" w:hAnsi="宋体" w:cs="宋体" w:eastAsia="宋体" w:hint="default"/>
                <w:sz w:val="18"/>
                <w:szCs w:val="18"/>
              </w:rPr>
              <w:t>三、本期增减 变动金额（减</w:t>
            </w:r>
          </w:p>
          <w:p>
            <w:pPr>
              <w:pStyle w:val="TableParagraph"/>
              <w:spacing w:line="273" w:lineRule="auto" w:before="34"/>
              <w:ind w:left="15" w:right="118"/>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r>
              <w:rPr>
                <w:rFonts w:ascii="宋体" w:hAnsi="宋体" w:cs="宋体" w:eastAsia="宋体" w:hint="default"/>
                <w:spacing w:val="-85"/>
                <w:sz w:val="18"/>
                <w:szCs w:val="18"/>
              </w:rPr>
              <w:t> </w:t>
            </w:r>
            <w:r>
              <w:rPr>
                <w:rFonts w:ascii="宋体" w:hAnsi="宋体" w:cs="宋体" w:eastAsia="宋体" w:hint="default"/>
                <w:sz w:val="18"/>
                <w:szCs w:val="18"/>
              </w:rPr>
              <w:t>列）</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-5,495.</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00</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18,387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,339.0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21,974</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,232.0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40,356</w:t>
            </w:r>
          </w:p>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z w:val="18"/>
              </w:rPr>
              <w:t>,076.0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40,356,</w:t>
            </w:r>
          </w:p>
          <w:p>
            <w:pPr>
              <w:pStyle w:val="TableParagraph"/>
              <w:spacing w:line="240" w:lineRule="auto" w:before="108"/>
              <w:ind w:left="135" w:right="0"/>
              <w:jc w:val="left"/>
              <w:rPr>
                <w:rFonts w:ascii="Times New Roman" w:hAnsi="Times New Roman" w:cs="Times New Roman" w:eastAsia="Times New Roman" w:hint="default"/>
                <w:sz w:val="18"/>
                <w:szCs w:val="18"/>
              </w:rPr>
            </w:pPr>
            <w:r>
              <w:rPr>
                <w:rFonts w:ascii="Times New Roman"/>
                <w:sz w:val="18"/>
              </w:rPr>
              <w:t>076.00</w:t>
            </w: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104"/>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-5,495.</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00</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40,361</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,571.0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40,356</w:t>
            </w:r>
          </w:p>
          <w:p>
            <w:pPr>
              <w:pStyle w:val="TableParagraph"/>
              <w:spacing w:line="240" w:lineRule="auto" w:before="93"/>
              <w:ind w:right="30"/>
              <w:jc w:val="right"/>
              <w:rPr>
                <w:rFonts w:ascii="Times New Roman" w:hAnsi="Times New Roman" w:cs="Times New Roman" w:eastAsia="Times New Roman" w:hint="default"/>
                <w:sz w:val="18"/>
                <w:szCs w:val="18"/>
              </w:rPr>
            </w:pPr>
            <w:r>
              <w:rPr>
                <w:rFonts w:ascii="Times New Roman"/>
                <w:sz w:val="18"/>
              </w:rPr>
              <w:t>,076.0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40,356,</w:t>
            </w:r>
          </w:p>
          <w:p>
            <w:pPr>
              <w:pStyle w:val="TableParagraph"/>
              <w:spacing w:line="240" w:lineRule="auto" w:before="93"/>
              <w:ind w:left="135" w:right="0"/>
              <w:jc w:val="left"/>
              <w:rPr>
                <w:rFonts w:ascii="Times New Roman" w:hAnsi="Times New Roman" w:cs="Times New Roman" w:eastAsia="Times New Roman" w:hint="default"/>
                <w:sz w:val="18"/>
                <w:szCs w:val="18"/>
              </w:rPr>
            </w:pPr>
            <w:r>
              <w:rPr>
                <w:rFonts w:ascii="Times New Roman"/>
                <w:sz w:val="18"/>
              </w:rPr>
              <w:t>076.00</w:t>
            </w: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5"/>
              <w:ind w:left="15" w:right="104"/>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的普通股</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．其他权益工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具持有者投入 资本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．股份支付计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入所有者权益 的金额</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104"/>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18,387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,339.0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-18,38</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7,339.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90" w:lineRule="auto"/>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．提取盈余公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积</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18,387</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,339.0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-18,38</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7,339.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．提取一般风</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险准备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21" w:lineRule="auto" w:before="36"/>
              <w:ind w:left="15" w:right="104"/>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104"/>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．资本公积转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1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．盈余公积转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217"/>
        <w:gridCol w:w="481"/>
        <w:gridCol w:w="450"/>
        <w:gridCol w:w="451"/>
        <w:gridCol w:w="496"/>
        <w:gridCol w:w="570"/>
        <w:gridCol w:w="586"/>
        <w:gridCol w:w="571"/>
        <w:gridCol w:w="585"/>
        <w:gridCol w:w="571"/>
        <w:gridCol w:w="586"/>
        <w:gridCol w:w="586"/>
        <w:gridCol w:w="571"/>
        <w:gridCol w:w="571"/>
        <w:gridCol w:w="631"/>
        <w:gridCol w:w="661"/>
      </w:tblGrid>
      <w:tr>
        <w:trPr>
          <w:trHeight w:val="67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5" w:right="104"/>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．盈余公积弥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补亏损</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．设定受益计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划变动额结转 留存收益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．其他综合收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益结转留存收 益</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3"/>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81" w:type="dxa"/>
            <w:tcBorders>
              <w:top w:val="single" w:sz="6" w:space="0" w:color="000000"/>
              <w:left w:val="single" w:sz="6" w:space="0" w:color="000000"/>
              <w:bottom w:val="single" w:sz="6" w:space="0" w:color="000000"/>
              <w:right w:val="single" w:sz="6" w:space="0" w:color="000000"/>
            </w:tcBorders>
          </w:tcPr>
          <w:p>
            <w:pP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
        </w:tc>
      </w:tr>
      <w:tr>
        <w:trPr>
          <w:trHeight w:val="1336" w:hRule="exact"/>
        </w:trPr>
        <w:tc>
          <w:tcPr>
            <w:tcW w:w="121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4" w:lineRule="auto" w:before="153"/>
              <w:ind w:left="15" w:right="104"/>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2,512</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,500,</w:t>
            </w:r>
          </w:p>
          <w:p>
            <w:pPr>
              <w:pStyle w:val="TableParagraph"/>
              <w:spacing w:line="240" w:lineRule="auto" w:before="108"/>
              <w:ind w:left="4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450" w:type="dxa"/>
            <w:tcBorders>
              <w:top w:val="single" w:sz="6" w:space="0" w:color="000000"/>
              <w:left w:val="single" w:sz="6" w:space="0" w:color="000000"/>
              <w:bottom w:val="single" w:sz="6" w:space="0" w:color="000000"/>
              <w:right w:val="single" w:sz="6" w:space="0" w:color="000000"/>
            </w:tcBorders>
          </w:tcPr>
          <w:p>
            <w:pPr/>
          </w:p>
        </w:tc>
        <w:tc>
          <w:tcPr>
            <w:tcW w:w="451" w:type="dxa"/>
            <w:tcBorders>
              <w:top w:val="single" w:sz="6" w:space="0" w:color="000000"/>
              <w:left w:val="single" w:sz="6" w:space="0" w:color="000000"/>
              <w:bottom w:val="single" w:sz="6" w:space="0" w:color="000000"/>
              <w:right w:val="single" w:sz="6" w:space="0" w:color="000000"/>
            </w:tcBorders>
          </w:tcPr>
          <w:p>
            <w:pPr/>
          </w:p>
        </w:tc>
        <w:tc>
          <w:tcPr>
            <w:tcW w:w="496"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161,47</w:t>
            </w:r>
          </w:p>
          <w:p>
            <w:pPr>
              <w:pStyle w:val="TableParagraph"/>
              <w:spacing w:line="240" w:lineRule="auto" w:before="108"/>
              <w:ind w:right="0"/>
              <w:jc w:val="right"/>
              <w:rPr>
                <w:rFonts w:ascii="Times New Roman" w:hAnsi="Times New Roman" w:cs="Times New Roman" w:eastAsia="Times New Roman" w:hint="default"/>
                <w:sz w:val="18"/>
                <w:szCs w:val="18"/>
              </w:rPr>
            </w:pPr>
            <w:r>
              <w:rPr>
                <w:rFonts w:ascii="Times New Roman"/>
                <w:sz w:val="18"/>
              </w:rPr>
              <w:t>3,545.</w:t>
            </w:r>
          </w:p>
          <w:p>
            <w:pPr>
              <w:pStyle w:val="TableParagraph"/>
              <w:spacing w:line="240" w:lineRule="auto" w:before="93"/>
              <w:ind w:right="-1"/>
              <w:jc w:val="righ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184,51</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0.00</w:t>
            </w:r>
          </w:p>
        </w:tc>
        <w:tc>
          <w:tcPr>
            <w:tcW w:w="585"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523,40</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9,142.</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00</w:t>
            </w:r>
          </w:p>
        </w:tc>
        <w:tc>
          <w:tcPr>
            <w:tcW w:w="586" w:type="dxa"/>
            <w:tcBorders>
              <w:top w:val="single" w:sz="6" w:space="0" w:color="000000"/>
              <w:left w:val="single" w:sz="6" w:space="0" w:color="000000"/>
              <w:bottom w:val="single" w:sz="6" w:space="0" w:color="000000"/>
              <w:right w:val="single" w:sz="6" w:space="0" w:color="000000"/>
            </w:tcBorders>
          </w:tcPr>
          <w:p>
            <w:pPr/>
          </w:p>
        </w:tc>
        <w:tc>
          <w:tcPr>
            <w:tcW w:w="5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0" w:right="0"/>
              <w:jc w:val="left"/>
              <w:rPr>
                <w:rFonts w:ascii="Times New Roman" w:hAnsi="Times New Roman" w:cs="Times New Roman" w:eastAsia="Times New Roman" w:hint="default"/>
                <w:sz w:val="18"/>
                <w:szCs w:val="18"/>
              </w:rPr>
            </w:pPr>
            <w:r>
              <w:rPr>
                <w:rFonts w:ascii="Times New Roman"/>
                <w:sz w:val="18"/>
              </w:rPr>
              <w:t>-319,8</w:t>
            </w:r>
          </w:p>
          <w:p>
            <w:pPr>
              <w:pStyle w:val="TableParagraph"/>
              <w:spacing w:line="240" w:lineRule="auto" w:before="108"/>
              <w:ind w:left="60" w:right="0"/>
              <w:jc w:val="left"/>
              <w:rPr>
                <w:rFonts w:ascii="Times New Roman" w:hAnsi="Times New Roman" w:cs="Times New Roman" w:eastAsia="Times New Roman" w:hint="default"/>
                <w:sz w:val="18"/>
                <w:szCs w:val="18"/>
              </w:rPr>
            </w:pPr>
            <w:r>
              <w:rPr>
                <w:rFonts w:ascii="Times New Roman"/>
                <w:sz w:val="18"/>
              </w:rPr>
              <w:t>71,958</w:t>
            </w:r>
          </w:p>
          <w:p>
            <w:pPr>
              <w:pStyle w:val="TableParagraph"/>
              <w:spacing w:line="240" w:lineRule="auto" w:before="93"/>
              <w:ind w:left="330" w:right="0"/>
              <w:jc w:val="left"/>
              <w:rPr>
                <w:rFonts w:ascii="Times New Roman" w:hAnsi="Times New Roman" w:cs="Times New Roman" w:eastAsia="Times New Roman" w:hint="default"/>
                <w:sz w:val="18"/>
                <w:szCs w:val="18"/>
              </w:rPr>
            </w:pPr>
            <w:r>
              <w:rPr>
                <w:rFonts w:ascii="Times New Roman"/>
                <w:sz w:val="18"/>
              </w:rPr>
              <w:t>.00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2,877,</w:t>
            </w:r>
          </w:p>
          <w:p>
            <w:pPr>
              <w:pStyle w:val="TableParagraph"/>
              <w:spacing w:line="240" w:lineRule="auto" w:before="108"/>
              <w:ind w:right="0"/>
              <w:jc w:val="center"/>
              <w:rPr>
                <w:rFonts w:ascii="Times New Roman" w:hAnsi="Times New Roman" w:cs="Times New Roman" w:eastAsia="Times New Roman" w:hint="default"/>
                <w:sz w:val="18"/>
                <w:szCs w:val="18"/>
              </w:rPr>
            </w:pPr>
            <w:r>
              <w:rPr>
                <w:rFonts w:ascii="Times New Roman"/>
                <w:sz w:val="18"/>
              </w:rPr>
              <w:t>695,23</w:t>
            </w:r>
          </w:p>
          <w:p>
            <w:pPr>
              <w:pStyle w:val="TableParagraph"/>
              <w:spacing w:line="240" w:lineRule="auto" w:before="93"/>
              <w:ind w:left="180" w:right="0"/>
              <w:jc w:val="center"/>
              <w:rPr>
                <w:rFonts w:ascii="Times New Roman" w:hAnsi="Times New Roman" w:cs="Times New Roman" w:eastAsia="Times New Roman" w:hint="default"/>
                <w:sz w:val="18"/>
                <w:szCs w:val="18"/>
              </w:rPr>
            </w:pPr>
            <w:r>
              <w:rPr>
                <w:rFonts w:ascii="Times New Roman"/>
                <w:sz w:val="18"/>
              </w:rPr>
              <w:t>9.00</w:t>
            </w:r>
          </w:p>
        </w:tc>
        <w:tc>
          <w:tcPr>
            <w:tcW w:w="631" w:type="dxa"/>
            <w:tcBorders>
              <w:top w:val="single" w:sz="6" w:space="0" w:color="000000"/>
              <w:left w:val="single" w:sz="6" w:space="0" w:color="000000"/>
              <w:bottom w:val="single" w:sz="6" w:space="0" w:color="000000"/>
              <w:right w:val="single" w:sz="6" w:space="0" w:color="000000"/>
            </w:tcBorders>
          </w:tcPr>
          <w:p>
            <w:pPr/>
          </w:p>
        </w:tc>
        <w:tc>
          <w:tcPr>
            <w:tcW w:w="6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2,877,6</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95,239.</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7"/>
        <w:rPr>
          <w:rFonts w:ascii="Times New Roman" w:hAnsi="Times New Roman" w:cs="Times New Roman" w:eastAsia="Times New Roman" w:hint="default"/>
          <w:sz w:val="22"/>
          <w:szCs w:val="22"/>
        </w:rPr>
      </w:pPr>
    </w:p>
    <w:p>
      <w:pPr>
        <w:pStyle w:val="Heading5"/>
        <w:spacing w:line="240" w:lineRule="auto" w:before="35"/>
        <w:ind w:right="0"/>
        <w:jc w:val="left"/>
        <w:rPr>
          <w:b w:val="0"/>
          <w:bCs w:val="0"/>
        </w:rPr>
      </w:pPr>
      <w:bookmarkStart w:name="8、母公司所有者权益变动表" w:id="162"/>
      <w:bookmarkEnd w:id="162"/>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0"/>
        <w:jc w:val="left"/>
      </w:pPr>
      <w:r>
        <w:rPr/>
        <w:t>本期金额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92"/>
        <w:gridCol w:w="638"/>
        <w:gridCol w:w="601"/>
        <w:gridCol w:w="601"/>
        <w:gridCol w:w="615"/>
        <w:gridCol w:w="721"/>
        <w:gridCol w:w="736"/>
        <w:gridCol w:w="721"/>
        <w:gridCol w:w="736"/>
        <w:gridCol w:w="721"/>
        <w:gridCol w:w="616"/>
        <w:gridCol w:w="706"/>
        <w:gridCol w:w="871"/>
      </w:tblGrid>
      <w:tr>
        <w:trPr>
          <w:trHeight w:val="398" w:hRule="exact"/>
        </w:trPr>
        <w:tc>
          <w:tcPr>
            <w:tcW w:w="12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8283"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r>
      <w:tr>
        <w:trPr>
          <w:trHeight w:val="210" w:hRule="exact"/>
        </w:trPr>
        <w:tc>
          <w:tcPr>
            <w:tcW w:w="1292" w:type="dxa"/>
            <w:vMerge/>
            <w:tcBorders>
              <w:left w:val="single" w:sz="6" w:space="0" w:color="000000"/>
              <w:right w:val="single" w:sz="6" w:space="0" w:color="000000"/>
            </w:tcBorders>
            <w:shd w:val="clear" w:color="auto" w:fill="D2D2D2"/>
          </w:tcPr>
          <w:p>
            <w:pPr/>
          </w:p>
        </w:tc>
        <w:tc>
          <w:tcPr>
            <w:tcW w:w="638" w:type="dxa"/>
            <w:tcBorders>
              <w:top w:val="single" w:sz="6" w:space="0" w:color="000000"/>
              <w:left w:val="single" w:sz="6" w:space="0" w:color="000000"/>
              <w:bottom w:val="nil" w:sz="6" w:space="0" w:color="auto"/>
              <w:right w:val="single" w:sz="6" w:space="0" w:color="000000"/>
            </w:tcBorders>
            <w:shd w:val="clear" w:color="auto" w:fill="D2D2D2"/>
          </w:tcPr>
          <w:p>
            <w:pPr/>
          </w:p>
        </w:tc>
        <w:tc>
          <w:tcPr>
            <w:tcW w:w="1817"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7"/>
              <w:ind w:left="3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55" w:right="90"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70" w:right="15" w:hanging="241"/>
              <w:jc w:val="left"/>
              <w:rPr>
                <w:rFonts w:ascii="宋体" w:hAnsi="宋体" w:cs="宋体" w:eastAsia="宋体" w:hint="default"/>
                <w:sz w:val="18"/>
                <w:szCs w:val="18"/>
              </w:rPr>
            </w:pPr>
            <w:r>
              <w:rPr>
                <w:rFonts w:ascii="宋体" w:hAnsi="宋体" w:cs="宋体" w:eastAsia="宋体" w:hint="default"/>
                <w:spacing w:val="-12"/>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75" w:right="9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70" w:right="8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254" w:right="8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05" w:right="44" w:hanging="91"/>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6" w:type="dxa"/>
            <w:tcBorders>
              <w:top w:val="single" w:sz="6" w:space="0" w:color="000000"/>
              <w:left w:val="single" w:sz="6" w:space="0" w:color="000000"/>
              <w:bottom w:val="nil" w:sz="6" w:space="0" w:color="auto"/>
              <w:right w:val="single" w:sz="6" w:space="0" w:color="000000"/>
            </w:tcBorders>
            <w:shd w:val="clear" w:color="auto" w:fill="D2D2D2"/>
          </w:tcPr>
          <w:p>
            <w:pPr/>
          </w:p>
        </w:tc>
        <w:tc>
          <w:tcPr>
            <w:tcW w:w="87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82"/>
              <w:ind w:left="165" w:right="58"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8" w:hRule="exact"/>
        </w:trPr>
        <w:tc>
          <w:tcPr>
            <w:tcW w:w="1292" w:type="dxa"/>
            <w:vMerge/>
            <w:tcBorders>
              <w:left w:val="single" w:sz="6" w:space="0" w:color="000000"/>
              <w:right w:val="single" w:sz="6" w:space="0" w:color="000000"/>
            </w:tcBorders>
            <w:shd w:val="clear" w:color="auto" w:fill="D2D2D2"/>
          </w:tcPr>
          <w:p>
            <w:pPr/>
          </w:p>
        </w:tc>
        <w:tc>
          <w:tcPr>
            <w:tcW w:w="63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4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7" w:type="dxa"/>
            <w:gridSpan w:val="3"/>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16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71" w:type="dxa"/>
            <w:vMerge/>
            <w:tcBorders>
              <w:left w:val="single" w:sz="6" w:space="0" w:color="000000"/>
              <w:right w:val="single" w:sz="6" w:space="0" w:color="000000"/>
            </w:tcBorders>
            <w:shd w:val="clear" w:color="auto" w:fill="D2D2D2"/>
          </w:tcPr>
          <w:p>
            <w:pPr/>
          </w:p>
        </w:tc>
      </w:tr>
      <w:tr>
        <w:trPr>
          <w:trHeight w:val="203" w:hRule="exact"/>
        </w:trPr>
        <w:tc>
          <w:tcPr>
            <w:tcW w:w="1292" w:type="dxa"/>
            <w:vMerge/>
            <w:tcBorders>
              <w:left w:val="single" w:sz="6" w:space="0" w:color="000000"/>
              <w:right w:val="single" w:sz="6" w:space="0" w:color="000000"/>
            </w:tcBorders>
            <w:shd w:val="clear" w:color="auto" w:fill="D2D2D2"/>
          </w:tcPr>
          <w:p>
            <w:pPr/>
          </w:p>
        </w:tc>
        <w:tc>
          <w:tcPr>
            <w:tcW w:w="638" w:type="dxa"/>
            <w:vMerge/>
            <w:tcBorders>
              <w:left w:val="single" w:sz="6" w:space="0" w:color="000000"/>
              <w:bottom w:val="nil" w:sz="6" w:space="0" w:color="auto"/>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1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c>
          <w:tcPr>
            <w:tcW w:w="721" w:type="dxa"/>
            <w:vMerge/>
            <w:tcBorders>
              <w:left w:val="single" w:sz="6" w:space="0" w:color="000000"/>
              <w:right w:val="single" w:sz="6" w:space="0" w:color="000000"/>
            </w:tcBorders>
            <w:shd w:val="clear" w:color="auto" w:fill="D2D2D2"/>
          </w:tcPr>
          <w:p>
            <w:pPr/>
          </w:p>
        </w:tc>
        <w:tc>
          <w:tcPr>
            <w:tcW w:w="616" w:type="dxa"/>
            <w:vMerge/>
            <w:tcBorders>
              <w:left w:val="single" w:sz="6" w:space="0" w:color="000000"/>
              <w:right w:val="single" w:sz="6" w:space="0" w:color="000000"/>
            </w:tcBorders>
            <w:shd w:val="clear" w:color="auto" w:fill="D2D2D2"/>
          </w:tcPr>
          <w:p>
            <w:pPr/>
          </w:p>
        </w:tc>
        <w:tc>
          <w:tcPr>
            <w:tcW w:w="706" w:type="dxa"/>
            <w:vMerge/>
            <w:tcBorders>
              <w:left w:val="single" w:sz="6" w:space="0" w:color="000000"/>
              <w:bottom w:val="nil" w:sz="6" w:space="0" w:color="auto"/>
              <w:right w:val="single" w:sz="6" w:space="0" w:color="000000"/>
            </w:tcBorders>
            <w:shd w:val="clear" w:color="auto" w:fill="D2D2D2"/>
          </w:tcPr>
          <w:p>
            <w:pPr/>
          </w:p>
        </w:tc>
        <w:tc>
          <w:tcPr>
            <w:tcW w:w="871" w:type="dxa"/>
            <w:vMerge/>
            <w:tcBorders>
              <w:left w:val="single" w:sz="6" w:space="0" w:color="000000"/>
              <w:right w:val="single" w:sz="6" w:space="0" w:color="000000"/>
            </w:tcBorders>
            <w:shd w:val="clear" w:color="auto" w:fill="D2D2D2"/>
          </w:tcPr>
          <w:p>
            <w:pPr/>
          </w:p>
        </w:tc>
      </w:tr>
      <w:tr>
        <w:trPr>
          <w:trHeight w:val="203" w:hRule="exact"/>
        </w:trPr>
        <w:tc>
          <w:tcPr>
            <w:tcW w:w="1292" w:type="dxa"/>
            <w:vMerge/>
            <w:tcBorders>
              <w:left w:val="single" w:sz="6" w:space="0" w:color="000000"/>
              <w:bottom w:val="single" w:sz="6" w:space="0" w:color="000000"/>
              <w:right w:val="single" w:sz="6" w:space="0" w:color="000000"/>
            </w:tcBorders>
            <w:shd w:val="clear" w:color="auto" w:fill="D2D2D2"/>
          </w:tcPr>
          <w:p>
            <w:pPr/>
          </w:p>
        </w:tc>
        <w:tc>
          <w:tcPr>
            <w:tcW w:w="638" w:type="dxa"/>
            <w:tcBorders>
              <w:top w:val="nil" w:sz="6" w:space="0" w:color="auto"/>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615"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c>
          <w:tcPr>
            <w:tcW w:w="721" w:type="dxa"/>
            <w:vMerge/>
            <w:tcBorders>
              <w:left w:val="single" w:sz="6" w:space="0" w:color="000000"/>
              <w:bottom w:val="single" w:sz="6" w:space="0" w:color="000000"/>
              <w:right w:val="single" w:sz="6" w:space="0" w:color="000000"/>
            </w:tcBorders>
            <w:shd w:val="clear" w:color="auto" w:fill="D2D2D2"/>
          </w:tcPr>
          <w:p>
            <w:pPr/>
          </w:p>
        </w:tc>
        <w:tc>
          <w:tcPr>
            <w:tcW w:w="616" w:type="dxa"/>
            <w:vMerge/>
            <w:tcBorders>
              <w:left w:val="single" w:sz="6" w:space="0" w:color="000000"/>
              <w:bottom w:val="single" w:sz="6" w:space="0" w:color="000000"/>
              <w:right w:val="single" w:sz="6" w:space="0" w:color="000000"/>
            </w:tcBorders>
            <w:shd w:val="clear" w:color="auto" w:fill="D2D2D2"/>
          </w:tcPr>
          <w:p>
            <w:pPr/>
          </w:p>
        </w:tc>
        <w:tc>
          <w:tcPr>
            <w:tcW w:w="706" w:type="dxa"/>
            <w:tcBorders>
              <w:top w:val="nil" w:sz="6" w:space="0" w:color="auto"/>
              <w:left w:val="single" w:sz="6" w:space="0" w:color="000000"/>
              <w:bottom w:val="single" w:sz="6" w:space="0" w:color="000000"/>
              <w:right w:val="single" w:sz="6" w:space="0" w:color="000000"/>
            </w:tcBorders>
            <w:shd w:val="clear" w:color="auto" w:fill="D2D2D2"/>
          </w:tcPr>
          <w:p>
            <w:pPr/>
          </w:p>
        </w:tc>
        <w:tc>
          <w:tcPr>
            <w:tcW w:w="871" w:type="dxa"/>
            <w:vMerge/>
            <w:tcBorders>
              <w:left w:val="single" w:sz="6" w:space="0" w:color="000000"/>
              <w:bottom w:val="single" w:sz="6" w:space="0" w:color="000000"/>
              <w:right w:val="single" w:sz="6" w:space="0" w:color="000000"/>
            </w:tcBorders>
            <w:shd w:val="clear" w:color="auto" w:fill="D2D2D2"/>
          </w:tcPr>
          <w:p>
            <w:pPr/>
          </w:p>
        </w:tc>
      </w:tr>
      <w:tr>
        <w:trPr>
          <w:trHeight w:val="103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1"/>
              <w:jc w:val="left"/>
              <w:rPr>
                <w:rFonts w:ascii="宋体" w:hAnsi="宋体" w:cs="宋体" w:eastAsia="宋体" w:hint="default"/>
                <w:sz w:val="18"/>
                <w:szCs w:val="18"/>
              </w:rPr>
            </w:pPr>
            <w:r>
              <w:rPr>
                <w:rFonts w:ascii="宋体" w:hAnsi="宋体" w:cs="宋体" w:eastAsia="宋体" w:hint="default"/>
                <w:spacing w:val="-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2,512,5</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86,308,8</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19.00</w:t>
            </w: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184,510.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24" w:space="0" w:color="D2D2D2"/>
              <w:left w:val="single" w:sz="6" w:space="0" w:color="000000"/>
              <w:bottom w:val="single" w:sz="6" w:space="0" w:color="000000"/>
              <w:right w:val="single" w:sz="6" w:space="0" w:color="000000"/>
            </w:tcBorders>
          </w:tcPr>
          <w:p>
            <w:pPr/>
          </w:p>
        </w:tc>
        <w:tc>
          <w:tcPr>
            <w:tcW w:w="72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420,734,</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371.00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1,468,8</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03,716.</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00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24" w:space="0" w:color="D2D2D2"/>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4,488,531,</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416.00</w:t>
            </w:r>
          </w:p>
        </w:tc>
      </w:tr>
      <w:tr>
        <w:trPr>
          <w:trHeight w:val="706"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21" w:firstLine="360"/>
              <w:jc w:val="left"/>
              <w:rPr>
                <w:rFonts w:ascii="宋体" w:hAnsi="宋体" w:cs="宋体" w:eastAsia="宋体" w:hint="default"/>
                <w:sz w:val="18"/>
                <w:szCs w:val="18"/>
              </w:rPr>
            </w:pPr>
            <w:r>
              <w:rPr>
                <w:rFonts w:ascii="宋体" w:hAnsi="宋体" w:cs="宋体" w:eastAsia="宋体" w:hint="default"/>
                <w:spacing w:val="-3"/>
                <w:sz w:val="18"/>
                <w:szCs w:val="18"/>
              </w:rPr>
              <w:t>加：会计政</w:t>
            </w:r>
            <w:r>
              <w:rPr>
                <w:rFonts w:ascii="宋体" w:hAnsi="宋体" w:cs="宋体" w:eastAsia="宋体" w:hint="default"/>
                <w:sz w:val="18"/>
                <w:szCs w:val="18"/>
              </w:rPr>
              <w:t> 策变更</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-3,323,</w:t>
            </w:r>
          </w:p>
          <w:p>
            <w:pPr>
              <w:pStyle w:val="TableParagraph"/>
              <w:spacing w:line="240" w:lineRule="auto" w:before="108"/>
              <w:ind w:left="75" w:right="0"/>
              <w:jc w:val="left"/>
              <w:rPr>
                <w:rFonts w:ascii="Times New Roman" w:hAnsi="Times New Roman" w:cs="Times New Roman" w:eastAsia="Times New Roman" w:hint="default"/>
                <w:sz w:val="18"/>
                <w:szCs w:val="18"/>
              </w:rPr>
            </w:pPr>
            <w:r>
              <w:rPr>
                <w:rFonts w:ascii="Times New Roman"/>
                <w:sz w:val="18"/>
              </w:rPr>
              <w:t>002.00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-3,323,002</w:t>
            </w:r>
            <w:r>
              <w:rPr>
                <w:rFonts w:ascii="Times New Roman"/>
                <w:sz w:val="18"/>
              </w:rPr>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r>
      <w:tr>
        <w:trPr>
          <w:trHeight w:val="720"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8" w:type="dxa"/>
            <w:tcBorders>
              <w:top w:val="single" w:sz="6" w:space="0" w:color="000000"/>
              <w:left w:val="single" w:sz="12"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7" w:right="21"/>
              <w:jc w:val="left"/>
              <w:rPr>
                <w:rFonts w:ascii="宋体" w:hAnsi="宋体" w:cs="宋体" w:eastAsia="宋体" w:hint="default"/>
                <w:sz w:val="18"/>
                <w:szCs w:val="18"/>
              </w:rPr>
            </w:pPr>
            <w:r>
              <w:rPr>
                <w:rFonts w:ascii="宋体" w:hAnsi="宋体" w:cs="宋体" w:eastAsia="宋体" w:hint="default"/>
                <w:spacing w:val="-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2,512,5</w:t>
            </w:r>
          </w:p>
          <w:p>
            <w:pPr>
              <w:pStyle w:val="TableParagraph"/>
              <w:spacing w:line="240" w:lineRule="auto" w:before="108"/>
              <w:ind w:right="15"/>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86,308,8</w:t>
            </w:r>
          </w:p>
          <w:p>
            <w:pPr>
              <w:pStyle w:val="TableParagraph"/>
              <w:spacing w:line="240" w:lineRule="auto" w:before="93"/>
              <w:ind w:left="285" w:right="0"/>
              <w:jc w:val="left"/>
              <w:rPr>
                <w:rFonts w:ascii="Times New Roman" w:hAnsi="Times New Roman" w:cs="Times New Roman" w:eastAsia="Times New Roman" w:hint="default"/>
                <w:sz w:val="18"/>
                <w:szCs w:val="18"/>
              </w:rPr>
            </w:pPr>
            <w:r>
              <w:rPr>
                <w:rFonts w:ascii="Times New Roman"/>
                <w:sz w:val="18"/>
              </w:rPr>
              <w:t>19.00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184,510.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420,734,</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371.00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1,465,4</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80,714.</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00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4,485,208,</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414.00</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10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29"/>
              <w:jc w:val="both"/>
              <w:rPr>
                <w:rFonts w:ascii="宋体" w:hAnsi="宋体" w:cs="宋体" w:eastAsia="宋体" w:hint="default"/>
                <w:sz w:val="18"/>
                <w:szCs w:val="18"/>
              </w:rPr>
            </w:pPr>
            <w:r>
              <w:rPr>
                <w:rFonts w:ascii="宋体" w:hAnsi="宋体" w:cs="宋体" w:eastAsia="宋体" w:hint="default"/>
                <w:spacing w:val="-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246,428.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-446,78</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2,666.0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-446,536,2</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38.00</w:t>
            </w: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246,428.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-446,78</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2,666.0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-446,536,2</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38.00</w:t>
            </w:r>
          </w:p>
        </w:tc>
      </w:tr>
      <w:tr>
        <w:trPr>
          <w:trHeight w:val="7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5" w:right="29"/>
              <w:jc w:val="left"/>
              <w:rPr>
                <w:rFonts w:ascii="宋体" w:hAnsi="宋体" w:cs="宋体" w:eastAsia="宋体" w:hint="default"/>
                <w:sz w:val="18"/>
                <w:szCs w:val="18"/>
              </w:rPr>
            </w:pPr>
            <w:r>
              <w:rPr>
                <w:rFonts w:ascii="宋体" w:hAnsi="宋体" w:cs="宋体" w:eastAsia="宋体" w:hint="default"/>
                <w:spacing w:val="-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pacing w:val="-3"/>
                <w:sz w:val="18"/>
                <w:szCs w:val="18"/>
              </w:rPr>
              <w:t>（三）利润分配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4"/>
              <w:jc w:val="left"/>
              <w:rPr>
                <w:rFonts w:ascii="宋体" w:hAnsi="宋体" w:cs="宋体" w:eastAsia="宋体" w:hint="default"/>
                <w:sz w:val="18"/>
                <w:szCs w:val="18"/>
              </w:rPr>
            </w:pPr>
            <w:r>
              <w:rPr>
                <w:rFonts w:ascii="Times New Roman" w:hAnsi="Times New Roman" w:cs="Times New Roman" w:eastAsia="Times New Roman" w:hint="default"/>
                <w:spacing w:val="-12"/>
                <w:sz w:val="18"/>
                <w:szCs w:val="18"/>
              </w:rPr>
              <w:t>2</w:t>
            </w:r>
            <w:r>
              <w:rPr>
                <w:rFonts w:ascii="宋体" w:hAnsi="宋体" w:cs="宋体" w:eastAsia="宋体" w:hint="default"/>
                <w:spacing w:val="-12"/>
                <w:sz w:val="18"/>
                <w:szCs w:val="18"/>
              </w:rPr>
              <w:t>．对所有者（或</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股东）的分配</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15" w:right="29"/>
              <w:jc w:val="left"/>
              <w:rPr>
                <w:rFonts w:ascii="宋体" w:hAnsi="宋体" w:cs="宋体" w:eastAsia="宋体" w:hint="default"/>
                <w:sz w:val="18"/>
                <w:szCs w:val="18"/>
              </w:rPr>
            </w:pPr>
            <w:r>
              <w:rPr>
                <w:rFonts w:ascii="宋体" w:hAnsi="宋体" w:cs="宋体" w:eastAsia="宋体" w:hint="default"/>
                <w:spacing w:val="-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07"/>
        <w:gridCol w:w="631"/>
        <w:gridCol w:w="601"/>
        <w:gridCol w:w="601"/>
        <w:gridCol w:w="615"/>
        <w:gridCol w:w="721"/>
        <w:gridCol w:w="736"/>
        <w:gridCol w:w="721"/>
        <w:gridCol w:w="736"/>
        <w:gridCol w:w="721"/>
        <w:gridCol w:w="616"/>
        <w:gridCol w:w="706"/>
        <w:gridCol w:w="871"/>
      </w:tblGrid>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pacing w:val="-3"/>
                <w:sz w:val="18"/>
                <w:szCs w:val="18"/>
              </w:rPr>
              <w:t>（五）专项储备</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3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
        </w:tc>
        <w:tc>
          <w:tcPr>
            <w:tcW w:w="616" w:type="dxa"/>
            <w:tcBorders>
              <w:top w:val="single" w:sz="6" w:space="0" w:color="000000"/>
              <w:left w:val="single" w:sz="6" w:space="0" w:color="000000"/>
              <w:bottom w:val="single" w:sz="6" w:space="0" w:color="000000"/>
              <w:right w:val="single" w:sz="6" w:space="0" w:color="000000"/>
            </w:tcBorders>
          </w:tcPr>
          <w:p>
            <w:pP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6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2,512,5</w:t>
            </w:r>
          </w:p>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601"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615"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86,308,8</w:t>
            </w:r>
          </w:p>
          <w:p>
            <w:pPr>
              <w:pStyle w:val="TableParagraph"/>
              <w:spacing w:line="240" w:lineRule="auto" w:before="108"/>
              <w:ind w:left="285" w:right="0"/>
              <w:jc w:val="left"/>
              <w:rPr>
                <w:rFonts w:ascii="Times New Roman" w:hAnsi="Times New Roman" w:cs="Times New Roman" w:eastAsia="Times New Roman" w:hint="default"/>
                <w:sz w:val="18"/>
                <w:szCs w:val="18"/>
              </w:rPr>
            </w:pPr>
            <w:r>
              <w:rPr>
                <w:rFonts w:ascii="Times New Roman"/>
                <w:sz w:val="18"/>
              </w:rPr>
              <w:t>19.00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430,938.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420,734,</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371.00</w:t>
            </w:r>
          </w:p>
        </w:tc>
        <w:tc>
          <w:tcPr>
            <w:tcW w:w="6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1,018,6</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98,048.</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00</w:t>
            </w:r>
          </w:p>
        </w:tc>
        <w:tc>
          <w:tcPr>
            <w:tcW w:w="706" w:type="dxa"/>
            <w:tcBorders>
              <w:top w:val="single" w:sz="6" w:space="0" w:color="000000"/>
              <w:left w:val="single" w:sz="6" w:space="0" w:color="000000"/>
              <w:bottom w:val="single" w:sz="6" w:space="0" w:color="000000"/>
              <w:right w:val="single" w:sz="6" w:space="0" w:color="000000"/>
            </w:tcBorders>
          </w:tcPr>
          <w:p>
            <w:pPr/>
          </w:p>
        </w:tc>
        <w:tc>
          <w:tcPr>
            <w:tcW w:w="8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4,038,672,</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176.00</w:t>
            </w:r>
          </w:p>
        </w:tc>
      </w:tr>
    </w:tbl>
    <w:p>
      <w:pPr>
        <w:pStyle w:val="BodyText"/>
        <w:spacing w:line="240" w:lineRule="auto" w:before="44"/>
        <w:ind w:right="0"/>
        <w:jc w:val="left"/>
      </w:pPr>
      <w:r>
        <w:rPr/>
        <w:t>上期金额</w:t>
      </w:r>
    </w:p>
    <w:p>
      <w:pPr>
        <w:pStyle w:val="BodyText"/>
        <w:spacing w:line="240" w:lineRule="auto" w:before="110"/>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224"/>
        <w:gridCol w:w="601"/>
        <w:gridCol w:w="571"/>
        <w:gridCol w:w="570"/>
        <w:gridCol w:w="571"/>
        <w:gridCol w:w="691"/>
        <w:gridCol w:w="676"/>
        <w:gridCol w:w="691"/>
        <w:gridCol w:w="781"/>
        <w:gridCol w:w="675"/>
        <w:gridCol w:w="796"/>
        <w:gridCol w:w="796"/>
        <w:gridCol w:w="931"/>
      </w:tblGrid>
      <w:tr>
        <w:trPr>
          <w:trHeight w:val="391" w:hRule="exact"/>
        </w:trPr>
        <w:tc>
          <w:tcPr>
            <w:tcW w:w="1224"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8350"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年年度</w:t>
            </w:r>
          </w:p>
        </w:tc>
      </w:tr>
      <w:tr>
        <w:trPr>
          <w:trHeight w:val="218" w:hRule="exact"/>
        </w:trPr>
        <w:tc>
          <w:tcPr>
            <w:tcW w:w="1224" w:type="dxa"/>
            <w:vMerge/>
            <w:tcBorders>
              <w:left w:val="single" w:sz="6" w:space="0" w:color="000000"/>
              <w:right w:val="single" w:sz="6" w:space="0" w:color="000000"/>
            </w:tcBorders>
            <w:shd w:val="clear" w:color="auto" w:fill="D2D2D2"/>
          </w:tcPr>
          <w:p>
            <w:pPr/>
          </w:p>
        </w:tc>
        <w:tc>
          <w:tcPr>
            <w:tcW w:w="601" w:type="dxa"/>
            <w:vMerge w:val="restart"/>
            <w:tcBorders>
              <w:top w:val="single" w:sz="6" w:space="0" w:color="000000"/>
              <w:left w:val="single" w:sz="6" w:space="0" w:color="000000"/>
              <w:right w:val="single" w:sz="6" w:space="0" w:color="000000"/>
            </w:tcBorders>
            <w:shd w:val="clear" w:color="auto" w:fill="D2D2D2"/>
          </w:tcPr>
          <w:p>
            <w:pPr/>
          </w:p>
        </w:tc>
        <w:tc>
          <w:tcPr>
            <w:tcW w:w="1712" w:type="dxa"/>
            <w:gridSpan w:val="3"/>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676" w:type="dxa"/>
            <w:tcBorders>
              <w:top w:val="single" w:sz="6" w:space="0" w:color="000000"/>
              <w:left w:val="single" w:sz="6" w:space="0" w:color="000000"/>
              <w:bottom w:val="nil" w:sz="6" w:space="0" w:color="auto"/>
              <w:right w:val="single" w:sz="6" w:space="0" w:color="000000"/>
            </w:tcBorders>
            <w:shd w:val="clear" w:color="auto" w:fill="D2D2D2"/>
          </w:tcPr>
          <w:p>
            <w:pPr/>
          </w:p>
        </w:tc>
        <w:tc>
          <w:tcPr>
            <w:tcW w:w="691" w:type="dxa"/>
            <w:tcBorders>
              <w:top w:val="single" w:sz="6" w:space="0" w:color="000000"/>
              <w:left w:val="single" w:sz="6" w:space="0" w:color="000000"/>
              <w:bottom w:val="nil" w:sz="6" w:space="0" w:color="auto"/>
              <w:right w:val="single" w:sz="6" w:space="0" w:color="000000"/>
            </w:tcBorders>
            <w:shd w:val="clear" w:color="auto" w:fill="D2D2D2"/>
          </w:tcPr>
          <w:p>
            <w:pPr/>
          </w:p>
        </w:tc>
        <w:tc>
          <w:tcPr>
            <w:tcW w:w="781" w:type="dxa"/>
            <w:vMerge w:val="restart"/>
            <w:tcBorders>
              <w:top w:val="single" w:sz="6" w:space="0" w:color="000000"/>
              <w:left w:val="single" w:sz="6" w:space="0" w:color="000000"/>
              <w:right w:val="single" w:sz="6" w:space="0" w:color="000000"/>
            </w:tcBorders>
            <w:shd w:val="clear" w:color="auto" w:fill="D2D2D2"/>
          </w:tcPr>
          <w:p>
            <w:pPr/>
          </w:p>
        </w:tc>
        <w:tc>
          <w:tcPr>
            <w:tcW w:w="675"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04" w:lineRule="auto"/>
              <w:ind w:left="180" w:right="103"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69" w:hRule="exact"/>
        </w:trPr>
        <w:tc>
          <w:tcPr>
            <w:tcW w:w="1224" w:type="dxa"/>
            <w:vMerge/>
            <w:tcBorders>
              <w:left w:val="single" w:sz="6" w:space="0" w:color="000000"/>
              <w:right w:val="single" w:sz="6" w:space="0" w:color="000000"/>
            </w:tcBorders>
            <w:shd w:val="clear" w:color="auto" w:fill="D2D2D2"/>
          </w:tcPr>
          <w:p>
            <w:pPr/>
          </w:p>
        </w:tc>
        <w:tc>
          <w:tcPr>
            <w:tcW w:w="601" w:type="dxa"/>
            <w:vMerge/>
            <w:tcBorders>
              <w:left w:val="single" w:sz="6" w:space="0" w:color="000000"/>
              <w:bottom w:val="nil" w:sz="6" w:space="0" w:color="auto"/>
              <w:right w:val="single" w:sz="6" w:space="0" w:color="000000"/>
            </w:tcBorders>
            <w:shd w:val="clear" w:color="auto" w:fill="D2D2D2"/>
          </w:tcPr>
          <w:p>
            <w:pPr/>
          </w:p>
        </w:tc>
        <w:tc>
          <w:tcPr>
            <w:tcW w:w="1712" w:type="dxa"/>
            <w:gridSpan w:val="3"/>
            <w:vMerge/>
            <w:tcBorders>
              <w:left w:val="single" w:sz="6" w:space="0" w:color="000000"/>
              <w:bottom w:val="single" w:sz="6" w:space="0" w:color="000000"/>
              <w:right w:val="single" w:sz="6" w:space="0" w:color="000000"/>
            </w:tcBorders>
            <w:shd w:val="clear" w:color="auto" w:fill="D2D2D2"/>
          </w:tcPr>
          <w:p>
            <w:pP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255" w:right="58"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7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240" w:right="15"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91"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75" w:right="60"/>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tcBorders>
              <w:left w:val="single" w:sz="6" w:space="0" w:color="000000"/>
              <w:bottom w:val="nil" w:sz="6" w:space="0" w:color="auto"/>
              <w:right w:val="single" w:sz="6" w:space="0" w:color="000000"/>
            </w:tcBorders>
            <w:shd w:val="clear" w:color="auto" w:fill="D2D2D2"/>
          </w:tcPr>
          <w:p>
            <w:pPr/>
          </w:p>
        </w:tc>
        <w:tc>
          <w:tcPr>
            <w:tcW w:w="675"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240" w:right="58"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304" w:lineRule="auto" w:before="45"/>
              <w:ind w:left="285" w:right="43"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371" w:hRule="exact"/>
        </w:trPr>
        <w:tc>
          <w:tcPr>
            <w:tcW w:w="1224" w:type="dxa"/>
            <w:vMerge/>
            <w:tcBorders>
              <w:left w:val="single" w:sz="6" w:space="0" w:color="000000"/>
              <w:right w:val="single" w:sz="6" w:space="0" w:color="000000"/>
            </w:tcBorders>
            <w:shd w:val="clear" w:color="auto" w:fill="D2D2D2"/>
          </w:tcPr>
          <w:p>
            <w:pPr/>
          </w:p>
        </w:tc>
        <w:tc>
          <w:tcPr>
            <w:tcW w:w="6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left="12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3"/>
              <w:ind w:left="180" w:right="103"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0"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63"/>
              <w:ind w:left="180" w:right="103"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91" w:type="dxa"/>
            <w:vMerge/>
            <w:tcBorders>
              <w:left w:val="single" w:sz="6" w:space="0" w:color="000000"/>
              <w:right w:val="single" w:sz="6" w:space="0" w:color="000000"/>
            </w:tcBorders>
            <w:shd w:val="clear" w:color="auto" w:fill="D2D2D2"/>
          </w:tcPr>
          <w:p>
            <w:pPr/>
          </w:p>
        </w:tc>
        <w:tc>
          <w:tcPr>
            <w:tcW w:w="676" w:type="dxa"/>
            <w:vMerge/>
            <w:tcBorders>
              <w:left w:val="single" w:sz="6" w:space="0" w:color="000000"/>
              <w:right w:val="single" w:sz="6" w:space="0" w:color="000000"/>
            </w:tcBorders>
            <w:shd w:val="clear" w:color="auto" w:fill="D2D2D2"/>
          </w:tcPr>
          <w:p>
            <w:pPr/>
          </w:p>
        </w:tc>
        <w:tc>
          <w:tcPr>
            <w:tcW w:w="691" w:type="dxa"/>
            <w:vMerge/>
            <w:tcBorders>
              <w:left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6"/>
              <w:ind w:left="2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75"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50" w:hRule="exact"/>
        </w:trPr>
        <w:tc>
          <w:tcPr>
            <w:tcW w:w="1224" w:type="dxa"/>
            <w:vMerge/>
            <w:tcBorders>
              <w:left w:val="single" w:sz="6" w:space="0" w:color="000000"/>
              <w:right w:val="single" w:sz="6" w:space="0" w:color="000000"/>
            </w:tcBorders>
            <w:shd w:val="clear" w:color="auto" w:fill="D2D2D2"/>
          </w:tcPr>
          <w:p>
            <w:pPr/>
          </w:p>
        </w:tc>
        <w:tc>
          <w:tcPr>
            <w:tcW w:w="601" w:type="dxa"/>
            <w:vMerge w:val="restart"/>
            <w:tcBorders>
              <w:top w:val="nil" w:sz="6" w:space="0" w:color="auto"/>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570" w:type="dxa"/>
            <w:vMerge/>
            <w:tcBorders>
              <w:left w:val="single" w:sz="6" w:space="0" w:color="000000"/>
              <w:right w:val="single" w:sz="6" w:space="0" w:color="000000"/>
            </w:tcBorders>
            <w:shd w:val="clear" w:color="auto" w:fill="D2D2D2"/>
          </w:tcPr>
          <w:p>
            <w:pPr/>
          </w:p>
        </w:tc>
        <w:tc>
          <w:tcPr>
            <w:tcW w:w="571" w:type="dxa"/>
            <w:vMerge/>
            <w:tcBorders>
              <w:left w:val="single" w:sz="6" w:space="0" w:color="000000"/>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676" w:type="dxa"/>
            <w:vMerge/>
            <w:tcBorders>
              <w:left w:val="single" w:sz="6" w:space="0" w:color="000000"/>
              <w:bottom w:val="nil" w:sz="6" w:space="0" w:color="auto"/>
              <w:right w:val="single" w:sz="6" w:space="0" w:color="000000"/>
            </w:tcBorders>
            <w:shd w:val="clear" w:color="auto" w:fill="D2D2D2"/>
          </w:tcPr>
          <w:p>
            <w:pPr/>
          </w:p>
        </w:tc>
        <w:tc>
          <w:tcPr>
            <w:tcW w:w="691"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
        </w:tc>
        <w:tc>
          <w:tcPr>
            <w:tcW w:w="675"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218" w:hRule="exact"/>
        </w:trPr>
        <w:tc>
          <w:tcPr>
            <w:tcW w:w="1224" w:type="dxa"/>
            <w:vMerge/>
            <w:tcBorders>
              <w:left w:val="single" w:sz="6" w:space="0" w:color="000000"/>
              <w:bottom w:val="single" w:sz="6" w:space="0" w:color="000000"/>
              <w:right w:val="single" w:sz="6" w:space="0" w:color="000000"/>
            </w:tcBorders>
            <w:shd w:val="clear" w:color="auto" w:fill="D2D2D2"/>
          </w:tcPr>
          <w:p>
            <w:pPr/>
          </w:p>
        </w:tc>
        <w:tc>
          <w:tcPr>
            <w:tcW w:w="601"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570" w:type="dxa"/>
            <w:vMerge/>
            <w:tcBorders>
              <w:left w:val="single" w:sz="6" w:space="0" w:color="000000"/>
              <w:bottom w:val="single" w:sz="6" w:space="0" w:color="000000"/>
              <w:right w:val="single" w:sz="6" w:space="0" w:color="000000"/>
            </w:tcBorders>
            <w:shd w:val="clear" w:color="auto" w:fill="D2D2D2"/>
          </w:tcPr>
          <w:p>
            <w:pPr/>
          </w:p>
        </w:tc>
        <w:tc>
          <w:tcPr>
            <w:tcW w:w="571" w:type="dxa"/>
            <w:vMerge/>
            <w:tcBorders>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676" w:type="dxa"/>
            <w:tcBorders>
              <w:top w:val="nil" w:sz="6" w:space="0" w:color="auto"/>
              <w:left w:val="single" w:sz="6" w:space="0" w:color="000000"/>
              <w:bottom w:val="single" w:sz="6" w:space="0" w:color="000000"/>
              <w:right w:val="single" w:sz="6" w:space="0" w:color="000000"/>
            </w:tcBorders>
            <w:shd w:val="clear" w:color="auto" w:fill="D2D2D2"/>
          </w:tcPr>
          <w:p>
            <w:pPr/>
          </w:p>
        </w:tc>
        <w:tc>
          <w:tcPr>
            <w:tcW w:w="691" w:type="dxa"/>
            <w:tcBorders>
              <w:top w:val="nil" w:sz="6" w:space="0" w:color="auto"/>
              <w:left w:val="single" w:sz="6" w:space="0" w:color="000000"/>
              <w:bottom w:val="single" w:sz="6" w:space="0" w:color="000000"/>
              <w:right w:val="single" w:sz="6" w:space="0" w:color="000000"/>
            </w:tcBorders>
            <w:shd w:val="clear" w:color="auto" w:fill="D2D2D2"/>
          </w:tcPr>
          <w:p>
            <w:pPr/>
          </w:p>
        </w:tc>
        <w:tc>
          <w:tcPr>
            <w:tcW w:w="781" w:type="dxa"/>
            <w:vMerge/>
            <w:tcBorders>
              <w:left w:val="single" w:sz="6" w:space="0" w:color="000000"/>
              <w:bottom w:val="single" w:sz="6" w:space="0" w:color="000000"/>
              <w:right w:val="single" w:sz="6" w:space="0" w:color="000000"/>
            </w:tcBorders>
            <w:shd w:val="clear" w:color="auto" w:fill="D2D2D2"/>
          </w:tcPr>
          <w:p>
            <w:pPr/>
          </w:p>
        </w:tc>
        <w:tc>
          <w:tcPr>
            <w:tcW w:w="675"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7" w:right="29"/>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z w:val="18"/>
                <w:szCs w:val="18"/>
              </w:rPr>
              <w:t> 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96" w:right="0"/>
              <w:jc w:val="center"/>
              <w:rPr>
                <w:rFonts w:ascii="Times New Roman" w:hAnsi="Times New Roman" w:cs="Times New Roman" w:eastAsia="Times New Roman" w:hint="default"/>
                <w:sz w:val="18"/>
                <w:szCs w:val="18"/>
              </w:rPr>
            </w:pPr>
            <w:r>
              <w:rPr>
                <w:rFonts w:ascii="Times New Roman"/>
                <w:sz w:val="18"/>
              </w:rPr>
              <w:t>2,512,</w:t>
            </w:r>
          </w:p>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8"/>
              <w:ind w:left="233" w:right="0"/>
              <w:jc w:val="center"/>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86,308,</w:t>
            </w:r>
          </w:p>
          <w:p>
            <w:pPr>
              <w:pStyle w:val="TableParagraph"/>
              <w:spacing w:line="240" w:lineRule="auto" w:before="93"/>
              <w:ind w:left="165" w:right="0"/>
              <w:jc w:val="left"/>
              <w:rPr>
                <w:rFonts w:ascii="Times New Roman" w:hAnsi="Times New Roman" w:cs="Times New Roman" w:eastAsia="Times New Roman" w:hint="default"/>
                <w:sz w:val="18"/>
                <w:szCs w:val="18"/>
              </w:rPr>
            </w:pPr>
            <w:r>
              <w:rPr>
                <w:rFonts w:ascii="Times New Roman"/>
                <w:sz w:val="18"/>
              </w:rPr>
              <w:t>819.00</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190,005</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402,347</w:t>
            </w:r>
          </w:p>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,032.00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1,303,317</w:t>
            </w:r>
          </w:p>
          <w:p>
            <w:pPr>
              <w:pStyle w:val="TableParagraph"/>
              <w:spacing w:line="240" w:lineRule="auto" w:before="93"/>
              <w:ind w:left="179" w:right="0"/>
              <w:jc w:val="center"/>
              <w:rPr>
                <w:rFonts w:ascii="Times New Roman" w:hAnsi="Times New Roman" w:cs="Times New Roman" w:eastAsia="Times New Roman" w:hint="default"/>
                <w:sz w:val="18"/>
                <w:szCs w:val="18"/>
              </w:rPr>
            </w:pPr>
            <w:r>
              <w:rPr>
                <w:rFonts w:ascii="Times New Roman"/>
                <w:sz w:val="18"/>
              </w:rPr>
              <w:t>,667.00</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4,304,663,5</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23.00</w:t>
            </w:r>
          </w:p>
        </w:tc>
      </w:tr>
      <w:tr>
        <w:trPr>
          <w:trHeight w:val="720"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30"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前期</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差错更正</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18"/>
              <w:jc w:val="right"/>
              <w:rPr>
                <w:rFonts w:ascii="宋体" w:hAnsi="宋体" w:cs="宋体" w:eastAsia="宋体" w:hint="default"/>
                <w:sz w:val="18"/>
                <w:szCs w:val="18"/>
              </w:rPr>
            </w:pPr>
            <w:r>
              <w:rPr>
                <w:rFonts w:ascii="宋体" w:hAnsi="宋体" w:cs="宋体" w:eastAsia="宋体" w:hint="default"/>
                <w:sz w:val="18"/>
                <w:szCs w:val="18"/>
              </w:rPr>
              <w:t>其他</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7" w:right="29"/>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z w:val="18"/>
                <w:szCs w:val="18"/>
              </w:rPr>
              <w:t> 额</w:t>
            </w:r>
          </w:p>
        </w:tc>
        <w:tc>
          <w:tcPr>
            <w:tcW w:w="6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left="96" w:right="0"/>
              <w:jc w:val="center"/>
              <w:rPr>
                <w:rFonts w:ascii="Times New Roman" w:hAnsi="Times New Roman" w:cs="Times New Roman" w:eastAsia="Times New Roman" w:hint="default"/>
                <w:sz w:val="18"/>
                <w:szCs w:val="18"/>
              </w:rPr>
            </w:pPr>
            <w:r>
              <w:rPr>
                <w:rFonts w:ascii="Times New Roman"/>
                <w:sz w:val="18"/>
              </w:rPr>
              <w:t>2,512,</w:t>
            </w:r>
          </w:p>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8"/>
              <w:ind w:left="233" w:right="0"/>
              <w:jc w:val="center"/>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86,308,</w:t>
            </w:r>
          </w:p>
          <w:p>
            <w:pPr>
              <w:pStyle w:val="TableParagraph"/>
              <w:spacing w:line="240" w:lineRule="auto" w:before="108"/>
              <w:ind w:left="165" w:right="0"/>
              <w:jc w:val="left"/>
              <w:rPr>
                <w:rFonts w:ascii="Times New Roman" w:hAnsi="Times New Roman" w:cs="Times New Roman" w:eastAsia="Times New Roman" w:hint="default"/>
                <w:sz w:val="18"/>
                <w:szCs w:val="18"/>
              </w:rPr>
            </w:pPr>
            <w:r>
              <w:rPr>
                <w:rFonts w:ascii="Times New Roman"/>
                <w:sz w:val="18"/>
              </w:rPr>
              <w:t>819.00</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190,005</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402,347</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,032.00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1,303,317</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,667.00</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4,304,663,5</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23.00</w:t>
            </w: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8" w:lineRule="auto" w:before="29"/>
              <w:ind w:left="7" w:right="29"/>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z w:val="18"/>
                <w:szCs w:val="18"/>
              </w:rPr>
              <w:t> </w:t>
            </w:r>
            <w:r>
              <w:rPr>
                <w:rFonts w:ascii="宋体" w:hAnsi="宋体" w:cs="宋体" w:eastAsia="宋体" w:hint="default"/>
                <w:spacing w:val="-13"/>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w w:val="95"/>
                <w:sz w:val="18"/>
              </w:rPr>
              <w:t>-5,495.0</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18,387,</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339.00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165,486,0</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49.00</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183,867,89</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3.00</w:t>
            </w:r>
          </w:p>
        </w:tc>
      </w:tr>
      <w:tr>
        <w:trPr>
          <w:trHeight w:val="720"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29"/>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z w:val="18"/>
                <w:szCs w:val="18"/>
              </w:rPr>
              <w:t> 总额</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5"/>
                <w:sz w:val="18"/>
              </w:rPr>
              <w:t>-5,495.0</w:t>
            </w:r>
            <w:r>
              <w:rPr>
                <w:rFonts w:ascii="Times New Roman"/>
                <w:sz w:val="18"/>
              </w:rPr>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183,873,3</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88.00</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183,867,89</w:t>
            </w:r>
          </w:p>
          <w:p>
            <w:pPr>
              <w:pStyle w:val="TableParagraph"/>
              <w:spacing w:line="240" w:lineRule="auto" w:before="93"/>
              <w:ind w:left="570" w:right="0"/>
              <w:jc w:val="left"/>
              <w:rPr>
                <w:rFonts w:ascii="Times New Roman" w:hAnsi="Times New Roman" w:cs="Times New Roman" w:eastAsia="Times New Roman" w:hint="default"/>
                <w:sz w:val="18"/>
                <w:szCs w:val="18"/>
              </w:rPr>
            </w:pPr>
            <w:r>
              <w:rPr>
                <w:rFonts w:ascii="Times New Roman"/>
                <w:sz w:val="18"/>
              </w:rPr>
              <w:t>3.00</w:t>
            </w:r>
          </w:p>
        </w:tc>
      </w:tr>
      <w:tr>
        <w:trPr>
          <w:trHeight w:val="706"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29"/>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z w:val="18"/>
                <w:szCs w:val="18"/>
              </w:rPr>
              <w:t> 入和减少资本</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7"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2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w:t>
            </w:r>
          </w:p>
        </w:tc>
        <w:tc>
          <w:tcPr>
            <w:tcW w:w="601" w:type="dxa"/>
            <w:tcBorders>
              <w:top w:val="single" w:sz="6" w:space="0" w:color="000000"/>
              <w:left w:val="single" w:sz="12"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32"/>
        <w:gridCol w:w="601"/>
        <w:gridCol w:w="571"/>
        <w:gridCol w:w="570"/>
        <w:gridCol w:w="571"/>
        <w:gridCol w:w="691"/>
        <w:gridCol w:w="676"/>
        <w:gridCol w:w="691"/>
        <w:gridCol w:w="781"/>
        <w:gridCol w:w="675"/>
        <w:gridCol w:w="796"/>
        <w:gridCol w:w="796"/>
        <w:gridCol w:w="931"/>
      </w:tblGrid>
      <w:tr>
        <w:trPr>
          <w:trHeight w:val="67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ind w:left="15" w:right="119"/>
              <w:jc w:val="left"/>
              <w:rPr>
                <w:rFonts w:ascii="宋体" w:hAnsi="宋体" w:cs="宋体" w:eastAsia="宋体" w:hint="default"/>
                <w:sz w:val="18"/>
                <w:szCs w:val="18"/>
              </w:rPr>
            </w:pPr>
            <w:r>
              <w:rPr>
                <w:rFonts w:ascii="宋体" w:hAnsi="宋体" w:cs="宋体" w:eastAsia="宋体" w:hint="default"/>
                <w:sz w:val="18"/>
                <w:szCs w:val="18"/>
              </w:rPr>
              <w:t>入所有者权益 的金额</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利润分配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05" w:right="0"/>
              <w:jc w:val="left"/>
              <w:rPr>
                <w:rFonts w:ascii="Times New Roman" w:hAnsi="Times New Roman" w:cs="Times New Roman" w:eastAsia="Times New Roman" w:hint="default"/>
                <w:sz w:val="18"/>
                <w:szCs w:val="18"/>
              </w:rPr>
            </w:pPr>
            <w:r>
              <w:rPr>
                <w:rFonts w:ascii="Times New Roman"/>
                <w:sz w:val="18"/>
              </w:rPr>
              <w:t>18,387,</w:t>
            </w:r>
          </w:p>
          <w:p>
            <w:pPr>
              <w:pStyle w:val="TableParagraph"/>
              <w:spacing w:line="240" w:lineRule="auto" w:before="108"/>
              <w:ind w:left="150" w:right="0"/>
              <w:jc w:val="left"/>
              <w:rPr>
                <w:rFonts w:ascii="Times New Roman" w:hAnsi="Times New Roman" w:cs="Times New Roman" w:eastAsia="Times New Roman" w:hint="default"/>
                <w:sz w:val="18"/>
                <w:szCs w:val="18"/>
              </w:rPr>
            </w:pPr>
            <w:r>
              <w:rPr>
                <w:rFonts w:ascii="Times New Roman"/>
                <w:sz w:val="18"/>
              </w:rPr>
              <w:t>339.00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-18,387,3</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39.00</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18,387,</w:t>
            </w:r>
          </w:p>
          <w:p>
            <w:pPr>
              <w:pStyle w:val="TableParagraph"/>
              <w:spacing w:line="240" w:lineRule="auto" w:before="93"/>
              <w:ind w:left="150" w:right="0"/>
              <w:jc w:val="left"/>
              <w:rPr>
                <w:rFonts w:ascii="Times New Roman" w:hAnsi="Times New Roman" w:cs="Times New Roman" w:eastAsia="Times New Roman" w:hint="default"/>
                <w:sz w:val="18"/>
                <w:szCs w:val="18"/>
              </w:rPr>
            </w:pPr>
            <w:r>
              <w:rPr>
                <w:rFonts w:ascii="Times New Roman"/>
                <w:sz w:val="18"/>
              </w:rPr>
              <w:t>339.00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-18,387,3</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39.00</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pacing w:val="-23"/>
                <w:sz w:val="18"/>
                <w:szCs w:val="18"/>
              </w:rPr>
              <w:t>2</w:t>
            </w:r>
            <w:r>
              <w:rPr>
                <w:rFonts w:ascii="宋体" w:hAnsi="宋体" w:cs="宋体" w:eastAsia="宋体" w:hint="default"/>
                <w:spacing w:val="-23"/>
                <w:sz w:val="18"/>
                <w:szCs w:val="18"/>
              </w:rPr>
              <w:t>．对所有者（或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股东）的分配</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z w:val="18"/>
                <w:szCs w:val="18"/>
              </w:rPr>
              <w:t> 益内部结转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59"/>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7" w:lineRule="auto" w:before="60"/>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4"/>
              <w:ind w:left="15"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90"/>
                <w:sz w:val="18"/>
                <w:szCs w:val="18"/>
              </w:rPr>
              <w:t>）</w:t>
            </w:r>
            <w:r>
              <w:rPr>
                <w:rFonts w:ascii="宋体" w:hAnsi="宋体" w:cs="宋体" w:eastAsia="宋体" w:hint="default"/>
                <w:sz w:val="18"/>
                <w:szCs w:val="18"/>
              </w:rPr>
              <w:t>专项储备</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01"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12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5" w:right="29"/>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z w:val="18"/>
                <w:szCs w:val="18"/>
              </w:rPr>
              <w:t> 额</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4" w:right="0"/>
              <w:jc w:val="center"/>
              <w:rPr>
                <w:rFonts w:ascii="Times New Roman" w:hAnsi="Times New Roman" w:cs="Times New Roman" w:eastAsia="Times New Roman" w:hint="default"/>
                <w:sz w:val="18"/>
                <w:szCs w:val="18"/>
              </w:rPr>
            </w:pPr>
            <w:r>
              <w:rPr>
                <w:rFonts w:ascii="Times New Roman"/>
                <w:sz w:val="18"/>
              </w:rPr>
              <w:t>2,512,</w:t>
            </w:r>
          </w:p>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8"/>
              <w:ind w:left="240" w:right="0"/>
              <w:jc w:val="center"/>
              <w:rPr>
                <w:rFonts w:ascii="Times New Roman" w:hAnsi="Times New Roman" w:cs="Times New Roman" w:eastAsia="Times New Roman" w:hint="default"/>
                <w:sz w:val="18"/>
                <w:szCs w:val="18"/>
              </w:rPr>
            </w:pPr>
            <w:r>
              <w:rPr>
                <w:rFonts w:ascii="Times New Roman"/>
                <w:sz w:val="18"/>
              </w:rPr>
              <w:t>0.00</w:t>
            </w:r>
          </w:p>
        </w:tc>
        <w:tc>
          <w:tcPr>
            <w:tcW w:w="571" w:type="dxa"/>
            <w:tcBorders>
              <w:top w:val="single" w:sz="6" w:space="0" w:color="000000"/>
              <w:left w:val="single" w:sz="6" w:space="0" w:color="000000"/>
              <w:bottom w:val="single" w:sz="6" w:space="0" w:color="000000"/>
              <w:right w:val="single" w:sz="6" w:space="0" w:color="000000"/>
            </w:tcBorders>
          </w:tcPr>
          <w:p>
            <w:pPr/>
          </w:p>
        </w:tc>
        <w:tc>
          <w:tcPr>
            <w:tcW w:w="570" w:type="dxa"/>
            <w:tcBorders>
              <w:top w:val="single" w:sz="6" w:space="0" w:color="000000"/>
              <w:left w:val="single" w:sz="6" w:space="0" w:color="000000"/>
              <w:bottom w:val="single" w:sz="6" w:space="0" w:color="000000"/>
              <w:right w:val="single" w:sz="6" w:space="0" w:color="000000"/>
            </w:tcBorders>
          </w:tcPr>
          <w:p>
            <w:pPr/>
          </w:p>
        </w:tc>
        <w:tc>
          <w:tcPr>
            <w:tcW w:w="571"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86,308,</w:t>
            </w:r>
          </w:p>
          <w:p>
            <w:pPr>
              <w:pStyle w:val="TableParagraph"/>
              <w:spacing w:line="240" w:lineRule="auto" w:before="108"/>
              <w:ind w:left="165" w:right="0"/>
              <w:jc w:val="left"/>
              <w:rPr>
                <w:rFonts w:ascii="Times New Roman" w:hAnsi="Times New Roman" w:cs="Times New Roman" w:eastAsia="Times New Roman" w:hint="default"/>
                <w:sz w:val="18"/>
                <w:szCs w:val="18"/>
              </w:rPr>
            </w:pPr>
            <w:r>
              <w:rPr>
                <w:rFonts w:ascii="Times New Roman"/>
                <w:sz w:val="18"/>
              </w:rPr>
              <w:t>819.00</w:t>
            </w:r>
          </w:p>
        </w:tc>
        <w:tc>
          <w:tcPr>
            <w:tcW w:w="676" w:type="dxa"/>
            <w:tcBorders>
              <w:top w:val="single" w:sz="6" w:space="0" w:color="000000"/>
              <w:left w:val="single" w:sz="6" w:space="0" w:color="000000"/>
              <w:bottom w:val="single" w:sz="6" w:space="0" w:color="000000"/>
              <w:right w:val="single" w:sz="6" w:space="0" w:color="000000"/>
            </w:tcBorders>
          </w:tcPr>
          <w:p>
            <w:pPr/>
          </w:p>
        </w:tc>
        <w:tc>
          <w:tcPr>
            <w:tcW w:w="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184,510</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.00</w:t>
            </w:r>
          </w:p>
        </w:tc>
        <w:tc>
          <w:tcPr>
            <w:tcW w:w="781" w:type="dxa"/>
            <w:tcBorders>
              <w:top w:val="single" w:sz="6" w:space="0" w:color="000000"/>
              <w:left w:val="single" w:sz="6" w:space="0" w:color="000000"/>
              <w:bottom w:val="single" w:sz="6" w:space="0" w:color="000000"/>
              <w:right w:val="single" w:sz="6" w:space="0" w:color="000000"/>
            </w:tcBorders>
          </w:tcPr>
          <w:p>
            <w:pPr/>
          </w:p>
        </w:tc>
        <w:tc>
          <w:tcPr>
            <w:tcW w:w="6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420,734</w:t>
            </w:r>
          </w:p>
          <w:p>
            <w:pPr>
              <w:pStyle w:val="TableParagraph"/>
              <w:spacing w:line="240" w:lineRule="auto" w:before="108"/>
              <w:ind w:left="105" w:right="0"/>
              <w:jc w:val="left"/>
              <w:rPr>
                <w:rFonts w:ascii="Times New Roman" w:hAnsi="Times New Roman" w:cs="Times New Roman" w:eastAsia="Times New Roman" w:hint="default"/>
                <w:sz w:val="18"/>
                <w:szCs w:val="18"/>
              </w:rPr>
            </w:pPr>
            <w:r>
              <w:rPr>
                <w:rFonts w:ascii="Times New Roman"/>
                <w:sz w:val="18"/>
              </w:rPr>
              <w:t>,371.00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1,468,803</w:t>
            </w:r>
          </w:p>
          <w:p>
            <w:pPr>
              <w:pStyle w:val="TableParagraph"/>
              <w:spacing w:line="240" w:lineRule="auto" w:before="108"/>
              <w:ind w:left="179" w:right="0"/>
              <w:jc w:val="center"/>
              <w:rPr>
                <w:rFonts w:ascii="Times New Roman" w:hAnsi="Times New Roman" w:cs="Times New Roman" w:eastAsia="Times New Roman" w:hint="default"/>
                <w:sz w:val="18"/>
                <w:szCs w:val="18"/>
              </w:rPr>
            </w:pPr>
            <w:r>
              <w:rPr>
                <w:rFonts w:ascii="Times New Roman"/>
                <w:sz w:val="18"/>
              </w:rPr>
              <w:t>,716.00</w:t>
            </w: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4,488,531,4</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16.00</w:t>
            </w:r>
          </w:p>
        </w:tc>
      </w:tr>
    </w:tbl>
    <w:p>
      <w:pPr>
        <w:spacing w:line="240" w:lineRule="auto" w:before="12"/>
        <w:rPr>
          <w:rFonts w:ascii="宋体" w:hAnsi="宋体" w:cs="宋体" w:eastAsia="宋体" w:hint="default"/>
          <w:sz w:val="17"/>
          <w:szCs w:val="17"/>
        </w:rPr>
      </w:pPr>
    </w:p>
    <w:p>
      <w:pPr>
        <w:pStyle w:val="Heading2"/>
        <w:spacing w:line="240" w:lineRule="auto" w:before="26"/>
        <w:ind w:right="0"/>
        <w:jc w:val="left"/>
        <w:rPr>
          <w:b w:val="0"/>
          <w:bCs w:val="0"/>
        </w:rPr>
      </w:pPr>
      <w:bookmarkStart w:name="三、公司基本情况" w:id="163"/>
      <w:bookmarkEnd w:id="163"/>
      <w:r>
        <w:rPr>
          <w:b w:val="0"/>
          <w:bCs w:val="0"/>
        </w:rPr>
      </w:r>
      <w:r>
        <w:rPr/>
        <w:t>三、公司基本情况</w:t>
      </w:r>
      <w:r>
        <w:rPr>
          <w:b w:val="0"/>
          <w:bCs w:val="0"/>
        </w:rPr>
      </w:r>
    </w:p>
    <w:p>
      <w:pPr>
        <w:spacing w:line="240" w:lineRule="auto" w:before="3"/>
        <w:rPr>
          <w:rFonts w:ascii="宋体" w:hAnsi="宋体" w:cs="宋体" w:eastAsia="宋体" w:hint="default"/>
          <w:b/>
          <w:bCs/>
          <w:sz w:val="27"/>
          <w:szCs w:val="27"/>
        </w:rPr>
      </w:pPr>
    </w:p>
    <w:p>
      <w:pPr>
        <w:pStyle w:val="BodyText"/>
        <w:spacing w:line="304" w:lineRule="auto"/>
        <w:ind w:right="1029"/>
        <w:jc w:val="left"/>
      </w:pPr>
      <w:r>
        <w:rPr/>
        <w:t>本公司总部位于中国（上海）自由贸易试验区康桥东路</w:t>
      </w:r>
      <w:r>
        <w:rPr>
          <w:rFonts w:ascii="Times New Roman" w:hAnsi="Times New Roman" w:cs="Times New Roman" w:eastAsia="Times New Roman" w:hint="default"/>
        </w:rPr>
        <w:t>800</w:t>
      </w:r>
      <w:r>
        <w:rPr/>
        <w:t>号，注册地址位于中国（上海）自由贸易试验区康桥东路</w:t>
      </w:r>
      <w:r>
        <w:rPr>
          <w:rFonts w:ascii="Times New Roman" w:hAnsi="Times New Roman" w:cs="Times New Roman" w:eastAsia="Times New Roman" w:hint="default"/>
        </w:rPr>
        <w:t>800</w:t>
      </w:r>
      <w:r>
        <w:rPr/>
        <w:t>号。</w:t>
      </w:r>
      <w:r>
        <w:rPr>
          <w:spacing w:val="-80"/>
        </w:rPr>
        <w:t> </w:t>
      </w:r>
      <w:r>
        <w:rPr>
          <w:spacing w:val="-2"/>
        </w:rPr>
        <w:t>本公司及其子公司</w:t>
      </w:r>
      <w:r>
        <w:rPr>
          <w:rFonts w:ascii="Times New Roman" w:hAnsi="Times New Roman" w:cs="Times New Roman" w:eastAsia="Times New Roman" w:hint="default"/>
          <w:spacing w:val="-2"/>
        </w:rPr>
        <w:t>(</w:t>
      </w:r>
      <w:r>
        <w:rPr>
          <w:spacing w:val="-2"/>
        </w:rPr>
        <w:t>统称</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主要从事服装制造加工，服装、鞋、针纺织品、皮革制品、羽绒制品、箱包、玩具、饰品、</w:t>
      </w:r>
    </w:p>
    <w:p>
      <w:pPr>
        <w:spacing w:after="0" w:line="304"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029"/>
        <w:jc w:val="left"/>
      </w:pPr>
      <w:r>
        <w:rPr/>
        <w:t>工艺品、木制品、电子设备、五金交电、礼品、建筑材料、纸制品，日用百货，钟表眼镜，化妆品，电子产品，家用电器， </w:t>
      </w:r>
      <w:r>
        <w:rPr>
          <w:spacing w:val="-2"/>
        </w:rPr>
        <w:t>文具体育用品的销售，从事货物及技术的进出口业务，从事计算机、网络科技领域内的技术服务、技术咨询、技术转让，技</w:t>
      </w:r>
      <w:r>
        <w:rPr>
          <w:spacing w:val="-72"/>
        </w:rPr>
        <w:t> </w:t>
      </w:r>
      <w:r>
        <w:rPr>
          <w:spacing w:val="-72"/>
        </w:rPr>
      </w:r>
      <w:r>
        <w:rPr/>
        <w:t>术开发，附设分支机构（凡涉及行政许可证凭许可证经营）。</w:t>
      </w:r>
    </w:p>
    <w:p>
      <w:pPr>
        <w:pStyle w:val="BodyText"/>
        <w:spacing w:line="240" w:lineRule="auto" w:before="3"/>
        <w:ind w:right="0"/>
        <w:jc w:val="left"/>
      </w:pPr>
      <w:r>
        <w:rPr/>
        <w:t>合并财务报表范围变更详见财务报告附注七。</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四、财务报表的编制基础" w:id="164"/>
      <w:bookmarkEnd w:id="164"/>
      <w:r>
        <w:rPr>
          <w:b w:val="0"/>
          <w:bCs w:val="0"/>
        </w:rPr>
      </w:r>
      <w:r>
        <w:rPr/>
        <w:t>四、财务报表的编制基础</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编制基础" w:id="165"/>
      <w:bookmarkEnd w:id="165"/>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5"/>
        <w:rPr>
          <w:rFonts w:ascii="宋体" w:hAnsi="宋体" w:cs="宋体" w:eastAsia="宋体" w:hint="default"/>
          <w:b/>
          <w:bCs/>
          <w:sz w:val="26"/>
          <w:szCs w:val="26"/>
        </w:rPr>
      </w:pPr>
    </w:p>
    <w:p>
      <w:pPr>
        <w:pStyle w:val="BodyText"/>
        <w:spacing w:line="295" w:lineRule="auto"/>
        <w:ind w:right="1101"/>
        <w:jc w:val="both"/>
      </w:pPr>
      <w:r>
        <w:rPr>
          <w:spacing w:val="-2"/>
        </w:rPr>
        <w:t>本财务报表按照财政部颁布的《企业会计准则</w:t>
      </w:r>
      <w:r>
        <w:rPr>
          <w:rFonts w:ascii="Times New Roman" w:hAnsi="Times New Roman" w:cs="Times New Roman" w:eastAsia="Times New Roman" w:hint="default"/>
          <w:spacing w:val="-2"/>
        </w:rPr>
        <w:t>—</w:t>
      </w:r>
      <w:r>
        <w:rPr>
          <w:spacing w:val="-2"/>
        </w:rPr>
        <w:t>基本准则》以及其后颁布及修订的具体会计准则、应用指南、解释以及其他</w:t>
      </w:r>
      <w:r>
        <w:rPr>
          <w:spacing w:val="-38"/>
        </w:rPr>
        <w:t> </w:t>
      </w:r>
      <w:r>
        <w:rPr>
          <w:spacing w:val="-38"/>
        </w:rPr>
      </w:r>
      <w:r>
        <w:rPr/>
        <w:t>相关规定</w:t>
      </w:r>
      <w:r>
        <w:rPr>
          <w:rFonts w:ascii="Times New Roman" w:hAnsi="Times New Roman" w:cs="Times New Roman" w:eastAsia="Times New Roman" w:hint="default"/>
        </w:rPr>
        <w:t>(</w:t>
      </w:r>
      <w:r>
        <w:rPr/>
        <w:t>统称</w:t>
      </w:r>
      <w:r>
        <w:rPr>
          <w:rFonts w:ascii="Times New Roman" w:hAnsi="Times New Roman" w:cs="Times New Roman" w:eastAsia="Times New Roman" w:hint="default"/>
        </w:rPr>
        <w:t>“</w:t>
      </w:r>
      <w:r>
        <w:rPr/>
        <w:t>企业会计准则</w:t>
      </w:r>
      <w:r>
        <w:rPr>
          <w:rFonts w:ascii="Times New Roman" w:hAnsi="Times New Roman" w:cs="Times New Roman" w:eastAsia="Times New Roman" w:hint="default"/>
        </w:rPr>
        <w:t>”)</w:t>
      </w:r>
      <w:r>
        <w:rPr/>
        <w:t>编制。编制本财务报表时，均以历史成本为计价原则。资产如果发生减值，则按照相关规定</w:t>
      </w:r>
      <w:r>
        <w:rPr>
          <w:spacing w:val="-83"/>
        </w:rPr>
        <w:t> </w:t>
      </w:r>
      <w:r>
        <w:rPr/>
        <w:t>计提相应的减值准备。</w:t>
      </w:r>
    </w:p>
    <w:p>
      <w:pPr>
        <w:spacing w:line="240" w:lineRule="auto" w:before="5"/>
        <w:rPr>
          <w:rFonts w:ascii="宋体" w:hAnsi="宋体" w:cs="宋体" w:eastAsia="宋体" w:hint="default"/>
          <w:sz w:val="24"/>
          <w:szCs w:val="24"/>
        </w:rPr>
      </w:pPr>
    </w:p>
    <w:p>
      <w:pPr>
        <w:pStyle w:val="Heading5"/>
        <w:spacing w:line="240" w:lineRule="auto"/>
        <w:ind w:right="0"/>
        <w:jc w:val="left"/>
        <w:rPr>
          <w:b w:val="0"/>
          <w:bCs w:val="0"/>
        </w:rPr>
      </w:pPr>
      <w:bookmarkStart w:name="2、持续经营" w:id="166"/>
      <w:bookmarkEnd w:id="166"/>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1119"/>
        <w:jc w:val="left"/>
      </w:pPr>
      <w:r>
        <w:rPr/>
        <w:t>本财务报表以持续经营为基础列报。本集团</w:t>
      </w:r>
      <w:r>
        <w:rPr>
          <w:rFonts w:ascii="宋体" w:hAnsi="宋体" w:cs="宋体" w:eastAsia="宋体" w:hint="default"/>
        </w:rPr>
        <w:t>2019</w:t>
      </w:r>
      <w:r>
        <w:rPr/>
        <w:t>年度归属于上市公司股东的净亏损为人民币</w:t>
      </w:r>
      <w:r>
        <w:rPr>
          <w:rFonts w:ascii="宋体" w:hAnsi="宋体" w:cs="宋体" w:eastAsia="宋体" w:hint="default"/>
        </w:rPr>
        <w:t>825,472,850</w:t>
      </w:r>
      <w:r>
        <w:rPr/>
        <w:t>元（</w:t>
      </w:r>
      <w:r>
        <w:rPr>
          <w:rFonts w:ascii="宋体" w:hAnsi="宋体" w:cs="宋体" w:eastAsia="宋体" w:hint="default"/>
        </w:rPr>
        <w:t>2018</w:t>
      </w:r>
      <w:r>
        <w:rPr/>
        <w:t>年度：净</w:t>
      </w:r>
      <w:r>
        <w:rPr>
          <w:spacing w:val="-83"/>
        </w:rPr>
        <w:t> </w:t>
      </w:r>
      <w:r>
        <w:rPr/>
        <w:t>利润人民币</w:t>
      </w:r>
      <w:r>
        <w:rPr>
          <w:rFonts w:ascii="宋体" w:hAnsi="宋体" w:cs="宋体" w:eastAsia="宋体" w:hint="default"/>
        </w:rPr>
        <w:t>40,361,571</w:t>
      </w:r>
      <w:r>
        <w:rPr/>
        <w:t>元）。</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日，本集团的净流动负债为人民币</w:t>
      </w:r>
      <w:r>
        <w:rPr>
          <w:rFonts w:ascii="宋体" w:hAnsi="宋体" w:cs="宋体" w:eastAsia="宋体" w:hint="default"/>
        </w:rPr>
        <w:t>359,425,890</w:t>
      </w:r>
      <w:r>
        <w:rPr/>
        <w:t>元（</w:t>
      </w:r>
      <w:r>
        <w:rPr>
          <w:rFonts w:ascii="宋体" w:hAnsi="宋体" w:cs="宋体" w:eastAsia="宋体" w:hint="default"/>
        </w:rPr>
        <w:t>2018</w:t>
      </w:r>
      <w:r>
        <w:rPr/>
        <w:t>年</w:t>
      </w:r>
      <w:r>
        <w:rPr>
          <w:rFonts w:ascii="宋体" w:hAnsi="宋体" w:cs="宋体" w:eastAsia="宋体" w:hint="default"/>
        </w:rPr>
        <w:t>12</w:t>
      </w:r>
      <w:r>
        <w:rPr/>
        <w:t>月</w:t>
      </w:r>
      <w:r>
        <w:rPr>
          <w:rFonts w:ascii="宋体" w:hAnsi="宋体" w:cs="宋体" w:eastAsia="宋体" w:hint="default"/>
        </w:rPr>
        <w:t>31</w:t>
      </w:r>
      <w:r>
        <w:rPr/>
        <w:t>日：净流动资</w:t>
      </w:r>
      <w:r>
        <w:rPr>
          <w:spacing w:val="-85"/>
        </w:rPr>
        <w:t> </w:t>
      </w:r>
      <w:r>
        <w:rPr>
          <w:spacing w:val="-2"/>
        </w:rPr>
        <w:t>产人民币</w:t>
      </w:r>
      <w:r>
        <w:rPr>
          <w:rFonts w:ascii="宋体" w:hAnsi="宋体" w:cs="宋体" w:eastAsia="宋体" w:hint="default"/>
          <w:spacing w:val="-2"/>
        </w:rPr>
        <w:t>104,588,737</w:t>
      </w:r>
      <w:r>
        <w:rPr>
          <w:spacing w:val="-2"/>
        </w:rPr>
        <w:t>元），其中尚未偿还的将于未来</w:t>
      </w:r>
      <w:r>
        <w:rPr>
          <w:rFonts w:ascii="宋体" w:hAnsi="宋体" w:cs="宋体" w:eastAsia="宋体" w:hint="default"/>
          <w:spacing w:val="-2"/>
        </w:rPr>
        <w:t>12</w:t>
      </w:r>
      <w:r>
        <w:rPr>
          <w:spacing w:val="-2"/>
        </w:rPr>
        <w:t>个月内到期的银行借款金额为人民币</w:t>
      </w:r>
      <w:r>
        <w:rPr>
          <w:rFonts w:ascii="宋体" w:hAnsi="宋体" w:cs="宋体" w:eastAsia="宋体" w:hint="default"/>
          <w:spacing w:val="-2"/>
        </w:rPr>
        <w:t>1,178,000,000</w:t>
      </w:r>
      <w:r>
        <w:rPr>
          <w:spacing w:val="-2"/>
        </w:rPr>
        <w:t>元，应付账款及</w:t>
      </w:r>
      <w:r>
        <w:rPr>
          <w:spacing w:val="-41"/>
        </w:rPr>
        <w:t> </w:t>
      </w:r>
      <w:r>
        <w:rPr>
          <w:spacing w:val="-41"/>
        </w:rPr>
      </w:r>
      <w:r>
        <w:rPr/>
        <w:t>应付票据为人民币</w:t>
      </w:r>
      <w:r>
        <w:rPr>
          <w:rFonts w:ascii="宋体" w:hAnsi="宋体" w:cs="宋体" w:eastAsia="宋体" w:hint="default"/>
        </w:rPr>
        <w:t>2,231,503,551</w:t>
      </w:r>
      <w:r>
        <w:rPr/>
        <w:t>元。这些事项或情况表明存在可能导致本集团的持续经营能力产生重大疑虑的重大不确定 性。 </w:t>
      </w:r>
      <w:r>
        <w:rPr>
          <w:spacing w:val="-2"/>
        </w:rPr>
        <w:t>根据目前实际经营情况，为保证公司持续经营能力，本公司董事会正在积极主动采取措施，以评估本集团是否拥有足够的营</w:t>
      </w:r>
      <w:r>
        <w:rPr>
          <w:spacing w:val="-75"/>
        </w:rPr>
        <w:t> </w:t>
      </w:r>
      <w:r>
        <w:rPr>
          <w:spacing w:val="-75"/>
        </w:rPr>
      </w:r>
      <w:r>
        <w:rPr/>
        <w:t>运资金以确保本集团于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日后</w:t>
      </w:r>
      <w:r>
        <w:rPr>
          <w:rFonts w:ascii="宋体" w:hAnsi="宋体" w:cs="宋体" w:eastAsia="宋体" w:hint="default"/>
        </w:rPr>
        <w:t>12</w:t>
      </w:r>
      <w:r>
        <w:rPr/>
        <w:t>个月内能够清偿到期的债务并持续运营，主要措施如下：</w:t>
      </w:r>
    </w:p>
    <w:p>
      <w:pPr>
        <w:pStyle w:val="BodyText"/>
        <w:tabs>
          <w:tab w:pos="591" w:val="left" w:leader="none"/>
        </w:tabs>
        <w:spacing w:line="321" w:lineRule="auto" w:before="20"/>
        <w:ind w:right="1137"/>
        <w:jc w:val="left"/>
      </w:pPr>
      <w:r>
        <w:rPr>
          <w:rFonts w:ascii="宋体" w:hAnsi="宋体" w:cs="宋体" w:eastAsia="宋体" w:hint="default"/>
        </w:rPr>
        <w:t>1.</w:t>
        <w:tab/>
      </w:r>
      <w:r>
        <w:rPr/>
        <w:t>继续收缩经营资源专注核心业务发展，提升库存周转速度和资金周转效率，降低固定成本费用、停止资本性支出、控 制不合理支出；</w:t>
      </w:r>
    </w:p>
    <w:p>
      <w:pPr>
        <w:pStyle w:val="BodyText"/>
        <w:tabs>
          <w:tab w:pos="591" w:val="left" w:leader="none"/>
        </w:tabs>
        <w:spacing w:line="321" w:lineRule="auto" w:before="4"/>
        <w:ind w:right="1137"/>
        <w:jc w:val="left"/>
      </w:pPr>
      <w:r>
        <w:rPr>
          <w:rFonts w:ascii="宋体" w:hAnsi="宋体" w:cs="宋体" w:eastAsia="宋体" w:hint="default"/>
        </w:rPr>
        <w:t>2.</w:t>
        <w:tab/>
      </w:r>
      <w:r>
        <w:rPr/>
        <w:t>通过偿还银行借款续借短期借款以保证稳定的运营资金；并利用本集团现有的资源向金融机构申请新的贷款额度以补 充营运资金；</w:t>
      </w:r>
    </w:p>
    <w:p>
      <w:pPr>
        <w:pStyle w:val="BodyText"/>
        <w:tabs>
          <w:tab w:pos="591" w:val="left" w:leader="none"/>
        </w:tabs>
        <w:spacing w:line="240" w:lineRule="auto" w:before="18"/>
        <w:ind w:right="0"/>
        <w:jc w:val="left"/>
      </w:pPr>
      <w:r>
        <w:rPr>
          <w:rFonts w:ascii="宋体" w:hAnsi="宋体" w:cs="宋体" w:eastAsia="宋体" w:hint="default"/>
        </w:rPr>
        <w:t>3.</w:t>
        <w:tab/>
      </w:r>
      <w:r>
        <w:rPr/>
        <w:t>与供应商协商调整付款周期，与上下游价值链伙伴以合作共赢等方式实现有机增长；</w:t>
      </w:r>
    </w:p>
    <w:p>
      <w:pPr>
        <w:pStyle w:val="BodyText"/>
        <w:tabs>
          <w:tab w:pos="591" w:val="left" w:leader="none"/>
        </w:tabs>
        <w:spacing w:line="316" w:lineRule="auto" w:before="80"/>
        <w:ind w:right="1128"/>
        <w:jc w:val="left"/>
      </w:pPr>
      <w:r>
        <w:rPr>
          <w:rFonts w:ascii="宋体" w:hAnsi="宋体" w:cs="宋体" w:eastAsia="宋体" w:hint="default"/>
        </w:rPr>
        <w:t>4.</w:t>
        <w:tab/>
      </w:r>
      <w:r>
        <w:rPr/>
        <w:t>本公司与本公司控股股东华服投资签署财务资助协议。华服投资表示将继续为本集团提供财务资助并根据本集团的需 要提供资金支持，已使本集团在本财务报表报出日十二个月内能够持续经营。</w:t>
      </w:r>
      <w:r>
        <w:rPr>
          <w:spacing w:val="-85"/>
        </w:rPr>
        <w:t> </w:t>
      </w:r>
      <w:r>
        <w:rPr>
          <w:spacing w:val="-85"/>
        </w:rPr>
      </w:r>
      <w:r>
        <w:rPr>
          <w:spacing w:val="-2"/>
        </w:rPr>
        <w:t>本公司董事已审阅管理层编制的本集团现金流量预测，其涵盖期间自</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日起不少于</w:t>
      </w:r>
      <w:r>
        <w:rPr>
          <w:rFonts w:ascii="宋体" w:hAnsi="宋体" w:cs="宋体" w:eastAsia="宋体" w:hint="default"/>
          <w:spacing w:val="-2"/>
        </w:rPr>
        <w:t>12</w:t>
      </w:r>
      <w:r>
        <w:rPr>
          <w:spacing w:val="-2"/>
        </w:rPr>
        <w:t>个月的期间。本公司董事认</w:t>
      </w:r>
      <w:r>
        <w:rPr>
          <w:spacing w:val="-56"/>
        </w:rPr>
        <w:t> </w:t>
      </w:r>
      <w:r>
        <w:rPr>
          <w:spacing w:val="-56"/>
        </w:rPr>
      </w:r>
      <w:r>
        <w:rPr/>
        <w:t>为本集团将能够获得足够的营运资金以确保本集团于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日后</w:t>
      </w:r>
      <w:r>
        <w:rPr>
          <w:rFonts w:ascii="宋体" w:hAnsi="宋体" w:cs="宋体" w:eastAsia="宋体" w:hint="default"/>
        </w:rPr>
        <w:t>12</w:t>
      </w:r>
      <w:r>
        <w:rPr/>
        <w:t>个月内能够清偿到期的债务并保持核心业务持续</w:t>
      </w:r>
      <w:r>
        <w:rPr>
          <w:spacing w:val="-85"/>
        </w:rPr>
        <w:t> </w:t>
      </w:r>
      <w:r>
        <w:rPr/>
        <w:t>运营。因此本公司董事会认为以持续经营为基础编制本财务报表是适当的，且实施上述措施不存在重大不确定性。</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五、重要会计政策及会计估计" w:id="167"/>
      <w:bookmarkEnd w:id="167"/>
      <w:r>
        <w:rPr>
          <w:b w:val="0"/>
          <w:bCs w:val="0"/>
        </w:rPr>
      </w:r>
      <w:r>
        <w:rPr/>
        <w:t>五、重要会计政策及会计估计</w:t>
      </w:r>
      <w:r>
        <w:rPr>
          <w:b w:val="0"/>
          <w:bCs w:val="0"/>
        </w:rPr>
      </w:r>
    </w:p>
    <w:p>
      <w:pPr>
        <w:spacing w:line="240" w:lineRule="auto" w:before="1"/>
        <w:rPr>
          <w:rFonts w:ascii="宋体" w:hAnsi="宋体" w:cs="宋体" w:eastAsia="宋体" w:hint="default"/>
          <w:b/>
          <w:bCs/>
          <w:sz w:val="26"/>
          <w:szCs w:val="26"/>
        </w:rPr>
      </w:pPr>
    </w:p>
    <w:p>
      <w:pPr>
        <w:pStyle w:val="BodyText"/>
        <w:spacing w:line="336" w:lineRule="auto"/>
        <w:ind w:right="0"/>
        <w:jc w:val="left"/>
      </w:pPr>
      <w:r>
        <w:rPr/>
        <w:t>具体会计政策和会计估计提示： </w:t>
      </w:r>
      <w:r>
        <w:rPr>
          <w:spacing w:val="-2"/>
        </w:rPr>
        <w:t>本集团根据实际生产经营特点制定了具体会计政策和会计估计，主要体现在应收款项坏账准备的计提、存货计价方法、固定</w:t>
      </w:r>
      <w:r>
        <w:rPr>
          <w:spacing w:val="-64"/>
        </w:rPr>
        <w:t> </w:t>
      </w:r>
      <w:r>
        <w:rPr>
          <w:spacing w:val="-64"/>
        </w:rPr>
      </w:r>
      <w:r>
        <w:rPr/>
        <w:t>资产折旧、无形资产摊销、收入确认和计量、市场推广费用。</w:t>
      </w:r>
    </w:p>
    <w:p>
      <w:pPr>
        <w:spacing w:line="240" w:lineRule="auto" w:before="2"/>
        <w:rPr>
          <w:rFonts w:ascii="宋体" w:hAnsi="宋体" w:cs="宋体" w:eastAsia="宋体" w:hint="default"/>
          <w:sz w:val="23"/>
          <w:szCs w:val="23"/>
        </w:rPr>
      </w:pPr>
    </w:p>
    <w:p>
      <w:pPr>
        <w:pStyle w:val="Heading5"/>
        <w:spacing w:line="240" w:lineRule="auto"/>
        <w:ind w:right="0"/>
        <w:jc w:val="left"/>
        <w:rPr>
          <w:b w:val="0"/>
          <w:bCs w:val="0"/>
        </w:rPr>
      </w:pPr>
      <w:bookmarkStart w:name="1、遵循企业会计准则的声明" w:id="168"/>
      <w:bookmarkEnd w:id="168"/>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3"/>
        <w:rPr>
          <w:rFonts w:ascii="宋体" w:hAnsi="宋体" w:cs="宋体" w:eastAsia="宋体" w:hint="default"/>
          <w:b/>
          <w:bCs/>
          <w:sz w:val="25"/>
          <w:szCs w:val="25"/>
        </w:rPr>
      </w:pPr>
    </w:p>
    <w:p>
      <w:pPr>
        <w:pStyle w:val="Heading4"/>
        <w:spacing w:line="300" w:lineRule="exact"/>
        <w:ind w:right="0"/>
        <w:jc w:val="left"/>
      </w:pPr>
      <w:r>
        <w:rPr>
          <w:spacing w:val="-6"/>
        </w:rPr>
        <w:t>本财务报表符合企业会计准则的要求，真实、完整地反映了本公司及本集团于</w:t>
      </w:r>
      <w:r>
        <w:rPr>
          <w:rFonts w:ascii="Times New Roman" w:hAnsi="Times New Roman" w:cs="Times New Roman" w:eastAsia="Times New Roman" w:hint="default"/>
          <w:spacing w:val="-6"/>
        </w:rPr>
        <w:t>2019</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日的财务</w:t>
      </w:r>
      <w:r>
        <w:rPr>
          <w:spacing w:val="33"/>
        </w:rPr>
        <w:t> </w:t>
      </w:r>
      <w:r>
        <w:rPr>
          <w:spacing w:val="-4"/>
        </w:rPr>
        <w:t>状况以及</w:t>
      </w:r>
      <w:r>
        <w:rPr>
          <w:rFonts w:ascii="Times New Roman" w:hAnsi="Times New Roman" w:cs="Times New Roman" w:eastAsia="Times New Roman" w:hint="default"/>
          <w:spacing w:val="-4"/>
        </w:rPr>
        <w:t>2019</w:t>
      </w:r>
      <w:r>
        <w:rPr>
          <w:spacing w:val="-4"/>
        </w:rPr>
        <w:t>年度的经营成果和现金流量。</w:t>
      </w:r>
    </w:p>
    <w:p>
      <w:pPr>
        <w:spacing w:after="0" w:line="300" w:lineRule="exact"/>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2、会计期间" w:id="169"/>
      <w:bookmarkEnd w:id="169"/>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本集团会计年度釆用公历年度，即每年自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6"/>
        <w:rPr>
          <w:rFonts w:ascii="宋体" w:hAnsi="宋体" w:cs="宋体" w:eastAsia="宋体" w:hint="default"/>
          <w:sz w:val="26"/>
          <w:szCs w:val="26"/>
        </w:rPr>
      </w:pPr>
    </w:p>
    <w:p>
      <w:pPr>
        <w:spacing w:line="542" w:lineRule="auto" w:before="0"/>
        <w:ind w:left="141" w:right="3549" w:firstLine="0"/>
        <w:jc w:val="left"/>
        <w:rPr>
          <w:rFonts w:ascii="宋体" w:hAnsi="宋体" w:cs="宋体" w:eastAsia="宋体" w:hint="default"/>
          <w:sz w:val="21"/>
          <w:szCs w:val="21"/>
        </w:rPr>
      </w:pPr>
      <w:bookmarkStart w:name="3、营业周期" w:id="170"/>
      <w:bookmarkEnd w:id="170"/>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、营业周期</w:t>
      </w:r>
      <w:r>
        <w:rPr>
          <w:rFonts w:ascii="宋体" w:hAnsi="宋体" w:cs="宋体" w:eastAsia="宋体" w:hint="default"/>
          <w:b/>
          <w:bCs/>
          <w:w w:val="99"/>
          <w:sz w:val="21"/>
          <w:szCs w:val="21"/>
        </w:rPr>
        <w:t> </w:t>
      </w:r>
      <w:r>
        <w:rPr>
          <w:rFonts w:ascii="宋体" w:hAnsi="宋体" w:cs="宋体" w:eastAsia="宋体" w:hint="default"/>
          <w:sz w:val="18"/>
          <w:szCs w:val="18"/>
        </w:rPr>
        <w:t>本集团以一年</w:t>
      </w:r>
      <w:r>
        <w:rPr>
          <w:rFonts w:ascii="Times New Roman" w:hAnsi="Times New Roman" w:cs="Times New Roman" w:eastAsia="Times New Roman" w:hint="default"/>
          <w:sz w:val="18"/>
          <w:szCs w:val="18"/>
        </w:rPr>
        <w:t>12</w:t>
      </w:r>
      <w:r>
        <w:rPr>
          <w:rFonts w:ascii="宋体" w:hAnsi="宋体" w:cs="宋体" w:eastAsia="宋体" w:hint="default"/>
          <w:sz w:val="18"/>
          <w:szCs w:val="18"/>
        </w:rPr>
        <w:t>个月作为正常营业周期，并以营业周期作为资产和负债的流动性划分标准。 </w:t>
      </w:r>
      <w:bookmarkStart w:name="4、记账本位币" w:id="171"/>
      <w:bookmarkEnd w:id="171"/>
      <w:r>
        <w:rPr>
          <w:rFonts w:ascii="宋体" w:hAnsi="宋体" w:cs="宋体" w:eastAsia="宋体" w:hint="default"/>
          <w:sz w:val="18"/>
          <w:szCs w:val="18"/>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、记账本位币</w:t>
      </w:r>
      <w:r>
        <w:rPr>
          <w:rFonts w:ascii="宋体" w:hAnsi="宋体" w:cs="宋体" w:eastAsia="宋体" w:hint="default"/>
          <w:sz w:val="21"/>
          <w:szCs w:val="21"/>
        </w:rPr>
      </w:r>
    </w:p>
    <w:p>
      <w:pPr>
        <w:pStyle w:val="BodyText"/>
        <w:spacing w:line="240" w:lineRule="auto" w:before="37"/>
        <w:ind w:right="0"/>
        <w:jc w:val="left"/>
      </w:pPr>
      <w:r>
        <w:rPr/>
        <w:t>本集团记账本位币和编制本财务报表所采用的货币均为人民币。除有特别说明外，均以人民币元为单位表示。</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5、同一控制下和非同一控制下企业合并的会计处理方法" w:id="172"/>
      <w:bookmarkEnd w:id="172"/>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14" w:lineRule="auto"/>
        <w:ind w:right="0"/>
        <w:jc w:val="left"/>
      </w:pPr>
      <w:r>
        <w:rPr/>
        <w:t>同一控制下企业合并： </w:t>
      </w:r>
      <w:r>
        <w:rPr>
          <w:spacing w:val="-2"/>
        </w:rPr>
        <w:t>参与合并的企业在合并前后均受同一方或相同的多方最终控制，且该控制并非暂时性的，为同一控制下的企业合并。同一控</w:t>
      </w:r>
      <w:r>
        <w:rPr>
          <w:spacing w:val="-75"/>
        </w:rPr>
        <w:t> </w:t>
      </w:r>
      <w:r>
        <w:rPr>
          <w:spacing w:val="-75"/>
        </w:rPr>
      </w:r>
      <w:r>
        <w:rPr>
          <w:spacing w:val="-2"/>
        </w:rPr>
        <w:t>制下的企业合并，在合并日取得对其他参与合并企业控制权的一方为合并方，参与合并的其他企业为被合并方。合并日，是</w:t>
      </w:r>
      <w:r>
        <w:rPr>
          <w:spacing w:val="-42"/>
        </w:rPr>
        <w:t> </w:t>
      </w:r>
      <w:r>
        <w:rPr>
          <w:spacing w:val="-42"/>
        </w:rPr>
      </w:r>
      <w:r>
        <w:rPr/>
        <w:t>指合并方实际取得对被合并方控制权的日期。 </w:t>
      </w:r>
      <w:r>
        <w:rPr>
          <w:spacing w:val="-1"/>
        </w:rPr>
        <w:t>合并方在同一控制下企业合并中取得的资产和负债</w:t>
      </w:r>
      <w:r>
        <w:rPr>
          <w:rFonts w:ascii="Times New Roman" w:hAnsi="Times New Roman" w:cs="Times New Roman" w:eastAsia="Times New Roman" w:hint="default"/>
          <w:spacing w:val="-1"/>
        </w:rPr>
        <w:t>(</w:t>
      </w:r>
      <w:r>
        <w:rPr>
          <w:spacing w:val="-1"/>
        </w:rPr>
        <w:t>包括最终控制方收购被合并方而形成的商誉</w:t>
      </w:r>
      <w:r>
        <w:rPr>
          <w:rFonts w:ascii="Times New Roman" w:hAnsi="Times New Roman" w:cs="Times New Roman" w:eastAsia="Times New Roman" w:hint="default"/>
          <w:spacing w:val="-1"/>
        </w:rPr>
        <w:t>)</w:t>
      </w:r>
      <w:r>
        <w:rPr>
          <w:spacing w:val="-1"/>
        </w:rPr>
        <w:t>，按合并日在最终控制方财</w:t>
      </w:r>
      <w:r>
        <w:rPr>
          <w:spacing w:val="-42"/>
        </w:rPr>
        <w:t> </w:t>
      </w:r>
      <w:r>
        <w:rPr>
          <w:spacing w:val="-42"/>
        </w:rPr>
      </w:r>
      <w:r>
        <w:rPr/>
        <w:t>务报表中的账面价值为基础进行相关会计处理。合并方取得的净资产账面价值与支付的合并对价的账面价值</w:t>
      </w:r>
      <w:r>
        <w:rPr>
          <w:rFonts w:ascii="Times New Roman" w:hAnsi="Times New Roman" w:cs="Times New Roman" w:eastAsia="Times New Roman" w:hint="default"/>
        </w:rPr>
        <w:t>(</w:t>
      </w:r>
      <w:r>
        <w:rPr/>
        <w:t>或发行股份面</w:t>
      </w:r>
      <w:r>
        <w:rPr>
          <w:spacing w:val="-80"/>
        </w:rPr>
        <w:t> </w:t>
      </w:r>
      <w:r>
        <w:rPr/>
        <w:t>值总额</w:t>
      </w:r>
      <w:r>
        <w:rPr>
          <w:rFonts w:ascii="Times New Roman" w:hAnsi="Times New Roman" w:cs="Times New Roman" w:eastAsia="Times New Roman" w:hint="default"/>
        </w:rPr>
        <w:t>)</w:t>
      </w:r>
      <w:r>
        <w:rPr/>
        <w:t>的差额，调整资本公积中的股本溢价，不足冲减的则调整留存收益。</w:t>
      </w:r>
    </w:p>
    <w:p>
      <w:pPr>
        <w:pStyle w:val="BodyText"/>
        <w:spacing w:line="316" w:lineRule="auto"/>
        <w:ind w:right="1029"/>
        <w:jc w:val="left"/>
      </w:pPr>
      <w:r>
        <w:rPr/>
        <w:t>非同一控制下的企业合并： 参与合并的企业在合并前后不受同一方或相同的多方最终控制的，为非同一控制下的企业合并。非同一控制下的企业合并， </w:t>
      </w:r>
      <w:r>
        <w:rPr>
          <w:spacing w:val="-2"/>
        </w:rPr>
        <w:t>在购买日取得对其他参与合并企业控制权的一方为购买方，参与合并的其他企业为被购买方。购买日，是指为购买方实际取</w:t>
      </w:r>
      <w:r>
        <w:rPr>
          <w:spacing w:val="-75"/>
        </w:rPr>
        <w:t> </w:t>
      </w:r>
      <w:r>
        <w:rPr>
          <w:spacing w:val="-75"/>
        </w:rPr>
      </w:r>
      <w:r>
        <w:rPr/>
        <w:t>得对被购买方控制权的日期。 非同一控制下企业合并中所取得的被购买方可辨认资产、负债及或有负债在收购日以公允价值计量。</w:t>
      </w:r>
    </w:p>
    <w:p>
      <w:pPr>
        <w:pStyle w:val="BodyText"/>
        <w:spacing w:line="276" w:lineRule="auto" w:before="37"/>
        <w:ind w:right="0"/>
        <w:jc w:val="left"/>
      </w:pPr>
      <w:r>
        <w:rPr/>
        <w:t>支付的合并对价的公允价值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与购买日之前持有的被购买方的股权的公允价值之和大于合</w:t>
      </w:r>
      <w:r>
        <w:rPr>
          <w:spacing w:val="-85"/>
        </w:rPr>
        <w:t> </w:t>
      </w:r>
      <w:r>
        <w:rPr>
          <w:spacing w:val="-2"/>
        </w:rPr>
        <w:t>并中取得的被购买方可辨认净资产公允价值份额的差额，确认为商誉，并以成本减去累计减值损失进行后续计量。支付的合</w:t>
      </w:r>
    </w:p>
    <w:p>
      <w:pPr>
        <w:pStyle w:val="BodyText"/>
        <w:spacing w:line="312" w:lineRule="auto" w:before="67"/>
        <w:ind w:right="0"/>
        <w:jc w:val="left"/>
      </w:pPr>
      <w:r>
        <w:rPr/>
        <w:t>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与购买日之前持有的被购买方的股权的公允价值之和小于合并中取得</w:t>
      </w:r>
      <w:r>
        <w:rPr>
          <w:spacing w:val="-86"/>
        </w:rPr>
        <w:t> </w:t>
      </w:r>
      <w:r>
        <w:rPr>
          <w:spacing w:val="-2"/>
        </w:rPr>
        <w:t>的被购买方可辨认净资产公允价值份额的，首先对取得的被购买方各项可辨认资产、负债及或有负债的公允价值以及支付的</w:t>
      </w:r>
      <w:r>
        <w:rPr>
          <w:spacing w:val="-72"/>
        </w:rPr>
        <w:t> </w:t>
      </w:r>
      <w:r>
        <w:rPr>
          <w:spacing w:val="-72"/>
        </w:rPr>
      </w:r>
      <w:r>
        <w:rPr>
          <w:spacing w:val="-1"/>
        </w:rPr>
        <w:t>合并对价的公允价值</w:t>
      </w:r>
      <w:r>
        <w:rPr>
          <w:rFonts w:ascii="Times New Roman" w:hAnsi="Times New Roman" w:cs="Times New Roman" w:eastAsia="Times New Roman" w:hint="default"/>
          <w:spacing w:val="-1"/>
        </w:rPr>
        <w:t>(</w:t>
      </w:r>
      <w:r>
        <w:rPr>
          <w:spacing w:val="-1"/>
        </w:rPr>
        <w:t>或发行的权益性证券的公允价值</w:t>
      </w:r>
      <w:r>
        <w:rPr>
          <w:rFonts w:ascii="Times New Roman" w:hAnsi="Times New Roman" w:cs="Times New Roman" w:eastAsia="Times New Roman" w:hint="default"/>
          <w:spacing w:val="-1"/>
        </w:rPr>
        <w:t>)</w:t>
      </w:r>
      <w:r>
        <w:rPr>
          <w:spacing w:val="-1"/>
        </w:rPr>
        <w:t>及购买日之前持有的被购买方的股权的公允价值的计量进行复核，复</w:t>
      </w:r>
    </w:p>
    <w:p>
      <w:pPr>
        <w:pStyle w:val="BodyText"/>
        <w:spacing w:line="273" w:lineRule="auto" w:before="6"/>
        <w:ind w:right="1269"/>
        <w:jc w:val="left"/>
      </w:pPr>
      <w:r>
        <w:rPr/>
        <w:t>核后支付的合并对价的公允价值</w:t>
      </w:r>
      <w:r>
        <w:rPr>
          <w:rFonts w:ascii="Times New Roman" w:hAnsi="Times New Roman" w:cs="Times New Roman" w:eastAsia="Times New Roman" w:hint="default"/>
        </w:rPr>
        <w:t>(</w:t>
      </w:r>
      <w:r>
        <w:rPr/>
        <w:t>或发行的权益性证券的公允价值</w:t>
      </w:r>
      <w:r>
        <w:rPr>
          <w:rFonts w:ascii="Times New Roman" w:hAnsi="Times New Roman" w:cs="Times New Roman" w:eastAsia="Times New Roman" w:hint="default"/>
        </w:rPr>
        <w:t>)</w:t>
      </w:r>
      <w:r>
        <w:rPr/>
        <w:t>与购买日之前持有的被购买方的股权的公允价值之和仍</w:t>
      </w:r>
      <w:r>
        <w:rPr>
          <w:spacing w:val="-85"/>
        </w:rPr>
        <w:t> </w:t>
      </w:r>
      <w:r>
        <w:rPr/>
        <w:t>小于合并中取得的被购买方可辨认净资产公允价值份额的，其差额计入当期损益。</w:t>
      </w:r>
    </w:p>
    <w:p>
      <w:pPr>
        <w:spacing w:line="240" w:lineRule="auto" w:before="10"/>
        <w:rPr>
          <w:rFonts w:ascii="宋体" w:hAnsi="宋体" w:cs="宋体" w:eastAsia="宋体" w:hint="default"/>
          <w:sz w:val="26"/>
          <w:szCs w:val="26"/>
        </w:rPr>
      </w:pPr>
    </w:p>
    <w:p>
      <w:pPr>
        <w:pStyle w:val="Heading5"/>
        <w:spacing w:line="240" w:lineRule="auto"/>
        <w:ind w:right="0"/>
        <w:jc w:val="left"/>
        <w:rPr>
          <w:b w:val="0"/>
          <w:bCs w:val="0"/>
        </w:rPr>
      </w:pPr>
      <w:bookmarkStart w:name="6、合并财务报表的编制方法" w:id="173"/>
      <w:bookmarkEnd w:id="173"/>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0"/>
        <w:jc w:val="left"/>
      </w:pPr>
      <w:r>
        <w:rPr>
          <w:spacing w:val="-2"/>
        </w:rPr>
        <w:t>合并财务报表的合并范围以控制为基础确定，包括本公司及全部子公司截至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日止年度的财务报表。子公司，是</w:t>
      </w:r>
      <w:r>
        <w:rPr>
          <w:spacing w:val="-60"/>
        </w:rPr>
        <w:t> </w:t>
      </w:r>
      <w:r>
        <w:rPr>
          <w:spacing w:val="-60"/>
        </w:rPr>
      </w:r>
      <w:r>
        <w:rPr/>
        <w:t>指被本公司控制的主体</w:t>
      </w:r>
      <w:r>
        <w:rPr>
          <w:rFonts w:ascii="Times New Roman" w:hAnsi="Times New Roman" w:cs="Times New Roman" w:eastAsia="Times New Roman" w:hint="default"/>
        </w:rPr>
        <w:t>(</w:t>
      </w:r>
      <w:r>
        <w:rPr/>
        <w:t>含企业、被投资单位中可分割的部分，以及本公司所控制的结构化主体等</w:t>
      </w:r>
      <w:r>
        <w:rPr>
          <w:rFonts w:ascii="Times New Roman" w:hAnsi="Times New Roman" w:cs="Times New Roman" w:eastAsia="Times New Roman" w:hint="default"/>
        </w:rPr>
        <w:t>)</w:t>
      </w:r>
      <w:r>
        <w:rPr/>
        <w:t>。</w:t>
      </w:r>
      <w:r>
        <w:rPr>
          <w:spacing w:val="-81"/>
        </w:rPr>
        <w:t> </w:t>
      </w:r>
      <w:r>
        <w:rPr>
          <w:spacing w:val="-2"/>
        </w:rPr>
        <w:t>编制合并财务报表时，子公司采用与本公司一致的会计期间和会计政策。本集团内部各公司之间的所有交易产生的资产、负</w:t>
      </w:r>
      <w:r>
        <w:rPr>
          <w:spacing w:val="-65"/>
        </w:rPr>
        <w:t> </w:t>
      </w:r>
      <w:r>
        <w:rPr>
          <w:spacing w:val="-65"/>
        </w:rPr>
      </w:r>
      <w:r>
        <w:rPr/>
        <w:t>债、权益、收入、费用和现金流量于合并时全额抵销。</w:t>
      </w:r>
    </w:p>
    <w:p>
      <w:pPr>
        <w:spacing w:line="240" w:lineRule="auto" w:before="10"/>
        <w:rPr>
          <w:rFonts w:ascii="宋体" w:hAnsi="宋体" w:cs="宋体" w:eastAsia="宋体" w:hint="default"/>
          <w:sz w:val="26"/>
          <w:szCs w:val="26"/>
        </w:rPr>
      </w:pPr>
    </w:p>
    <w:p>
      <w:pPr>
        <w:pStyle w:val="BodyText"/>
        <w:spacing w:line="316" w:lineRule="auto"/>
        <w:ind w:right="1029"/>
        <w:jc w:val="left"/>
      </w:pPr>
      <w:r>
        <w:rPr/>
        <w:t>子公司少数股东分担的当期亏损超过了少数股东在该子公司期初股东权益中所享有的份额的，其余额仍冲减少数股东权益。 </w:t>
      </w:r>
      <w:r>
        <w:rPr>
          <w:spacing w:val="-2"/>
        </w:rPr>
        <w:t>对于通过非同一控制下的企业合并取得的子公司，被购买方的经营成果和现金流量自本集团取得控制权之日起纳入合并财务</w:t>
      </w:r>
      <w:r>
        <w:rPr>
          <w:spacing w:val="-58"/>
        </w:rPr>
        <w:t> </w:t>
      </w:r>
      <w:r>
        <w:rPr>
          <w:spacing w:val="-58"/>
        </w:rPr>
      </w:r>
      <w:r>
        <w:rPr>
          <w:spacing w:val="-2"/>
        </w:rPr>
        <w:t>报表，直至本集团对其控制权终止。在编制合并财务报表时，以购买日确定的各项可辨认资产、负债及或有负债的公允价值</w:t>
      </w:r>
      <w:r>
        <w:rPr>
          <w:spacing w:val="-42"/>
        </w:rPr>
        <w:t> </w:t>
      </w:r>
      <w:r>
        <w:rPr>
          <w:spacing w:val="-42"/>
        </w:rPr>
      </w:r>
      <w:r>
        <w:rPr/>
        <w:t>为基础对子公司的财务报表进行调整。</w:t>
      </w:r>
    </w:p>
    <w:p>
      <w:pPr>
        <w:spacing w:after="0" w:line="316"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p>
      <w:pPr>
        <w:pStyle w:val="BodyText"/>
        <w:spacing w:line="314" w:lineRule="auto"/>
        <w:ind w:right="1127"/>
        <w:jc w:val="both"/>
      </w:pPr>
      <w:r>
        <w:rPr>
          <w:spacing w:val="-2"/>
        </w:rPr>
        <w:t>对于通过同一控制下的企业合并取得的子公司，被合并方的经营成果和现金流量自合并当期期初纳入合并财务报表。编制比</w:t>
      </w:r>
      <w:r>
        <w:rPr>
          <w:spacing w:val="-64"/>
        </w:rPr>
        <w:t> </w:t>
      </w:r>
      <w:r>
        <w:rPr>
          <w:spacing w:val="-64"/>
        </w:rPr>
      </w:r>
      <w:r>
        <w:rPr>
          <w:spacing w:val="-2"/>
        </w:rPr>
        <w:t>较合并财务报表时，对前期财务报表的相关项目进行调整，视同合并后形成的报告主体自最终控制方开始实施控制时一直存</w:t>
      </w:r>
      <w:r>
        <w:rPr>
          <w:spacing w:val="-72"/>
        </w:rPr>
        <w:t> </w:t>
      </w:r>
      <w:r>
        <w:rPr>
          <w:spacing w:val="-72"/>
        </w:rPr>
      </w:r>
      <w:r>
        <w:rPr/>
        <w:t>在。</w:t>
      </w:r>
    </w:p>
    <w:p>
      <w:pPr>
        <w:pStyle w:val="BodyText"/>
        <w:spacing w:line="240" w:lineRule="auto" w:before="23"/>
        <w:ind w:right="0"/>
        <w:jc w:val="left"/>
      </w:pPr>
      <w:r>
        <w:rPr/>
        <w:t>如果相关事实和情况的变化导致对控制要素中的一项或多项发生变化的，本集团重新评估是否控制被投资方。</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7、现金及现金等价物的确定标准" w:id="174"/>
      <w:bookmarkEnd w:id="174"/>
      <w:r>
        <w:rPr>
          <w:b w:val="0"/>
          <w:bCs w:val="0"/>
        </w:rPr>
      </w:r>
      <w:r>
        <w:rPr>
          <w:rFonts w:ascii="Times New Roman" w:hAnsi="Times New Roman" w:cs="Times New Roman" w:eastAsia="Times New Roman" w:hint="default"/>
        </w:rPr>
        <w:t>7</w:t>
      </w:r>
      <w:r>
        <w:rPr/>
        <w:t>、现金及现金等价物的确定标准</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21"/>
        <w:jc w:val="both"/>
      </w:pPr>
      <w:r>
        <w:rPr>
          <w:spacing w:val="-2"/>
        </w:rPr>
        <w:t>现金，是指本集团的库存现金以及可以随时用于支付的存款；现金等价物，是指本集团持有的期限短、流动性强、易于转换</w:t>
      </w:r>
      <w:r>
        <w:rPr>
          <w:spacing w:val="-57"/>
        </w:rPr>
        <w:t> </w:t>
      </w:r>
      <w:r>
        <w:rPr>
          <w:spacing w:val="-57"/>
        </w:rPr>
      </w:r>
      <w:r>
        <w:rPr/>
        <w:t>为已知金额的现金、价值变动风险很小的投资。</w:t>
      </w:r>
    </w:p>
    <w:p>
      <w:pPr>
        <w:spacing w:line="240" w:lineRule="auto" w:before="11"/>
        <w:rPr>
          <w:rFonts w:ascii="宋体" w:hAnsi="宋体" w:cs="宋体" w:eastAsia="宋体" w:hint="default"/>
          <w:sz w:val="22"/>
          <w:szCs w:val="22"/>
        </w:rPr>
      </w:pPr>
    </w:p>
    <w:p>
      <w:pPr>
        <w:pStyle w:val="Heading5"/>
        <w:spacing w:line="240" w:lineRule="auto"/>
        <w:ind w:right="0"/>
        <w:jc w:val="left"/>
        <w:rPr>
          <w:b w:val="0"/>
          <w:bCs w:val="0"/>
        </w:rPr>
      </w:pPr>
      <w:bookmarkStart w:name="8、金融工具" w:id="175"/>
      <w:bookmarkEnd w:id="175"/>
      <w:r>
        <w:rPr>
          <w:b w:val="0"/>
          <w:bCs w:val="0"/>
        </w:rPr>
      </w:r>
      <w:r>
        <w:rPr>
          <w:rFonts w:ascii="Times New Roman" w:hAnsi="Times New Roman" w:cs="Times New Roman" w:eastAsia="Times New Roman" w:hint="default"/>
        </w:rPr>
        <w:t>8</w:t>
      </w:r>
      <w:r>
        <w:rPr/>
        <w:t>、金融工具</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516" w:right="0"/>
        <w:jc w:val="left"/>
      </w:pPr>
      <w:r>
        <w:rPr/>
        <w:t>金融工具，是指形成一个企业的金融资产，并形成其他单位的金融负债或权益工具的合同。</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90" w:lineRule="auto"/>
        <w:ind w:left="561" w:right="4929" w:hanging="421"/>
        <w:jc w:val="left"/>
      </w:pPr>
      <w:r>
        <w:rPr/>
        <w:t>（</w:t>
      </w:r>
      <w:r>
        <w:rPr>
          <w:rFonts w:ascii="Times New Roman" w:hAnsi="Times New Roman" w:cs="Times New Roman" w:eastAsia="Times New Roman" w:hint="default"/>
        </w:rPr>
        <w:t>1</w:t>
      </w:r>
      <w:r>
        <w:rPr/>
        <w:t>）金融工具的确认和终止确认 本集团于成为金融工具合同的一方时确认一项金融资产或金融负债。</w:t>
      </w:r>
    </w:p>
    <w:p>
      <w:pPr>
        <w:pStyle w:val="BodyText"/>
        <w:spacing w:line="307" w:lineRule="auto" w:before="41"/>
        <w:ind w:right="0" w:firstLine="420"/>
        <w:jc w:val="left"/>
      </w:pPr>
      <w:r>
        <w:rPr/>
        <w:t>满足下列条件的，终止确认金融资产（或金融资产的一部分，或一组类似金融资产的一部分），即从其账户和资产负 债表内予以转销：</w:t>
      </w:r>
    </w:p>
    <w:p>
      <w:pPr>
        <w:pStyle w:val="BodyText"/>
        <w:spacing w:line="240" w:lineRule="auto" w:before="44"/>
        <w:ind w:left="561" w:right="0"/>
        <w:jc w:val="left"/>
      </w:pPr>
      <w:r>
        <w:rPr/>
        <w:t>（</w:t>
      </w:r>
      <w:r>
        <w:rPr>
          <w:rFonts w:ascii="Times New Roman" w:hAnsi="Times New Roman" w:cs="Times New Roman" w:eastAsia="Times New Roman" w:hint="default"/>
        </w:rPr>
        <w:t>1</w:t>
      </w:r>
      <w:r>
        <w:rPr/>
        <w:t>）收取金融资产现金流量的权利届满；</w:t>
      </w:r>
    </w:p>
    <w:p>
      <w:pPr>
        <w:pStyle w:val="BodyText"/>
        <w:spacing w:line="295" w:lineRule="auto" w:before="66"/>
        <w:ind w:right="1013" w:firstLine="360"/>
        <w:jc w:val="left"/>
      </w:pPr>
      <w:r>
        <w:rPr>
          <w:spacing w:val="-1"/>
        </w:rPr>
        <w:t>（</w:t>
      </w:r>
      <w:r>
        <w:rPr>
          <w:rFonts w:ascii="Times New Roman" w:hAnsi="Times New Roman" w:cs="Times New Roman" w:eastAsia="Times New Roman" w:hint="default"/>
          <w:spacing w:val="-1"/>
        </w:rPr>
        <w:t>2</w:t>
      </w:r>
      <w:r>
        <w:rPr>
          <w:spacing w:val="-1"/>
        </w:rPr>
        <w:t>）转移了收取金融资产现金流量的权利，或在</w:t>
      </w:r>
      <w:r>
        <w:rPr>
          <w:rFonts w:ascii="Times New Roman" w:hAnsi="Times New Roman" w:cs="Times New Roman" w:eastAsia="Times New Roman" w:hint="default"/>
          <w:spacing w:val="-1"/>
        </w:rPr>
        <w:t>“</w:t>
      </w:r>
      <w:r>
        <w:rPr>
          <w:spacing w:val="-1"/>
        </w:rPr>
        <w:t>过手协议</w:t>
      </w:r>
      <w:r>
        <w:rPr>
          <w:rFonts w:ascii="Times New Roman" w:hAnsi="Times New Roman" w:cs="Times New Roman" w:eastAsia="Times New Roman" w:hint="default"/>
          <w:spacing w:val="-1"/>
        </w:rPr>
        <w:t>”</w:t>
      </w:r>
      <w:r>
        <w:rPr>
          <w:spacing w:val="-1"/>
        </w:rPr>
        <w:t>下承担了及时将收取的现金流量全额支付给第三方的义务；</w:t>
      </w:r>
      <w:r>
        <w:rPr/>
        <w:t> </w:t>
      </w:r>
      <w:r>
        <w:rPr>
          <w:spacing w:val="-2"/>
        </w:rPr>
        <w:t>并且（</w:t>
      </w:r>
      <w:r>
        <w:rPr>
          <w:rFonts w:ascii="Times New Roman" w:hAnsi="Times New Roman" w:cs="Times New Roman" w:eastAsia="Times New Roman" w:hint="default"/>
          <w:spacing w:val="-2"/>
        </w:rPr>
        <w:t>a</w:t>
      </w:r>
      <w:r>
        <w:rPr>
          <w:spacing w:val="-2"/>
        </w:rPr>
        <w:t>）实质上转让了金融资产所有权上几乎所有的风险和报酬，或（</w:t>
      </w:r>
      <w:r>
        <w:rPr>
          <w:rFonts w:ascii="Times New Roman" w:hAnsi="Times New Roman" w:cs="Times New Roman" w:eastAsia="Times New Roman" w:hint="default"/>
          <w:spacing w:val="-2"/>
        </w:rPr>
        <w:t>b</w:t>
      </w:r>
      <w:r>
        <w:rPr>
          <w:spacing w:val="-2"/>
        </w:rPr>
        <w:t>）虽然实质上既没有转移也没有保留金融资产所有</w:t>
      </w:r>
      <w:r>
        <w:rPr>
          <w:spacing w:val="-54"/>
        </w:rPr>
        <w:t> </w:t>
      </w:r>
      <w:r>
        <w:rPr>
          <w:spacing w:val="-54"/>
        </w:rPr>
      </w:r>
      <w:r>
        <w:rPr/>
        <w:t>权上几乎所有的风险和报酬，但放弃了对该金融资产的控制。</w:t>
      </w:r>
    </w:p>
    <w:p>
      <w:pPr>
        <w:pStyle w:val="BodyText"/>
        <w:spacing w:line="321" w:lineRule="auto" w:before="23"/>
        <w:ind w:right="1136" w:firstLine="420"/>
        <w:jc w:val="both"/>
      </w:pPr>
      <w:r>
        <w:rPr/>
        <w:t>如果金融负债的责任已履行、撤销或届满，则对金融负债进行终止确认。如果现有金融负债被同一债权人以实质上几 </w:t>
      </w:r>
      <w:r>
        <w:rPr>
          <w:spacing w:val="-2"/>
        </w:rPr>
        <w:t>乎完全不同条款的另一金融负债所取代，或现有负债的条款几乎全部被实质性修改，则此类替换或修改作为终止确认原负债</w:t>
      </w:r>
      <w:r>
        <w:rPr>
          <w:spacing w:val="-72"/>
        </w:rPr>
        <w:t> </w:t>
      </w:r>
      <w:r>
        <w:rPr>
          <w:spacing w:val="-72"/>
        </w:rPr>
      </w:r>
      <w:r>
        <w:rPr/>
        <w:t>和确认新负债处理，差额计入当期损益。</w:t>
      </w:r>
    </w:p>
    <w:p>
      <w:pPr>
        <w:pStyle w:val="BodyText"/>
        <w:spacing w:line="321" w:lineRule="auto" w:before="18"/>
        <w:ind w:right="0" w:firstLine="420"/>
        <w:jc w:val="left"/>
      </w:pPr>
      <w:r>
        <w:rPr/>
        <w:t>以常规方式买卖金融资产，按交易日会计进行确认和终止确认。常规方式买卖金融资产，是指按照合同条款的约定， 在法规或通行惯例规定的期限内收取或交付金融资产。交易日，是指本集团承诺买入或卖出金融资产的日期。</w:t>
      </w:r>
    </w:p>
    <w:p>
      <w:pPr>
        <w:spacing w:line="240" w:lineRule="auto" w:before="7"/>
        <w:rPr>
          <w:rFonts w:ascii="宋体" w:hAnsi="宋体" w:cs="宋体" w:eastAsia="宋体" w:hint="default"/>
          <w:sz w:val="25"/>
          <w:szCs w:val="25"/>
        </w:rPr>
      </w:pPr>
    </w:p>
    <w:p>
      <w:pPr>
        <w:pStyle w:val="BodyText"/>
        <w:spacing w:line="288" w:lineRule="auto"/>
        <w:ind w:left="561" w:right="0" w:hanging="421"/>
        <w:jc w:val="left"/>
      </w:pPr>
      <w:r>
        <w:rPr/>
        <w:t>（</w:t>
      </w:r>
      <w:r>
        <w:rPr>
          <w:rFonts w:ascii="Times New Roman" w:hAnsi="Times New Roman" w:cs="Times New Roman" w:eastAsia="Times New Roman" w:hint="default"/>
        </w:rPr>
        <w:t>2</w:t>
      </w:r>
      <w:r>
        <w:rPr/>
        <w:t>）金融资产分类和计量 本集团的金融资产于初始确认时根据本集团企业管理金融资产的业务模式和金融资产的合同现金流量特征分类为：以</w:t>
      </w:r>
    </w:p>
    <w:p>
      <w:pPr>
        <w:pStyle w:val="BodyText"/>
        <w:spacing w:line="321" w:lineRule="auto" w:before="44"/>
        <w:ind w:right="1136"/>
        <w:jc w:val="both"/>
      </w:pPr>
      <w:r>
        <w:rPr>
          <w:spacing w:val="-2"/>
        </w:rPr>
        <w:t>公允价值计量且其变动计入当期损益的金融资产、以摊余成本计量的金融资产、以公允价值计量且其变动计入其他综合收益</w:t>
      </w:r>
      <w:r>
        <w:rPr>
          <w:spacing w:val="-72"/>
        </w:rPr>
        <w:t> </w:t>
      </w:r>
      <w:r>
        <w:rPr>
          <w:spacing w:val="-72"/>
        </w:rPr>
      </w:r>
      <w:r>
        <w:rPr/>
        <w:t>的金融资产。</w:t>
      </w:r>
    </w:p>
    <w:p>
      <w:pPr>
        <w:spacing w:line="240" w:lineRule="auto" w:before="5"/>
        <w:rPr>
          <w:rFonts w:ascii="宋体" w:hAnsi="宋体" w:cs="宋体" w:eastAsia="宋体" w:hint="default"/>
          <w:sz w:val="24"/>
          <w:szCs w:val="24"/>
        </w:rPr>
      </w:pPr>
    </w:p>
    <w:p>
      <w:pPr>
        <w:pStyle w:val="BodyText"/>
        <w:spacing w:line="321" w:lineRule="auto"/>
        <w:ind w:right="0" w:firstLine="420"/>
        <w:jc w:val="left"/>
      </w:pPr>
      <w:r>
        <w:rPr/>
        <w:t>金融资产在初始确认时以公允价值计量，但是因销售商品或提供服务等产生的应收账款或应收票据未包含重大融资成 分或不考虑不超过一年的融资成分的，按照交易价格进行初始计量。</w:t>
      </w:r>
    </w:p>
    <w:p>
      <w:pPr>
        <w:spacing w:line="240" w:lineRule="auto" w:before="7"/>
        <w:rPr>
          <w:rFonts w:ascii="宋体" w:hAnsi="宋体" w:cs="宋体" w:eastAsia="宋体" w:hint="default"/>
          <w:sz w:val="25"/>
          <w:szCs w:val="25"/>
        </w:rPr>
      </w:pPr>
    </w:p>
    <w:p>
      <w:pPr>
        <w:pStyle w:val="BodyText"/>
        <w:spacing w:line="307" w:lineRule="auto"/>
        <w:ind w:right="0" w:firstLine="420"/>
        <w:jc w:val="left"/>
      </w:pPr>
      <w:r>
        <w:rPr/>
        <w:t>对于以公允价值计量且其变动计入当期损益的金融资产，相关交易费用直接计入当期损益，其他类别的金融资产相关 交易费用计入其初始确认金额。</w:t>
      </w:r>
    </w:p>
    <w:p>
      <w:pPr>
        <w:spacing w:line="240" w:lineRule="auto" w:before="12"/>
        <w:rPr>
          <w:rFonts w:ascii="宋体" w:hAnsi="宋体" w:cs="宋体" w:eastAsia="宋体" w:hint="default"/>
          <w:sz w:val="22"/>
          <w:szCs w:val="22"/>
        </w:rPr>
      </w:pPr>
    </w:p>
    <w:p>
      <w:pPr>
        <w:pStyle w:val="BodyText"/>
        <w:spacing w:line="240" w:lineRule="auto" w:before="44"/>
        <w:ind w:left="561" w:right="0"/>
        <w:jc w:val="left"/>
      </w:pPr>
      <w:r>
        <w:rPr>
          <w:spacing w:val="3"/>
        </w:rPr>
        <w:t>本集团无以公允价值计量且其变动计入当期损益和以公允价值计量且其变动计入其他综合收益的金融资产的金融资</w:t>
      </w:r>
    </w:p>
    <w:p>
      <w:pPr>
        <w:pStyle w:val="BodyText"/>
        <w:spacing w:line="240" w:lineRule="auto" w:before="79"/>
        <w:ind w:right="0"/>
        <w:jc w:val="left"/>
      </w:pPr>
      <w:r>
        <w:rPr/>
        <w:t>产。</w:t>
      </w:r>
    </w:p>
    <w:p>
      <w:pPr>
        <w:spacing w:line="240" w:lineRule="auto" w:before="8"/>
        <w:rPr>
          <w:rFonts w:ascii="宋体" w:hAnsi="宋体" w:cs="宋体" w:eastAsia="宋体" w:hint="default"/>
          <w:sz w:val="25"/>
          <w:szCs w:val="25"/>
        </w:rPr>
      </w:pPr>
    </w:p>
    <w:p>
      <w:pPr>
        <w:pStyle w:val="BodyText"/>
        <w:spacing w:line="321" w:lineRule="auto" w:before="44"/>
        <w:ind w:left="561" w:right="7449"/>
        <w:jc w:val="left"/>
      </w:pPr>
      <w:r>
        <w:rPr/>
        <w:t>金融资产的后续计量取决于其分类： 以摊余成本计量的债务工具投资</w:t>
      </w:r>
    </w:p>
    <w:p>
      <w:pPr>
        <w:spacing w:after="0" w:line="321"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16" w:lineRule="auto" w:before="44"/>
        <w:ind w:right="1029" w:firstLine="420"/>
        <w:jc w:val="left"/>
      </w:pPr>
      <w:r>
        <w:rPr/>
        <w:t>金融资产同时符合下列条件的，分类为以摊余成本计量的金融资产：管理该金融资产的业务模式是以收取合同现金流 量为目标；该金融资产的合同条款规定，在特定日期产生的现金流量仅为对本金和以未偿付本金金额为基础的利息的支付。 </w:t>
      </w:r>
      <w:r>
        <w:rPr>
          <w:spacing w:val="-2"/>
        </w:rPr>
        <w:t>此类金融资产采用实际利率法确认利息收入，其终止确认、修改或减值产生的利得或损失，均计入当期损益。此类金融资产</w:t>
      </w:r>
      <w:r>
        <w:rPr>
          <w:spacing w:val="-42"/>
        </w:rPr>
        <w:t> </w:t>
      </w:r>
      <w:r>
        <w:rPr>
          <w:spacing w:val="-42"/>
        </w:rPr>
      </w:r>
      <w:r>
        <w:rPr>
          <w:spacing w:val="-2"/>
        </w:rPr>
        <w:t>主要包含货币资金、应收账款及应收票据、其他应收款、债权投资和长期应收款等。本集团将自资产负债表日起一年内到期</w:t>
      </w:r>
      <w:r>
        <w:rPr>
          <w:spacing w:val="-41"/>
        </w:rPr>
        <w:t> </w:t>
      </w:r>
      <w:r>
        <w:rPr>
          <w:spacing w:val="-41"/>
        </w:rPr>
      </w:r>
      <w:r>
        <w:rPr/>
        <w:t>的债权投资和长期应收款列报为一年内到期的非流动资产，原到期日在一年以内的债权投资列报为其他流动资产。</w:t>
      </w:r>
    </w:p>
    <w:p>
      <w:pPr>
        <w:spacing w:line="240" w:lineRule="auto" w:before="12"/>
        <w:rPr>
          <w:rFonts w:ascii="宋体" w:hAnsi="宋体" w:cs="宋体" w:eastAsia="宋体" w:hint="default"/>
          <w:sz w:val="26"/>
          <w:szCs w:val="26"/>
        </w:rPr>
      </w:pPr>
    </w:p>
    <w:p>
      <w:pPr>
        <w:pStyle w:val="BodyText"/>
        <w:spacing w:line="290" w:lineRule="auto"/>
        <w:ind w:left="561" w:right="0" w:hanging="421"/>
        <w:jc w:val="left"/>
      </w:pPr>
      <w:r>
        <w:rPr/>
        <w:t>（</w:t>
      </w:r>
      <w:r>
        <w:rPr>
          <w:rFonts w:ascii="Times New Roman" w:hAnsi="Times New Roman" w:cs="Times New Roman" w:eastAsia="Times New Roman" w:hint="default"/>
        </w:rPr>
        <w:t>3</w:t>
      </w:r>
      <w:r>
        <w:rPr/>
        <w:t>）金融负债分类和计量 本集团的金融负债于初始确认时分类为：以公允价值计量且其变动计入当期损益的金融负债、其他金融负债。对于以</w:t>
      </w:r>
    </w:p>
    <w:p>
      <w:pPr>
        <w:pStyle w:val="BodyText"/>
        <w:spacing w:line="321" w:lineRule="auto" w:before="26"/>
        <w:ind w:right="1136"/>
        <w:jc w:val="both"/>
      </w:pPr>
      <w:r>
        <w:rPr>
          <w:spacing w:val="-2"/>
        </w:rPr>
        <w:t>公允价值计量且其变动计入当期损益的金融负债，相关交易费用直接计入当期损益，其他金融负债的相关交易费用计入其初</w:t>
      </w:r>
      <w:r>
        <w:rPr>
          <w:spacing w:val="-72"/>
        </w:rPr>
        <w:t> </w:t>
      </w:r>
      <w:r>
        <w:rPr>
          <w:spacing w:val="-72"/>
        </w:rPr>
      </w:r>
      <w:r>
        <w:rPr/>
        <w:t>始确认金额。</w:t>
      </w:r>
    </w:p>
    <w:p>
      <w:pPr>
        <w:spacing w:line="240" w:lineRule="auto" w:before="7"/>
        <w:rPr>
          <w:rFonts w:ascii="宋体" w:hAnsi="宋体" w:cs="宋体" w:eastAsia="宋体" w:hint="default"/>
          <w:sz w:val="25"/>
          <w:szCs w:val="25"/>
        </w:rPr>
      </w:pPr>
    </w:p>
    <w:p>
      <w:pPr>
        <w:pStyle w:val="BodyText"/>
        <w:spacing w:line="321" w:lineRule="auto"/>
        <w:ind w:left="561" w:right="7449"/>
        <w:jc w:val="left"/>
      </w:pPr>
      <w:r>
        <w:rPr/>
        <w:t>金融负债的后续计量取决于其分类： 其他金融负债</w:t>
      </w:r>
    </w:p>
    <w:p>
      <w:pPr>
        <w:pStyle w:val="BodyText"/>
        <w:spacing w:line="240" w:lineRule="auto" w:before="3"/>
        <w:ind w:left="561" w:right="0"/>
        <w:jc w:val="left"/>
      </w:pPr>
      <w:r>
        <w:rPr/>
        <w:t>对于此类金融负债，采用实际利率法，按照摊余成本进行后续计量。</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3"/>
          <w:szCs w:val="13"/>
        </w:rPr>
      </w:pPr>
    </w:p>
    <w:p>
      <w:pPr>
        <w:pStyle w:val="BodyText"/>
        <w:spacing w:line="290" w:lineRule="auto"/>
        <w:ind w:left="561" w:right="2949" w:hanging="421"/>
        <w:jc w:val="left"/>
      </w:pPr>
      <w:r>
        <w:rPr/>
        <w:t>（</w:t>
      </w:r>
      <w:r>
        <w:rPr>
          <w:rFonts w:ascii="Times New Roman" w:hAnsi="Times New Roman" w:cs="Times New Roman" w:eastAsia="Times New Roman" w:hint="default"/>
        </w:rPr>
        <w:t>4</w:t>
      </w:r>
      <w:r>
        <w:rPr/>
        <w:t>）金融工具减值 本集团以预期信用损失为基础，对以摊余成本计量的金融资产进行减值处理并确认损失准备。</w:t>
      </w:r>
    </w:p>
    <w:p>
      <w:pPr>
        <w:spacing w:line="240" w:lineRule="auto" w:before="2"/>
        <w:rPr>
          <w:rFonts w:ascii="宋体" w:hAnsi="宋体" w:cs="宋体" w:eastAsia="宋体" w:hint="default"/>
          <w:sz w:val="26"/>
          <w:szCs w:val="26"/>
        </w:rPr>
      </w:pPr>
    </w:p>
    <w:p>
      <w:pPr>
        <w:pStyle w:val="BodyText"/>
        <w:spacing w:line="321" w:lineRule="auto"/>
        <w:ind w:right="1118" w:firstLine="420"/>
        <w:jc w:val="left"/>
      </w:pPr>
      <w:r>
        <w:rPr/>
        <w:t>对于不含重大融资成分的应收款项，本集团运用简化计量方法，按照相当于整个存续期内的预期信用损失金额计量损 失准备。</w:t>
      </w:r>
    </w:p>
    <w:p>
      <w:pPr>
        <w:spacing w:line="240" w:lineRule="auto" w:before="7"/>
        <w:rPr>
          <w:rFonts w:ascii="宋体" w:hAnsi="宋体" w:cs="宋体" w:eastAsia="宋体" w:hint="default"/>
          <w:sz w:val="25"/>
          <w:szCs w:val="25"/>
        </w:rPr>
      </w:pPr>
    </w:p>
    <w:p>
      <w:pPr>
        <w:pStyle w:val="BodyText"/>
        <w:spacing w:line="240" w:lineRule="auto"/>
        <w:ind w:right="0" w:firstLine="420"/>
        <w:jc w:val="left"/>
      </w:pPr>
      <w:r>
        <w:rPr/>
        <w:t>除上述采用简化计量方法以外的金融资产，本集团在每个资产负债表日评估其信用风险自初始确认后是否已经显著增</w:t>
      </w:r>
    </w:p>
    <w:p>
      <w:pPr>
        <w:pStyle w:val="BodyText"/>
        <w:spacing w:line="297" w:lineRule="auto" w:before="95"/>
        <w:ind w:right="1129"/>
        <w:jc w:val="both"/>
      </w:pPr>
      <w:r>
        <w:rPr>
          <w:spacing w:val="-2"/>
        </w:rPr>
        <w:t>加，如果信用风险自初始确认后未显著增加，处于第一阶段，本集团按照相当于未来</w:t>
      </w:r>
      <w:r>
        <w:rPr>
          <w:rFonts w:ascii="Times New Roman" w:hAnsi="Times New Roman" w:cs="Times New Roman" w:eastAsia="Times New Roman" w:hint="default"/>
          <w:spacing w:val="-2"/>
        </w:rPr>
        <w:t>12</w:t>
      </w:r>
      <w:r>
        <w:rPr>
          <w:spacing w:val="-2"/>
        </w:rPr>
        <w:t>个月内预期信用损失的金额计量损失</w:t>
      </w:r>
      <w:r>
        <w:rPr>
          <w:spacing w:val="-65"/>
        </w:rPr>
        <w:t> </w:t>
      </w:r>
      <w:r>
        <w:rPr>
          <w:spacing w:val="-2"/>
        </w:rPr>
        <w:t>准备，并按照账面余额和实际利率计算利息收入；如果信用风险自初始确认后已显著增加但尚未发生信用减值的，处于第二</w:t>
      </w:r>
      <w:r>
        <w:rPr>
          <w:spacing w:val="-73"/>
        </w:rPr>
        <w:t> </w:t>
      </w:r>
      <w:r>
        <w:rPr>
          <w:spacing w:val="-73"/>
        </w:rPr>
      </w:r>
      <w:r>
        <w:rPr>
          <w:spacing w:val="-2"/>
        </w:rPr>
        <w:t>阶段，本集团按照相当于整个存续期内预期信用损失的金额计量损失准备，并按照账面余额和实际利率计算利息收入；如果</w:t>
      </w:r>
    </w:p>
    <w:p>
      <w:pPr>
        <w:pStyle w:val="BodyText"/>
        <w:spacing w:line="321" w:lineRule="auto" w:before="36"/>
        <w:ind w:right="1136"/>
        <w:jc w:val="both"/>
      </w:pPr>
      <w:r>
        <w:rPr>
          <w:spacing w:val="-2"/>
        </w:rPr>
        <w:t>初始确认后发生信用减值的，处于第三阶段，本集团按照相当于整个存续期内预期信用损失的金额计量损失准备，并按照摊</w:t>
      </w:r>
      <w:r>
        <w:rPr>
          <w:spacing w:val="-75"/>
        </w:rPr>
        <w:t> </w:t>
      </w:r>
      <w:r>
        <w:rPr>
          <w:spacing w:val="-75"/>
        </w:rPr>
      </w:r>
      <w:r>
        <w:rPr>
          <w:spacing w:val="-2"/>
        </w:rPr>
        <w:t>余成本和实际利率计算利息收入。对于资产负债表日只具有较低信用风险的金融工具，本集团假设其信用风险自初始确认后</w:t>
      </w:r>
      <w:r>
        <w:rPr>
          <w:spacing w:val="-72"/>
        </w:rPr>
        <w:t> </w:t>
      </w:r>
      <w:r>
        <w:rPr>
          <w:spacing w:val="-72"/>
        </w:rPr>
      </w:r>
      <w:r>
        <w:rPr/>
        <w:t>未显著增加。</w:t>
      </w:r>
    </w:p>
    <w:p>
      <w:pPr>
        <w:spacing w:line="240" w:lineRule="auto" w:before="5"/>
        <w:rPr>
          <w:rFonts w:ascii="宋体" w:hAnsi="宋体" w:cs="宋体" w:eastAsia="宋体" w:hint="default"/>
          <w:sz w:val="24"/>
          <w:szCs w:val="24"/>
        </w:rPr>
      </w:pPr>
    </w:p>
    <w:p>
      <w:pPr>
        <w:pStyle w:val="BodyText"/>
        <w:spacing w:line="321" w:lineRule="auto"/>
        <w:ind w:right="1112" w:firstLine="420"/>
        <w:jc w:val="left"/>
      </w:pPr>
      <w:r>
        <w:rPr/>
        <w:t>本集团基于单项和组合评估金融工具的预期信用损失。本集团考虑了不同客户的信用风险特征，以账</w:t>
      </w:r>
      <w:r>
        <w:rPr>
          <w:spacing w:val="-53"/>
        </w:rPr>
        <w:t> </w:t>
      </w:r>
      <w:r>
        <w:rPr/>
        <w:t>龄组合为基础评</w:t>
      </w:r>
      <w:r>
        <w:rPr/>
        <w:t> 估应收账款、其他应收款的预期信用损失。</w:t>
      </w:r>
    </w:p>
    <w:p>
      <w:pPr>
        <w:spacing w:line="240" w:lineRule="auto" w:before="7"/>
        <w:rPr>
          <w:rFonts w:ascii="宋体" w:hAnsi="宋体" w:cs="宋体" w:eastAsia="宋体" w:hint="default"/>
          <w:sz w:val="25"/>
          <w:szCs w:val="25"/>
        </w:rPr>
      </w:pPr>
    </w:p>
    <w:p>
      <w:pPr>
        <w:pStyle w:val="BodyText"/>
        <w:spacing w:line="240" w:lineRule="auto"/>
        <w:ind w:left="561" w:right="0"/>
        <w:jc w:val="left"/>
      </w:pPr>
      <w:r>
        <w:rPr/>
        <w:t>当本集团不再合理预期能够全部或部分收回金融资产合同现金流量时，本集团直接减记该金融资产的账面余额。</w:t>
      </w:r>
    </w:p>
    <w:p>
      <w:pPr>
        <w:spacing w:line="240" w:lineRule="auto" w:before="0"/>
        <w:rPr>
          <w:rFonts w:ascii="宋体" w:hAnsi="宋体" w:cs="宋体" w:eastAsia="宋体" w:hint="default"/>
          <w:sz w:val="18"/>
          <w:szCs w:val="18"/>
        </w:rPr>
      </w:pPr>
    </w:p>
    <w:p>
      <w:pPr>
        <w:pStyle w:val="BodyText"/>
        <w:spacing w:line="288" w:lineRule="auto" w:before="159"/>
        <w:ind w:left="516" w:right="0" w:hanging="376"/>
        <w:jc w:val="left"/>
      </w:pPr>
      <w:r>
        <w:rPr/>
        <w:t>（</w:t>
      </w:r>
      <w:r>
        <w:rPr>
          <w:rFonts w:ascii="Times New Roman" w:hAnsi="Times New Roman" w:cs="Times New Roman" w:eastAsia="Times New Roman" w:hint="default"/>
        </w:rPr>
        <w:t>5</w:t>
      </w:r>
      <w:r>
        <w:rPr/>
        <w:t>）金融工具抵销 </w:t>
      </w:r>
      <w:r>
        <w:rPr>
          <w:spacing w:val="-4"/>
        </w:rPr>
        <w:t>同时满足下列条件的，金融资产和金融负债以相互抵销后的净额在资产负债表内列示：具有抵销已确认金额的法定权利，</w:t>
      </w:r>
    </w:p>
    <w:p>
      <w:pPr>
        <w:pStyle w:val="BodyText"/>
        <w:spacing w:line="240" w:lineRule="auto" w:before="44"/>
        <w:ind w:right="0"/>
        <w:jc w:val="left"/>
      </w:pPr>
      <w:r>
        <w:rPr/>
        <w:t>且该种法定权利是当前可执行的；计划以净额结算，或同时变现该金融资产和清偿该金融负债。</w:t>
      </w:r>
    </w:p>
    <w:p>
      <w:pPr>
        <w:spacing w:line="240" w:lineRule="auto" w:before="0"/>
        <w:rPr>
          <w:rFonts w:ascii="宋体" w:hAnsi="宋体" w:cs="宋体" w:eastAsia="宋体" w:hint="default"/>
          <w:sz w:val="18"/>
          <w:szCs w:val="18"/>
        </w:rPr>
      </w:pPr>
    </w:p>
    <w:p>
      <w:pPr>
        <w:pStyle w:val="BodyText"/>
        <w:spacing w:line="331" w:lineRule="auto" w:before="159"/>
        <w:ind w:left="576" w:right="1134" w:hanging="436"/>
        <w:jc w:val="left"/>
      </w:pPr>
      <w:r>
        <w:rPr/>
        <w:t>（</w:t>
      </w:r>
      <w:r>
        <w:rPr>
          <w:rFonts w:ascii="Times New Roman" w:hAnsi="Times New Roman" w:cs="Times New Roman" w:eastAsia="Times New Roman" w:hint="default"/>
        </w:rPr>
        <w:t>6</w:t>
      </w:r>
      <w:r>
        <w:rPr/>
        <w:t>）金融资产转移 本集团已将金融资产所有权上几乎所有的风险和报酬转移给转入方的，终止确认该金融资产；保留了金融资产所有权</w:t>
      </w:r>
    </w:p>
    <w:p>
      <w:pPr>
        <w:pStyle w:val="BodyText"/>
        <w:spacing w:line="240" w:lineRule="auto" w:before="11"/>
        <w:ind w:right="0"/>
        <w:jc w:val="left"/>
      </w:pPr>
      <w:r>
        <w:rPr/>
        <w:t>上几乎所有的风险和报酬的，不终止确认该金融资产。</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5"/>
        <w:spacing w:line="240" w:lineRule="auto" w:before="35"/>
        <w:ind w:right="0"/>
        <w:jc w:val="left"/>
        <w:rPr>
          <w:b w:val="0"/>
          <w:bCs w:val="0"/>
        </w:rPr>
      </w:pPr>
      <w:bookmarkStart w:name="9、应收账款" w:id="176"/>
      <w:bookmarkEnd w:id="176"/>
      <w:r>
        <w:rPr>
          <w:b w:val="0"/>
          <w:bCs w:val="0"/>
        </w:rPr>
      </w:r>
      <w:r>
        <w:rPr>
          <w:rFonts w:ascii="Times New Roman" w:hAnsi="Times New Roman" w:cs="Times New Roman" w:eastAsia="Times New Roman" w:hint="default"/>
        </w:rPr>
        <w:t>9</w:t>
      </w:r>
      <w:r>
        <w:rPr/>
        <w:t>、应收账款</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0"/>
        <w:jc w:val="left"/>
      </w:pPr>
      <w:r>
        <w:rPr>
          <w:spacing w:val="-2"/>
        </w:rPr>
        <w:t>关于本集团对信用风险显著增加判断标准、已发生信用减值资产的定义、预期信用损失计量的假设等披露参见附注十、与金</w:t>
      </w:r>
      <w:r>
        <w:rPr>
          <w:spacing w:val="-75"/>
        </w:rPr>
        <w:t> </w:t>
      </w:r>
      <w:r>
        <w:rPr>
          <w:spacing w:val="-75"/>
        </w:rPr>
      </w:r>
      <w:r>
        <w:rPr/>
        <w:t>融工具相关的风险。</w:t>
      </w:r>
    </w:p>
    <w:p>
      <w:pPr>
        <w:spacing w:line="240" w:lineRule="auto" w:before="11"/>
        <w:rPr>
          <w:rFonts w:ascii="宋体" w:hAnsi="宋体" w:cs="宋体" w:eastAsia="宋体" w:hint="default"/>
          <w:sz w:val="22"/>
          <w:szCs w:val="22"/>
        </w:rPr>
      </w:pPr>
    </w:p>
    <w:p>
      <w:pPr>
        <w:pStyle w:val="Heading5"/>
        <w:spacing w:line="240" w:lineRule="auto"/>
        <w:ind w:right="0"/>
        <w:jc w:val="left"/>
        <w:rPr>
          <w:b w:val="0"/>
          <w:bCs w:val="0"/>
        </w:rPr>
      </w:pPr>
      <w:bookmarkStart w:name="10、存货" w:id="177"/>
      <w:bookmarkEnd w:id="177"/>
      <w:r>
        <w:rPr>
          <w:b w:val="0"/>
          <w:bCs w:val="0"/>
        </w:rPr>
      </w:r>
      <w:r>
        <w:rPr>
          <w:rFonts w:ascii="Times New Roman" w:hAnsi="Times New Roman" w:cs="Times New Roman" w:eastAsia="Times New Roman" w:hint="default"/>
        </w:rPr>
        <w:t>10</w:t>
      </w:r>
      <w:r>
        <w:rPr/>
        <w:t>、存货</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left="666" w:right="0" w:hanging="526"/>
        <w:jc w:val="left"/>
      </w:pPr>
      <w:r>
        <w:rPr/>
        <w:t>存货包括原材料、产成品及商品和低值易耗品。 </w:t>
      </w:r>
      <w:r>
        <w:rPr>
          <w:spacing w:val="-2"/>
        </w:rPr>
        <w:t>存货按照成本进行初始计量。存货成本包括采购成本、加工成本和其他成本。发出存货，采用加权平均法确定其实际</w:t>
      </w:r>
    </w:p>
    <w:p>
      <w:pPr>
        <w:pStyle w:val="BodyText"/>
        <w:spacing w:line="321" w:lineRule="auto" w:before="19"/>
        <w:ind w:left="666" w:right="1118" w:hanging="526"/>
        <w:jc w:val="left"/>
      </w:pPr>
      <w:r>
        <w:rPr/>
        <w:t>成本。周转材料包括低值易耗品和包装物等，低值易耗品和包装物釆用一次转销法进行摊销。 存货的盘存制度采用永续盘存制。 </w:t>
      </w:r>
      <w:r>
        <w:rPr>
          <w:spacing w:val="-2"/>
        </w:rPr>
        <w:t>于资产负债表日，存货按照成本与可变现净值孰低计量，对成本高于可变现净值的，计提存货跌价准备，计入当期损</w:t>
      </w:r>
    </w:p>
    <w:p>
      <w:pPr>
        <w:pStyle w:val="BodyText"/>
        <w:spacing w:line="321" w:lineRule="auto" w:before="3"/>
        <w:ind w:right="1106"/>
        <w:jc w:val="both"/>
      </w:pPr>
      <w:r>
        <w:rPr>
          <w:spacing w:val="-2"/>
        </w:rPr>
        <w:t>益。如果以前计提存货跌价准备的影响因素已经消失，使得存货的可变现净值高于其账面价值，则在原于资产负债表日，存</w:t>
      </w:r>
      <w:r>
        <w:rPr>
          <w:spacing w:val="-42"/>
        </w:rPr>
        <w:t> </w:t>
      </w:r>
      <w:r>
        <w:rPr>
          <w:spacing w:val="-42"/>
        </w:rPr>
      </w:r>
      <w:r>
        <w:rPr>
          <w:spacing w:val="-2"/>
        </w:rPr>
        <w:t>货按照成本与可变现净值孰低计量，对成本高于可变现净值的，计提存货跌价准备，计入当期损益。如果以前计提存货跌价</w:t>
      </w:r>
      <w:r>
        <w:rPr>
          <w:spacing w:val="-42"/>
        </w:rPr>
        <w:t> </w:t>
      </w:r>
      <w:r>
        <w:rPr>
          <w:spacing w:val="-42"/>
        </w:rPr>
      </w:r>
      <w:r>
        <w:rPr>
          <w:spacing w:val="-2"/>
        </w:rPr>
        <w:t>准备的影响因素已经消失，使得存货的可变现净值高于其账面价值，则在原已计提的存货跌价准备金额内，将以前减记的金</w:t>
      </w:r>
      <w:r>
        <w:rPr>
          <w:spacing w:val="-75"/>
        </w:rPr>
        <w:t> </w:t>
      </w:r>
      <w:r>
        <w:rPr>
          <w:spacing w:val="-75"/>
        </w:rPr>
      </w:r>
      <w:r>
        <w:rPr/>
        <w:t>额予以恢复，转回的金额计入当期损益。</w:t>
      </w:r>
    </w:p>
    <w:p>
      <w:pPr>
        <w:pStyle w:val="BodyText"/>
        <w:spacing w:line="304" w:lineRule="auto" w:before="18"/>
        <w:ind w:right="0" w:firstLine="525"/>
        <w:jc w:val="left"/>
      </w:pPr>
      <w:r>
        <w:rPr>
          <w:spacing w:val="-3"/>
        </w:rPr>
        <w:t>可变现净值，是指在日常活动中，存货的估计售价减去估计的销售费用以及相关税费后的金额。计提存货跌价准备时，</w:t>
      </w:r>
      <w:r>
        <w:rPr/>
        <w:t> 原材料按类别计提，产成品及商品按单个存货项目计提。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5"/>
        <w:spacing w:line="240" w:lineRule="auto"/>
        <w:ind w:right="0"/>
        <w:jc w:val="left"/>
        <w:rPr>
          <w:b w:val="0"/>
          <w:bCs w:val="0"/>
        </w:rPr>
      </w:pPr>
      <w:bookmarkStart w:name="11、长期股权投资" w:id="178"/>
      <w:bookmarkEnd w:id="178"/>
      <w:r>
        <w:rPr>
          <w:b w:val="0"/>
          <w:bCs w:val="0"/>
        </w:rPr>
      </w:r>
      <w:r>
        <w:rPr>
          <w:rFonts w:ascii="Times New Roman" w:hAnsi="Times New Roman" w:cs="Times New Roman" w:eastAsia="Times New Roman" w:hint="default"/>
        </w:rPr>
        <w:t>11</w:t>
      </w:r>
      <w:r>
        <w:rPr/>
        <w:t>、长期股权投资</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91" w:right="0"/>
        <w:jc w:val="left"/>
      </w:pPr>
      <w:r>
        <w:rPr/>
        <w:t>长期股权投资包括对子公司、合营企业和联营企业的权益性投资。</w:t>
      </w:r>
    </w:p>
    <w:p>
      <w:pPr>
        <w:spacing w:line="276" w:lineRule="auto" w:before="94"/>
        <w:ind w:left="666"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4"/>
          <w:sz w:val="18"/>
          <w:szCs w:val="18"/>
        </w:rPr>
        <w:t> </w:t>
      </w:r>
      <w:r>
        <w:rPr>
          <w:rFonts w:ascii="宋体" w:hAnsi="宋体" w:cs="宋体" w:eastAsia="宋体" w:hint="default"/>
          <w:b/>
          <w:bCs/>
          <w:sz w:val="18"/>
          <w:szCs w:val="18"/>
        </w:rPr>
        <w:t>初始投资成本的确定</w:t>
      </w:r>
      <w:r>
        <w:rPr>
          <w:rFonts w:ascii="宋体" w:hAnsi="宋体" w:cs="宋体" w:eastAsia="宋体" w:hint="default"/>
          <w:b/>
          <w:bCs/>
          <w:w w:val="99"/>
          <w:sz w:val="18"/>
          <w:szCs w:val="18"/>
        </w:rPr>
        <w:t> </w:t>
      </w:r>
      <w:r>
        <w:rPr>
          <w:rFonts w:ascii="宋体" w:hAnsi="宋体" w:cs="宋体" w:eastAsia="宋体" w:hint="default"/>
          <w:spacing w:val="-2"/>
          <w:sz w:val="18"/>
          <w:szCs w:val="18"/>
        </w:rPr>
        <w:t>长期股权投资在取得时以初始投资成本进行初始计量。通过同一控制下的企业合并取得的长期股权投资，以合并日取</w:t>
      </w:r>
    </w:p>
    <w:p>
      <w:pPr>
        <w:pStyle w:val="BodyText"/>
        <w:spacing w:line="312" w:lineRule="auto" w:before="53"/>
        <w:ind w:right="1102"/>
        <w:jc w:val="both"/>
      </w:pPr>
      <w:r>
        <w:rPr>
          <w:spacing w:val="-2"/>
        </w:rPr>
        <w:t>得被合并方所有者权益在最终控制方合并财务报表中的账面价值的份额作为初始投资成本；初始投资成本与合并对价账面价</w:t>
      </w:r>
      <w:r>
        <w:rPr>
          <w:spacing w:val="-58"/>
        </w:rPr>
        <w:t> </w:t>
      </w:r>
      <w:r>
        <w:rPr>
          <w:spacing w:val="-58"/>
        </w:rPr>
      </w:r>
      <w:r>
        <w:rPr/>
        <w:t>值之间差额，调整资本公积</w:t>
      </w:r>
      <w:r>
        <w:rPr>
          <w:rFonts w:ascii="Times New Roman" w:hAnsi="Times New Roman" w:cs="Times New Roman" w:eastAsia="Times New Roman" w:hint="default"/>
        </w:rPr>
        <w:t>(</w:t>
      </w:r>
      <w:r>
        <w:rPr/>
        <w:t>不足冲减的，冲减留存收益</w:t>
      </w:r>
      <w:r>
        <w:rPr>
          <w:rFonts w:ascii="Times New Roman" w:hAnsi="Times New Roman" w:cs="Times New Roman" w:eastAsia="Times New Roman" w:hint="default"/>
        </w:rPr>
        <w:t>)</w:t>
      </w:r>
      <w:r>
        <w:rPr/>
        <w:t>；合并日之前的其他综合收益，在处置该项投资时采用与被投资单</w:t>
      </w:r>
      <w:r>
        <w:rPr>
          <w:spacing w:val="-86"/>
        </w:rPr>
        <w:t> </w:t>
      </w:r>
      <w:r>
        <w:rPr>
          <w:spacing w:val="-2"/>
        </w:rPr>
        <w:t>位直接处置相关资产或负债相同的基础进行会计处理，因被投资方除净损益、其他综合收益和利润分配以外的其他股东权益</w:t>
      </w:r>
    </w:p>
    <w:p>
      <w:pPr>
        <w:pStyle w:val="BodyText"/>
        <w:spacing w:line="319" w:lineRule="auto" w:before="25"/>
        <w:ind w:right="0"/>
        <w:jc w:val="left"/>
      </w:pPr>
      <w:r>
        <w:rPr>
          <w:spacing w:val="-2"/>
        </w:rPr>
        <w:t>变动而确认的股东权益，在处置该项投资时转入当期损益；其中，处置后仍为长期股权投资的按比例结转，处置后转换为金</w:t>
      </w:r>
      <w:r>
        <w:rPr>
          <w:spacing w:val="-42"/>
        </w:rPr>
        <w:t> </w:t>
      </w:r>
      <w:r>
        <w:rPr>
          <w:spacing w:val="-42"/>
        </w:rPr>
      </w:r>
      <w:r>
        <w:rPr>
          <w:spacing w:val="-2"/>
        </w:rPr>
        <w:t>融工具的则全额结转。通过非同一控制下的企业合并取得的长期股权投资，以合并成本作为初始投资成本，合并成本包括购</w:t>
      </w:r>
      <w:r>
        <w:rPr>
          <w:spacing w:val="-75"/>
        </w:rPr>
        <w:t> </w:t>
      </w:r>
      <w:r>
        <w:rPr>
          <w:spacing w:val="-75"/>
        </w:rPr>
      </w:r>
      <w:r>
        <w:rPr>
          <w:spacing w:val="-2"/>
        </w:rPr>
        <w:t>买方付出的资产、发生或承担的负债、发行的权益性证券的公允价值之和；购买日之前持有的因采用权益法核算而确认的其</w:t>
      </w:r>
      <w:r>
        <w:rPr>
          <w:spacing w:val="-75"/>
        </w:rPr>
        <w:t> </w:t>
      </w:r>
      <w:r>
        <w:rPr>
          <w:spacing w:val="-75"/>
        </w:rPr>
      </w:r>
      <w:r>
        <w:rPr>
          <w:spacing w:val="-4"/>
        </w:rPr>
        <w:t>他综合收益，在处置该项投资时采用与被投资单位直接处置相关资产或负债相同的基础进行会计处理，因被投资方除净损益、</w:t>
      </w:r>
      <w:r>
        <w:rPr>
          <w:spacing w:val="-48"/>
        </w:rPr>
        <w:t> </w:t>
      </w:r>
      <w:r>
        <w:rPr>
          <w:spacing w:val="-48"/>
        </w:rPr>
      </w:r>
      <w:r>
        <w:rPr>
          <w:spacing w:val="-2"/>
        </w:rPr>
        <w:t>其他综合收益和利润分配以外的其他股东权益变动而确认的股东权益，在处置该项投资时转入当期损益；其中，处置后仍为</w:t>
      </w:r>
      <w:r>
        <w:rPr>
          <w:spacing w:val="-75"/>
        </w:rPr>
        <w:t> </w:t>
      </w:r>
      <w:r>
        <w:rPr>
          <w:spacing w:val="-75"/>
        </w:rPr>
      </w:r>
      <w:r>
        <w:rPr/>
        <w:t>长期股权投资的按比例结转，处置后转换为金融工具的则全额结转。</w:t>
      </w:r>
    </w:p>
    <w:p>
      <w:pPr>
        <w:pStyle w:val="BodyText"/>
        <w:spacing w:line="321" w:lineRule="auto" w:before="5"/>
        <w:ind w:right="1044" w:firstLine="525"/>
        <w:jc w:val="left"/>
      </w:pPr>
      <w:r>
        <w:rPr/>
        <w:t>除企业合并形成的长期股权投资以外方式取得的长期股权投资，按照下列方法确定初始投资成本：支付现金取得的， </w:t>
      </w:r>
      <w:r>
        <w:rPr>
          <w:spacing w:val="-2"/>
        </w:rPr>
        <w:t>以实际支付的购买价款及与取得长期股权投资直接相关的费用、税金及其他必要支出作为初始投资成本；发行权益性证券取</w:t>
      </w:r>
      <w:r>
        <w:rPr>
          <w:spacing w:val="-72"/>
        </w:rPr>
        <w:t> </w:t>
      </w:r>
      <w:r>
        <w:rPr>
          <w:spacing w:val="-72"/>
        </w:rPr>
      </w:r>
      <w:r>
        <w:rPr/>
        <w:t>得的，以发行权益性证券的公允价值作为初始投资成本。</w:t>
      </w:r>
    </w:p>
    <w:p>
      <w:pPr>
        <w:spacing w:line="290" w:lineRule="auto" w:before="33"/>
        <w:ind w:left="666" w:right="1095"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14"/>
          <w:sz w:val="18"/>
          <w:szCs w:val="18"/>
        </w:rPr>
        <w:t> </w:t>
      </w:r>
      <w:r>
        <w:rPr>
          <w:rFonts w:ascii="宋体" w:hAnsi="宋体" w:cs="宋体" w:eastAsia="宋体" w:hint="default"/>
          <w:b/>
          <w:bCs/>
          <w:sz w:val="18"/>
          <w:szCs w:val="18"/>
        </w:rPr>
        <w:t>后续计量及损益确认方法</w:t>
      </w:r>
      <w:r>
        <w:rPr>
          <w:rFonts w:ascii="宋体" w:hAnsi="宋体" w:cs="宋体" w:eastAsia="宋体" w:hint="default"/>
          <w:b/>
          <w:bCs/>
          <w:w w:val="99"/>
          <w:sz w:val="18"/>
          <w:szCs w:val="18"/>
        </w:rPr>
        <w:t> </w:t>
      </w:r>
      <w:r>
        <w:rPr>
          <w:rFonts w:ascii="宋体" w:hAnsi="宋体" w:cs="宋体" w:eastAsia="宋体" w:hint="default"/>
          <w:spacing w:val="-1"/>
          <w:sz w:val="18"/>
          <w:szCs w:val="18"/>
        </w:rPr>
        <w:t>本公司能够对被投资单位实施控制的长期股权投资，在本公司个别财务报表中采用成本法核算。控制，是指拥有对被</w:t>
      </w:r>
    </w:p>
    <w:p>
      <w:pPr>
        <w:pStyle w:val="BodyText"/>
        <w:spacing w:line="321" w:lineRule="auto" w:before="26"/>
        <w:ind w:right="0"/>
        <w:jc w:val="left"/>
      </w:pPr>
      <w:r>
        <w:rPr/>
        <w:t>投资方的权力，通过参与被投资方的相关活动而享有可变回报，并且有能力运用对被投资方的权力影响回报金额。 </w:t>
      </w:r>
      <w:r>
        <w:rPr>
          <w:spacing w:val="-2"/>
        </w:rPr>
        <w:t>采用成本法时，长期股权投资按初始投资成本计价。追加或收回投资的，调整长期股权投资的成本。被投资单位宣告分派的</w:t>
      </w:r>
      <w:r>
        <w:rPr>
          <w:spacing w:val="-42"/>
        </w:rPr>
        <w:t> </w:t>
      </w:r>
      <w:r>
        <w:rPr>
          <w:spacing w:val="-42"/>
        </w:rPr>
      </w:r>
      <w:r>
        <w:rPr/>
        <w:t>现金股利或利润，确认为当期投资收益。</w:t>
      </w:r>
    </w:p>
    <w:p>
      <w:pPr>
        <w:pStyle w:val="BodyText"/>
        <w:spacing w:line="314" w:lineRule="auto" w:before="18"/>
        <w:ind w:right="1098" w:firstLine="525"/>
        <w:jc w:val="both"/>
      </w:pPr>
      <w:r>
        <w:rPr>
          <w:spacing w:val="-1"/>
        </w:rPr>
        <w:t>本集团对被投资单位具有共同控制或重大影响的，长期股权投资采用权益法核算。共同控制，是指按照相关约定对某</w:t>
      </w:r>
      <w:r>
        <w:rPr/>
        <w:t> </w:t>
      </w:r>
      <w:r>
        <w:rPr>
          <w:spacing w:val="-2"/>
        </w:rPr>
        <w:t>项安排所共有的控制，并且该安排的相关活动必须经过分享控制权的参与方一致同意后才能决策。重大影响，是指对被投资</w:t>
      </w:r>
      <w:r>
        <w:rPr>
          <w:spacing w:val="-75"/>
        </w:rPr>
        <w:t> </w:t>
      </w:r>
      <w:r>
        <w:rPr>
          <w:spacing w:val="-75"/>
        </w:rPr>
      </w:r>
      <w:r>
        <w:rPr/>
        <w:t>单位的财务和经营政策有参与决策的权力，但并不能够控制或者与其他方一起共同控制这些政策的制定。</w:t>
      </w:r>
    </w:p>
    <w:p>
      <w:pPr>
        <w:spacing w:after="0" w:line="314"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21" w:firstLine="525"/>
        <w:jc w:val="both"/>
      </w:pPr>
      <w:r>
        <w:rPr>
          <w:spacing w:val="-2"/>
        </w:rPr>
        <w:t>采用权益法时，长期股权投资的初始投资成本大于投资时应享有被投资单位可辨认净资产公允价值份额的，归入长期</w:t>
      </w:r>
      <w:r>
        <w:rPr/>
        <w:t> </w:t>
      </w:r>
      <w:r>
        <w:rPr>
          <w:spacing w:val="-2"/>
        </w:rPr>
        <w:t>股权投资的初始投资成本；长期股权投资的初始投资成本小于投资时应享有被投资单位可辨认净资产公允价值份额的，其差</w:t>
      </w:r>
      <w:r>
        <w:rPr>
          <w:spacing w:val="-72"/>
        </w:rPr>
        <w:t> </w:t>
      </w:r>
      <w:r>
        <w:rPr>
          <w:spacing w:val="-72"/>
        </w:rPr>
      </w:r>
      <w:r>
        <w:rPr/>
        <w:t>额计入当期损益，同时调整长期股权投资的成本。</w:t>
      </w:r>
    </w:p>
    <w:p>
      <w:pPr>
        <w:pStyle w:val="BodyText"/>
        <w:spacing w:line="321" w:lineRule="auto" w:before="3"/>
        <w:ind w:right="1105" w:firstLine="525"/>
        <w:jc w:val="both"/>
      </w:pPr>
      <w:r>
        <w:rPr>
          <w:spacing w:val="-1"/>
        </w:rPr>
        <w:t>采用权益法时，取得长期股权投资后，按照应享有或应分担的被投资单位实现的净损益和其他综合收益的份额，分别</w:t>
      </w:r>
      <w:r>
        <w:rPr/>
        <w:t> </w:t>
      </w:r>
      <w:r>
        <w:rPr>
          <w:spacing w:val="-2"/>
        </w:rPr>
        <w:t>确认投资损益和其他综合收益并调整长期股权投资的账面价值。在确认应享有被投资单位净损益的份额时，以取得投资时被</w:t>
      </w:r>
      <w:r>
        <w:rPr>
          <w:spacing w:val="-72"/>
        </w:rPr>
        <w:t> </w:t>
      </w:r>
      <w:r>
        <w:rPr>
          <w:spacing w:val="-72"/>
        </w:rPr>
      </w:r>
      <w:r>
        <w:rPr>
          <w:spacing w:val="-2"/>
        </w:rPr>
        <w:t>投资单位可辨认资产等的公允价值为基础，按照本集团的会计政策及会计期间，并抵销与联营企业及合营企业之间发生的内</w:t>
      </w:r>
    </w:p>
    <w:p>
      <w:pPr>
        <w:pStyle w:val="BodyText"/>
        <w:spacing w:line="309" w:lineRule="auto" w:before="33"/>
        <w:ind w:right="1125"/>
        <w:jc w:val="both"/>
      </w:pPr>
      <w:r>
        <w:rPr>
          <w:spacing w:val="-1"/>
        </w:rPr>
        <w:t>部交易损益按照应享有的比例计算归属于投资方的部分</w:t>
      </w:r>
      <w:r>
        <w:rPr>
          <w:rFonts w:ascii="Times New Roman" w:hAnsi="Times New Roman" w:cs="Times New Roman" w:eastAsia="Times New Roman" w:hint="default"/>
          <w:spacing w:val="-1"/>
        </w:rPr>
        <w:t>(</w:t>
      </w:r>
      <w:r>
        <w:rPr>
          <w:spacing w:val="-1"/>
        </w:rPr>
        <w:t>但内部交易损失属于资产减值损失的，应全额确认</w:t>
      </w:r>
      <w:r>
        <w:rPr>
          <w:rFonts w:ascii="Times New Roman" w:hAnsi="Times New Roman" w:cs="Times New Roman" w:eastAsia="Times New Roman" w:hint="default"/>
          <w:spacing w:val="-1"/>
        </w:rPr>
        <w:t>)</w:t>
      </w:r>
      <w:r>
        <w:rPr>
          <w:spacing w:val="-1"/>
        </w:rPr>
        <w:t>，对被投资单位</w:t>
      </w:r>
      <w:r>
        <w:rPr>
          <w:spacing w:val="-56"/>
        </w:rPr>
        <w:t> </w:t>
      </w:r>
      <w:r>
        <w:rPr>
          <w:spacing w:val="-56"/>
        </w:rPr>
      </w:r>
      <w:r>
        <w:rPr>
          <w:spacing w:val="-2"/>
        </w:rPr>
        <w:t>的净利润进行调整后确认，但投出或出售的资产构成业务的除外。按照被投资单位宣告分派的利润或现金股利计算应享有的</w:t>
      </w:r>
      <w:r>
        <w:rPr>
          <w:spacing w:val="-65"/>
        </w:rPr>
        <w:t> </w:t>
      </w:r>
      <w:r>
        <w:rPr>
          <w:spacing w:val="-65"/>
        </w:rPr>
      </w:r>
      <w:r>
        <w:rPr>
          <w:spacing w:val="-2"/>
        </w:rPr>
        <w:t>部分，相应减少长期股权投资的账面价值。本集团确认被投资单位发生的净亏损，以长期股权投资的账面价值以及其他实质</w:t>
      </w:r>
      <w:r>
        <w:rPr>
          <w:spacing w:val="-75"/>
        </w:rPr>
        <w:t> </w:t>
      </w:r>
      <w:r>
        <w:rPr>
          <w:spacing w:val="-75"/>
        </w:rPr>
      </w:r>
      <w:r>
        <w:rPr>
          <w:spacing w:val="-2"/>
        </w:rPr>
        <w:t>上构成对被投资单位净投资的长期权益减记至零为限，本集团负有承担额外损失义务的除外。对于被投资单位除净损益、其</w:t>
      </w:r>
      <w:r>
        <w:rPr>
          <w:spacing w:val="-75"/>
        </w:rPr>
        <w:t> </w:t>
      </w:r>
      <w:r>
        <w:rPr>
          <w:spacing w:val="-75"/>
        </w:rPr>
      </w:r>
      <w:r>
        <w:rPr/>
        <w:t>他综合收益和利润分配以外股东权益的其他变动，调整长期股权投资的账面价值并计入股东权益。</w:t>
      </w:r>
    </w:p>
    <w:p>
      <w:pPr>
        <w:pStyle w:val="BodyText"/>
        <w:spacing w:line="314" w:lineRule="auto" w:before="72"/>
        <w:ind w:right="1029" w:firstLine="525"/>
        <w:jc w:val="left"/>
      </w:pPr>
      <w:r>
        <w:rPr>
          <w:spacing w:val="-2"/>
        </w:rPr>
        <w:t>处置长期股权投资，其账面价值与实际取得价款的差额，计入当期损益。采用权益法核算的长期股权投资，终止采用</w:t>
      </w:r>
      <w:r>
        <w:rPr/>
        <w:t> </w:t>
      </w:r>
      <w:r>
        <w:rPr>
          <w:spacing w:val="-2"/>
        </w:rPr>
        <w:t>权益法的，原权益法核算的相关其他综合收益采用与被投资单位直接处置相关资产或负债相同的基础进行会计处理，因被投</w:t>
      </w:r>
      <w:r>
        <w:rPr>
          <w:spacing w:val="-66"/>
        </w:rPr>
        <w:t> </w:t>
      </w:r>
      <w:r>
        <w:rPr>
          <w:spacing w:val="-66"/>
        </w:rPr>
      </w:r>
      <w:r>
        <w:rPr>
          <w:spacing w:val="-4"/>
        </w:rPr>
        <w:t>资方除净损益、其他综合收益和利润分配以外的其他股东权益变动而确认的股东权益，全部转入当期损益；仍采用权益法的，</w:t>
      </w:r>
      <w:r>
        <w:rPr>
          <w:spacing w:val="-50"/>
        </w:rPr>
        <w:t> </w:t>
      </w:r>
      <w:r>
        <w:rPr>
          <w:spacing w:val="-50"/>
        </w:rPr>
      </w:r>
      <w:r>
        <w:rPr/>
        <w:t>原权益法核算的相关其他综合收益采用与被投资单位直接处置相关资产或负债相同的基础进行会计处理并按比例转入当期</w:t>
      </w:r>
      <w:r>
        <w:rPr>
          <w:spacing w:val="-7"/>
        </w:rPr>
        <w:t> </w:t>
      </w:r>
      <w:r>
        <w:rPr>
          <w:spacing w:val="-7"/>
        </w:rPr>
      </w:r>
      <w:r>
        <w:rPr>
          <w:spacing w:val="-2"/>
        </w:rPr>
        <w:t>损益，因被投资方除净损益、其他综合收益和利润分配以外的其他股东权益变动而确认的股东权益，按相应的比例转入当期</w:t>
      </w:r>
      <w:r>
        <w:rPr>
          <w:spacing w:val="-75"/>
        </w:rPr>
        <w:t> </w:t>
      </w:r>
      <w:r>
        <w:rPr>
          <w:spacing w:val="-75"/>
        </w:rPr>
      </w:r>
      <w:r>
        <w:rPr/>
        <w:t>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5"/>
          <w:szCs w:val="15"/>
        </w:rPr>
      </w:pPr>
    </w:p>
    <w:p>
      <w:pPr>
        <w:pStyle w:val="Heading5"/>
        <w:spacing w:line="240" w:lineRule="auto"/>
        <w:ind w:right="0"/>
        <w:jc w:val="left"/>
        <w:rPr>
          <w:b w:val="0"/>
          <w:bCs w:val="0"/>
        </w:rPr>
      </w:pPr>
      <w:bookmarkStart w:name="12、投资性房地产" w:id="179"/>
      <w:bookmarkEnd w:id="179"/>
      <w:r>
        <w:rPr>
          <w:b w:val="0"/>
          <w:bCs w:val="0"/>
        </w:rPr>
      </w:r>
      <w:r>
        <w:rPr>
          <w:rFonts w:ascii="Times New Roman" w:hAnsi="Times New Roman" w:cs="Times New Roman" w:eastAsia="Times New Roman" w:hint="default"/>
        </w:rPr>
        <w:t>12</w:t>
      </w:r>
      <w:r>
        <w:rPr/>
        <w:t>、投资性房地产</w:t>
      </w:r>
      <w:r>
        <w:rPr>
          <w:b w:val="0"/>
          <w:bCs w:val="0"/>
        </w:rPr>
      </w:r>
    </w:p>
    <w:p>
      <w:pPr>
        <w:spacing w:line="240" w:lineRule="auto" w:before="3"/>
        <w:rPr>
          <w:rFonts w:ascii="宋体" w:hAnsi="宋体" w:cs="宋体" w:eastAsia="宋体" w:hint="default"/>
          <w:b/>
          <w:bCs/>
          <w:sz w:val="25"/>
          <w:szCs w:val="25"/>
        </w:rPr>
      </w:pPr>
    </w:p>
    <w:p>
      <w:pPr>
        <w:pStyle w:val="BodyText"/>
        <w:spacing w:line="360" w:lineRule="auto"/>
        <w:ind w:right="8949"/>
        <w:jc w:val="left"/>
      </w:pPr>
      <w:r>
        <w:rPr/>
        <w:t>投资性房地产计量模式 成本法计量 折旧或摊销方法</w:t>
      </w:r>
    </w:p>
    <w:p>
      <w:pPr>
        <w:pStyle w:val="BodyText"/>
        <w:spacing w:line="321" w:lineRule="auto" w:before="19"/>
        <w:ind w:left="291" w:right="0"/>
        <w:jc w:val="left"/>
      </w:pPr>
      <w:r>
        <w:rPr/>
        <w:t>投资性房地产，是指为赚取租金或资本增值，或两者兼有而持有的房地产，包括已出租的建筑物。</w:t>
      </w:r>
      <w:r>
        <w:rPr>
          <w:spacing w:val="-85"/>
        </w:rPr>
        <w:t> </w:t>
      </w:r>
      <w:r>
        <w:rPr>
          <w:spacing w:val="-85"/>
        </w:rPr>
      </w:r>
      <w:r>
        <w:rPr>
          <w:spacing w:val="-2"/>
        </w:rPr>
        <w:t>投资性房地产按照成本进行初始计量。与投资性房地产有关的后续支出，如果与该资产有关的经济利益很可能流入且其成</w:t>
      </w:r>
    </w:p>
    <w:p>
      <w:pPr>
        <w:pStyle w:val="BodyText"/>
        <w:spacing w:line="367" w:lineRule="auto" w:before="19"/>
        <w:ind w:left="291" w:right="1185" w:hanging="150"/>
        <w:jc w:val="left"/>
      </w:pPr>
      <w:r>
        <w:rPr/>
        <w:t>本能够可靠地计量，则计入投资性房地产成本。否则，于发生时计入当期损益。 本集团采用成本模式对投资性房地产进行后续计量，折旧采用年限平均法计提，投资性房地产的使用寿命为</w:t>
      </w:r>
      <w:r>
        <w:rPr>
          <w:rFonts w:ascii="Times New Roman" w:hAnsi="Times New Roman" w:cs="Times New Roman" w:eastAsia="Times New Roman" w:hint="default"/>
        </w:rPr>
        <w:t>40-50</w:t>
      </w:r>
      <w:r>
        <w:rPr/>
        <w:t>年，预</w:t>
      </w:r>
    </w:p>
    <w:p>
      <w:pPr>
        <w:pStyle w:val="BodyText"/>
        <w:spacing w:line="210" w:lineRule="exact"/>
        <w:ind w:right="0"/>
        <w:jc w:val="left"/>
      </w:pPr>
      <w:r>
        <w:rPr/>
        <w:t>计净残值率为</w:t>
      </w:r>
      <w:r>
        <w:rPr>
          <w:rFonts w:ascii="Times New Roman" w:hAnsi="Times New Roman" w:cs="Times New Roman" w:eastAsia="Times New Roman" w:hint="default"/>
        </w:rPr>
        <w:t>5%</w:t>
      </w:r>
      <w:r>
        <w:rPr/>
        <w:t>，年折旧率为</w:t>
      </w:r>
      <w:r>
        <w:rPr>
          <w:rFonts w:ascii="Times New Roman" w:hAnsi="Times New Roman" w:cs="Times New Roman" w:eastAsia="Times New Roman" w:hint="default"/>
        </w:rPr>
        <w:t>1.9%-2.38%</w:t>
      </w:r>
      <w:r>
        <w:rPr/>
        <w:t>。</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6"/>
          <w:szCs w:val="16"/>
        </w:rPr>
      </w:pPr>
    </w:p>
    <w:p>
      <w:pPr>
        <w:pStyle w:val="Heading5"/>
        <w:spacing w:line="240" w:lineRule="auto"/>
        <w:ind w:right="0"/>
        <w:jc w:val="left"/>
        <w:rPr>
          <w:b w:val="0"/>
          <w:bCs w:val="0"/>
        </w:rPr>
      </w:pPr>
      <w:bookmarkStart w:name="13、固定资产" w:id="180"/>
      <w:bookmarkEnd w:id="180"/>
      <w:r>
        <w:rPr>
          <w:b w:val="0"/>
          <w:bCs w:val="0"/>
        </w:rPr>
      </w:r>
      <w:r>
        <w:rPr>
          <w:rFonts w:ascii="Times New Roman" w:hAnsi="Times New Roman" w:cs="Times New Roman" w:eastAsia="Times New Roman" w:hint="default"/>
        </w:rPr>
        <w:t>13</w:t>
      </w:r>
      <w:r>
        <w:rPr/>
        <w:t>、固定资产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确认条件" w:id="181"/>
      <w:bookmarkEnd w:id="181"/>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1029"/>
        <w:jc w:val="left"/>
      </w:pPr>
      <w:r>
        <w:rPr>
          <w:spacing w:val="-4"/>
        </w:rPr>
        <w:t>固定资产仅在与其有关的经济利益很可能流入本集团，且其成本能够可靠地计量时才予以确认。与固定资产有关的后续支出，</w:t>
      </w:r>
      <w:r>
        <w:rPr>
          <w:spacing w:val="-40"/>
        </w:rPr>
        <w:t> </w:t>
      </w:r>
      <w:r>
        <w:rPr>
          <w:spacing w:val="-40"/>
        </w:rPr>
      </w:r>
      <w:r>
        <w:rPr>
          <w:spacing w:val="-2"/>
        </w:rPr>
        <w:t>符合该确认条件的，计入固定资产成本，并终止确认被替换部分的账面价值；否则，在发生时计入当期损益。固定资产按照</w:t>
      </w:r>
      <w:r>
        <w:rPr>
          <w:spacing w:val="-57"/>
        </w:rPr>
        <w:t> </w:t>
      </w:r>
      <w:r>
        <w:rPr>
          <w:spacing w:val="-57"/>
        </w:rPr>
      </w:r>
      <w:r>
        <w:rPr>
          <w:spacing w:val="-2"/>
        </w:rPr>
        <w:t>成本进行初始计量。购置固定资产的成本包括购买价款、相关税费、使固定资产达到预定可使用状态前所发生的可直接归属</w:t>
      </w:r>
      <w:r>
        <w:rPr>
          <w:spacing w:val="-75"/>
        </w:rPr>
        <w:t> </w:t>
      </w:r>
      <w:r>
        <w:rPr>
          <w:spacing w:val="-75"/>
        </w:rPr>
      </w:r>
      <w:r>
        <w:rPr>
          <w:spacing w:val="-2"/>
        </w:rPr>
        <w:t>于该项资产的其他支出。本集团至少于每年年度终了，对固定资产的使用寿命、预计净残值和折旧方法进行复核，必要时进</w:t>
      </w:r>
      <w:r>
        <w:rPr>
          <w:spacing w:val="-42"/>
        </w:rPr>
        <w:t> </w:t>
      </w:r>
      <w:r>
        <w:rPr>
          <w:spacing w:val="-42"/>
        </w:rPr>
      </w:r>
      <w:r>
        <w:rPr/>
        <w:t>行调整。</w:t>
      </w:r>
    </w:p>
    <w:p>
      <w:pPr>
        <w:spacing w:after="0" w:line="316"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5"/>
        <w:spacing w:line="240" w:lineRule="auto" w:before="35"/>
        <w:ind w:right="0"/>
        <w:jc w:val="left"/>
        <w:rPr>
          <w:b w:val="0"/>
          <w:bCs w:val="0"/>
        </w:rPr>
      </w:pPr>
      <w:bookmarkStart w:name="（2）折旧方法" w:id="182"/>
      <w:bookmarkEnd w:id="182"/>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32-40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2.38%-2.97%</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19%</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9.5%</w:t>
            </w:r>
          </w:p>
        </w:tc>
      </w:tr>
      <w:tr>
        <w:trPr>
          <w:trHeight w:val="391"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 </w:t>
            </w:r>
            <w:r>
              <w:rPr>
                <w:rFonts w:ascii="宋体" w:hAnsi="宋体" w:cs="宋体" w:eastAsia="宋体" w:hint="default"/>
                <w:sz w:val="18"/>
                <w:szCs w:val="18"/>
              </w:rPr>
              <w:t>年</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 w:right="0"/>
              <w:jc w:val="left"/>
              <w:rPr>
                <w:rFonts w:ascii="Times New Roman" w:hAnsi="Times New Roman" w:cs="Times New Roman" w:eastAsia="Times New Roman" w:hint="default"/>
                <w:sz w:val="18"/>
                <w:szCs w:val="18"/>
              </w:rPr>
            </w:pPr>
            <w:r>
              <w:rPr>
                <w:rFonts w:ascii="Times New Roman"/>
                <w:sz w:val="18"/>
              </w:rPr>
              <w:t>5%</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11.88%</w:t>
            </w:r>
          </w:p>
        </w:tc>
      </w:tr>
    </w:tbl>
    <w:p>
      <w:pPr>
        <w:spacing w:line="240" w:lineRule="auto" w:before="11"/>
        <w:rPr>
          <w:rFonts w:ascii="宋体" w:hAnsi="宋体" w:cs="宋体" w:eastAsia="宋体" w:hint="default"/>
          <w:b/>
          <w:bCs/>
          <w:sz w:val="19"/>
          <w:szCs w:val="19"/>
        </w:rPr>
      </w:pPr>
    </w:p>
    <w:p>
      <w:pPr>
        <w:pStyle w:val="Heading5"/>
        <w:spacing w:line="240" w:lineRule="auto" w:before="35"/>
        <w:ind w:right="0"/>
        <w:jc w:val="left"/>
        <w:rPr>
          <w:b w:val="0"/>
          <w:bCs w:val="0"/>
        </w:rPr>
      </w:pPr>
      <w:bookmarkStart w:name="（3）融资租入固定资产的认定依据、计价和折旧方法" w:id="183"/>
      <w:bookmarkEnd w:id="183"/>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5"/>
        <w:spacing w:line="240" w:lineRule="auto" w:before="154"/>
        <w:ind w:right="0"/>
        <w:jc w:val="left"/>
        <w:rPr>
          <w:b w:val="0"/>
          <w:bCs w:val="0"/>
        </w:rPr>
      </w:pPr>
      <w:bookmarkStart w:name="14、在建工程" w:id="184"/>
      <w:bookmarkEnd w:id="184"/>
      <w:r>
        <w:rPr>
          <w:b w:val="0"/>
          <w:bCs w:val="0"/>
        </w:rPr>
      </w:r>
      <w:r>
        <w:rPr>
          <w:rFonts w:ascii="Times New Roman" w:hAnsi="Times New Roman" w:cs="Times New Roman" w:eastAsia="Times New Roman" w:hint="default"/>
        </w:rPr>
        <w:t>14</w:t>
      </w:r>
      <w:r>
        <w:rPr/>
        <w:t>、在建工程</w:t>
      </w:r>
      <w:r>
        <w:rPr>
          <w:b w:val="0"/>
          <w:bCs w:val="0"/>
        </w:rPr>
      </w:r>
    </w:p>
    <w:p>
      <w:pPr>
        <w:spacing w:line="240" w:lineRule="auto" w:before="1"/>
        <w:rPr>
          <w:rFonts w:ascii="宋体" w:hAnsi="宋体" w:cs="宋体" w:eastAsia="宋体" w:hint="default"/>
          <w:b/>
          <w:bCs/>
          <w:sz w:val="24"/>
          <w:szCs w:val="24"/>
        </w:rPr>
      </w:pPr>
    </w:p>
    <w:p>
      <w:pPr>
        <w:pStyle w:val="BodyText"/>
        <w:spacing w:line="321" w:lineRule="auto"/>
        <w:ind w:right="3009"/>
        <w:jc w:val="left"/>
      </w:pPr>
      <w:r>
        <w:rPr/>
        <w:t>在建工程成本按实际工程支出确定，包括在建期间发生的各项必要工程支出以及其他相关费用等。 在建工程在达到预定可使用状态时转入固定资产、长期待摊费用或者其他。</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2"/>
        <w:ind w:right="0"/>
        <w:jc w:val="left"/>
        <w:rPr>
          <w:b w:val="0"/>
          <w:bCs w:val="0"/>
        </w:rPr>
      </w:pPr>
      <w:bookmarkStart w:name="15、借款费用" w:id="185"/>
      <w:bookmarkEnd w:id="185"/>
      <w:r>
        <w:rPr>
          <w:b w:val="0"/>
          <w:bCs w:val="0"/>
        </w:rPr>
      </w:r>
      <w:r>
        <w:rPr>
          <w:rFonts w:ascii="Times New Roman" w:hAnsi="Times New Roman" w:cs="Times New Roman" w:eastAsia="Times New Roman" w:hint="default"/>
        </w:rPr>
        <w:t>15</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304" w:lineRule="auto"/>
        <w:ind w:left="441" w:right="1089" w:hanging="226"/>
        <w:jc w:val="left"/>
      </w:pPr>
      <w:r>
        <w:rPr>
          <w:rFonts w:ascii="宋体" w:hAnsi="宋体" w:cs="宋体" w:eastAsia="宋体" w:hint="default"/>
          <w:b/>
          <w:bCs/>
        </w:rPr>
        <w:t>（</w:t>
      </w:r>
      <w:r>
        <w:rPr>
          <w:rFonts w:ascii="宋体" w:hAnsi="宋体" w:cs="宋体" w:eastAsia="宋体" w:hint="default"/>
          <w:b/>
          <w:bCs/>
          <w:spacing w:val="-76"/>
        </w:rPr>
        <w:t> </w:t>
      </w:r>
      <w:r>
        <w:rPr>
          <w:rFonts w:ascii="Times New Roman" w:hAnsi="Times New Roman" w:cs="Times New Roman" w:eastAsia="Times New Roman" w:hint="default"/>
          <w:b/>
          <w:bCs/>
        </w:rPr>
        <w:t>1</w:t>
      </w:r>
      <w:r>
        <w:rPr>
          <w:rFonts w:ascii="宋体" w:hAnsi="宋体" w:cs="宋体" w:eastAsia="宋体" w:hint="default"/>
          <w:b/>
          <w:bCs/>
        </w:rPr>
        <w:t>）借款费用资本化的确认原则</w:t>
      </w:r>
      <w:r>
        <w:rPr>
          <w:rFonts w:ascii="宋体" w:hAnsi="宋体" w:cs="宋体" w:eastAsia="宋体" w:hint="default"/>
          <w:b/>
          <w:bCs/>
          <w:w w:val="99"/>
        </w:rPr>
        <w:t> </w:t>
      </w:r>
      <w:r>
        <w:rPr/>
        <w:t>借款费用，是指本集团因借款而发生的利息及其他相关成本，包括借款利息、折价或者溢价的摊销、辅助费用等。 可直接归属于符合资本化条件的资产的购建或者生产的借款费用，予以资本化，其他借款费用计入当期损益。符合资本</w:t>
      </w:r>
    </w:p>
    <w:p>
      <w:pPr>
        <w:pStyle w:val="BodyText"/>
        <w:spacing w:line="304" w:lineRule="auto" w:before="31"/>
        <w:ind w:right="0"/>
        <w:jc w:val="left"/>
      </w:pPr>
      <w:r>
        <w:rPr>
          <w:spacing w:val="-2"/>
        </w:rPr>
        <w:t>化条件的资产，是指需要经过相当长时间的购建或者生产活动才能达到预定可使用或者可销售状态的固定资产、投资性房地</w:t>
      </w:r>
      <w:r>
        <w:rPr>
          <w:spacing w:val="-72"/>
        </w:rPr>
        <w:t> </w:t>
      </w:r>
      <w:r>
        <w:rPr>
          <w:spacing w:val="-72"/>
        </w:rPr>
      </w:r>
      <w:r>
        <w:rPr/>
        <w:t>产和存货等资产。</w:t>
      </w:r>
    </w:p>
    <w:p>
      <w:pPr>
        <w:pStyle w:val="Heading8"/>
        <w:spacing w:line="240" w:lineRule="auto" w:before="46"/>
        <w:ind w:left="426" w:right="0"/>
        <w:jc w:val="left"/>
        <w:rPr>
          <w:b w:val="0"/>
          <w:bCs w:val="0"/>
        </w:rPr>
      </w:pPr>
      <w:r>
        <w:rPr/>
        <w:t>（</w:t>
      </w:r>
      <w:r>
        <w:rPr>
          <w:rFonts w:ascii="Times New Roman" w:hAnsi="Times New Roman" w:cs="Times New Roman" w:eastAsia="Times New Roman" w:hint="default"/>
        </w:rPr>
        <w:t>2</w:t>
      </w:r>
      <w:r>
        <w:rPr/>
        <w:t>）借款费用资本化期间</w:t>
      </w:r>
      <w:r>
        <w:rPr>
          <w:b w:val="0"/>
          <w:bCs w:val="0"/>
        </w:rPr>
      </w:r>
    </w:p>
    <w:p>
      <w:pPr>
        <w:pStyle w:val="BodyText"/>
        <w:spacing w:line="304" w:lineRule="auto" w:before="66"/>
        <w:ind w:right="1115" w:firstLine="300"/>
        <w:jc w:val="both"/>
      </w:pPr>
      <w:r>
        <w:rPr/>
        <w:t>借款费用同时满足下列条件的，才能开始资本化： </w:t>
      </w:r>
      <w:r>
        <w:rPr>
          <w:rFonts w:ascii="Times New Roman" w:hAnsi="Times New Roman" w:cs="Times New Roman" w:eastAsia="Times New Roman" w:hint="default"/>
        </w:rPr>
        <w:t>(a) </w:t>
      </w:r>
      <w:r>
        <w:rPr/>
        <w:t>资产支出已经发生； </w:t>
      </w:r>
      <w:r>
        <w:rPr>
          <w:rFonts w:ascii="Times New Roman" w:hAnsi="Times New Roman" w:cs="Times New Roman" w:eastAsia="Times New Roman" w:hint="default"/>
        </w:rPr>
        <w:t>(b) </w:t>
      </w:r>
      <w:r>
        <w:rPr/>
        <w:t>借款费用已经发生； </w:t>
      </w:r>
      <w:r>
        <w:rPr>
          <w:rFonts w:ascii="Times New Roman" w:hAnsi="Times New Roman" w:cs="Times New Roman" w:eastAsia="Times New Roman" w:hint="default"/>
        </w:rPr>
        <w:t>(c)</w:t>
      </w:r>
      <w:r>
        <w:rPr>
          <w:rFonts w:ascii="Times New Roman" w:hAnsi="Times New Roman" w:cs="Times New Roman" w:eastAsia="Times New Roman" w:hint="default"/>
          <w:spacing w:val="44"/>
        </w:rPr>
        <w:t> </w:t>
      </w:r>
      <w:r>
        <w:rPr/>
        <w:t>为使资产达到 </w:t>
      </w:r>
      <w:r>
        <w:rPr>
          <w:spacing w:val="-2"/>
        </w:rPr>
        <w:t>预定可使用或者可销售状态所必要的购建或者生产活动已经开始。购建或者生产符合资本化条件的资产达到预定可使用或者</w:t>
      </w:r>
      <w:r>
        <w:rPr>
          <w:spacing w:val="-51"/>
        </w:rPr>
        <w:t> </w:t>
      </w:r>
      <w:r>
        <w:rPr>
          <w:spacing w:val="-51"/>
        </w:rPr>
      </w:r>
      <w:r>
        <w:rPr/>
        <w:t>可销售状态时，借款费用停止资本化。之后发生的借款费用计入当期损益。</w:t>
      </w:r>
    </w:p>
    <w:p>
      <w:pPr>
        <w:pStyle w:val="BodyText"/>
        <w:spacing w:line="290" w:lineRule="auto" w:before="31"/>
        <w:ind w:left="441" w:right="1089" w:hanging="1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spacing w:val="-84"/>
        </w:rPr>
        <w:t> </w:t>
      </w:r>
      <w:r>
        <w:rPr>
          <w:rFonts w:ascii="宋体" w:hAnsi="宋体" w:cs="宋体" w:eastAsia="宋体" w:hint="default"/>
          <w:b/>
          <w:bCs/>
          <w:spacing w:val="-84"/>
        </w:rPr>
      </w:r>
      <w:r>
        <w:rPr/>
        <w:t>符合资本化条件的资产在购建或者生产过程中，发生除达到预定可使用或者可销售状态必要的程序之外的非正常中断、</w:t>
      </w:r>
    </w:p>
    <w:p>
      <w:pPr>
        <w:pStyle w:val="BodyText"/>
        <w:spacing w:line="290" w:lineRule="auto" w:before="56"/>
        <w:ind w:right="1119"/>
        <w:jc w:val="left"/>
      </w:pPr>
      <w:r>
        <w:rPr/>
        <w:t>且中断时间连续超过</w:t>
      </w:r>
      <w:r>
        <w:rPr>
          <w:rFonts w:ascii="Times New Roman" w:hAnsi="Times New Roman" w:cs="Times New Roman" w:eastAsia="Times New Roman" w:hint="default"/>
        </w:rPr>
        <w:t>3</w:t>
      </w:r>
      <w:r>
        <w:rPr/>
        <w:t>个月的，暂停借款费用的资本化。在中断期间发生的借款费用确认为费用，计入当期损益，直至资产 的购建或者生产活动重新开始。</w:t>
      </w:r>
    </w:p>
    <w:p>
      <w:pPr>
        <w:pStyle w:val="Heading8"/>
        <w:spacing w:line="240" w:lineRule="auto" w:before="56"/>
        <w:ind w:left="426"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pStyle w:val="BodyText"/>
        <w:spacing w:line="295" w:lineRule="auto" w:before="51"/>
        <w:ind w:right="1113" w:firstLine="300"/>
        <w:jc w:val="both"/>
      </w:pPr>
      <w:r>
        <w:rPr/>
        <w:t>在资本化期间内，每一会计期间的利息资本化金额，按照下列方法确定： </w:t>
      </w:r>
      <w:r>
        <w:rPr>
          <w:rFonts w:ascii="Times New Roman" w:hAnsi="Times New Roman" w:cs="Times New Roman" w:eastAsia="Times New Roman" w:hint="default"/>
        </w:rPr>
        <w:t>(a)</w:t>
      </w:r>
      <w:r>
        <w:rPr>
          <w:rFonts w:ascii="Times New Roman" w:hAnsi="Times New Roman" w:cs="Times New Roman" w:eastAsia="Times New Roman" w:hint="default"/>
          <w:spacing w:val="17"/>
        </w:rPr>
        <w:t> </w:t>
      </w:r>
      <w:r>
        <w:rPr/>
        <w:t>专门借款以当期实际发生的利息费用，减 去暂时性的存款利息收入或投资收益后的金额确定。</w:t>
      </w:r>
      <w:r>
        <w:rPr>
          <w:spacing w:val="-67"/>
        </w:rPr>
        <w:t> </w:t>
      </w:r>
      <w:r>
        <w:rPr>
          <w:rFonts w:ascii="Times New Roman" w:hAnsi="Times New Roman" w:cs="Times New Roman" w:eastAsia="Times New Roman" w:hint="default"/>
        </w:rPr>
        <w:t>(b)</w:t>
      </w:r>
      <w:r>
        <w:rPr>
          <w:rFonts w:ascii="Times New Roman" w:hAnsi="Times New Roman" w:cs="Times New Roman" w:eastAsia="Times New Roman" w:hint="default"/>
          <w:spacing w:val="4"/>
        </w:rPr>
        <w:t> </w:t>
      </w:r>
      <w:r>
        <w:rPr/>
        <w:t>占用的一般借款，根据累计资产支出超过专门借款部分的资产支出 加权平均数乘以所占用一般借款的加权平均利率计算确定。</w:t>
      </w:r>
    </w:p>
    <w:p>
      <w:pPr>
        <w:spacing w:after="0" w:line="295" w:lineRule="auto"/>
        <w:jc w:val="both"/>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16、无形资产" w:id="186"/>
      <w:bookmarkEnd w:id="186"/>
      <w:r>
        <w:rPr>
          <w:b w:val="0"/>
          <w:bCs w:val="0"/>
        </w:rPr>
      </w:r>
      <w:r>
        <w:rPr>
          <w:rFonts w:ascii="Times New Roman" w:hAnsi="Times New Roman" w:cs="Times New Roman" w:eastAsia="Times New Roman" w:hint="default"/>
        </w:rPr>
        <w:t>16</w:t>
      </w:r>
      <w:r>
        <w:rPr/>
        <w:t>、无形资产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计价方法、使用寿命、减值测试" w:id="187"/>
      <w:bookmarkEnd w:id="187"/>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5"/>
        <w:rPr>
          <w:rFonts w:ascii="宋体" w:hAnsi="宋体" w:cs="宋体" w:eastAsia="宋体" w:hint="default"/>
          <w:b/>
          <w:bCs/>
          <w:sz w:val="26"/>
          <w:szCs w:val="26"/>
        </w:rPr>
      </w:pPr>
    </w:p>
    <w:p>
      <w:pPr>
        <w:spacing w:line="290" w:lineRule="auto" w:before="0"/>
        <w:ind w:left="441" w:right="1015" w:hanging="91"/>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pacing w:val="-76"/>
          <w:sz w:val="18"/>
          <w:szCs w:val="18"/>
        </w:rPr>
        <w:t> </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）无形资产的计价方法</w:t>
      </w:r>
      <w:r>
        <w:rPr>
          <w:rFonts w:ascii="宋体" w:hAnsi="宋体" w:cs="宋体" w:eastAsia="宋体" w:hint="default"/>
          <w:b/>
          <w:bCs/>
          <w:w w:val="99"/>
          <w:sz w:val="18"/>
          <w:szCs w:val="18"/>
        </w:rPr>
        <w:t> </w:t>
      </w:r>
      <w:r>
        <w:rPr>
          <w:rFonts w:ascii="宋体" w:hAnsi="宋体" w:cs="宋体" w:eastAsia="宋体" w:hint="default"/>
          <w:spacing w:val="-2"/>
          <w:sz w:val="18"/>
          <w:szCs w:val="18"/>
        </w:rPr>
        <w:t>无形资产仅在与其有关的经济利益很可能流入本集团，且其成本能够可靠地计量时才予以确认，并以成本进行初始计量。</w:t>
      </w:r>
    </w:p>
    <w:p>
      <w:pPr>
        <w:pStyle w:val="BodyText"/>
        <w:tabs>
          <w:tab w:pos="4226" w:val="left" w:leader="none"/>
        </w:tabs>
        <w:spacing w:line="321" w:lineRule="auto" w:before="26"/>
        <w:ind w:right="1096"/>
        <w:jc w:val="left"/>
      </w:pPr>
      <w:r>
        <w:rPr/>
        <w:t>但非同一控制下企业合并中取得的无形资产，其</w:t>
        <w:tab/>
        <w:t>公允价值能够可靠地计量的，即单独确认为无形资产并按照公允价值计</w:t>
      </w:r>
      <w:r>
        <w:rPr>
          <w:spacing w:val="-84"/>
        </w:rPr>
        <w:t> </w:t>
      </w:r>
      <w:r>
        <w:rPr>
          <w:spacing w:val="-84"/>
        </w:rPr>
      </w:r>
      <w:r>
        <w:rPr/>
        <w:t>量。</w:t>
      </w:r>
    </w:p>
    <w:p>
      <w:pPr>
        <w:pStyle w:val="BodyText"/>
        <w:spacing w:line="321" w:lineRule="auto" w:before="18"/>
        <w:ind w:right="1107" w:firstLine="300"/>
        <w:jc w:val="both"/>
      </w:pPr>
      <w:r>
        <w:rPr/>
        <w:t>本集团取得的土地使用权，通常作为无形资产核算。自行开发建造厂房等建筑物，相关的土地使用权和建筑物分别作为 </w:t>
      </w:r>
      <w:r>
        <w:rPr>
          <w:spacing w:val="-2"/>
        </w:rPr>
        <w:t>无形资产和固定资产核算。外购土地及建筑物支付的价款在土地使用权和建筑物之间进行分配，难以合理分配的，全部作为</w:t>
      </w:r>
      <w:r>
        <w:rPr>
          <w:spacing w:val="-75"/>
        </w:rPr>
        <w:t> </w:t>
      </w:r>
      <w:r>
        <w:rPr>
          <w:spacing w:val="-75"/>
        </w:rPr>
      </w:r>
      <w:r>
        <w:rPr/>
        <w:t>固定资产处理。</w:t>
      </w:r>
    </w:p>
    <w:p>
      <w:pPr>
        <w:spacing w:line="288" w:lineRule="auto" w:before="18"/>
        <w:ind w:left="441" w:right="5409" w:hanging="15"/>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）无形资产的使用寿命</w:t>
      </w:r>
      <w:r>
        <w:rPr>
          <w:rFonts w:ascii="宋体" w:hAnsi="宋体" w:cs="宋体" w:eastAsia="宋体" w:hint="default"/>
          <w:b/>
          <w:bCs/>
          <w:spacing w:val="-85"/>
          <w:sz w:val="18"/>
          <w:szCs w:val="18"/>
        </w:rPr>
        <w:t> </w:t>
      </w:r>
      <w:r>
        <w:rPr>
          <w:rFonts w:ascii="宋体" w:hAnsi="宋体" w:cs="宋体" w:eastAsia="宋体" w:hint="default"/>
          <w:b/>
          <w:bCs/>
          <w:spacing w:val="-85"/>
          <w:sz w:val="18"/>
          <w:szCs w:val="18"/>
        </w:rPr>
      </w:r>
      <w:r>
        <w:rPr>
          <w:rFonts w:ascii="宋体" w:hAnsi="宋体" w:cs="宋体" w:eastAsia="宋体" w:hint="default"/>
          <w:sz w:val="18"/>
          <w:szCs w:val="18"/>
        </w:rPr>
        <w:t>无形资产按照其能为本集团带来经济利益的期限确定使用寿命。</w:t>
      </w:r>
    </w:p>
    <w:p>
      <w:pPr>
        <w:pStyle w:val="BodyText"/>
        <w:spacing w:line="321" w:lineRule="auto" w:before="44"/>
        <w:ind w:right="1107" w:firstLine="300"/>
        <w:jc w:val="both"/>
      </w:pPr>
      <w:r>
        <w:rPr/>
        <w:t>使用寿命有限的无形资产，在其使用寿命内采用直线法摊销。本集团至少于每年年度终了，对使用寿命有限的无形资产 的使用寿命及摊销方法进行复核，必要时进行调整。</w:t>
      </w:r>
    </w:p>
    <w:p>
      <w:pPr>
        <w:spacing w:line="276" w:lineRule="auto" w:before="33"/>
        <w:ind w:left="441" w:right="6398" w:hanging="15"/>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）使用寿命有限的无形资产的使用寿命估计情况</w:t>
      </w:r>
      <w:r>
        <w:rPr>
          <w:rFonts w:ascii="宋体" w:hAnsi="宋体" w:cs="宋体" w:eastAsia="宋体" w:hint="default"/>
          <w:b/>
          <w:bCs/>
          <w:w w:val="99"/>
          <w:sz w:val="18"/>
          <w:szCs w:val="18"/>
        </w:rPr>
        <w:t> </w:t>
      </w:r>
      <w:r>
        <w:rPr>
          <w:rFonts w:ascii="宋体" w:hAnsi="宋体" w:cs="宋体" w:eastAsia="宋体" w:hint="default"/>
          <w:sz w:val="18"/>
          <w:szCs w:val="18"/>
        </w:rPr>
        <w:t>各项无形资产的使用寿命如下：</w:t>
      </w:r>
    </w:p>
    <w:p>
      <w:pPr>
        <w:spacing w:line="240" w:lineRule="auto" w:before="8"/>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4265"/>
        <w:gridCol w:w="4280"/>
      </w:tblGrid>
      <w:tr>
        <w:trPr>
          <w:trHeight w:val="338" w:hRule="exact"/>
        </w:trPr>
        <w:tc>
          <w:tcPr>
            <w:tcW w:w="4265"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right="0"/>
              <w:jc w:val="left"/>
              <w:rPr>
                <w:rFonts w:ascii="宋体" w:hAnsi="宋体" w:cs="宋体" w:eastAsia="宋体" w:hint="default"/>
                <w:sz w:val="18"/>
                <w:szCs w:val="18"/>
              </w:rPr>
            </w:pPr>
            <w:r>
              <w:rPr>
                <w:rFonts w:ascii="宋体" w:hAnsi="宋体" w:cs="宋体" w:eastAsia="宋体" w:hint="default"/>
                <w:sz w:val="18"/>
                <w:szCs w:val="18"/>
              </w:rPr>
              <w:t>分类</w:t>
            </w:r>
          </w:p>
        </w:tc>
        <w:tc>
          <w:tcPr>
            <w:tcW w:w="428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7"/>
              <w:ind w:left="1771" w:right="0"/>
              <w:jc w:val="left"/>
              <w:rPr>
                <w:rFonts w:ascii="宋体" w:hAnsi="宋体" w:cs="宋体" w:eastAsia="宋体" w:hint="default"/>
                <w:sz w:val="18"/>
                <w:szCs w:val="18"/>
              </w:rPr>
            </w:pPr>
            <w:r>
              <w:rPr>
                <w:rFonts w:ascii="宋体" w:hAnsi="宋体" w:cs="宋体" w:eastAsia="宋体" w:hint="default"/>
                <w:sz w:val="18"/>
                <w:szCs w:val="18"/>
              </w:rPr>
              <w:t>使用寿命</w:t>
            </w:r>
          </w:p>
        </w:tc>
      </w:tr>
      <w:tr>
        <w:trPr>
          <w:trHeight w:val="346"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83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47-50</w:t>
            </w:r>
            <w:r>
              <w:rPr>
                <w:rFonts w:ascii="宋体" w:hAnsi="宋体" w:cs="宋体" w:eastAsia="宋体" w:hint="default"/>
                <w:sz w:val="18"/>
                <w:szCs w:val="18"/>
              </w:rPr>
              <w:t>年</w:t>
            </w:r>
          </w:p>
        </w:tc>
      </w:tr>
      <w:tr>
        <w:trPr>
          <w:trHeight w:val="360"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财务管理软件</w:t>
            </w:r>
          </w:p>
        </w:tc>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2-10</w:t>
            </w:r>
            <w:r>
              <w:rPr>
                <w:rFonts w:ascii="宋体" w:hAnsi="宋体" w:cs="宋体" w:eastAsia="宋体" w:hint="default"/>
                <w:sz w:val="18"/>
                <w:szCs w:val="18"/>
              </w:rPr>
              <w:t>年</w:t>
            </w:r>
          </w:p>
        </w:tc>
      </w:tr>
      <w:tr>
        <w:trPr>
          <w:trHeight w:val="345"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网络管理软件</w:t>
            </w:r>
          </w:p>
        </w:tc>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2-10</w:t>
            </w:r>
            <w:r>
              <w:rPr>
                <w:rFonts w:ascii="宋体" w:hAnsi="宋体" w:cs="宋体" w:eastAsia="宋体" w:hint="default"/>
                <w:sz w:val="18"/>
                <w:szCs w:val="18"/>
              </w:rPr>
              <w:t>年</w:t>
            </w:r>
          </w:p>
        </w:tc>
      </w:tr>
      <w:tr>
        <w:trPr>
          <w:trHeight w:val="345" w:hRule="exact"/>
        </w:trPr>
        <w:tc>
          <w:tcPr>
            <w:tcW w:w="42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42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年</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5"/>
        <w:spacing w:line="508" w:lineRule="auto" w:before="35"/>
        <w:ind w:right="7692"/>
        <w:jc w:val="left"/>
        <w:rPr>
          <w:b w:val="0"/>
          <w:bCs w:val="0"/>
        </w:rPr>
      </w:pPr>
      <w:bookmarkStart w:name="（2）内部研究开发支出会计政策" w:id="188"/>
      <w:bookmarkEnd w:id="188"/>
      <w:r>
        <w:rPr>
          <w:b w:val="0"/>
          <w:bCs w:val="0"/>
        </w:rPr>
      </w:r>
      <w:r>
        <w:rPr/>
        <w:t>（</w:t>
      </w:r>
      <w:r>
        <w:rPr>
          <w:rFonts w:ascii="Times New Roman" w:hAnsi="Times New Roman" w:cs="Times New Roman" w:eastAsia="Times New Roman" w:hint="default"/>
        </w:rPr>
        <w:t>2</w:t>
      </w:r>
      <w:r>
        <w:rPr/>
        <w:t>）内部研究开发支出会计政策</w:t>
      </w:r>
      <w:r>
        <w:rPr>
          <w:spacing w:val="-103"/>
        </w:rPr>
        <w:t> </w:t>
      </w:r>
      <w:r>
        <w:rPr>
          <w:spacing w:val="-103"/>
        </w:rPr>
      </w:r>
      <w:bookmarkStart w:name="17、长期资产减值" w:id="189"/>
      <w:bookmarkEnd w:id="189"/>
      <w:r>
        <w:rPr>
          <w:spacing w:val="-103"/>
        </w:rPr>
      </w:r>
      <w:r>
        <w:rPr>
          <w:rFonts w:ascii="Times New Roman" w:hAnsi="Times New Roman" w:cs="Times New Roman" w:eastAsia="Times New Roman" w:hint="default"/>
        </w:rPr>
        <w:t>17</w:t>
      </w:r>
      <w:r>
        <w:rPr/>
        <w:t>、长期资产减值</w:t>
      </w:r>
      <w:r>
        <w:rPr>
          <w:b w:val="0"/>
          <w:bCs w:val="0"/>
        </w:rPr>
      </w:r>
    </w:p>
    <w:p>
      <w:pPr>
        <w:pStyle w:val="BodyText"/>
        <w:spacing w:line="321" w:lineRule="auto" w:before="54"/>
        <w:ind w:left="441" w:right="1089" w:hanging="301"/>
        <w:jc w:val="left"/>
      </w:pPr>
      <w:r>
        <w:rPr/>
        <w:t>本集团对除存货、递延所得税、金融资产外的资产减值，按以下方法确定： 本集团于资产负债表日判断资产是否存在可能发生减值的迹象，存在减值迹象的，本集团将估计其可收回金额，进行减</w:t>
      </w:r>
    </w:p>
    <w:p>
      <w:pPr>
        <w:pStyle w:val="BodyText"/>
        <w:spacing w:line="321" w:lineRule="auto" w:before="19"/>
        <w:ind w:right="1029"/>
        <w:jc w:val="left"/>
      </w:pPr>
      <w:r>
        <w:rPr/>
        <w:t>值测试。对因企业合并所形成的商誉和使用寿命不确定的无形资产，无论是否存在减值迹象，至少于每年末进行减值测试。</w:t>
      </w:r>
      <w:r>
        <w:rPr>
          <w:spacing w:val="-83"/>
        </w:rPr>
        <w:t> </w:t>
      </w:r>
      <w:r>
        <w:rPr>
          <w:spacing w:val="-83"/>
        </w:rPr>
      </w:r>
      <w:r>
        <w:rPr/>
        <w:t>对于尚未达到可使用状态的无形资产，也每年进行减值测试。</w:t>
      </w:r>
    </w:p>
    <w:p>
      <w:pPr>
        <w:pStyle w:val="BodyText"/>
        <w:spacing w:line="314" w:lineRule="auto" w:before="19"/>
        <w:ind w:right="1120" w:firstLine="300"/>
        <w:jc w:val="both"/>
      </w:pPr>
      <w:r>
        <w:rPr>
          <w:spacing w:val="-1"/>
        </w:rPr>
        <w:t>可收回金额根据资产的公允价值减去处置费用后的净额与资产预计未来现金流量的现值两者之间较高者确定。本集团以</w:t>
      </w:r>
      <w:r>
        <w:rPr/>
        <w:t> </w:t>
      </w:r>
      <w:r>
        <w:rPr>
          <w:spacing w:val="-2"/>
        </w:rPr>
        <w:t>单项资产为基础估计其可收回金额；难以对单项资产的可收回金额进行估计的，以该资产所属的资产组为基础确定资产组的</w:t>
      </w:r>
      <w:r>
        <w:rPr>
          <w:spacing w:val="-72"/>
        </w:rPr>
        <w:t> </w:t>
      </w:r>
      <w:r>
        <w:rPr>
          <w:spacing w:val="-72"/>
        </w:rPr>
      </w:r>
      <w:r>
        <w:rPr/>
        <w:t>可收回金额。资产组的认定，以资产组产生的主要现金流入是否独立于其他资产或者资产组的现金流入为依据。</w:t>
      </w:r>
    </w:p>
    <w:p>
      <w:pPr>
        <w:pStyle w:val="BodyText"/>
        <w:spacing w:line="321" w:lineRule="auto" w:before="23"/>
        <w:ind w:right="0" w:firstLine="300"/>
        <w:jc w:val="left"/>
      </w:pPr>
      <w:r>
        <w:rPr>
          <w:spacing w:val="-2"/>
        </w:rPr>
        <w:t>当资产或者资产组的可收回金额低于其账面价值时，本集团将其账面价值减记至可收回金额，减记的金额计入当期损益，</w:t>
      </w:r>
      <w:r>
        <w:rPr/>
        <w:t> 同时计提相应的资产减值准备。</w:t>
      </w:r>
    </w:p>
    <w:p>
      <w:pPr>
        <w:pStyle w:val="BodyText"/>
        <w:spacing w:line="240" w:lineRule="auto" w:before="18"/>
        <w:ind w:right="0"/>
        <w:jc w:val="left"/>
      </w:pPr>
      <w:r>
        <w:rPr/>
        <w:t>上述资产减值损失一经确认，在以后会计期间不再转回。</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bookmarkStart w:name="18、长期待摊费用" w:id="190"/>
      <w:bookmarkEnd w:id="190"/>
      <w:r>
        <w:rPr>
          <w:b w:val="0"/>
          <w:bCs w:val="0"/>
        </w:rPr>
      </w:r>
      <w:r>
        <w:rPr>
          <w:rFonts w:ascii="Times New Roman" w:hAnsi="Times New Roman" w:cs="Times New Roman" w:eastAsia="Times New Roman" w:hint="default"/>
        </w:rPr>
        <w:t>18</w:t>
      </w:r>
      <w:r>
        <w:rPr/>
        <w:t>、长期待摊费用</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0"/>
        <w:jc w:val="left"/>
      </w:pPr>
      <w:r>
        <w:rPr>
          <w:spacing w:val="-2"/>
        </w:rPr>
        <w:t>长期待摊费用包括预付经营租赁费用及经营租入固定资产改良，按租赁期和预计受益期孰短采用直线法摊销，并以实际支出</w:t>
      </w:r>
      <w:r>
        <w:rPr>
          <w:spacing w:val="-72"/>
        </w:rPr>
        <w:t> </w:t>
      </w:r>
      <w:r>
        <w:rPr>
          <w:spacing w:val="-72"/>
        </w:rPr>
      </w:r>
      <w:r>
        <w:rPr/>
        <w:t>减去累计摊销与减值准备后的净额列示。</w:t>
      </w:r>
    </w:p>
    <w:p>
      <w:pPr>
        <w:spacing w:after="0" w:line="321"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pStyle w:val="Heading5"/>
        <w:spacing w:line="240" w:lineRule="auto"/>
        <w:ind w:right="0"/>
        <w:jc w:val="left"/>
        <w:rPr>
          <w:b w:val="0"/>
          <w:bCs w:val="0"/>
        </w:rPr>
      </w:pPr>
      <w:bookmarkStart w:name="19、职工薪酬" w:id="191"/>
      <w:bookmarkEnd w:id="191"/>
      <w:r>
        <w:rPr>
          <w:b w:val="0"/>
          <w:bCs w:val="0"/>
        </w:rPr>
      </w:r>
      <w:r>
        <w:rPr>
          <w:rFonts w:ascii="Times New Roman" w:hAnsi="Times New Roman" w:cs="Times New Roman" w:eastAsia="Times New Roman" w:hint="default"/>
        </w:rPr>
        <w:t>19</w:t>
      </w:r>
      <w:r>
        <w:rPr/>
        <w:t>、职工薪酬</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短期薪酬的会计处理方法" w:id="192"/>
      <w:bookmarkEnd w:id="19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14" w:lineRule="auto"/>
        <w:ind w:right="1029" w:firstLine="75"/>
        <w:jc w:val="left"/>
      </w:pPr>
      <w:r>
        <w:rPr/>
        <w:t>职工薪酬，是指本集团为获得职工提供的服务或解除劳动关系而给予的除股份支付以外各种形式的报酬或补偿以及其他相 关支出。职工薪酬包括短期薪酬、离职后福利、辞退福利和其他长期职工福利。本集团提供给职工配偶、子女、受赡养人、</w:t>
      </w:r>
      <w:r>
        <w:rPr>
          <w:spacing w:val="-80"/>
        </w:rPr>
        <w:t> </w:t>
      </w:r>
      <w:r>
        <w:rPr>
          <w:spacing w:val="-80"/>
        </w:rPr>
      </w:r>
      <w:r>
        <w:rPr/>
        <w:t>已故员工遗属及其他受益人等的福利，也属于职工薪酬。</w:t>
      </w:r>
    </w:p>
    <w:p>
      <w:pPr>
        <w:pStyle w:val="BodyText"/>
        <w:spacing w:line="240" w:lineRule="auto" w:before="24"/>
        <w:ind w:right="0"/>
        <w:jc w:val="left"/>
      </w:pPr>
      <w:r>
        <w:rPr/>
        <w:t>短期薪酬</w:t>
      </w:r>
    </w:p>
    <w:p>
      <w:pPr>
        <w:pStyle w:val="BodyText"/>
        <w:spacing w:line="240" w:lineRule="auto" w:before="79"/>
        <w:ind w:left="441" w:right="0"/>
        <w:jc w:val="left"/>
      </w:pPr>
      <w:r>
        <w:rPr/>
        <w:t>在职工提供服务的会计期间，将实际发生的短期薪酬确认为负债，并计入当期损益或相关资产成本。</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5"/>
          <w:szCs w:val="15"/>
        </w:rPr>
      </w:pPr>
    </w:p>
    <w:p>
      <w:pPr>
        <w:pStyle w:val="Heading5"/>
        <w:spacing w:line="240" w:lineRule="auto"/>
        <w:ind w:right="0"/>
        <w:jc w:val="left"/>
        <w:rPr>
          <w:b w:val="0"/>
          <w:bCs w:val="0"/>
        </w:rPr>
      </w:pPr>
      <w:bookmarkStart w:name="（2）离职后福利的会计处理方法" w:id="193"/>
      <w:bookmarkEnd w:id="19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0"/>
        <w:jc w:val="left"/>
      </w:pPr>
      <w:r>
        <w:rPr>
          <w:spacing w:val="-2"/>
        </w:rPr>
        <w:t>离职后福利即设定提存计划。本集团的职工参加由当地政府管理的养老保险和失业保险，相应支出在发生时计入相关资产成</w:t>
      </w:r>
      <w:r>
        <w:rPr>
          <w:spacing w:val="-72"/>
        </w:rPr>
        <w:t> </w:t>
      </w:r>
      <w:r>
        <w:rPr>
          <w:spacing w:val="-72"/>
        </w:rPr>
      </w:r>
      <w:r>
        <w:rPr/>
        <w:t>本或当期损益。</w:t>
      </w:r>
    </w:p>
    <w:p>
      <w:pPr>
        <w:spacing w:line="240" w:lineRule="auto" w:before="13"/>
        <w:rPr>
          <w:rFonts w:ascii="宋体" w:hAnsi="宋体" w:cs="宋体" w:eastAsia="宋体" w:hint="default"/>
          <w:sz w:val="23"/>
          <w:szCs w:val="23"/>
        </w:rPr>
      </w:pPr>
    </w:p>
    <w:p>
      <w:pPr>
        <w:pStyle w:val="Heading5"/>
        <w:spacing w:line="240" w:lineRule="auto"/>
        <w:ind w:right="0"/>
        <w:jc w:val="left"/>
        <w:rPr>
          <w:b w:val="0"/>
          <w:bCs w:val="0"/>
        </w:rPr>
      </w:pPr>
      <w:bookmarkStart w:name="（3）辞退福利的会计处理方法" w:id="194"/>
      <w:bookmarkEnd w:id="19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12" w:firstLine="150"/>
        <w:jc w:val="left"/>
      </w:pPr>
      <w:r>
        <w:rPr>
          <w:spacing w:val="-1"/>
        </w:rPr>
        <w:t>本集团向职工提供辞退福利的，在下列两者孰早日确认辞退福利产生的职工薪酬负债，并计入当期损益：企业不能单方面</w:t>
      </w:r>
      <w:r>
        <w:rPr/>
        <w:t> 撤回因解除劳动关系计划或裁减建议所提供的辞退福利时；企业确认与涉及支付辞退福利的重组相关的成本或费用时。</w:t>
      </w:r>
    </w:p>
    <w:p>
      <w:pPr>
        <w:spacing w:line="240" w:lineRule="auto" w:before="11"/>
        <w:rPr>
          <w:rFonts w:ascii="宋体" w:hAnsi="宋体" w:cs="宋体" w:eastAsia="宋体" w:hint="default"/>
          <w:sz w:val="22"/>
          <w:szCs w:val="22"/>
        </w:rPr>
      </w:pPr>
    </w:p>
    <w:p>
      <w:pPr>
        <w:pStyle w:val="Heading5"/>
        <w:spacing w:line="240" w:lineRule="auto"/>
        <w:ind w:right="0"/>
        <w:jc w:val="left"/>
        <w:rPr>
          <w:b w:val="0"/>
          <w:bCs w:val="0"/>
        </w:rPr>
      </w:pPr>
      <w:bookmarkStart w:name="（4）其他长期职工福利的会计处理方法" w:id="195"/>
      <w:bookmarkEnd w:id="19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216" w:right="0"/>
        <w:jc w:val="left"/>
      </w:pPr>
      <w:r>
        <w:rPr/>
        <w:t>本集团无其他长期职工福利。</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20、预计负债" w:id="196"/>
      <w:bookmarkEnd w:id="196"/>
      <w:r>
        <w:rPr>
          <w:b w:val="0"/>
          <w:bCs w:val="0"/>
        </w:rPr>
      </w:r>
      <w:r>
        <w:rPr>
          <w:rFonts w:ascii="Times New Roman" w:hAnsi="Times New Roman" w:cs="Times New Roman" w:eastAsia="Times New Roman" w:hint="default"/>
        </w:rPr>
        <w:t>20</w:t>
      </w:r>
      <w:r>
        <w:rPr/>
        <w:t>、预计负债</w:t>
      </w:r>
      <w:r>
        <w:rPr>
          <w:b w:val="0"/>
          <w:bCs w:val="0"/>
        </w:rPr>
      </w:r>
    </w:p>
    <w:p>
      <w:pPr>
        <w:spacing w:line="240" w:lineRule="auto" w:before="5"/>
        <w:rPr>
          <w:rFonts w:ascii="宋体" w:hAnsi="宋体" w:cs="宋体" w:eastAsia="宋体" w:hint="default"/>
          <w:b/>
          <w:bCs/>
          <w:sz w:val="26"/>
          <w:szCs w:val="26"/>
        </w:rPr>
      </w:pPr>
    </w:p>
    <w:p>
      <w:pPr>
        <w:spacing w:line="288" w:lineRule="auto" w:before="0"/>
        <w:ind w:left="441" w:right="1089" w:hanging="151"/>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29"/>
          <w:sz w:val="18"/>
          <w:szCs w:val="18"/>
        </w:rPr>
        <w:t> </w:t>
      </w:r>
      <w:r>
        <w:rPr>
          <w:rFonts w:ascii="宋体" w:hAnsi="宋体" w:cs="宋体" w:eastAsia="宋体" w:hint="default"/>
          <w:b/>
          <w:bCs/>
          <w:sz w:val="18"/>
          <w:szCs w:val="18"/>
        </w:rPr>
        <w:t>预计负债的确认标准</w:t>
      </w:r>
      <w:r>
        <w:rPr>
          <w:rFonts w:ascii="宋体" w:hAnsi="宋体" w:cs="宋体" w:eastAsia="宋体" w:hint="default"/>
          <w:b/>
          <w:bCs/>
          <w:w w:val="99"/>
          <w:sz w:val="18"/>
          <w:szCs w:val="18"/>
        </w:rPr>
        <w:t> </w:t>
      </w:r>
      <w:r>
        <w:rPr>
          <w:rFonts w:ascii="宋体" w:hAnsi="宋体" w:cs="宋体" w:eastAsia="宋体" w:hint="default"/>
          <w:sz w:val="18"/>
          <w:szCs w:val="18"/>
        </w:rPr>
        <w:t>除了非同一控制下企业合并中的或有对价及承担的或有负债之外，当与或有事项相关的义务同时符合以下条件，本集团</w:t>
      </w:r>
    </w:p>
    <w:p>
      <w:pPr>
        <w:pStyle w:val="BodyText"/>
        <w:spacing w:line="240" w:lineRule="auto" w:before="44"/>
        <w:ind w:right="0"/>
        <w:jc w:val="left"/>
      </w:pPr>
      <w:r>
        <w:rPr/>
        <w:t>将其确认为预计负债：</w:t>
      </w:r>
    </w:p>
    <w:p>
      <w:pPr>
        <w:pStyle w:val="BodyText"/>
        <w:spacing w:line="240" w:lineRule="auto" w:before="79"/>
        <w:ind w:left="441" w:right="0"/>
        <w:jc w:val="left"/>
      </w:pPr>
      <w:r>
        <w:rPr>
          <w:rFonts w:ascii="Times New Roman" w:hAnsi="Times New Roman" w:cs="Times New Roman" w:eastAsia="Times New Roman" w:hint="default"/>
        </w:rPr>
        <w:t>1</w:t>
      </w:r>
      <w:r>
        <w:rPr/>
        <w:t>）该义务是本集团承担的现时义务；</w:t>
      </w:r>
    </w:p>
    <w:p>
      <w:pPr>
        <w:pStyle w:val="BodyText"/>
        <w:spacing w:line="240" w:lineRule="auto" w:before="66"/>
        <w:ind w:left="441" w:right="0"/>
        <w:jc w:val="left"/>
      </w:pPr>
      <w:r>
        <w:rPr>
          <w:rFonts w:ascii="Times New Roman" w:hAnsi="Times New Roman" w:cs="Times New Roman" w:eastAsia="Times New Roman" w:hint="default"/>
        </w:rPr>
        <w:t>2)</w:t>
      </w:r>
      <w:r>
        <w:rPr/>
        <w:t>该义务的履行很可能导致经济利益流出本集团；</w:t>
      </w:r>
    </w:p>
    <w:p>
      <w:pPr>
        <w:pStyle w:val="BodyText"/>
        <w:spacing w:line="240" w:lineRule="auto" w:before="66"/>
        <w:ind w:left="441" w:right="0"/>
        <w:jc w:val="left"/>
      </w:pPr>
      <w:r>
        <w:rPr>
          <w:rFonts w:ascii="Times New Roman" w:hAnsi="Times New Roman" w:cs="Times New Roman" w:eastAsia="Times New Roman" w:hint="default"/>
        </w:rPr>
        <w:t>3)</w:t>
      </w:r>
      <w:r>
        <w:rPr/>
        <w:t>该义务的金额能够可靠地计量。</w:t>
      </w:r>
    </w:p>
    <w:p>
      <w:pPr>
        <w:spacing w:line="288" w:lineRule="auto" w:before="66"/>
        <w:ind w:left="516" w:right="1118" w:hanging="7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 </w:t>
      </w:r>
      <w:r>
        <w:rPr>
          <w:rFonts w:ascii="宋体" w:hAnsi="宋体" w:cs="宋体" w:eastAsia="宋体" w:hint="default"/>
          <w:b/>
          <w:bCs/>
          <w:sz w:val="18"/>
          <w:szCs w:val="18"/>
        </w:rPr>
        <w:t>预计负债的计量方法</w:t>
      </w:r>
      <w:r>
        <w:rPr>
          <w:rFonts w:ascii="宋体" w:hAnsi="宋体" w:cs="宋体" w:eastAsia="宋体" w:hint="default"/>
          <w:b/>
          <w:bCs/>
          <w:spacing w:val="-69"/>
          <w:sz w:val="18"/>
          <w:szCs w:val="18"/>
        </w:rPr>
        <w:t> </w:t>
      </w:r>
      <w:r>
        <w:rPr>
          <w:rFonts w:ascii="宋体" w:hAnsi="宋体" w:cs="宋体" w:eastAsia="宋体" w:hint="default"/>
          <w:b/>
          <w:bCs/>
          <w:spacing w:val="-69"/>
          <w:sz w:val="18"/>
          <w:szCs w:val="18"/>
        </w:rPr>
      </w:r>
      <w:r>
        <w:rPr>
          <w:rFonts w:ascii="宋体" w:hAnsi="宋体" w:cs="宋体" w:eastAsia="宋体" w:hint="default"/>
          <w:spacing w:val="-2"/>
          <w:sz w:val="18"/>
          <w:szCs w:val="18"/>
        </w:rPr>
        <w:t>预计负债按照履行相关现时义务所需支出的最佳估计数进行初始计量，并综合考虑与或有事项有关的风险、不确定性和</w:t>
      </w:r>
    </w:p>
    <w:p>
      <w:pPr>
        <w:pStyle w:val="BodyText"/>
        <w:spacing w:line="321" w:lineRule="auto" w:before="29"/>
        <w:ind w:right="0"/>
        <w:jc w:val="left"/>
      </w:pPr>
      <w:r>
        <w:rPr>
          <w:spacing w:val="-2"/>
        </w:rPr>
        <w:t>货币时间价值等因素。每个资产负债表日对预计负债的账面价值进行复核。有确凿证据表明该账面价值不能反映当前最佳估</w:t>
      </w:r>
      <w:r>
        <w:rPr>
          <w:spacing w:val="-72"/>
        </w:rPr>
        <w:t> </w:t>
      </w:r>
      <w:r>
        <w:rPr>
          <w:spacing w:val="-72"/>
        </w:rPr>
      </w:r>
      <w:r>
        <w:rPr/>
        <w:t>计数的，按照当前最佳估计数对该账面价值进行调整。</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57"/>
        <w:ind w:right="0"/>
        <w:jc w:val="left"/>
        <w:rPr>
          <w:b w:val="0"/>
          <w:bCs w:val="0"/>
        </w:rPr>
      </w:pPr>
      <w:bookmarkStart w:name="21、股份支付" w:id="197"/>
      <w:bookmarkEnd w:id="197"/>
      <w:r>
        <w:rPr>
          <w:b w:val="0"/>
          <w:bCs w:val="0"/>
        </w:rPr>
      </w:r>
      <w:r>
        <w:rPr>
          <w:rFonts w:ascii="Times New Roman" w:hAnsi="Times New Roman" w:cs="Times New Roman" w:eastAsia="Times New Roman" w:hint="default"/>
        </w:rPr>
        <w:t>21</w:t>
      </w:r>
      <w:r>
        <w:rPr/>
        <w:t>、股份支付</w:t>
      </w:r>
      <w:r>
        <w:rPr>
          <w:b w:val="0"/>
          <w:bCs w:val="0"/>
        </w:rPr>
      </w:r>
    </w:p>
    <w:p>
      <w:pPr>
        <w:spacing w:line="240" w:lineRule="auto" w:before="5"/>
        <w:rPr>
          <w:rFonts w:ascii="宋体" w:hAnsi="宋体" w:cs="宋体" w:eastAsia="宋体" w:hint="default"/>
          <w:b/>
          <w:bCs/>
          <w:sz w:val="26"/>
          <w:szCs w:val="26"/>
        </w:rPr>
      </w:pPr>
    </w:p>
    <w:p>
      <w:pPr>
        <w:pStyle w:val="BodyText"/>
        <w:spacing w:line="276" w:lineRule="auto"/>
        <w:ind w:right="0" w:firstLine="300"/>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15"/>
        </w:rPr>
        <w:t> </w:t>
      </w:r>
      <w:r>
        <w:rPr>
          <w:rFonts w:ascii="宋体" w:hAnsi="宋体" w:cs="宋体" w:eastAsia="宋体" w:hint="default"/>
          <w:b/>
          <w:bCs/>
        </w:rPr>
        <w:t>股份支付的种类</w:t>
      </w:r>
      <w:r>
        <w:rPr>
          <w:rFonts w:ascii="宋体" w:hAnsi="宋体" w:cs="宋体" w:eastAsia="宋体" w:hint="default"/>
          <w:b/>
          <w:bCs/>
          <w:w w:val="99"/>
        </w:rPr>
        <w:t> </w:t>
      </w:r>
      <w:r>
        <w:rPr>
          <w:spacing w:val="-2"/>
        </w:rPr>
        <w:t>股份支付，分为以权益结算的股份支付和以现金结算的股份支付。以权益结算的股份支付，是指本集团为获取服务以股份或</w:t>
      </w:r>
    </w:p>
    <w:p>
      <w:pPr>
        <w:spacing w:after="0" w:line="276"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both"/>
      </w:pPr>
      <w:r>
        <w:rPr/>
        <w:t>其他权益工具作为对价进行结算的交易。</w:t>
      </w:r>
    </w:p>
    <w:p>
      <w:pPr>
        <w:spacing w:line="290" w:lineRule="auto" w:before="94"/>
        <w:ind w:left="441" w:right="108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 </w:t>
      </w:r>
      <w:r>
        <w:rPr>
          <w:rFonts w:ascii="宋体" w:hAnsi="宋体" w:cs="宋体" w:eastAsia="宋体" w:hint="default"/>
          <w:b/>
          <w:bCs/>
          <w:sz w:val="18"/>
          <w:szCs w:val="18"/>
        </w:rPr>
        <w:t>权益工具公允价值的确定方法及确认可行权权益工具最佳估计的依据</w:t>
      </w:r>
      <w:r>
        <w:rPr>
          <w:rFonts w:ascii="宋体" w:hAnsi="宋体" w:cs="宋体" w:eastAsia="宋体" w:hint="default"/>
          <w:b/>
          <w:bCs/>
          <w:spacing w:val="-65"/>
          <w:sz w:val="18"/>
          <w:szCs w:val="18"/>
        </w:rPr>
        <w:t> </w:t>
      </w:r>
      <w:r>
        <w:rPr>
          <w:rFonts w:ascii="宋体" w:hAnsi="宋体" w:cs="宋体" w:eastAsia="宋体" w:hint="default"/>
          <w:b/>
          <w:bCs/>
          <w:spacing w:val="-65"/>
          <w:sz w:val="18"/>
          <w:szCs w:val="18"/>
        </w:rPr>
      </w:r>
      <w:r>
        <w:rPr>
          <w:rFonts w:ascii="宋体" w:hAnsi="宋体" w:cs="宋体" w:eastAsia="宋体" w:hint="default"/>
          <w:sz w:val="18"/>
          <w:szCs w:val="18"/>
        </w:rPr>
        <w:t>以权益结算的股份支付换取职工提供服务的，以授予职工权益工具的公允价值计量。完成等待期内的服务或达到规定业</w:t>
      </w:r>
    </w:p>
    <w:p>
      <w:pPr>
        <w:pStyle w:val="BodyText"/>
        <w:spacing w:line="328" w:lineRule="auto" w:before="27"/>
        <w:ind w:right="1136"/>
        <w:jc w:val="both"/>
      </w:pPr>
      <w:r>
        <w:rPr>
          <w:spacing w:val="-2"/>
        </w:rPr>
        <w:t>绩条件才可行权的，在等待期内每个资产负债表日，本集团根据最新取得的可行权职工人数变动、是否达到规定业绩条件等</w:t>
      </w:r>
      <w:r>
        <w:rPr>
          <w:spacing w:val="-75"/>
        </w:rPr>
        <w:t> </w:t>
      </w:r>
      <w:r>
        <w:rPr>
          <w:spacing w:val="-75"/>
        </w:rPr>
      </w:r>
      <w:r>
        <w:rPr>
          <w:spacing w:val="-2"/>
        </w:rPr>
        <w:t>后续信息对可行权权益工具数量作出最佳估计，以此为基础，按照授予日的公允价值，将当期取得的服务计入相关成本或费</w:t>
      </w:r>
      <w:r>
        <w:rPr>
          <w:spacing w:val="-75"/>
        </w:rPr>
        <w:t> </w:t>
      </w:r>
      <w:r>
        <w:rPr>
          <w:spacing w:val="-75"/>
        </w:rPr>
      </w:r>
      <w:r>
        <w:rPr/>
        <w:t>用，相应增加资本公积。权益工具的公允价值采用布莱克</w:t>
      </w:r>
      <w:r>
        <w:rPr>
          <w:rFonts w:ascii="Times New Roman" w:hAnsi="Times New Roman" w:cs="Times New Roman" w:eastAsia="Times New Roman" w:hint="default"/>
        </w:rPr>
        <w:t>-</w:t>
      </w:r>
      <w:r>
        <w:rPr/>
        <w:t>斯克尔期权定价模型确定，参见附注十三。</w:t>
      </w:r>
    </w:p>
    <w:p>
      <w:pPr>
        <w:pStyle w:val="BodyText"/>
        <w:spacing w:line="213" w:lineRule="exact"/>
        <w:ind w:right="0" w:firstLine="300"/>
        <w:jc w:val="left"/>
      </w:pPr>
      <w:r>
        <w:rPr/>
        <w:t>在满足业绩条件和服务期限条件的期间，应确认以权益结算的股份支付的成本或费用，并相应增加资本公积。可行权日</w:t>
      </w:r>
    </w:p>
    <w:p>
      <w:pPr>
        <w:pStyle w:val="BodyText"/>
        <w:spacing w:line="304" w:lineRule="auto" w:before="80"/>
        <w:ind w:right="0"/>
        <w:jc w:val="left"/>
      </w:pPr>
      <w:r>
        <w:rPr>
          <w:spacing w:val="-2"/>
        </w:rPr>
        <w:t>之前，于每个资产负债表日为以权益结算的股份支付确认的累计金额反映了等待期已届满的部分以及本集团对最终可行权的</w:t>
      </w:r>
      <w:r>
        <w:rPr>
          <w:spacing w:val="-58"/>
        </w:rPr>
        <w:t> </w:t>
      </w:r>
      <w:r>
        <w:rPr>
          <w:spacing w:val="-58"/>
        </w:rPr>
      </w:r>
      <w:r>
        <w:rPr/>
        <w:t>权益工具数量的最佳估计。</w:t>
      </w:r>
    </w:p>
    <w:p>
      <w:pPr>
        <w:spacing w:line="288" w:lineRule="auto" w:before="46"/>
        <w:ind w:left="441" w:right="1089"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(3)</w:t>
      </w:r>
      <w:r>
        <w:rPr>
          <w:rFonts w:ascii="Times New Roman" w:hAnsi="Times New Roman" w:cs="Times New Roman" w:eastAsia="Times New Roman" w:hint="default"/>
          <w:b/>
          <w:bCs/>
          <w:spacing w:val="15"/>
          <w:sz w:val="18"/>
          <w:szCs w:val="18"/>
        </w:rPr>
        <w:t> </w:t>
      </w:r>
      <w:r>
        <w:rPr>
          <w:rFonts w:ascii="宋体" w:hAnsi="宋体" w:cs="宋体" w:eastAsia="宋体" w:hint="default"/>
          <w:b/>
          <w:bCs/>
          <w:sz w:val="18"/>
          <w:szCs w:val="18"/>
        </w:rPr>
        <w:t>修改及终止股份支付计划的相关会计处理</w:t>
      </w:r>
      <w:r>
        <w:rPr>
          <w:rFonts w:ascii="宋体" w:hAnsi="宋体" w:cs="宋体" w:eastAsia="宋体" w:hint="default"/>
          <w:b/>
          <w:bCs/>
          <w:w w:val="99"/>
          <w:sz w:val="18"/>
          <w:szCs w:val="18"/>
        </w:rPr>
        <w:t> </w:t>
      </w:r>
      <w:r>
        <w:rPr>
          <w:rFonts w:ascii="宋体" w:hAnsi="宋体" w:cs="宋体" w:eastAsia="宋体" w:hint="default"/>
          <w:sz w:val="18"/>
          <w:szCs w:val="18"/>
        </w:rPr>
        <w:t>对由于未满足非市场条件和服务期限条件而最终未能行权的股份支付，不确认成本或费用，不确认成本或费用，股份支</w:t>
      </w:r>
    </w:p>
    <w:p>
      <w:pPr>
        <w:pStyle w:val="BodyText"/>
        <w:spacing w:line="321" w:lineRule="auto" w:before="44"/>
        <w:ind w:right="0"/>
        <w:jc w:val="left"/>
      </w:pPr>
      <w:r>
        <w:rPr>
          <w:spacing w:val="-2"/>
        </w:rPr>
        <w:t>付协议中规定了市场条件或非可行权条件的，无论是否满足市场条件或非可行权条件，只要满足其他业绩条件和服务期限条</w:t>
      </w:r>
      <w:r>
        <w:rPr>
          <w:spacing w:val="-72"/>
        </w:rPr>
        <w:t> </w:t>
      </w:r>
      <w:r>
        <w:rPr>
          <w:spacing w:val="-72"/>
        </w:rPr>
      </w:r>
      <w:r>
        <w:rPr/>
        <w:t>件，即视为可行权。</w:t>
      </w:r>
    </w:p>
    <w:p>
      <w:pPr>
        <w:pStyle w:val="BodyText"/>
        <w:spacing w:line="321" w:lineRule="auto" w:before="3"/>
        <w:ind w:right="1089" w:firstLine="300"/>
        <w:jc w:val="left"/>
      </w:pPr>
      <w:r>
        <w:rPr/>
        <w:t>如果修改了以权益结算的股份支付的条款，至少按照未修改条款的情况确认取得的服务。此外，任何增加所授予权益工 具公允价值的修改，或在修改日对职工有利的变更，均确认取得服务的增加。</w:t>
      </w:r>
    </w:p>
    <w:p>
      <w:pPr>
        <w:pStyle w:val="BodyText"/>
        <w:spacing w:line="316" w:lineRule="auto" w:before="18"/>
        <w:ind w:right="1089" w:firstLine="300"/>
        <w:jc w:val="left"/>
      </w:pPr>
      <w:r>
        <w:rPr/>
        <w:t>如果取消了以权益结算的股份支付，则于取消日作为加速行权处理，立即确认尚未确认的金额。职工或其他方能够选择 </w:t>
      </w:r>
      <w:r>
        <w:rPr>
          <w:spacing w:val="-2"/>
        </w:rPr>
        <w:t>满足非可行权条件但在等待期内未满足的，作为取消以权益结算的股份支付处理。但是，如果授予新的权益工具，并在新权</w:t>
      </w:r>
      <w:r>
        <w:rPr>
          <w:spacing w:val="-42"/>
        </w:rPr>
        <w:t> </w:t>
      </w:r>
      <w:r>
        <w:rPr>
          <w:spacing w:val="-42"/>
        </w:rPr>
      </w:r>
      <w:r>
        <w:rPr/>
        <w:t>益工具授予日认定所授予的新权益工具是用于替代被取消的权益工具的，则以与处理原权益工具条款和条件修改相同的方 式，对所授予的替代权益工具进行处理。</w:t>
      </w:r>
    </w:p>
    <w:p>
      <w:pPr>
        <w:spacing w:line="240" w:lineRule="auto" w:before="3"/>
        <w:rPr>
          <w:rFonts w:ascii="宋体" w:hAnsi="宋体" w:cs="宋体" w:eastAsia="宋体" w:hint="default"/>
          <w:sz w:val="24"/>
          <w:szCs w:val="24"/>
        </w:rPr>
      </w:pPr>
    </w:p>
    <w:p>
      <w:pPr>
        <w:pStyle w:val="Heading5"/>
        <w:spacing w:line="240" w:lineRule="auto"/>
        <w:ind w:right="0"/>
        <w:jc w:val="both"/>
        <w:rPr>
          <w:b w:val="0"/>
          <w:bCs w:val="0"/>
        </w:rPr>
      </w:pPr>
      <w:bookmarkStart w:name="22、收入" w:id="198"/>
      <w:bookmarkEnd w:id="198"/>
      <w:r>
        <w:rPr>
          <w:b w:val="0"/>
          <w:bCs w:val="0"/>
        </w:rPr>
      </w:r>
      <w:r>
        <w:rPr>
          <w:rFonts w:ascii="Times New Roman" w:hAnsi="Times New Roman" w:cs="Times New Roman" w:eastAsia="Times New Roman" w:hint="default"/>
        </w:rPr>
        <w:t>22</w:t>
      </w:r>
      <w:r>
        <w:rPr/>
        <w:t>、收入</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t>是否已执行新收入准则</w:t>
      </w:r>
    </w:p>
    <w:p>
      <w:pPr>
        <w:pStyle w:val="BodyText"/>
        <w:spacing w:line="316" w:lineRule="auto" w:before="140"/>
        <w:ind w:left="216" w:right="3294" w:hanging="75"/>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收入在经济利益很可能流入本集团、且金额能够可靠计量，并同时满足下列条件时予以确认。</w:t>
      </w:r>
    </w:p>
    <w:p>
      <w:pPr>
        <w:pStyle w:val="BodyText"/>
        <w:spacing w:line="316" w:lineRule="auto" w:before="22"/>
        <w:ind w:right="1106" w:firstLine="360"/>
        <w:jc w:val="both"/>
      </w:pPr>
      <w:r>
        <w:rPr>
          <w:spacing w:val="-2"/>
        </w:rPr>
        <w:t>本集团已将商品所有权上的主要风险和报酬转移给购货方，并不再对该商品保留通常与所有权相联系的继续管理权和实</w:t>
      </w:r>
      <w:r>
        <w:rPr/>
        <w:t> </w:t>
      </w:r>
      <w:r>
        <w:rPr>
          <w:spacing w:val="-2"/>
        </w:rPr>
        <w:t>施有效控制，且相关的已发生或将发生的成本能够可靠地计量，确认为收入的实现。销售商品收入金额，按照从购货方已收</w:t>
      </w:r>
      <w:r>
        <w:rPr>
          <w:spacing w:val="-42"/>
        </w:rPr>
        <w:t> </w:t>
      </w:r>
      <w:r>
        <w:rPr>
          <w:spacing w:val="-42"/>
        </w:rPr>
      </w:r>
      <w:r>
        <w:rPr>
          <w:spacing w:val="-2"/>
        </w:rPr>
        <w:t>或应收的合同或协议价款确定，但已收或应收的合同或协议价款不公允的除外；合同或协议价款的收取采用递延方式，实质</w:t>
      </w:r>
      <w:r>
        <w:rPr>
          <w:spacing w:val="-75"/>
        </w:rPr>
        <w:t> </w:t>
      </w:r>
      <w:r>
        <w:rPr>
          <w:spacing w:val="-75"/>
        </w:rPr>
      </w:r>
      <w:r>
        <w:rPr/>
        <w:t>上具有融资性质的，按照应收的合同或协议价款的公允价值确定。</w:t>
      </w:r>
    </w:p>
    <w:p>
      <w:pPr>
        <w:pStyle w:val="BodyText"/>
        <w:spacing w:line="304" w:lineRule="auto" w:before="37"/>
        <w:ind w:left="441" w:right="1179" w:hanging="15"/>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）销售商品收入</w:t>
      </w:r>
      <w:r>
        <w:rPr>
          <w:rFonts w:ascii="宋体" w:hAnsi="宋体" w:cs="宋体" w:eastAsia="宋体" w:hint="default"/>
          <w:b/>
          <w:bCs/>
          <w:spacing w:val="-83"/>
        </w:rPr>
        <w:t> </w:t>
      </w:r>
      <w:r>
        <w:rPr>
          <w:rFonts w:ascii="宋体" w:hAnsi="宋体" w:cs="宋体" w:eastAsia="宋体" w:hint="default"/>
          <w:b/>
          <w:bCs/>
          <w:spacing w:val="-83"/>
        </w:rPr>
      </w:r>
      <w:r>
        <w:rPr/>
        <w:t>公司具体的销售商品收入确认原则如下：</w:t>
      </w:r>
      <w:r>
        <w:rPr>
          <w:rFonts w:ascii="Times New Roman" w:hAnsi="Times New Roman" w:cs="Times New Roman" w:eastAsia="Times New Roman" w:hint="default"/>
        </w:rPr>
        <w:t>1.</w:t>
      </w:r>
      <w:r>
        <w:rPr/>
        <w:t>批发：按照商品所有权的风险和报酬转移时点，确认销售收入。</w:t>
      </w:r>
      <w:r>
        <w:rPr>
          <w:rFonts w:ascii="Times New Roman" w:hAnsi="Times New Roman" w:cs="Times New Roman" w:eastAsia="Times New Roman" w:hint="default"/>
        </w:rPr>
        <w:t>2.</w:t>
      </w:r>
      <w:r>
        <w:rPr/>
        <w:t>零售：于</w:t>
      </w:r>
    </w:p>
    <w:p>
      <w:pPr>
        <w:pStyle w:val="BodyText"/>
        <w:spacing w:line="233" w:lineRule="exact"/>
        <w:ind w:right="0"/>
        <w:jc w:val="both"/>
      </w:pPr>
      <w:r>
        <w:rPr/>
        <w:t>商品交付给消费者并收取价款时，确认销售收入。</w:t>
      </w:r>
    </w:p>
    <w:p>
      <w:pPr>
        <w:spacing w:line="288" w:lineRule="auto" w:before="80"/>
        <w:ind w:left="441" w:right="5769" w:hanging="15"/>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）利息收入</w:t>
      </w:r>
      <w:r>
        <w:rPr>
          <w:rFonts w:ascii="宋体" w:hAnsi="宋体" w:cs="宋体" w:eastAsia="宋体" w:hint="default"/>
          <w:b/>
          <w:bCs/>
          <w:spacing w:val="-81"/>
          <w:sz w:val="18"/>
          <w:szCs w:val="18"/>
        </w:rPr>
        <w:t> </w:t>
      </w:r>
      <w:r>
        <w:rPr>
          <w:rFonts w:ascii="宋体" w:hAnsi="宋体" w:cs="宋体" w:eastAsia="宋体" w:hint="default"/>
          <w:b/>
          <w:bCs/>
          <w:spacing w:val="-81"/>
          <w:sz w:val="18"/>
          <w:szCs w:val="18"/>
        </w:rPr>
      </w:r>
      <w:r>
        <w:rPr>
          <w:rFonts w:ascii="宋体" w:hAnsi="宋体" w:cs="宋体" w:eastAsia="宋体" w:hint="default"/>
          <w:sz w:val="18"/>
          <w:szCs w:val="18"/>
        </w:rPr>
        <w:t>按照他人使用本集团货币资金的时间和实际利率计算确定。</w:t>
      </w:r>
    </w:p>
    <w:p>
      <w:pPr>
        <w:pStyle w:val="BodyText"/>
        <w:spacing w:line="288" w:lineRule="auto" w:before="59"/>
        <w:ind w:left="441" w:right="1809" w:hanging="15"/>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）租赁收入</w:t>
      </w:r>
      <w:r>
        <w:rPr>
          <w:rFonts w:ascii="宋体" w:hAnsi="宋体" w:cs="宋体" w:eastAsia="宋体" w:hint="default"/>
          <w:b/>
          <w:bCs/>
          <w:spacing w:val="-81"/>
        </w:rPr>
        <w:t> </w:t>
      </w:r>
      <w:r>
        <w:rPr>
          <w:rFonts w:ascii="宋体" w:hAnsi="宋体" w:cs="宋体" w:eastAsia="宋体" w:hint="default"/>
          <w:b/>
          <w:bCs/>
          <w:spacing w:val="-81"/>
        </w:rPr>
      </w:r>
      <w:r>
        <w:rPr/>
        <w:t>经营租赁的租金收入在租赁期内各个期间按照直线法确认为当期损益，或有租金在实际发生时计入当期损益。</w:t>
      </w:r>
    </w:p>
    <w:p>
      <w:pPr>
        <w:spacing w:line="273" w:lineRule="auto" w:before="59"/>
        <w:ind w:left="441" w:right="4329" w:hanging="15"/>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）提供劳务收入</w:t>
      </w:r>
      <w:r>
        <w:rPr>
          <w:rFonts w:ascii="宋体" w:hAnsi="宋体" w:cs="宋体" w:eastAsia="宋体" w:hint="default"/>
          <w:b/>
          <w:bCs/>
          <w:spacing w:val="-83"/>
          <w:sz w:val="18"/>
          <w:szCs w:val="18"/>
        </w:rPr>
        <w:t> </w:t>
      </w:r>
      <w:r>
        <w:rPr>
          <w:rFonts w:ascii="宋体" w:hAnsi="宋体" w:cs="宋体" w:eastAsia="宋体" w:hint="default"/>
          <w:b/>
          <w:bCs/>
          <w:spacing w:val="-83"/>
          <w:sz w:val="18"/>
          <w:szCs w:val="18"/>
        </w:rPr>
      </w:r>
      <w:r>
        <w:rPr>
          <w:rFonts w:ascii="宋体" w:hAnsi="宋体" w:cs="宋体" w:eastAsia="宋体" w:hint="default"/>
          <w:sz w:val="18"/>
          <w:szCs w:val="18"/>
        </w:rPr>
        <w:t>在劳务已经提供，收到价款或取得收取价款的依据时，确认劳务收入的实现。</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5"/>
        <w:spacing w:line="240" w:lineRule="auto"/>
        <w:ind w:right="0"/>
        <w:jc w:val="both"/>
        <w:rPr>
          <w:b w:val="0"/>
          <w:bCs w:val="0"/>
        </w:rPr>
      </w:pPr>
      <w:bookmarkStart w:name="23、政府补助" w:id="199"/>
      <w:bookmarkEnd w:id="199"/>
      <w:r>
        <w:rPr>
          <w:b w:val="0"/>
          <w:bCs w:val="0"/>
        </w:rPr>
      </w:r>
      <w:r>
        <w:rPr>
          <w:rFonts w:ascii="Times New Roman" w:hAnsi="Times New Roman" w:cs="Times New Roman" w:eastAsia="Times New Roman" w:hint="default"/>
        </w:rPr>
        <w:t>23</w:t>
      </w:r>
      <w:r>
        <w:rPr/>
        <w:t>、政府补助</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）与资产相关的政府补助判断依据及会计处理方法</w:t>
      </w:r>
      <w:r>
        <w:rPr>
          <w:b w:val="0"/>
          <w:bCs w:val="0"/>
        </w:rPr>
      </w:r>
    </w:p>
    <w:p>
      <w:pPr>
        <w:spacing w:after="0" w:line="240" w:lineRule="auto"/>
        <w:jc w:val="both"/>
        <w:sectPr>
          <w:pgSz w:w="11910" w:h="16850"/>
          <w:pgMar w:header="731" w:footer="981" w:top="1040" w:bottom="1180" w:left="1000" w:right="0"/>
        </w:sectPr>
      </w:pPr>
    </w:p>
    <w:p>
      <w:pPr>
        <w:spacing w:line="240" w:lineRule="auto" w:before="1"/>
        <w:rPr>
          <w:rFonts w:ascii="宋体" w:hAnsi="宋体" w:cs="宋体" w:eastAsia="宋体" w:hint="default"/>
          <w:b/>
          <w:bCs/>
          <w:sz w:val="26"/>
          <w:szCs w:val="26"/>
        </w:rPr>
      </w:pPr>
    </w:p>
    <w:p>
      <w:pPr>
        <w:pStyle w:val="BodyText"/>
        <w:spacing w:line="312" w:lineRule="auto" w:before="44"/>
        <w:ind w:right="1099" w:firstLine="300"/>
        <w:jc w:val="both"/>
      </w:pPr>
      <w:r>
        <w:rPr/>
        <w:t>与资产相关的政府补助，冲减相关资产的账面价值；或确认为递延收益，在相关资产使用寿命内按照合理、系统的方法 分期，计入损益</w:t>
      </w:r>
      <w:r>
        <w:rPr>
          <w:rFonts w:ascii="Times New Roman" w:hAnsi="Times New Roman" w:cs="Times New Roman" w:eastAsia="Times New Roman" w:hint="default"/>
        </w:rPr>
        <w:t>(</w:t>
      </w:r>
      <w:r>
        <w:rPr/>
        <w:t>但按照名义金额计量的政府补助，直接计入当期损益</w:t>
      </w:r>
      <w:r>
        <w:rPr>
          <w:rFonts w:ascii="Times New Roman" w:hAnsi="Times New Roman" w:cs="Times New Roman" w:eastAsia="Times New Roman" w:hint="default"/>
        </w:rPr>
        <w:t>)</w:t>
      </w:r>
      <w:r>
        <w:rPr/>
        <w:t>，相关资产在使用寿命结束前被出售、转让、报废或</w:t>
      </w:r>
      <w:r>
        <w:rPr>
          <w:spacing w:val="-84"/>
        </w:rPr>
        <w:t> </w:t>
      </w:r>
      <w:r>
        <w:rPr/>
        <w:t>发生毁损的，尚未分配的相关递延收益余额转入资产处置当期的损益。</w:t>
      </w:r>
    </w:p>
    <w:p>
      <w:pPr>
        <w:pStyle w:val="BodyText"/>
        <w:spacing w:line="321" w:lineRule="auto" w:before="11"/>
        <w:ind w:right="1015" w:firstLine="300"/>
        <w:jc w:val="left"/>
      </w:pPr>
      <w:r>
        <w:rPr>
          <w:spacing w:val="-2"/>
        </w:rPr>
        <w:t>政府补助在能够满足其所附的条件并且能够收到时，予以确认。政府补助为货币性资产的，按照收到或应收的金额计量。</w:t>
      </w:r>
      <w:r>
        <w:rPr/>
        <w:t> 政府补助为非货币性资产的，按照公允价值计量；公允价值不能可靠取得的，按照名义金额计量。</w:t>
      </w:r>
    </w:p>
    <w:p>
      <w:pPr>
        <w:pStyle w:val="BodyText"/>
        <w:spacing w:line="240" w:lineRule="auto" w:before="19"/>
        <w:ind w:left="441" w:right="0"/>
        <w:jc w:val="left"/>
      </w:pPr>
      <w:r>
        <w:rPr/>
        <w:t>政府文件规定用于购建或以其他方式形成长期资产的，作为与资产相关的政府补助。</w:t>
      </w:r>
    </w:p>
    <w:p>
      <w:pPr>
        <w:spacing w:line="240" w:lineRule="auto" w:before="0"/>
        <w:rPr>
          <w:rFonts w:ascii="宋体" w:hAnsi="宋体" w:cs="宋体" w:eastAsia="宋体" w:hint="default"/>
          <w:sz w:val="18"/>
          <w:szCs w:val="18"/>
        </w:rPr>
      </w:pPr>
    </w:p>
    <w:p>
      <w:pPr>
        <w:pStyle w:val="Heading5"/>
        <w:spacing w:line="240" w:lineRule="auto" w:before="139"/>
        <w:ind w:left="426" w:right="0"/>
        <w:jc w:val="left"/>
        <w:rPr>
          <w:b w:val="0"/>
          <w:bCs w:val="0"/>
        </w:rPr>
      </w:pP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3"/>
        <w:rPr>
          <w:rFonts w:ascii="宋体" w:hAnsi="宋体" w:cs="宋体" w:eastAsia="宋体" w:hint="default"/>
          <w:b/>
          <w:bCs/>
          <w:sz w:val="25"/>
          <w:szCs w:val="25"/>
        </w:rPr>
      </w:pPr>
    </w:p>
    <w:p>
      <w:pPr>
        <w:pStyle w:val="BodyText"/>
        <w:spacing w:line="304" w:lineRule="auto"/>
        <w:ind w:right="1107" w:firstLine="300"/>
        <w:jc w:val="both"/>
      </w:pPr>
      <w:r>
        <w:rPr/>
        <w:t>与收益相关的政府补助，用于补偿以后期间的相关成本费用或损失的，确认为递延收益，并在确认相关成本费用或损失 的期间计入当期损益或冲减相关成本；用于补偿已发生的相关成本费用或损失的，直接计入当期损益或冲减相关成本。</w:t>
      </w:r>
    </w:p>
    <w:p>
      <w:pPr>
        <w:pStyle w:val="BodyText"/>
        <w:spacing w:line="321" w:lineRule="auto" w:before="31"/>
        <w:ind w:right="1015" w:firstLine="300"/>
        <w:jc w:val="left"/>
      </w:pPr>
      <w:r>
        <w:rPr>
          <w:spacing w:val="-2"/>
        </w:rPr>
        <w:t>政府补助在能够满足其所附的条件并且能够收到时，予以确认。政府补助为货币性资产的，按照收到或应收的金额计量。</w:t>
      </w:r>
      <w:r>
        <w:rPr/>
        <w:t> 政府补助为非货币性资产的，按照公允价值计量；公允价值不能可靠取得的，按照名义金额计量。</w:t>
      </w:r>
    </w:p>
    <w:p>
      <w:pPr>
        <w:pStyle w:val="BodyText"/>
        <w:spacing w:line="321" w:lineRule="auto" w:before="19"/>
        <w:ind w:right="1107" w:firstLine="300"/>
        <w:jc w:val="both"/>
      </w:pPr>
      <w:r>
        <w:rPr/>
        <w:t>政府文件不明确的，以取得该补助必须具备的基本条件为基础进行判断，以购建或其他方式形成长期资产为基本条件的 作为与资产相关的政府补助，除此之外的作为与收益相关的政府补助。</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2"/>
        <w:ind w:right="0"/>
        <w:jc w:val="left"/>
        <w:rPr>
          <w:b w:val="0"/>
          <w:bCs w:val="0"/>
        </w:rPr>
      </w:pPr>
      <w:bookmarkStart w:name="24、递延所得税资产/递延所得税负债" w:id="200"/>
      <w:bookmarkEnd w:id="200"/>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0"/>
        <w:jc w:val="left"/>
      </w:pPr>
      <w:r>
        <w:rPr>
          <w:spacing w:val="-2"/>
        </w:rPr>
        <w:t>所得税包括当期所得税和递延所得税，除由于企业合并产生的调整商誉，或与直接计入股东权益的交易或者事项相关的计入</w:t>
      </w:r>
      <w:r>
        <w:rPr>
          <w:spacing w:val="-72"/>
        </w:rPr>
        <w:t> </w:t>
      </w:r>
      <w:r>
        <w:rPr>
          <w:spacing w:val="-72"/>
        </w:rPr>
      </w:r>
      <w:r>
        <w:rPr/>
        <w:t>股东权益外，均作为所得税费用或收益计入当期损益。</w:t>
      </w:r>
    </w:p>
    <w:p>
      <w:pPr>
        <w:pStyle w:val="BodyText"/>
        <w:spacing w:line="314" w:lineRule="auto" w:before="18"/>
        <w:ind w:right="1101" w:firstLine="300"/>
        <w:jc w:val="right"/>
      </w:pPr>
      <w:r>
        <w:rPr/>
        <w:t>本集团对于当期和以前期间形成的当期所得税负债或资产，按照税法规定计算的预期应交纳或返还的所得税金额计量。 </w:t>
      </w:r>
      <w:r>
        <w:rPr>
          <w:spacing w:val="-1"/>
        </w:rPr>
        <w:t>本集团根据资产与负债于资产负债表日的账面价值与计税基础之间的暂时性差异，以及未作为资产和负债确认但按照税</w:t>
      </w:r>
      <w:r>
        <w:rPr/>
        <w:t> </w:t>
      </w:r>
      <w:r>
        <w:rPr>
          <w:spacing w:val="-2"/>
        </w:rPr>
        <w:t>法规定可以确定其计税基础的项目的账面价值与计税基础之间的差额产生的暂时性差异，采用资产负债表债务法计提递延所</w:t>
      </w:r>
    </w:p>
    <w:p>
      <w:pPr>
        <w:pStyle w:val="BodyText"/>
        <w:spacing w:line="240" w:lineRule="auto" w:before="24"/>
        <w:ind w:right="0"/>
        <w:jc w:val="left"/>
      </w:pPr>
      <w:r>
        <w:rPr/>
        <w:t>得税。</w:t>
      </w:r>
    </w:p>
    <w:p>
      <w:pPr>
        <w:spacing w:line="288" w:lineRule="auto" w:before="95"/>
        <w:ind w:left="441" w:right="5769" w:firstLine="7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Times New Roman" w:hAnsi="Times New Roman" w:cs="Times New Roman" w:eastAsia="Times New Roman" w:hint="default"/>
          <w:b/>
          <w:bCs/>
          <w:spacing w:val="15"/>
          <w:sz w:val="18"/>
          <w:szCs w:val="18"/>
        </w:rPr>
        <w:t> </w:t>
      </w:r>
      <w:r>
        <w:rPr>
          <w:rFonts w:ascii="宋体" w:hAnsi="宋体" w:cs="宋体" w:eastAsia="宋体" w:hint="default"/>
          <w:b/>
          <w:bCs/>
          <w:sz w:val="18"/>
          <w:szCs w:val="18"/>
        </w:rPr>
        <w:t>确认递延所得税负债</w:t>
      </w:r>
      <w:r>
        <w:rPr>
          <w:rFonts w:ascii="宋体" w:hAnsi="宋体" w:cs="宋体" w:eastAsia="宋体" w:hint="default"/>
          <w:b/>
          <w:bCs/>
          <w:w w:val="99"/>
          <w:sz w:val="18"/>
          <w:szCs w:val="18"/>
        </w:rPr>
        <w:t> </w:t>
      </w:r>
      <w:r>
        <w:rPr>
          <w:rFonts w:ascii="宋体" w:hAnsi="宋体" w:cs="宋体" w:eastAsia="宋体" w:hint="default"/>
          <w:sz w:val="18"/>
          <w:szCs w:val="18"/>
        </w:rPr>
        <w:t>各种应纳税暂时性差异均据以确认递延所得税负债，除非：</w:t>
      </w:r>
    </w:p>
    <w:p>
      <w:pPr>
        <w:pStyle w:val="BodyText"/>
        <w:spacing w:line="288" w:lineRule="auto" w:before="44"/>
        <w:ind w:right="1121" w:firstLine="30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spacing w:val="-2"/>
        </w:rPr>
        <w:t>应纳税暂时性差异是在以下交易中产生的：商誉的初始确认，或者具有以下特征的交易中产生的资产或负债的初始确</w:t>
      </w:r>
      <w:r>
        <w:rPr>
          <w:w w:val="99"/>
        </w:rPr>
        <w:t> </w:t>
      </w:r>
      <w:r>
        <w:rPr/>
        <w:t>认：该交易不是企业合并，并且交易发生时既不影响会计利润也不影响应纳税所得额或可抵扣亏损。</w:t>
      </w:r>
    </w:p>
    <w:p>
      <w:pPr>
        <w:pStyle w:val="BodyText"/>
        <w:spacing w:line="288" w:lineRule="auto" w:before="59"/>
        <w:ind w:right="1121" w:firstLine="30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spacing w:val="-2"/>
        </w:rPr>
        <w:t>对于与子公司、合营企业及联营企业投资相关的应纳税暂时性差异，该暂时性差异转回的时间能够控制并且该暂时性</w:t>
      </w:r>
      <w:r>
        <w:rPr>
          <w:w w:val="99"/>
        </w:rPr>
        <w:t> </w:t>
      </w:r>
      <w:r>
        <w:rPr/>
        <w:t>差异在可预见的未来很可能不会转回。</w:t>
      </w:r>
    </w:p>
    <w:p>
      <w:pPr>
        <w:spacing w:line="273" w:lineRule="auto" w:before="59"/>
        <w:ind w:left="441" w:right="1015" w:firstLine="75"/>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9"/>
          <w:sz w:val="18"/>
          <w:szCs w:val="18"/>
        </w:rPr>
        <w:t> </w:t>
      </w:r>
      <w:r>
        <w:rPr>
          <w:rFonts w:ascii="宋体" w:hAnsi="宋体" w:cs="宋体" w:eastAsia="宋体" w:hint="default"/>
          <w:b/>
          <w:bCs/>
          <w:sz w:val="18"/>
          <w:szCs w:val="18"/>
        </w:rPr>
        <w:t>确认递延所得税资产</w:t>
      </w:r>
      <w:r>
        <w:rPr>
          <w:rFonts w:ascii="宋体" w:hAnsi="宋体" w:cs="宋体" w:eastAsia="宋体" w:hint="default"/>
          <w:b/>
          <w:bCs/>
          <w:w w:val="99"/>
          <w:sz w:val="18"/>
          <w:szCs w:val="18"/>
        </w:rPr>
        <w:t> </w:t>
      </w:r>
      <w:r>
        <w:rPr>
          <w:rFonts w:ascii="宋体" w:hAnsi="宋体" w:cs="宋体" w:eastAsia="宋体" w:hint="default"/>
          <w:spacing w:val="-2"/>
          <w:sz w:val="18"/>
          <w:szCs w:val="18"/>
        </w:rPr>
        <w:t>对于可抵扣暂时性差异、能够结转以后年度的可抵扣亏损和税款抵减，本集团以很可能取得用来抵扣可抵扣暂时性差异、</w:t>
      </w:r>
    </w:p>
    <w:p>
      <w:pPr>
        <w:pStyle w:val="BodyText"/>
        <w:spacing w:line="240" w:lineRule="auto" w:before="55"/>
        <w:ind w:right="0"/>
        <w:jc w:val="left"/>
      </w:pPr>
      <w:r>
        <w:rPr/>
        <w:t>可抵扣亏损和税款抵减的未来应纳税所得额为限，确认由此产生的递延所得税资产，除非：</w:t>
      </w:r>
    </w:p>
    <w:p>
      <w:pPr>
        <w:pStyle w:val="BodyText"/>
        <w:spacing w:line="288" w:lineRule="auto" w:before="95"/>
        <w:ind w:right="1118" w:firstLine="30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2"/>
        </w:rPr>
        <w:t>可抵扣暂时性差异是在以下交易中产生的：该交易不是企业合并，并且交易发生时既不影响会计利润也不影响应纳税</w:t>
      </w:r>
      <w:r>
        <w:rPr>
          <w:w w:val="99"/>
        </w:rPr>
        <w:t> </w:t>
      </w:r>
      <w:r>
        <w:rPr/>
        <w:t>所得额或可抵扣亏损。</w:t>
      </w:r>
    </w:p>
    <w:p>
      <w:pPr>
        <w:pStyle w:val="BodyText"/>
        <w:spacing w:line="273" w:lineRule="auto" w:before="59"/>
        <w:ind w:right="1105" w:firstLine="30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3"/>
        </w:rPr>
        <w:t> </w:t>
      </w:r>
      <w:r>
        <w:rPr/>
        <w:t>对于与子公司、合营企业及联营企业投资相关的可抵扣暂时性差异，同时满足下列条件的，确认相应的递延所得税资</w:t>
      </w:r>
      <w:r>
        <w:rPr>
          <w:w w:val="99"/>
        </w:rPr>
        <w:t> </w:t>
      </w:r>
      <w:r>
        <w:rPr/>
        <w:t>产：暂时性差异在可预见的未来很可能转回，且未来很可能获得用来抵扣可抵扣暂时性差异的应纳税所得额。</w:t>
      </w:r>
    </w:p>
    <w:p>
      <w:pPr>
        <w:pStyle w:val="BodyText"/>
        <w:spacing w:line="321" w:lineRule="auto" w:before="54"/>
        <w:ind w:right="1107" w:firstLine="300"/>
        <w:jc w:val="both"/>
      </w:pPr>
      <w:r>
        <w:rPr/>
        <w:t>本集团于资产负债表日，对于递延所得税资产和递延所得税负债，依据税法规定，按照预期收回该资产或清偿该负债期 间的适用税率计量，并反映资产负债表日预期收回资产或清偿负债方式的所得税影响。</w:t>
      </w:r>
    </w:p>
    <w:p>
      <w:pPr>
        <w:pStyle w:val="BodyText"/>
        <w:spacing w:line="314" w:lineRule="auto" w:before="18"/>
        <w:ind w:right="1107" w:firstLine="300"/>
        <w:jc w:val="both"/>
      </w:pPr>
      <w:r>
        <w:rPr/>
        <w:t>于资产负债表日，本集团对递延所得税资产的账面价值进行复核，如果未来期间很可能无法获得足够的应纳税所得额用 </w:t>
      </w:r>
      <w:r>
        <w:rPr>
          <w:spacing w:val="-2"/>
        </w:rPr>
        <w:t>以抵扣递延所得税资产的利益，减记递延所得税资产的账面价值。于资产负债表日，本集团重新评估未确认的递延所得税资</w:t>
      </w:r>
      <w:r>
        <w:rPr>
          <w:spacing w:val="-75"/>
        </w:rPr>
        <w:t> </w:t>
      </w:r>
      <w:r>
        <w:rPr>
          <w:spacing w:val="-75"/>
        </w:rPr>
      </w:r>
      <w:r>
        <w:rPr/>
        <w:t>产，在很可能获得足够的应纳税所得额可供所有或部分递延所得税资产转回的限度内，确认递延所得税资产。</w:t>
      </w:r>
    </w:p>
    <w:p>
      <w:pPr>
        <w:pStyle w:val="BodyText"/>
        <w:spacing w:line="321" w:lineRule="auto" w:before="23"/>
        <w:ind w:right="1107" w:firstLine="300"/>
        <w:jc w:val="both"/>
      </w:pPr>
      <w:r>
        <w:rPr/>
        <w:t>同时满足下列条件时，递延所得税资产和递延所得税负债以抵销后的净额列示：拥有以净额结算当期所得税资产及当期 </w:t>
      </w:r>
      <w:r>
        <w:rPr>
          <w:spacing w:val="-2"/>
        </w:rPr>
        <w:t>所得税负债的法定权利；递延所得税资产和递延所得税负债是与同一税收征管部门对同一应纳税主体征收的所得税相关或者</w:t>
      </w:r>
    </w:p>
    <w:p>
      <w:pPr>
        <w:spacing w:after="0" w:line="321" w:lineRule="auto"/>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0"/>
        <w:jc w:val="left"/>
      </w:pPr>
      <w:r>
        <w:rPr>
          <w:spacing w:val="-2"/>
        </w:rPr>
        <w:t>对不同的纳税主体相关，但在未来每一具有重要性的递延所得税资产和递延所得税负债转回的期间内，涉及的纳税主体意图</w:t>
      </w:r>
      <w:r>
        <w:rPr>
          <w:spacing w:val="-72"/>
        </w:rPr>
        <w:t> </w:t>
      </w:r>
      <w:r>
        <w:rPr>
          <w:spacing w:val="-72"/>
        </w:rPr>
      </w:r>
      <w:r>
        <w:rPr/>
        <w:t>以净额结算当期所得税资产及当期所得税负债或是同时取得资产、清偿债务。</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43"/>
        <w:ind w:right="0"/>
        <w:jc w:val="left"/>
        <w:rPr>
          <w:b w:val="0"/>
          <w:bCs w:val="0"/>
        </w:rPr>
      </w:pPr>
      <w:bookmarkStart w:name="25、租赁" w:id="201"/>
      <w:bookmarkEnd w:id="201"/>
      <w:r>
        <w:rPr>
          <w:b w:val="0"/>
          <w:bCs w:val="0"/>
        </w:rPr>
      </w:r>
      <w:r>
        <w:rPr>
          <w:rFonts w:ascii="Times New Roman" w:hAnsi="Times New Roman" w:cs="Times New Roman" w:eastAsia="Times New Roman" w:hint="default"/>
        </w:rPr>
        <w:t>25</w:t>
      </w:r>
      <w:r>
        <w:rPr/>
        <w:t>、租赁</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经营租赁的会计处理方法" w:id="202"/>
      <w:bookmarkEnd w:id="20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实质上转移了与资产所有权有关的全部风险和报酬的租赁为融资租赁，除此之外的均为经营租赁。</w:t>
      </w:r>
    </w:p>
    <w:p>
      <w:pPr>
        <w:pStyle w:val="BodyText"/>
        <w:spacing w:line="288" w:lineRule="auto" w:before="95"/>
        <w:ind w:left="441" w:right="1089" w:hanging="76"/>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29"/>
        </w:rPr>
        <w:t> </w:t>
      </w:r>
      <w:r>
        <w:rPr>
          <w:rFonts w:ascii="宋体" w:hAnsi="宋体" w:cs="宋体" w:eastAsia="宋体" w:hint="default"/>
          <w:b/>
          <w:bCs/>
        </w:rPr>
        <w:t>作为经营租赁承租人</w:t>
      </w:r>
      <w:r>
        <w:rPr>
          <w:rFonts w:ascii="宋体" w:hAnsi="宋体" w:cs="宋体" w:eastAsia="宋体" w:hint="default"/>
          <w:b/>
          <w:bCs/>
          <w:w w:val="99"/>
        </w:rPr>
        <w:t> </w:t>
      </w:r>
      <w:r>
        <w:rPr/>
        <w:t>经营租赁的租金支出，在租赁期内各个期间按照直线法计入相关的资产成本或当期损益，或有租金在实际发生时计入当</w:t>
      </w:r>
    </w:p>
    <w:p>
      <w:pPr>
        <w:pStyle w:val="BodyText"/>
        <w:spacing w:line="240" w:lineRule="auto" w:before="44"/>
        <w:ind w:right="0"/>
        <w:jc w:val="left"/>
      </w:pPr>
      <w:r>
        <w:rPr/>
        <w:t>期损益。</w:t>
      </w:r>
    </w:p>
    <w:p>
      <w:pPr>
        <w:spacing w:line="290" w:lineRule="auto" w:before="79"/>
        <w:ind w:left="441" w:right="1989" w:hanging="76"/>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2)</w:t>
      </w:r>
      <w:r>
        <w:rPr>
          <w:rFonts w:ascii="Times New Roman" w:hAnsi="Times New Roman" w:cs="Times New Roman" w:eastAsia="Times New Roman" w:hint="default"/>
          <w:b/>
          <w:bCs/>
          <w:spacing w:val="29"/>
          <w:sz w:val="18"/>
          <w:szCs w:val="18"/>
        </w:rPr>
        <w:t> </w:t>
      </w:r>
      <w:r>
        <w:rPr>
          <w:rFonts w:ascii="宋体" w:hAnsi="宋体" w:cs="宋体" w:eastAsia="宋体" w:hint="default"/>
          <w:b/>
          <w:bCs/>
          <w:sz w:val="18"/>
          <w:szCs w:val="18"/>
        </w:rPr>
        <w:t>作为经营租赁出租人</w:t>
      </w:r>
      <w:r>
        <w:rPr>
          <w:rFonts w:ascii="宋体" w:hAnsi="宋体" w:cs="宋体" w:eastAsia="宋体" w:hint="default"/>
          <w:b/>
          <w:bCs/>
          <w:w w:val="99"/>
          <w:sz w:val="18"/>
          <w:szCs w:val="18"/>
        </w:rPr>
        <w:t> </w:t>
      </w:r>
      <w:r>
        <w:rPr>
          <w:rFonts w:ascii="宋体" w:hAnsi="宋体" w:cs="宋体" w:eastAsia="宋体" w:hint="default"/>
          <w:sz w:val="18"/>
          <w:szCs w:val="18"/>
        </w:rPr>
        <w:t>经营租赁的租金收入在租赁期内各个期间按直线法确认为当期损益，或有租金在实际发生时计入当期损益。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3"/>
          <w:szCs w:val="13"/>
        </w:rPr>
      </w:pPr>
    </w:p>
    <w:p>
      <w:pPr>
        <w:pStyle w:val="Heading5"/>
        <w:spacing w:line="240" w:lineRule="auto"/>
        <w:ind w:right="0"/>
        <w:jc w:val="left"/>
        <w:rPr>
          <w:b w:val="0"/>
          <w:bCs w:val="0"/>
        </w:rPr>
      </w:pPr>
      <w:bookmarkStart w:name="（2）融资租赁的会计处理方法" w:id="203"/>
      <w:bookmarkEnd w:id="20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不适用</w:t>
      </w:r>
    </w:p>
    <w:p>
      <w:pPr>
        <w:pStyle w:val="Heading5"/>
        <w:spacing w:line="580" w:lineRule="atLeast" w:before="70"/>
        <w:ind w:right="7376"/>
        <w:jc w:val="left"/>
        <w:rPr>
          <w:b w:val="0"/>
          <w:bCs w:val="0"/>
        </w:rPr>
      </w:pPr>
      <w:bookmarkStart w:name="26、其他重要的会计政策和会计估计" w:id="204"/>
      <w:bookmarkEnd w:id="204"/>
      <w:r>
        <w:rPr>
          <w:b w:val="0"/>
          <w:bCs w:val="0"/>
        </w:rPr>
      </w:r>
      <w:r>
        <w:rPr>
          <w:rFonts w:ascii="Times New Roman" w:hAnsi="Times New Roman" w:cs="Times New Roman" w:eastAsia="Times New Roman" w:hint="default"/>
        </w:rPr>
        <w:t>26</w:t>
      </w:r>
      <w:r>
        <w:rPr/>
        <w:t>、其他重要的会计政策和会计估计</w:t>
      </w:r>
      <w:r>
        <w:rPr>
          <w:spacing w:val="-104"/>
        </w:rPr>
        <w:t> </w:t>
      </w:r>
      <w:r>
        <w:rPr>
          <w:spacing w:val="-104"/>
        </w:rPr>
      </w:r>
      <w:r>
        <w:rPr/>
        <w:t>回购股份</w:t>
      </w:r>
      <w:r>
        <w:rPr>
          <w:b w:val="0"/>
          <w:bCs w:val="0"/>
        </w:rPr>
      </w:r>
    </w:p>
    <w:p>
      <w:pPr>
        <w:pStyle w:val="BodyText"/>
        <w:spacing w:line="288" w:lineRule="auto" w:before="121"/>
        <w:ind w:right="1129" w:firstLine="300"/>
        <w:jc w:val="both"/>
      </w:pPr>
      <w:r>
        <w:rPr/>
        <w:t>回购自身权益工具支付的对价和交易费用，减少股东权益。发行</w:t>
      </w:r>
      <w:r>
        <w:rPr>
          <w:rFonts w:ascii="Times New Roman" w:hAnsi="Times New Roman" w:cs="Times New Roman" w:eastAsia="Times New Roman" w:hint="default"/>
        </w:rPr>
        <w:t>(</w:t>
      </w:r>
      <w:r>
        <w:rPr/>
        <w:t>含再融资</w:t>
      </w:r>
      <w:r>
        <w:rPr>
          <w:rFonts w:ascii="Times New Roman" w:hAnsi="Times New Roman" w:cs="Times New Roman" w:eastAsia="Times New Roman" w:hint="default"/>
        </w:rPr>
        <w:t>)</w:t>
      </w:r>
      <w:r>
        <w:rPr/>
        <w:t>、回购、出售或注销自身权益工具，作为权 益的变动处理。</w:t>
      </w: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3"/>
          <w:szCs w:val="13"/>
        </w:rPr>
      </w:pPr>
    </w:p>
    <w:p>
      <w:pPr>
        <w:pStyle w:val="Heading5"/>
        <w:spacing w:line="240" w:lineRule="auto"/>
        <w:ind w:right="0"/>
        <w:jc w:val="left"/>
        <w:rPr>
          <w:b w:val="0"/>
          <w:bCs w:val="0"/>
        </w:rPr>
      </w:pPr>
      <w:r>
        <w:rPr/>
        <w:t>利润分配</w:t>
      </w:r>
      <w:r>
        <w:rPr>
          <w:b w:val="0"/>
          <w:bCs w:val="0"/>
        </w:rPr>
      </w:r>
    </w:p>
    <w:p>
      <w:pPr>
        <w:pStyle w:val="BodyText"/>
        <w:spacing w:line="240" w:lineRule="auto" w:before="91"/>
        <w:ind w:left="441" w:right="0"/>
        <w:jc w:val="left"/>
      </w:pPr>
      <w:r>
        <w:rPr/>
        <w:t>本公司的现金股利，于股东大会批准后确认为负债。</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pStyle w:val="BodyText"/>
        <w:spacing w:line="343" w:lineRule="auto"/>
        <w:ind w:left="441" w:right="4149" w:hanging="301"/>
        <w:jc w:val="left"/>
      </w:pPr>
      <w:r>
        <w:rPr>
          <w:rFonts w:ascii="宋体" w:hAnsi="宋体" w:cs="宋体" w:eastAsia="宋体" w:hint="default"/>
          <w:b/>
          <w:bCs/>
          <w:sz w:val="21"/>
          <w:szCs w:val="21"/>
        </w:rPr>
        <w:t>市场推广费用</w:t>
      </w:r>
      <w:r>
        <w:rPr>
          <w:rFonts w:ascii="宋体" w:hAnsi="宋体" w:cs="宋体" w:eastAsia="宋体" w:hint="default"/>
          <w:b/>
          <w:bCs/>
          <w:w w:val="99"/>
          <w:sz w:val="21"/>
          <w:szCs w:val="21"/>
        </w:rPr>
        <w:t> </w:t>
      </w:r>
      <w:r>
        <w:rPr/>
        <w:t>广告制作费于广告制作完成并交付时，作为期间费用，直接记入当期销售费用。 广告播放费于广告播放期内，按直线法平均摊销，记入销售费用。</w:t>
      </w:r>
    </w:p>
    <w:p>
      <w:pPr>
        <w:pStyle w:val="BodyText"/>
        <w:spacing w:line="367" w:lineRule="auto" w:before="32"/>
        <w:ind w:left="441" w:right="1089"/>
        <w:jc w:val="left"/>
      </w:pPr>
      <w:r>
        <w:rPr/>
        <w:t>冠名赞助费于被冠名节目播出期间，按直线法平均摊销，记入销售费用。 明星代言费于明星按代言合同内约定的各项目完成时，分别记入销售费用，无法将各项目单独分开并可靠计量其价值的</w:t>
      </w:r>
    </w:p>
    <w:p>
      <w:pPr>
        <w:pStyle w:val="BodyText"/>
        <w:spacing w:line="220" w:lineRule="exact"/>
        <w:ind w:right="0"/>
        <w:jc w:val="left"/>
      </w:pPr>
      <w:r>
        <w:rPr/>
        <w:t>代言合同，在合同期内按直线法摊销。</w:t>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6"/>
          <w:szCs w:val="16"/>
        </w:rPr>
      </w:pPr>
    </w:p>
    <w:p>
      <w:pPr>
        <w:pStyle w:val="Heading5"/>
        <w:spacing w:line="240" w:lineRule="auto"/>
        <w:ind w:right="0"/>
        <w:jc w:val="left"/>
        <w:rPr>
          <w:b w:val="0"/>
          <w:bCs w:val="0"/>
        </w:rPr>
      </w:pPr>
      <w:r>
        <w:rPr/>
        <w:t>重大会计判断和估计</w:t>
      </w:r>
      <w:r>
        <w:rPr>
          <w:b w:val="0"/>
          <w:bCs w:val="0"/>
        </w:rPr>
      </w:r>
    </w:p>
    <w:p>
      <w:pPr>
        <w:pStyle w:val="BodyText"/>
        <w:spacing w:line="321" w:lineRule="auto" w:before="90"/>
        <w:ind w:right="1102" w:firstLine="300"/>
        <w:jc w:val="both"/>
      </w:pPr>
      <w:r>
        <w:rPr/>
        <w:t>编制财务报表要求管理层作出判断估计和假设，这些判断估计和假设会影响收入、费用、资产和负债的列报金额及其披 露，以及资产负债表日或有负债的披露。然而，这些假</w:t>
      </w:r>
      <w:r>
        <w:rPr>
          <w:spacing w:val="35"/>
        </w:rPr>
        <w:t> </w:t>
      </w:r>
      <w:r>
        <w:rPr/>
        <w:t>设和估计的不确定性所导致的结果可能造成对未来受影响的资产</w:t>
      </w:r>
      <w:r>
        <w:rPr/>
        <w:t> 或负债的账面金额进行重大调整。</w:t>
      </w:r>
    </w:p>
    <w:p>
      <w:pPr>
        <w:pStyle w:val="BodyText"/>
        <w:spacing w:line="312" w:lineRule="auto" w:before="19"/>
        <w:ind w:left="441" w:right="2349"/>
        <w:jc w:val="left"/>
      </w:pPr>
      <w:r>
        <w:rPr>
          <w:rFonts w:ascii="Times New Roman" w:hAnsi="Times New Roman" w:cs="Times New Roman" w:eastAsia="Times New Roman" w:hint="default"/>
          <w:b/>
          <w:bCs/>
        </w:rPr>
        <w:t>(1)</w:t>
      </w:r>
      <w:r>
        <w:rPr>
          <w:rFonts w:ascii="Times New Roman" w:hAnsi="Times New Roman" w:cs="Times New Roman" w:eastAsia="Times New Roman" w:hint="default"/>
          <w:b/>
          <w:bCs/>
          <w:spacing w:val="15"/>
        </w:rPr>
        <w:t> </w:t>
      </w:r>
      <w:r>
        <w:rPr>
          <w:rFonts w:ascii="宋体" w:hAnsi="宋体" w:cs="宋体" w:eastAsia="宋体" w:hint="default"/>
          <w:b/>
          <w:bCs/>
        </w:rPr>
        <w:t>判断</w:t>
      </w:r>
      <w:r>
        <w:rPr>
          <w:rFonts w:ascii="宋体" w:hAnsi="宋体" w:cs="宋体" w:eastAsia="宋体" w:hint="default"/>
          <w:b/>
          <w:bCs/>
          <w:w w:val="99"/>
        </w:rPr>
        <w:t> </w:t>
      </w:r>
      <w:r>
        <w:rPr/>
        <w:t>在应用本集团的会计政策的过程中，管理层作出了以下对财务报表所确认的金额具有重大影响的判断： </w:t>
      </w:r>
      <w:r>
        <w:rPr>
          <w:rFonts w:ascii="Times New Roman" w:hAnsi="Times New Roman" w:cs="Times New Roman" w:eastAsia="Times New Roman" w:hint="default"/>
        </w:rPr>
        <w:t>1)</w:t>
      </w:r>
      <w:r>
        <w:rPr/>
        <w:t>经营租赁</w:t>
      </w:r>
      <w:r>
        <w:rPr>
          <w:rFonts w:ascii="Times New Roman" w:hAnsi="Times New Roman" w:cs="Times New Roman" w:eastAsia="Times New Roman" w:hint="default"/>
        </w:rPr>
        <w:t>——</w:t>
      </w:r>
      <w:r>
        <w:rPr/>
        <w:t>作为承租人</w:t>
      </w:r>
    </w:p>
    <w:p>
      <w:pPr>
        <w:spacing w:after="0" w:line="312"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right="1107" w:firstLine="300"/>
        <w:jc w:val="both"/>
      </w:pPr>
      <w:r>
        <w:rPr/>
        <w:t>本集团就使用部分租赁房地产签订了租赁合同。本集团认为，根据租赁合同的条款，出租人未向本集团转移这些租赁房 地产所有权上的所有重大风险和报酬，因此作为经营租赁处理。</w:t>
      </w:r>
    </w:p>
    <w:p>
      <w:pPr>
        <w:pStyle w:val="BodyText"/>
        <w:spacing w:line="276" w:lineRule="auto" w:before="33"/>
        <w:ind w:left="441" w:right="108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经营租赁</w:t>
      </w:r>
      <w:r>
        <w:rPr>
          <w:rFonts w:ascii="Times New Roman" w:hAnsi="Times New Roman" w:cs="Times New Roman" w:eastAsia="Times New Roman" w:hint="default"/>
        </w:rPr>
        <w:t>——</w:t>
      </w:r>
      <w:r>
        <w:rPr/>
        <w:t>作为出租人</w:t>
      </w:r>
      <w:r>
        <w:rPr>
          <w:w w:val="99"/>
        </w:rPr>
        <w:t> </w:t>
      </w:r>
      <w:r>
        <w:rPr/>
        <w:t>本集团就投资性房地产签订了租赁合同。本集团认为，根据租赁合同的条款，本集团保留了这些房地产所有权上的所有</w:t>
      </w:r>
    </w:p>
    <w:p>
      <w:pPr>
        <w:pStyle w:val="BodyText"/>
        <w:spacing w:line="240" w:lineRule="auto" w:before="52"/>
        <w:ind w:right="0"/>
        <w:jc w:val="left"/>
      </w:pPr>
      <w:r>
        <w:rPr/>
        <w:t>重大风险和报酬，因此作为经营租赁处理。</w:t>
      </w:r>
    </w:p>
    <w:p>
      <w:pPr>
        <w:pStyle w:val="BodyText"/>
        <w:spacing w:line="288" w:lineRule="auto" w:before="95"/>
        <w:ind w:left="441" w:right="2709"/>
        <w:jc w:val="left"/>
      </w:pPr>
      <w:r>
        <w:rPr>
          <w:rFonts w:ascii="Times New Roman" w:hAnsi="Times New Roman" w:cs="Times New Roman" w:eastAsia="Times New Roman" w:hint="default"/>
        </w:rPr>
        <w:t>3)</w:t>
      </w:r>
      <w:r>
        <w:rPr/>
        <w:t>风险报酬转移时点的重大判断</w:t>
      </w:r>
      <w:r>
        <w:rPr>
          <w:w w:val="99"/>
        </w:rPr>
        <w:t> </w:t>
      </w:r>
      <w:r>
        <w:rPr/>
        <w:t>本集团在判断与存货所有权有关的风险报酬有无转移时，需根据于合同约定及历史经验进行判断。</w:t>
      </w:r>
    </w:p>
    <w:p>
      <w:pPr>
        <w:pStyle w:val="BodyText"/>
        <w:spacing w:line="240" w:lineRule="auto" w:before="59"/>
        <w:ind w:left="291" w:right="0"/>
        <w:jc w:val="left"/>
      </w:pPr>
      <w:r>
        <w:rPr>
          <w:rFonts w:ascii="Times New Roman" w:hAnsi="Times New Roman" w:cs="Times New Roman" w:eastAsia="Times New Roman" w:hint="default"/>
        </w:rPr>
        <w:t>4)</w:t>
      </w:r>
      <w:r>
        <w:rPr/>
        <w:t>联营企业</w:t>
      </w:r>
    </w:p>
    <w:p>
      <w:pPr>
        <w:pStyle w:val="BodyText"/>
        <w:spacing w:line="297" w:lineRule="auto" w:before="51"/>
        <w:ind w:right="1067" w:firstLine="300"/>
        <w:jc w:val="both"/>
      </w:pPr>
      <w:r>
        <w:rPr/>
        <w:t>本公司持有上海华瑞银行股份有限公司</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该银行</w:t>
      </w:r>
      <w:r>
        <w:rPr>
          <w:rFonts w:ascii="Times New Roman" w:hAnsi="Times New Roman" w:cs="Times New Roman" w:eastAsia="Times New Roman" w:hint="default"/>
        </w:rPr>
        <w:t>”)15%</w:t>
      </w:r>
      <w:r>
        <w:rPr/>
        <w:t>的股份，本公司是该银行的第二大股东。本公司的</w:t>
      </w:r>
      <w:r>
        <w:rPr>
          <w:rFonts w:ascii="Times New Roman" w:hAnsi="Times New Roman" w:cs="Times New Roman" w:eastAsia="Times New Roman" w:hint="default"/>
        </w:rPr>
        <w:t>1</w:t>
      </w:r>
      <w:r>
        <w:rPr/>
        <w:t>位高管人</w:t>
      </w:r>
      <w:r>
        <w:rPr>
          <w:w w:val="99"/>
        </w:rPr>
        <w:t> </w:t>
      </w:r>
      <w:r>
        <w:rPr/>
        <w:t>员是该银行的董事会</w:t>
      </w:r>
      <w:r>
        <w:rPr>
          <w:rFonts w:ascii="Times New Roman" w:hAnsi="Times New Roman" w:cs="Times New Roman" w:eastAsia="Times New Roman" w:hint="default"/>
        </w:rPr>
        <w:t>14</w:t>
      </w:r>
      <w:r>
        <w:rPr/>
        <w:t>名成员中的一员，且提名两位董事，本公司在华瑞银行股东大会的表决权比例为</w:t>
      </w:r>
      <w:r>
        <w:rPr>
          <w:rFonts w:ascii="Times New Roman" w:hAnsi="Times New Roman" w:cs="Times New Roman" w:eastAsia="Times New Roman" w:hint="default"/>
        </w:rPr>
        <w:t>15%</w:t>
      </w:r>
      <w:r>
        <w:rPr/>
        <w:t>。本公司认为，</w:t>
      </w:r>
      <w:r>
        <w:rPr>
          <w:spacing w:val="-81"/>
        </w:rPr>
        <w:t> </w:t>
      </w:r>
      <w:r>
        <w:rPr/>
        <w:t>根据该银行的公司章程，本公司认为能够对该银行的运营实施重大影响，因此将该银行作为联营企业。</w:t>
      </w:r>
    </w:p>
    <w:p>
      <w:pPr>
        <w:pStyle w:val="BodyText"/>
        <w:spacing w:line="290" w:lineRule="auto" w:before="51"/>
        <w:ind w:left="441" w:right="0"/>
        <w:jc w:val="left"/>
      </w:pPr>
      <w:r>
        <w:rPr>
          <w:rFonts w:ascii="Times New Roman" w:hAnsi="Times New Roman" w:cs="Times New Roman" w:eastAsia="Times New Roman" w:hint="default"/>
          <w:b/>
          <w:bCs/>
        </w:rPr>
        <w:t>(2) </w:t>
      </w:r>
      <w:r>
        <w:rPr>
          <w:rFonts w:ascii="宋体" w:hAnsi="宋体" w:cs="宋体" w:eastAsia="宋体" w:hint="default"/>
          <w:b/>
          <w:bCs/>
        </w:rPr>
        <w:t>估计的不确定性</w:t>
      </w:r>
      <w:r>
        <w:rPr>
          <w:rFonts w:ascii="宋体" w:hAnsi="宋体" w:cs="宋体" w:eastAsia="宋体" w:hint="default"/>
          <w:b/>
          <w:bCs/>
          <w:spacing w:val="-67"/>
        </w:rPr>
        <w:t> </w:t>
      </w:r>
      <w:r>
        <w:rPr>
          <w:rFonts w:ascii="宋体" w:hAnsi="宋体" w:cs="宋体" w:eastAsia="宋体" w:hint="default"/>
          <w:b/>
          <w:bCs/>
          <w:spacing w:val="-67"/>
        </w:rPr>
      </w:r>
      <w:r>
        <w:rPr>
          <w:spacing w:val="-1"/>
        </w:rPr>
        <w:t>以下为于资产负债表日有关未来的关键假设以及估计不确定性的其他关键来源，可能会导致未来会计期间资产和负债账</w:t>
      </w:r>
    </w:p>
    <w:p>
      <w:pPr>
        <w:pStyle w:val="BodyText"/>
        <w:spacing w:line="240" w:lineRule="auto" w:before="26"/>
        <w:ind w:right="0"/>
        <w:jc w:val="left"/>
      </w:pPr>
      <w:r>
        <w:rPr/>
        <w:t>面金额重大调整。</w:t>
      </w:r>
    </w:p>
    <w:p>
      <w:pPr>
        <w:pStyle w:val="BodyText"/>
        <w:spacing w:line="288" w:lineRule="auto" w:before="95"/>
        <w:ind w:left="291" w:right="0" w:firstLine="15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金融工具减值</w:t>
      </w:r>
      <w:r>
        <w:rPr>
          <w:w w:val="99"/>
        </w:rPr>
        <w:t> </w:t>
      </w:r>
      <w:r>
        <w:rPr>
          <w:spacing w:val="-2"/>
        </w:rPr>
        <w:t>本集团采用预期信用损失模型对金融工具的减值进行评估，应用预期信用损失模型需要做出重大判断和估计，需考虑所有</w:t>
      </w:r>
    </w:p>
    <w:p>
      <w:pPr>
        <w:pStyle w:val="BodyText"/>
        <w:spacing w:line="314" w:lineRule="auto" w:before="44"/>
        <w:ind w:right="0"/>
        <w:jc w:val="left"/>
      </w:pPr>
      <w:r>
        <w:rPr>
          <w:spacing w:val="-4"/>
        </w:rPr>
        <w:t>合理且有依据的信息，包括前瞻性信息。在做出这些判断和估计时，本集团根据历史还款数据结合经济政策、宏观经济指标、</w:t>
      </w:r>
      <w:r>
        <w:rPr>
          <w:spacing w:val="-50"/>
        </w:rPr>
        <w:t> </w:t>
      </w:r>
      <w:r>
        <w:rPr>
          <w:spacing w:val="-50"/>
        </w:rPr>
      </w:r>
      <w:r>
        <w:rPr>
          <w:spacing w:val="-2"/>
        </w:rPr>
        <w:t>行业风险等因素推断债务人信用风险的预期变动。不同的估计可能会影响减值准备的计提，已计提的减值准备可能并不等于</w:t>
      </w:r>
      <w:r>
        <w:rPr>
          <w:spacing w:val="-61"/>
        </w:rPr>
        <w:t> </w:t>
      </w:r>
      <w:r>
        <w:rPr>
          <w:spacing w:val="-61"/>
        </w:rPr>
      </w:r>
      <w:r>
        <w:rPr/>
        <w:t>未来实际的减值损失金额。</w:t>
      </w:r>
    </w:p>
    <w:p>
      <w:pPr>
        <w:pStyle w:val="BodyText"/>
        <w:spacing w:line="240" w:lineRule="auto" w:before="38"/>
        <w:ind w:left="291" w:right="0"/>
        <w:jc w:val="left"/>
        <w:rPr>
          <w:rFonts w:ascii="Times New Roman" w:hAnsi="Times New Roman" w:cs="Times New Roman" w:eastAsia="Times New Roman" w:hint="default"/>
        </w:rPr>
      </w:pPr>
      <w:r>
        <w:rPr>
          <w:rFonts w:ascii="Times New Roman" w:hAnsi="Times New Roman" w:cs="Times New Roman" w:eastAsia="Times New Roman" w:hint="default"/>
        </w:rPr>
        <w:t>2)</w:t>
      </w:r>
      <w:r>
        <w:rPr/>
        <w:t>除金融资产之外的非流动资产减值</w:t>
      </w:r>
      <w:r>
        <w:rPr>
          <w:rFonts w:ascii="Times New Roman" w:hAnsi="Times New Roman" w:cs="Times New Roman" w:eastAsia="Times New Roman" w:hint="default"/>
        </w:rPr>
        <w:t>(</w:t>
      </w:r>
      <w:r>
        <w:rPr/>
        <w:t>除商誉外</w:t>
      </w:r>
      <w:r>
        <w:rPr>
          <w:rFonts w:ascii="Times New Roman" w:hAnsi="Times New Roman" w:cs="Times New Roman" w:eastAsia="Times New Roman" w:hint="default"/>
        </w:rPr>
        <w:t>)</w:t>
      </w:r>
    </w:p>
    <w:p>
      <w:pPr>
        <w:pStyle w:val="BodyText"/>
        <w:spacing w:line="316" w:lineRule="auto" w:before="51"/>
        <w:ind w:right="1106" w:firstLine="300"/>
        <w:jc w:val="both"/>
      </w:pPr>
      <w:r>
        <w:rPr>
          <w:spacing w:val="-1"/>
        </w:rPr>
        <w:t>本集团于资产负债表日对除金融资产之外的非流动资产判断是否存在可能发生减值的迹象。其他除金融资产之外的非流</w:t>
      </w:r>
      <w:r>
        <w:rPr/>
        <w:t> </w:t>
      </w:r>
      <w:r>
        <w:rPr>
          <w:spacing w:val="-2"/>
        </w:rPr>
        <w:t>动资产，当存在迹象表明其账面金额不可收回时，进行减值测试。当资产或资产组的账面价值高于可收回金额，即公允价值</w:t>
      </w:r>
      <w:r>
        <w:rPr>
          <w:spacing w:val="-42"/>
        </w:rPr>
        <w:t> </w:t>
      </w:r>
      <w:r>
        <w:rPr>
          <w:spacing w:val="-42"/>
        </w:rPr>
      </w:r>
      <w:r>
        <w:rPr>
          <w:spacing w:val="-2"/>
        </w:rPr>
        <w:t>减去处置费用后的净额和预计未来现金流量的现值中的较高者，表明发生了减值。公允价值减去处置费用后的净额，参考公</w:t>
      </w:r>
      <w:r>
        <w:rPr>
          <w:spacing w:val="-75"/>
        </w:rPr>
        <w:t> </w:t>
      </w:r>
      <w:r>
        <w:rPr>
          <w:spacing w:val="-75"/>
        </w:rPr>
      </w:r>
      <w:r>
        <w:rPr>
          <w:spacing w:val="-2"/>
        </w:rPr>
        <w:t>平交易中类似资产的销售协议价格或可观察到的市场价格，减去可直接归属于该资产处置的增量成本确定。预计未来现金流</w:t>
      </w:r>
      <w:r>
        <w:rPr>
          <w:spacing w:val="-61"/>
        </w:rPr>
        <w:t> </w:t>
      </w:r>
      <w:r>
        <w:rPr>
          <w:spacing w:val="-61"/>
        </w:rPr>
      </w:r>
      <w:r>
        <w:rPr/>
        <w:t>量现值时，管理层必须估计该项资产或资产组的预计未来现金流量，并选择恰当的折现率确定未来现金流量的现值。</w:t>
      </w:r>
    </w:p>
    <w:p>
      <w:pPr>
        <w:pStyle w:val="BodyText"/>
        <w:spacing w:line="316" w:lineRule="auto" w:before="82"/>
        <w:ind w:left="291" w:right="1779" w:firstLine="150"/>
        <w:jc w:val="left"/>
      </w:pPr>
      <w:r>
        <w:rPr>
          <w:rFonts w:ascii="Times New Roman" w:hAnsi="Times New Roman" w:cs="Times New Roman" w:eastAsia="Times New Roman" w:hint="default"/>
        </w:rPr>
        <w:t>3)</w:t>
      </w:r>
      <w:r>
        <w:rPr/>
        <w:t>销售退回</w:t>
      </w:r>
      <w:r>
        <w:rPr>
          <w:w w:val="99"/>
        </w:rPr>
        <w:t> </w:t>
      </w:r>
      <w:r>
        <w:rPr/>
        <w:t>本集团给予销售客户销售退回政策，于资产负债表日根据销售协议相关约定、历史经验等，估计销售退回金额。</w:t>
      </w:r>
    </w:p>
    <w:p>
      <w:pPr>
        <w:pStyle w:val="BodyText"/>
        <w:spacing w:line="273" w:lineRule="auto" w:before="82"/>
        <w:ind w:left="441" w:right="1089"/>
        <w:jc w:val="left"/>
      </w:pPr>
      <w:r>
        <w:rPr>
          <w:rFonts w:ascii="Times New Roman" w:hAnsi="Times New Roman" w:cs="Times New Roman" w:eastAsia="Times New Roman" w:hint="default"/>
        </w:rPr>
        <w:t>4)</w:t>
      </w:r>
      <w:r>
        <w:rPr/>
        <w:t>存货跌价准备</w:t>
      </w:r>
      <w:r>
        <w:rPr>
          <w:w w:val="99"/>
        </w:rPr>
        <w:t> </w:t>
      </w:r>
      <w:r>
        <w:rPr/>
        <w:t>本集团根据存货会计政策，按照成本与可变现净值孰低计量，对成本高于可变现净值及陈旧和滞销的存货，计提存货跌</w:t>
      </w:r>
    </w:p>
    <w:p>
      <w:pPr>
        <w:pStyle w:val="BodyText"/>
        <w:spacing w:line="321" w:lineRule="auto" w:before="54"/>
        <w:ind w:right="1133"/>
        <w:jc w:val="both"/>
      </w:pPr>
      <w:r>
        <w:rPr>
          <w:spacing w:val="-2"/>
        </w:rPr>
        <w:t>价准备。存货减值至可变现净值是基于评估存货的可售性及其可变现净值。鉴定存货减值要求管理层在取得确凿证据，并且</w:t>
      </w:r>
      <w:r>
        <w:rPr>
          <w:spacing w:val="-75"/>
        </w:rPr>
        <w:t> </w:t>
      </w:r>
      <w:r>
        <w:rPr>
          <w:spacing w:val="-75"/>
        </w:rPr>
      </w:r>
      <w:r>
        <w:rPr>
          <w:spacing w:val="-2"/>
        </w:rPr>
        <w:t>考虑持有存货的目的、资产负债表日后事项的影响等因素的基础上作出判断和估计。实际的结果与原先估计的差异将在估计</w:t>
      </w:r>
      <w:r>
        <w:rPr>
          <w:spacing w:val="-69"/>
        </w:rPr>
        <w:t> </w:t>
      </w:r>
      <w:r>
        <w:rPr>
          <w:spacing w:val="-69"/>
        </w:rPr>
      </w:r>
      <w:r>
        <w:rPr/>
        <w:t>被改变的期间影响存货的账面价值及存货跌价准备的计提或转回。</w:t>
      </w:r>
    </w:p>
    <w:p>
      <w:pPr>
        <w:pStyle w:val="BodyText"/>
        <w:spacing w:line="273" w:lineRule="auto" w:before="34"/>
        <w:ind w:left="441" w:right="1089"/>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递延所得税资产</w:t>
      </w:r>
      <w:r>
        <w:rPr>
          <w:w w:val="99"/>
        </w:rPr>
        <w:t> </w:t>
      </w:r>
      <w:r>
        <w:rPr/>
        <w:t>在很可能有足够的应纳税所得额用以抵扣预提费用、抵销的内部未实现销售毛利和可抵扣亏损的限度内，确认递延所得</w:t>
      </w:r>
    </w:p>
    <w:p>
      <w:pPr>
        <w:pStyle w:val="BodyText"/>
        <w:spacing w:line="321" w:lineRule="auto" w:before="54"/>
        <w:ind w:right="0"/>
        <w:jc w:val="left"/>
      </w:pPr>
      <w:r>
        <w:rPr>
          <w:spacing w:val="-2"/>
        </w:rPr>
        <w:t>税资产。这需要管理层运用大量的判断来估计未来取得应纳税所得额的时间和金额，结合纳税筹划策略，以决定应确认的递</w:t>
      </w:r>
      <w:r>
        <w:rPr>
          <w:spacing w:val="-75"/>
        </w:rPr>
        <w:t> </w:t>
      </w:r>
      <w:r>
        <w:rPr>
          <w:spacing w:val="-75"/>
        </w:rPr>
      </w:r>
      <w:r>
        <w:rPr/>
        <w:t>延所得税资产的金额。</w:t>
      </w:r>
    </w:p>
    <w:p>
      <w:pPr>
        <w:pStyle w:val="BodyText"/>
        <w:spacing w:line="333" w:lineRule="auto" w:before="34"/>
        <w:ind w:left="441" w:right="0"/>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0"/>
        </w:rPr>
        <w:t> </w:t>
      </w:r>
      <w:r>
        <w:rPr/>
        <w:t>对投资性房地产及固定资产使用寿命的评估</w:t>
      </w:r>
      <w:r>
        <w:rPr>
          <w:w w:val="99"/>
        </w:rPr>
        <w:t> </w:t>
      </w:r>
      <w:r>
        <w:rPr>
          <w:spacing w:val="-1"/>
        </w:rPr>
        <w:t>本集团基于对投资性房地产及固定资产预计使用寿命的预测确定投资性房地产及固定资产的折旧年限，这需要管理层运</w:t>
      </w:r>
    </w:p>
    <w:p>
      <w:pPr>
        <w:pStyle w:val="BodyText"/>
        <w:spacing w:line="230" w:lineRule="exact"/>
        <w:ind w:right="0"/>
        <w:jc w:val="left"/>
      </w:pPr>
      <w:r>
        <w:rPr/>
        <w:t>用大量的判断和估计，以决定适用的折旧年限。</w:t>
      </w:r>
    </w:p>
    <w:p>
      <w:pPr>
        <w:spacing w:after="0" w:line="230" w:lineRule="exact"/>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r>
        <w:rPr/>
        <w:pict>
          <v:group style="position:absolute;margin-left:217.029999pt;margin-top:339.299988pt;width:159.2pt;height:132.9pt;mso-position-horizontal-relative:page;mso-position-vertical-relative:page;z-index:-926152" coordorigin="4341,6786" coordsize="3184,2658">
            <v:shape style="position:absolute;left:4341;top:6786;width:3184;height:2658" coordorigin="4341,6786" coordsize="3184,2658" path="m4341,9444l7525,9444,7525,6786,4341,6786,4341,9444xe" filled="true" fillcolor="#ffffff" stroked="false">
              <v:path arrowok="t"/>
              <v:fill type="solid"/>
            </v:shape>
            <w10:wrap type="none"/>
          </v:group>
        </w:pict>
      </w:r>
    </w:p>
    <w:p>
      <w:pPr>
        <w:pStyle w:val="Heading5"/>
        <w:spacing w:line="240" w:lineRule="auto" w:before="35"/>
        <w:ind w:right="0"/>
        <w:jc w:val="left"/>
        <w:rPr>
          <w:b w:val="0"/>
          <w:bCs w:val="0"/>
        </w:rPr>
      </w:pPr>
      <w:bookmarkStart w:name="27、重要会计政策和会计估计变更" w:id="205"/>
      <w:bookmarkEnd w:id="205"/>
      <w:r>
        <w:rPr>
          <w:b w:val="0"/>
          <w:bCs w:val="0"/>
        </w:rPr>
      </w:r>
      <w:r>
        <w:rPr>
          <w:rFonts w:ascii="Times New Roman" w:hAnsi="Times New Roman" w:cs="Times New Roman" w:eastAsia="Times New Roman" w:hint="default"/>
        </w:rPr>
        <w:t>27</w:t>
      </w:r>
      <w:r>
        <w:rPr/>
        <w:t>、重要会计政策和会计估计变更</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重要会计政策变更" w:id="206"/>
      <w:bookmarkEnd w:id="20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spacing w:line="240" w:lineRule="auto" w:before="3"/>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602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60"/>
              <w:ind w:left="15" w:right="28"/>
              <w:jc w:val="both"/>
              <w:rPr>
                <w:rFonts w:ascii="宋体" w:hAnsi="宋体" w:cs="宋体" w:eastAsia="宋体" w:hint="default"/>
                <w:sz w:val="18"/>
                <w:szCs w:val="18"/>
              </w:rPr>
            </w:pPr>
            <w:r>
              <w:rPr>
                <w:rFonts w:ascii="宋体" w:hAnsi="宋体" w:cs="宋体" w:eastAsia="宋体" w:hint="default"/>
                <w:sz w:val="18"/>
                <w:szCs w:val="18"/>
              </w:rPr>
              <w:t>新金融工具准则：</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年，财政部颁布 了修订的《企业会计准则第</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 </w:t>
            </w:r>
            <w:r>
              <w:rPr>
                <w:rFonts w:ascii="宋体" w:hAnsi="宋体" w:cs="宋体" w:eastAsia="宋体" w:hint="default"/>
                <w:spacing w:val="-10"/>
                <w:sz w:val="18"/>
                <w:szCs w:val="18"/>
              </w:rPr>
              <w:t>融工具确认和计量》、《企业会计准则第</w:t>
            </w:r>
          </w:p>
          <w:p>
            <w:pPr>
              <w:pStyle w:val="TableParagraph"/>
              <w:spacing w:line="240" w:lineRule="auto" w:before="56"/>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金融资产转移</w:t>
            </w:r>
            <w:r>
              <w:rPr>
                <w:rFonts w:ascii="宋体" w:hAnsi="宋体" w:cs="宋体" w:eastAsia="宋体" w:hint="default"/>
                <w:spacing w:val="-90"/>
                <w:sz w:val="18"/>
                <w:szCs w:val="18"/>
              </w:rPr>
              <w:t>》、</w:t>
            </w:r>
            <w:r>
              <w:rPr>
                <w:rFonts w:ascii="宋体" w:hAnsi="宋体" w:cs="宋体" w:eastAsia="宋体" w:hint="default"/>
                <w:sz w:val="18"/>
                <w:szCs w:val="18"/>
              </w:rPr>
              <w:t>《企业会计准</w:t>
            </w:r>
          </w:p>
          <w:p>
            <w:pPr>
              <w:pStyle w:val="TableParagraph"/>
              <w:spacing w:line="240" w:lineRule="auto" w:before="66"/>
              <w:ind w:left="15" w:right="0"/>
              <w:jc w:val="left"/>
              <w:rPr>
                <w:rFonts w:ascii="宋体" w:hAnsi="宋体" w:cs="宋体" w:eastAsia="宋体" w:hint="default"/>
                <w:sz w:val="18"/>
                <w:szCs w:val="18"/>
              </w:rPr>
            </w:pPr>
            <w:r>
              <w:rPr>
                <w:rFonts w:ascii="宋体" w:hAnsi="宋体" w:cs="宋体" w:eastAsia="宋体" w:hint="default"/>
                <w:sz w:val="18"/>
                <w:szCs w:val="18"/>
              </w:rPr>
              <w:t>则第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套期保值》以及《企业会</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宋体" w:hAnsi="宋体" w:cs="宋体" w:eastAsia="宋体" w:hint="default"/>
                <w:spacing w:val="-90"/>
                <w:sz w:val="18"/>
                <w:szCs w:val="18"/>
              </w:rPr>
              <w:t>》</w:t>
            </w:r>
            <w:r>
              <w:rPr>
                <w:rFonts w:ascii="宋体" w:hAnsi="宋体" w:cs="宋体" w:eastAsia="宋体" w:hint="default"/>
                <w:sz w:val="18"/>
                <w:szCs w:val="18"/>
              </w:rPr>
              <w:t>（统</w:t>
            </w:r>
          </w:p>
          <w:p>
            <w:pPr>
              <w:pStyle w:val="TableParagraph"/>
              <w:spacing w:line="240" w:lineRule="auto" w:before="66"/>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称</w:t>
            </w:r>
            <w:r>
              <w:rPr>
                <w:rFonts w:ascii="Times New Roman" w:hAnsi="Times New Roman" w:cs="Times New Roman" w:eastAsia="Times New Roman" w:hint="default"/>
                <w:spacing w:val="10"/>
                <w:w w:val="100"/>
                <w:sz w:val="18"/>
                <w:szCs w:val="18"/>
              </w:rPr>
              <w:t>“</w:t>
            </w:r>
            <w:r>
              <w:rPr>
                <w:rFonts w:ascii="宋体" w:hAnsi="宋体" w:cs="宋体" w:eastAsia="宋体" w:hint="default"/>
                <w:sz w:val="18"/>
                <w:szCs w:val="18"/>
              </w:rPr>
              <w:t>新金融工具准</w:t>
            </w:r>
            <w:r>
              <w:rPr>
                <w:rFonts w:ascii="宋体" w:hAnsi="宋体" w:cs="宋体" w:eastAsia="宋体" w:hint="default"/>
                <w:spacing w:val="1"/>
                <w:sz w:val="18"/>
                <w:szCs w:val="18"/>
              </w:rPr>
              <w:t>则</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90"/>
                <w:sz w:val="18"/>
                <w:szCs w:val="18"/>
              </w:rPr>
              <w:t>）</w:t>
            </w:r>
            <w:r>
              <w:rPr>
                <w:rFonts w:ascii="宋体" w:hAnsi="宋体" w:cs="宋体" w:eastAsia="宋体" w:hint="default"/>
                <w:sz w:val="18"/>
                <w:szCs w:val="18"/>
              </w:rPr>
              <w:t>。本集团自</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p>
          <w:p>
            <w:pPr>
              <w:pStyle w:val="TableParagraph"/>
              <w:spacing w:line="314" w:lineRule="auto" w:before="66"/>
              <w:ind w:left="15" w:right="15"/>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日开始按照新金融工具准则进 行会计处理，根据衔接规定，对可比期 间信息不予调整，首日执行新准则与现 行准则的差异追溯调整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年年初未分 配利润或其他综合收益。新金融工具准 则改变了金融资产的分类和计量方式， 确定了三个主要的计量类别：摊余成本 以公允价值计量且其变动计入其他综合 收益；以公允价值计量且其变动计入当 期损益。企业需考虑自身业务模式，以 及金融资产的合同现金流特征进行上述</w:t>
            </w:r>
          </w:p>
          <w:p>
            <w:pPr>
              <w:pStyle w:val="TableParagraph"/>
              <w:spacing w:line="240" w:lineRule="auto" w:before="23"/>
              <w:ind w:left="15" w:right="0"/>
              <w:jc w:val="left"/>
              <w:rPr>
                <w:rFonts w:ascii="宋体" w:hAnsi="宋体" w:cs="宋体" w:eastAsia="宋体" w:hint="default"/>
                <w:sz w:val="18"/>
                <w:szCs w:val="18"/>
              </w:rPr>
            </w:pPr>
            <w:r>
              <w:rPr>
                <w:rFonts w:ascii="宋体" w:hAnsi="宋体" w:cs="宋体" w:eastAsia="宋体" w:hint="default"/>
                <w:sz w:val="18"/>
                <w:szCs w:val="18"/>
              </w:rPr>
              <w:t>分类。</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307" w:lineRule="auto"/>
              <w:ind w:left="14" w:right="92"/>
              <w:jc w:val="left"/>
              <w:rPr>
                <w:rFonts w:ascii="宋体" w:hAnsi="宋体" w:cs="宋体" w:eastAsia="宋体" w:hint="default"/>
                <w:sz w:val="18"/>
                <w:szCs w:val="18"/>
              </w:rPr>
            </w:pPr>
            <w:r>
              <w:rPr>
                <w:rFonts w:ascii="宋体" w:hAnsi="宋体" w:cs="宋体" w:eastAsia="宋体" w:hint="default"/>
                <w:sz w:val="18"/>
                <w:szCs w:val="18"/>
              </w:rPr>
              <w:t>相关议案经公司第四届董事会第十六次 会议审议通过。</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2" w:lineRule="auto"/>
              <w:ind w:left="30" w:right="14"/>
              <w:jc w:val="left"/>
              <w:rPr>
                <w:rFonts w:ascii="宋体" w:hAnsi="宋体" w:cs="宋体" w:eastAsia="宋体" w:hint="default"/>
                <w:sz w:val="18"/>
                <w:szCs w:val="18"/>
              </w:rPr>
            </w:pPr>
            <w:r>
              <w:rPr>
                <w:rFonts w:ascii="宋体" w:hAnsi="宋体" w:cs="宋体" w:eastAsia="宋体" w:hint="default"/>
                <w:sz w:val="18"/>
                <w:szCs w:val="18"/>
              </w:rPr>
              <w:t>根据新金融工具准则中衔接规定相关要 </w:t>
            </w:r>
            <w:r>
              <w:rPr>
                <w:rFonts w:ascii="宋体" w:hAnsi="宋体" w:cs="宋体" w:eastAsia="宋体" w:hint="default"/>
                <w:spacing w:val="-5"/>
                <w:sz w:val="18"/>
                <w:szCs w:val="18"/>
              </w:rPr>
              <w:t>求，于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日之前的金融工具 确认和计量与新金融工具准则要求不一</w:t>
            </w:r>
          </w:p>
          <w:p>
            <w:pPr>
              <w:pStyle w:val="TableParagraph"/>
              <w:spacing w:line="326" w:lineRule="auto" w:before="11"/>
              <w:ind w:left="30" w:right="45"/>
              <w:jc w:val="left"/>
              <w:rPr>
                <w:rFonts w:ascii="宋体" w:hAnsi="宋体" w:cs="宋体" w:eastAsia="宋体" w:hint="default"/>
                <w:sz w:val="18"/>
                <w:szCs w:val="18"/>
              </w:rPr>
            </w:pPr>
            <w:r>
              <w:rPr>
                <w:rFonts w:ascii="宋体" w:hAnsi="宋体" w:cs="宋体" w:eastAsia="宋体" w:hint="default"/>
                <w:sz w:val="18"/>
                <w:szCs w:val="18"/>
              </w:rPr>
              <w:t>致的，对金融工具的分类和计量（含减 值）进行追溯调整，将金融工具原账面 价值和在新金融工具准则施行日（即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日）的新账面价值之间的</w:t>
            </w:r>
          </w:p>
          <w:p>
            <w:pPr>
              <w:pStyle w:val="TableParagraph"/>
              <w:spacing w:line="244" w:lineRule="exact"/>
              <w:ind w:left="30" w:right="0"/>
              <w:jc w:val="left"/>
              <w:rPr>
                <w:rFonts w:ascii="宋体" w:hAnsi="宋体" w:cs="宋体" w:eastAsia="宋体" w:hint="default"/>
                <w:sz w:val="18"/>
                <w:szCs w:val="18"/>
              </w:rPr>
            </w:pPr>
            <w:r>
              <w:rPr>
                <w:rFonts w:ascii="宋体" w:hAnsi="宋体" w:cs="宋体" w:eastAsia="宋体" w:hint="default"/>
                <w:sz w:val="18"/>
                <w:szCs w:val="18"/>
              </w:rPr>
              <w:t>差额计入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日的留存收益或</w:t>
            </w:r>
          </w:p>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pacing w:val="-3"/>
                <w:sz w:val="18"/>
                <w:szCs w:val="18"/>
              </w:rPr>
              <w:t>其他综合收益。同时，本公司对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年</w:t>
            </w:r>
          </w:p>
          <w:p>
            <w:pPr>
              <w:pStyle w:val="TableParagraph"/>
              <w:spacing w:line="240" w:lineRule="auto" w:before="66"/>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日期初财务报表项目进行调整。</w:t>
            </w:r>
          </w:p>
        </w:tc>
      </w:tr>
      <w:tr>
        <w:trPr>
          <w:trHeight w:val="567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5"/>
              <w:jc w:val="left"/>
              <w:rPr>
                <w:rFonts w:ascii="宋体" w:hAnsi="宋体" w:cs="宋体" w:eastAsia="宋体" w:hint="default"/>
                <w:sz w:val="18"/>
                <w:szCs w:val="18"/>
              </w:rPr>
            </w:pPr>
            <w:r>
              <w:rPr>
                <w:rFonts w:ascii="宋体" w:hAnsi="宋体" w:cs="宋体" w:eastAsia="宋体" w:hint="default"/>
                <w:sz w:val="18"/>
                <w:szCs w:val="18"/>
              </w:rPr>
              <w:t>财务报表列报方式变更：根据《关于修 订印发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年度一般企业财务报表格式 </w:t>
            </w:r>
            <w:r>
              <w:rPr>
                <w:rFonts w:ascii="宋体" w:hAnsi="宋体" w:cs="宋体" w:eastAsia="宋体" w:hint="default"/>
                <w:spacing w:val="-9"/>
                <w:sz w:val="18"/>
                <w:szCs w:val="18"/>
              </w:rPr>
              <w:t>的通知》（财会</w:t>
            </w:r>
            <w:r>
              <w:rPr>
                <w:rFonts w:ascii="Times New Roman" w:hAnsi="Times New Roman" w:cs="Times New Roman" w:eastAsia="Times New Roman" w:hint="default"/>
                <w:spacing w:val="-9"/>
                <w:sz w:val="18"/>
                <w:szCs w:val="18"/>
              </w:rPr>
              <w:t>[2019]6</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号）和《关于修订</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印发合并财务报表格式（</w:t>
            </w:r>
            <w:r>
              <w:rPr>
                <w:rFonts w:ascii="Times New Roman" w:hAnsi="Times New Roman" w:cs="Times New Roman" w:eastAsia="Times New Roman" w:hint="default"/>
                <w:sz w:val="18"/>
                <w:szCs w:val="18"/>
              </w:rPr>
              <w:t>2019 </w:t>
            </w:r>
            <w:r>
              <w:rPr>
                <w:rFonts w:ascii="宋体" w:hAnsi="宋体" w:cs="宋体" w:eastAsia="宋体" w:hint="default"/>
                <w:sz w:val="18"/>
                <w:szCs w:val="18"/>
              </w:rPr>
              <w:t>版）的通 </w:t>
            </w:r>
            <w:r>
              <w:rPr>
                <w:rFonts w:ascii="宋体" w:hAnsi="宋体" w:cs="宋体" w:eastAsia="宋体" w:hint="default"/>
                <w:spacing w:val="-10"/>
                <w:sz w:val="18"/>
                <w:szCs w:val="18"/>
              </w:rPr>
              <w:t>知》（财会</w:t>
            </w:r>
            <w:r>
              <w:rPr>
                <w:rFonts w:ascii="Times New Roman" w:hAnsi="Times New Roman" w:cs="Times New Roman" w:eastAsia="Times New Roman" w:hint="default"/>
                <w:spacing w:val="-10"/>
                <w:sz w:val="18"/>
                <w:szCs w:val="18"/>
              </w:rPr>
              <w:t>[2019]16</w:t>
            </w:r>
            <w:r>
              <w:rPr>
                <w:rFonts w:ascii="Times New Roman" w:hAnsi="Times New Roman" w:cs="Times New Roman" w:eastAsia="Times New Roman" w:hint="default"/>
                <w:sz w:val="18"/>
                <w:szCs w:val="18"/>
              </w:rPr>
              <w:t> </w:t>
            </w:r>
            <w:r>
              <w:rPr>
                <w:rFonts w:ascii="宋体" w:hAnsi="宋体" w:cs="宋体" w:eastAsia="宋体" w:hint="default"/>
                <w:spacing w:val="-16"/>
                <w:sz w:val="18"/>
                <w:szCs w:val="18"/>
              </w:rPr>
              <w:t>号）要求，，资产负债</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w w:val="100"/>
                <w:sz w:val="18"/>
                <w:szCs w:val="18"/>
              </w:rPr>
              <w:t>表中，</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应收票据及应收账款</w:t>
            </w:r>
            <w:r>
              <w:rPr>
                <w:rFonts w:ascii="Times New Roman" w:hAnsi="Times New Roman" w:cs="Times New Roman" w:eastAsia="Times New Roman" w:hint="default"/>
                <w:spacing w:val="-5"/>
                <w:w w:val="100"/>
                <w:sz w:val="18"/>
                <w:szCs w:val="18"/>
              </w:rPr>
              <w:t>”</w:t>
            </w:r>
            <w:r>
              <w:rPr>
                <w:rFonts w:ascii="宋体" w:hAnsi="宋体" w:cs="宋体" w:eastAsia="宋体" w:hint="default"/>
                <w:spacing w:val="-5"/>
                <w:w w:val="100"/>
                <w:sz w:val="18"/>
                <w:szCs w:val="18"/>
              </w:rPr>
              <w:t>项目分拆为</w:t>
            </w:r>
            <w:r>
              <w:rPr>
                <w:rFonts w:ascii="宋体" w:hAnsi="宋体" w:cs="宋体" w:eastAsia="宋体" w:hint="default"/>
                <w:spacing w:val="-79"/>
                <w:w w:val="100"/>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w:t>
            </w:r>
            <w:r>
              <w:rPr>
                <w:rFonts w:ascii="宋体" w:hAnsi="宋体" w:cs="宋体" w:eastAsia="宋体" w:hint="default"/>
                <w:spacing w:val="-70"/>
                <w:sz w:val="18"/>
                <w:szCs w:val="18"/>
              </w:rPr>
              <w:t> </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项目分拆为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w:t>
            </w:r>
            <w:r>
              <w:rPr>
                <w:rFonts w:ascii="宋体" w:hAnsi="宋体" w:cs="宋体" w:eastAsia="宋体" w:hint="default"/>
                <w:spacing w:val="-77"/>
                <w:sz w:val="18"/>
                <w:szCs w:val="18"/>
              </w:rPr>
              <w:t> </w:t>
            </w:r>
            <w:r>
              <w:rPr>
                <w:rFonts w:ascii="宋体" w:hAnsi="宋体" w:cs="宋体" w:eastAsia="宋体" w:hint="default"/>
                <w:sz w:val="18"/>
                <w:szCs w:val="18"/>
              </w:rPr>
              <w:t>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。此外，随本年新金融工具准则 </w:t>
            </w:r>
            <w:r>
              <w:rPr>
                <w:rFonts w:ascii="宋体" w:hAnsi="宋体" w:cs="宋体" w:eastAsia="宋体" w:hint="default"/>
                <w:spacing w:val="-3"/>
                <w:sz w:val="18"/>
                <w:szCs w:val="18"/>
              </w:rPr>
              <w:t>的执行，按照《关于修订印发</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r>
              <w:rPr>
                <w:rFonts w:ascii="宋体" w:hAnsi="宋体" w:cs="宋体" w:eastAsia="宋体" w:hint="default"/>
                <w:spacing w:val="-87"/>
                <w:sz w:val="18"/>
                <w:szCs w:val="18"/>
              </w:rPr>
              <w:t> </w:t>
            </w:r>
            <w:r>
              <w:rPr>
                <w:rFonts w:ascii="宋体" w:hAnsi="宋体" w:cs="宋体" w:eastAsia="宋体" w:hint="default"/>
                <w:spacing w:val="-6"/>
                <w:sz w:val="18"/>
                <w:szCs w:val="18"/>
              </w:rPr>
              <w:t>一般企业财务报表格式的通知》（财会</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[2019]6 </w:t>
            </w:r>
            <w:r>
              <w:rPr>
                <w:rFonts w:ascii="宋体" w:hAnsi="宋体" w:cs="宋体" w:eastAsia="宋体" w:hint="default"/>
                <w:sz w:val="18"/>
                <w:szCs w:val="18"/>
              </w:rPr>
              <w:t>号）要求，</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项目中</w:t>
            </w:r>
            <w:r>
              <w:rPr>
                <w:rFonts w:ascii="宋体" w:hAnsi="宋体" w:cs="宋体" w:eastAsia="宋体" w:hint="default"/>
                <w:spacing w:val="-83"/>
                <w:sz w:val="18"/>
                <w:szCs w:val="18"/>
              </w:rPr>
              <w:t> </w:t>
            </w:r>
            <w:r>
              <w:rPr>
                <w:rFonts w:ascii="宋体" w:hAnsi="宋体" w:cs="宋体" w:eastAsia="宋体" w:hint="default"/>
                <w:sz w:val="18"/>
                <w:szCs w:val="18"/>
              </w:rPr>
              <w:t>的</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改为仅反映相关金融工具</w:t>
            </w:r>
            <w:r>
              <w:rPr>
                <w:rFonts w:ascii="宋体" w:hAnsi="宋体" w:cs="宋体" w:eastAsia="宋体" w:hint="default"/>
                <w:spacing w:val="-85"/>
                <w:sz w:val="18"/>
                <w:szCs w:val="18"/>
              </w:rPr>
              <w:t> </w:t>
            </w:r>
            <w:r>
              <w:rPr>
                <w:rFonts w:ascii="宋体" w:hAnsi="宋体" w:cs="宋体" w:eastAsia="宋体" w:hint="default"/>
                <w:sz w:val="18"/>
                <w:szCs w:val="18"/>
              </w:rPr>
              <w:t>已到期可收取但于资产负债表日尚未收 到的利息（基于实际利率法计提的金融 工具的利息包含在相应金融工具的账面 </w:t>
            </w:r>
            <w:r>
              <w:rPr>
                <w:rFonts w:ascii="宋体" w:hAnsi="宋体" w:cs="宋体" w:eastAsia="宋体" w:hint="default"/>
                <w:spacing w:val="-8"/>
                <w:w w:val="100"/>
                <w:sz w:val="18"/>
                <w:szCs w:val="18"/>
              </w:rPr>
              <w:t>余额中），</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其他应付款</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项目中的</w:t>
            </w:r>
            <w:r>
              <w:rPr>
                <w:rFonts w:ascii="Times New Roman" w:hAnsi="Times New Roman" w:cs="Times New Roman" w:eastAsia="Times New Roman" w:hint="default"/>
                <w:spacing w:val="-8"/>
                <w:w w:val="100"/>
                <w:sz w:val="18"/>
                <w:szCs w:val="18"/>
              </w:rPr>
              <w:t>“</w:t>
            </w:r>
            <w:r>
              <w:rPr>
                <w:rFonts w:ascii="宋体" w:hAnsi="宋体" w:cs="宋体" w:eastAsia="宋体" w:hint="default"/>
                <w:spacing w:val="-8"/>
                <w:w w:val="100"/>
                <w:sz w:val="18"/>
                <w:szCs w:val="18"/>
              </w:rPr>
              <w:t>应付利</w:t>
            </w:r>
            <w:r>
              <w:rPr>
                <w:rFonts w:ascii="宋体" w:hAnsi="宋体" w:cs="宋体" w:eastAsia="宋体" w:hint="default"/>
                <w:spacing w:val="-78"/>
                <w:w w:val="100"/>
                <w:sz w:val="18"/>
                <w:szCs w:val="18"/>
              </w:rPr>
              <w:t> </w:t>
            </w:r>
            <w:r>
              <w:rPr>
                <w:rFonts w:ascii="宋体" w:hAnsi="宋体" w:cs="宋体" w:eastAsia="宋体" w:hint="default"/>
                <w:sz w:val="18"/>
                <w:szCs w:val="18"/>
              </w:rPr>
              <w:t>息</w:t>
            </w:r>
            <w:r>
              <w:rPr>
                <w:rFonts w:ascii="Times New Roman" w:hAnsi="Times New Roman" w:cs="Times New Roman" w:eastAsia="Times New Roman" w:hint="default"/>
                <w:sz w:val="18"/>
                <w:szCs w:val="18"/>
              </w:rPr>
              <w:t>”</w:t>
            </w:r>
            <w:r>
              <w:rPr>
                <w:rFonts w:ascii="宋体" w:hAnsi="宋体" w:cs="宋体" w:eastAsia="宋体" w:hint="default"/>
                <w:sz w:val="18"/>
                <w:szCs w:val="18"/>
              </w:rPr>
              <w:t>改为仅反映相关金融工具已到期应</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07" w:lineRule="auto"/>
              <w:ind w:left="14" w:right="92"/>
              <w:jc w:val="left"/>
              <w:rPr>
                <w:rFonts w:ascii="宋体" w:hAnsi="宋体" w:cs="宋体" w:eastAsia="宋体" w:hint="default"/>
                <w:sz w:val="18"/>
                <w:szCs w:val="18"/>
              </w:rPr>
            </w:pPr>
            <w:r>
              <w:rPr>
                <w:rFonts w:ascii="宋体" w:hAnsi="宋体" w:cs="宋体" w:eastAsia="宋体" w:hint="default"/>
                <w:sz w:val="18"/>
                <w:szCs w:val="18"/>
              </w:rPr>
              <w:t>相关议案经公司第四届董事会第十八次 会议审议通过。</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3"/>
                <w:szCs w:val="13"/>
              </w:rPr>
            </w:pPr>
          </w:p>
          <w:p>
            <w:pPr>
              <w:pStyle w:val="TableParagraph"/>
              <w:spacing w:line="276" w:lineRule="auto"/>
              <w:ind w:left="30" w:right="1"/>
              <w:jc w:val="left"/>
              <w:rPr>
                <w:rFonts w:ascii="宋体" w:hAnsi="宋体" w:cs="宋体" w:eastAsia="宋体" w:hint="default"/>
                <w:sz w:val="18"/>
                <w:szCs w:val="18"/>
              </w:rPr>
            </w:pPr>
            <w:r>
              <w:rPr>
                <w:rFonts w:ascii="宋体" w:hAnsi="宋体" w:cs="宋体" w:eastAsia="宋体" w:hint="default"/>
                <w:sz w:val="18"/>
                <w:szCs w:val="18"/>
              </w:rPr>
              <w:t>本公司对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日期初财务报表 项目进行调整的影响，详见其他说明。</w:t>
            </w:r>
          </w:p>
        </w:tc>
      </w:tr>
    </w:tbl>
    <w:p>
      <w:pPr>
        <w:spacing w:after="0" w:line="276"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16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支付但于资产负债表日尚未支付的利息</w:t>
            </w:r>
          </w:p>
          <w:p>
            <w:pPr>
              <w:pStyle w:val="TableParagraph"/>
              <w:spacing w:line="321" w:lineRule="auto" w:before="64"/>
              <w:ind w:left="15" w:right="16"/>
              <w:jc w:val="left"/>
              <w:rPr>
                <w:rFonts w:ascii="宋体" w:hAnsi="宋体" w:cs="宋体" w:eastAsia="宋体" w:hint="default"/>
                <w:sz w:val="18"/>
                <w:szCs w:val="18"/>
              </w:rPr>
            </w:pPr>
            <w:r>
              <w:rPr>
                <w:rFonts w:ascii="宋体" w:hAnsi="宋体" w:cs="宋体" w:eastAsia="宋体" w:hint="default"/>
                <w:sz w:val="18"/>
                <w:szCs w:val="18"/>
              </w:rPr>
              <w:t>（基于实际利率法计提的金融工具的利 </w:t>
            </w:r>
            <w:r>
              <w:rPr>
                <w:rFonts w:ascii="宋体" w:hAnsi="宋体" w:cs="宋体" w:eastAsia="宋体" w:hint="default"/>
                <w:spacing w:val="-5"/>
                <w:sz w:val="18"/>
                <w:szCs w:val="18"/>
              </w:rPr>
              <w:t>息包含在相应金融工具的账面余额中），</w:t>
            </w:r>
            <w:r>
              <w:rPr>
                <w:rFonts w:ascii="宋体" w:hAnsi="宋体" w:cs="宋体" w:eastAsia="宋体" w:hint="default"/>
                <w:sz w:val="18"/>
                <w:szCs w:val="18"/>
              </w:rPr>
              <w:t> 参照新金融工具准则的衔接规定不追溯 调整比较数据。</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67" w:lineRule="auto"/>
        <w:ind w:right="2649"/>
        <w:jc w:val="left"/>
      </w:pPr>
      <w:r>
        <w:rPr/>
        <w:t>一、新金融工具准则 在首次执行日，金融资产按照修订前后金融工具确认和计量准则的规定进行分类和计量结果对比如下：</w:t>
      </w:r>
    </w:p>
    <w:p>
      <w:pPr>
        <w:spacing w:line="240" w:lineRule="auto" w:before="0"/>
        <w:rPr>
          <w:rFonts w:ascii="宋体" w:hAnsi="宋体" w:cs="宋体" w:eastAsia="宋体" w:hint="default"/>
          <w:sz w:val="18"/>
          <w:szCs w:val="18"/>
        </w:rPr>
      </w:pPr>
    </w:p>
    <w:p>
      <w:pPr>
        <w:pStyle w:val="BodyText"/>
        <w:spacing w:line="240" w:lineRule="auto" w:before="124"/>
        <w:ind w:right="0"/>
        <w:jc w:val="left"/>
      </w:pPr>
      <w:r>
        <w:rPr/>
        <w:t>合并财务报表：</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02"/>
        <w:gridCol w:w="2373"/>
        <w:gridCol w:w="1141"/>
        <w:gridCol w:w="2373"/>
        <w:gridCol w:w="1142"/>
      </w:tblGrid>
      <w:tr>
        <w:trPr>
          <w:trHeight w:val="660" w:hRule="exact"/>
        </w:trPr>
        <w:tc>
          <w:tcPr>
            <w:tcW w:w="1502"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50" w:right="0"/>
              <w:jc w:val="left"/>
              <w:rPr>
                <w:rFonts w:ascii="宋体" w:hAnsi="宋体" w:cs="宋体" w:eastAsia="宋体" w:hint="default"/>
                <w:sz w:val="19"/>
                <w:szCs w:val="19"/>
              </w:rPr>
            </w:pPr>
            <w:r>
              <w:rPr>
                <w:rFonts w:ascii="宋体" w:hAnsi="宋体" w:cs="宋体" w:eastAsia="宋体" w:hint="default"/>
                <w:spacing w:val="3"/>
                <w:sz w:val="19"/>
                <w:szCs w:val="19"/>
              </w:rPr>
              <w:t>修订前的金融工具确认和</w:t>
            </w:r>
          </w:p>
          <w:p>
            <w:pPr>
              <w:pStyle w:val="TableParagraph"/>
              <w:spacing w:line="240" w:lineRule="auto" w:before="51"/>
              <w:ind w:left="1561" w:right="0"/>
              <w:jc w:val="left"/>
              <w:rPr>
                <w:rFonts w:ascii="宋体" w:hAnsi="宋体" w:cs="宋体" w:eastAsia="宋体" w:hint="default"/>
                <w:sz w:val="19"/>
                <w:szCs w:val="19"/>
              </w:rPr>
            </w:pPr>
            <w:r>
              <w:rPr>
                <w:rFonts w:ascii="宋体" w:hAnsi="宋体" w:cs="宋体" w:eastAsia="宋体" w:hint="default"/>
                <w:w w:val="105"/>
                <w:sz w:val="19"/>
                <w:szCs w:val="19"/>
              </w:rPr>
              <w:t>计量准则</w:t>
            </w:r>
            <w:r>
              <w:rPr>
                <w:rFonts w:ascii="宋体" w:hAnsi="宋体" w:cs="宋体" w:eastAsia="宋体" w:hint="default"/>
                <w:sz w:val="19"/>
                <w:szCs w:val="19"/>
              </w:rPr>
            </w:r>
          </w:p>
        </w:tc>
        <w:tc>
          <w:tcPr>
            <w:tcW w:w="1141"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35" w:right="0"/>
              <w:jc w:val="left"/>
              <w:rPr>
                <w:rFonts w:ascii="宋体" w:hAnsi="宋体" w:cs="宋体" w:eastAsia="宋体" w:hint="default"/>
                <w:sz w:val="19"/>
                <w:szCs w:val="19"/>
              </w:rPr>
            </w:pPr>
            <w:r>
              <w:rPr>
                <w:rFonts w:ascii="宋体" w:hAnsi="宋体" w:cs="宋体" w:eastAsia="宋体" w:hint="default"/>
                <w:spacing w:val="3"/>
                <w:sz w:val="19"/>
                <w:szCs w:val="19"/>
              </w:rPr>
              <w:t>修订后的金融工具确认和</w:t>
            </w:r>
          </w:p>
          <w:p>
            <w:pPr>
              <w:pStyle w:val="TableParagraph"/>
              <w:spacing w:line="240" w:lineRule="auto" w:before="51"/>
              <w:ind w:left="1547" w:right="0"/>
              <w:jc w:val="left"/>
              <w:rPr>
                <w:rFonts w:ascii="宋体" w:hAnsi="宋体" w:cs="宋体" w:eastAsia="宋体" w:hint="default"/>
                <w:sz w:val="19"/>
                <w:szCs w:val="19"/>
              </w:rPr>
            </w:pPr>
            <w:r>
              <w:rPr>
                <w:rFonts w:ascii="宋体" w:hAnsi="宋体" w:cs="宋体" w:eastAsia="宋体" w:hint="default"/>
                <w:w w:val="105"/>
                <w:sz w:val="19"/>
                <w:szCs w:val="19"/>
              </w:rPr>
              <w:t>计量准则</w:t>
            </w:r>
            <w:r>
              <w:rPr>
                <w:rFonts w:ascii="宋体" w:hAnsi="宋体" w:cs="宋体" w:eastAsia="宋体" w:hint="default"/>
                <w:sz w:val="19"/>
                <w:szCs w:val="19"/>
              </w:rPr>
            </w:r>
          </w:p>
        </w:tc>
        <w:tc>
          <w:tcPr>
            <w:tcW w:w="114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502" w:type="dxa"/>
            <w:tcBorders>
              <w:top w:val="single" w:sz="6" w:space="0" w:color="000000"/>
              <w:left w:val="single" w:sz="6" w:space="0" w:color="000000"/>
              <w:bottom w:val="single" w:sz="6" w:space="0" w:color="000000"/>
              <w:right w:val="single" w:sz="6" w:space="0" w:color="000000"/>
            </w:tcBorders>
          </w:tcPr>
          <w:p>
            <w:pP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3"/>
              <w:jc w:val="right"/>
              <w:rPr>
                <w:rFonts w:ascii="宋体" w:hAnsi="宋体" w:cs="宋体" w:eastAsia="宋体" w:hint="default"/>
                <w:sz w:val="19"/>
                <w:szCs w:val="19"/>
              </w:rPr>
            </w:pPr>
            <w:r>
              <w:rPr>
                <w:rFonts w:ascii="宋体" w:hAnsi="宋体" w:cs="宋体" w:eastAsia="宋体" w:hint="default"/>
                <w:sz w:val="19"/>
                <w:szCs w:val="19"/>
              </w:rPr>
              <w:t>计量类别</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5"/>
              <w:jc w:val="right"/>
              <w:rPr>
                <w:rFonts w:ascii="宋体" w:hAnsi="宋体" w:cs="宋体" w:eastAsia="宋体" w:hint="default"/>
                <w:sz w:val="19"/>
                <w:szCs w:val="19"/>
              </w:rPr>
            </w:pPr>
            <w:r>
              <w:rPr>
                <w:rFonts w:ascii="宋体" w:hAnsi="宋体" w:cs="宋体" w:eastAsia="宋体" w:hint="default"/>
                <w:sz w:val="19"/>
                <w:szCs w:val="19"/>
              </w:rPr>
              <w:t>账面价值</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28"/>
              <w:jc w:val="right"/>
              <w:rPr>
                <w:rFonts w:ascii="宋体" w:hAnsi="宋体" w:cs="宋体" w:eastAsia="宋体" w:hint="default"/>
                <w:sz w:val="19"/>
                <w:szCs w:val="19"/>
              </w:rPr>
            </w:pPr>
            <w:r>
              <w:rPr>
                <w:rFonts w:ascii="宋体" w:hAnsi="宋体" w:cs="宋体" w:eastAsia="宋体" w:hint="default"/>
                <w:sz w:val="19"/>
                <w:szCs w:val="19"/>
              </w:rPr>
              <w:t>计量类别</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5"/>
              <w:jc w:val="right"/>
              <w:rPr>
                <w:rFonts w:ascii="宋体" w:hAnsi="宋体" w:cs="宋体" w:eastAsia="宋体" w:hint="default"/>
                <w:sz w:val="19"/>
                <w:szCs w:val="19"/>
              </w:rPr>
            </w:pPr>
            <w:r>
              <w:rPr>
                <w:rFonts w:ascii="宋体" w:hAnsi="宋体" w:cs="宋体" w:eastAsia="宋体" w:hint="default"/>
                <w:sz w:val="19"/>
                <w:szCs w:val="19"/>
              </w:rPr>
              <w:t>账面价值</w:t>
            </w:r>
          </w:p>
        </w:tc>
      </w:tr>
      <w:tr>
        <w:trPr>
          <w:trHeight w:val="661"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18"/>
              <w:ind w:right="13"/>
              <w:jc w:val="left"/>
              <w:rPr>
                <w:rFonts w:ascii="宋体" w:hAnsi="宋体" w:cs="宋体" w:eastAsia="宋体" w:hint="default"/>
                <w:sz w:val="19"/>
                <w:szCs w:val="19"/>
              </w:rPr>
            </w:pPr>
            <w:r>
              <w:rPr>
                <w:rFonts w:ascii="宋体" w:hAnsi="宋体" w:cs="宋体" w:eastAsia="宋体" w:hint="default"/>
                <w:spacing w:val="11"/>
                <w:w w:val="105"/>
                <w:sz w:val="19"/>
                <w:szCs w:val="19"/>
              </w:rPr>
              <w:t>应收票据及</w:t>
            </w:r>
            <w:r>
              <w:rPr>
                <w:rFonts w:ascii="宋体" w:hAnsi="宋体" w:cs="宋体" w:eastAsia="宋体" w:hint="default"/>
                <w:spacing w:val="-86"/>
                <w:w w:val="105"/>
                <w:sz w:val="19"/>
                <w:szCs w:val="19"/>
              </w:rPr>
              <w:t> </w:t>
            </w:r>
            <w:r>
              <w:rPr>
                <w:rFonts w:ascii="宋体" w:hAnsi="宋体" w:cs="宋体" w:eastAsia="宋体" w:hint="default"/>
                <w:spacing w:val="7"/>
                <w:w w:val="105"/>
                <w:sz w:val="19"/>
                <w:szCs w:val="19"/>
              </w:rPr>
              <w:t>应收</w:t>
            </w:r>
            <w:r>
              <w:rPr>
                <w:rFonts w:ascii="宋体" w:hAnsi="宋体" w:cs="宋体" w:eastAsia="宋体" w:hint="default"/>
                <w:w w:val="102"/>
                <w:sz w:val="19"/>
                <w:szCs w:val="19"/>
              </w:rPr>
              <w:t> </w:t>
            </w:r>
            <w:r>
              <w:rPr>
                <w:rFonts w:ascii="宋体" w:hAnsi="宋体" w:cs="宋体" w:eastAsia="宋体" w:hint="default"/>
                <w:w w:val="105"/>
                <w:sz w:val="19"/>
                <w:szCs w:val="19"/>
              </w:rPr>
              <w:t>账款</w:t>
            </w:r>
            <w:r>
              <w:rPr>
                <w:rFonts w:ascii="宋体" w:hAnsi="宋体" w:cs="宋体" w:eastAsia="宋体" w:hint="default"/>
                <w:sz w:val="19"/>
                <w:szCs w:val="19"/>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8"/>
              <w:jc w:val="right"/>
              <w:rPr>
                <w:rFonts w:ascii="Times New Roman" w:hAnsi="Times New Roman" w:cs="Times New Roman" w:eastAsia="Times New Roman" w:hint="default"/>
                <w:sz w:val="19"/>
                <w:szCs w:val="19"/>
              </w:rPr>
            </w:pPr>
            <w:r>
              <w:rPr>
                <w:rFonts w:ascii="宋体" w:hAnsi="宋体" w:cs="宋体" w:eastAsia="宋体" w:hint="default"/>
                <w:spacing w:val="3"/>
                <w:sz w:val="19"/>
                <w:szCs w:val="19"/>
              </w:rPr>
              <w:t>摊余成本</w:t>
            </w:r>
            <w:r>
              <w:rPr>
                <w:rFonts w:ascii="Times New Roman" w:hAnsi="Times New Roman" w:cs="Times New Roman" w:eastAsia="Times New Roman" w:hint="default"/>
                <w:spacing w:val="3"/>
                <w:sz w:val="19"/>
                <w:szCs w:val="19"/>
              </w:rPr>
              <w:t>(</w:t>
            </w:r>
            <w:r>
              <w:rPr>
                <w:rFonts w:ascii="宋体" w:hAnsi="宋体" w:cs="宋体" w:eastAsia="宋体" w:hint="default"/>
                <w:spacing w:val="3"/>
                <w:sz w:val="19"/>
                <w:szCs w:val="19"/>
              </w:rPr>
              <w:t>贷款和应收款</w:t>
            </w:r>
            <w:r>
              <w:rPr>
                <w:rFonts w:ascii="Times New Roman" w:hAnsi="Times New Roman" w:cs="Times New Roman" w:eastAsia="Times New Roman" w:hint="default"/>
                <w:spacing w:val="3"/>
                <w:sz w:val="19"/>
                <w:szCs w:val="19"/>
              </w:rPr>
              <w:t>)</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
              <w:jc w:val="right"/>
              <w:rPr>
                <w:rFonts w:ascii="Times New Roman" w:hAnsi="Times New Roman" w:cs="Times New Roman" w:eastAsia="Times New Roman" w:hint="default"/>
                <w:sz w:val="19"/>
                <w:szCs w:val="19"/>
              </w:rPr>
            </w:pPr>
            <w:r>
              <w:rPr>
                <w:rFonts w:ascii="Times New Roman"/>
                <w:sz w:val="19"/>
              </w:rPr>
              <w:t>1,217,243,22</w:t>
            </w:r>
          </w:p>
          <w:p>
            <w:pPr>
              <w:pStyle w:val="TableParagraph"/>
              <w:spacing w:line="240" w:lineRule="auto" w:before="82"/>
              <w:ind w:right="5"/>
              <w:jc w:val="right"/>
              <w:rPr>
                <w:rFonts w:ascii="Times New Roman" w:hAnsi="Times New Roman" w:cs="Times New Roman" w:eastAsia="Times New Roman" w:hint="default"/>
                <w:sz w:val="19"/>
                <w:szCs w:val="19"/>
              </w:rPr>
            </w:pPr>
            <w:r>
              <w:rPr>
                <w:rFonts w:ascii="Times New Roman"/>
                <w:w w:val="102"/>
                <w:sz w:val="19"/>
              </w:rPr>
              <w:t>7</w:t>
            </w:r>
            <w:r>
              <w:rPr>
                <w:rFonts w:ascii="Times New Roman"/>
                <w:sz w:val="19"/>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8"/>
              <w:ind w:right="28"/>
              <w:jc w:val="right"/>
              <w:rPr>
                <w:rFonts w:ascii="宋体" w:hAnsi="宋体" w:cs="宋体" w:eastAsia="宋体" w:hint="default"/>
                <w:sz w:val="19"/>
                <w:szCs w:val="19"/>
              </w:rPr>
            </w:pPr>
            <w:r>
              <w:rPr>
                <w:rFonts w:ascii="宋体" w:hAnsi="宋体" w:cs="宋体" w:eastAsia="宋体" w:hint="default"/>
                <w:sz w:val="19"/>
                <w:szCs w:val="19"/>
              </w:rPr>
              <w:t>摊余成本</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
              <w:jc w:val="right"/>
              <w:rPr>
                <w:rFonts w:ascii="Times New Roman" w:hAnsi="Times New Roman" w:cs="Times New Roman" w:eastAsia="Times New Roman" w:hint="default"/>
                <w:sz w:val="19"/>
                <w:szCs w:val="19"/>
              </w:rPr>
            </w:pPr>
            <w:r>
              <w:rPr>
                <w:rFonts w:ascii="Times New Roman"/>
                <w:sz w:val="19"/>
              </w:rPr>
              <w:t>1,206,788,33</w:t>
            </w:r>
          </w:p>
          <w:p>
            <w:pPr>
              <w:pStyle w:val="TableParagraph"/>
              <w:spacing w:line="240" w:lineRule="auto" w:before="82"/>
              <w:ind w:right="5"/>
              <w:jc w:val="right"/>
              <w:rPr>
                <w:rFonts w:ascii="Times New Roman" w:hAnsi="Times New Roman" w:cs="Times New Roman" w:eastAsia="Times New Roman" w:hint="default"/>
                <w:sz w:val="19"/>
                <w:szCs w:val="19"/>
              </w:rPr>
            </w:pPr>
            <w:r>
              <w:rPr>
                <w:rFonts w:ascii="Times New Roman"/>
                <w:w w:val="102"/>
                <w:sz w:val="19"/>
              </w:rPr>
              <w:t>5</w:t>
            </w:r>
            <w:r>
              <w:rPr>
                <w:rFonts w:ascii="Times New Roman"/>
                <w:sz w:val="19"/>
              </w:rPr>
            </w:r>
          </w:p>
        </w:tc>
      </w:tr>
      <w:tr>
        <w:trPr>
          <w:trHeight w:val="345"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2"/>
                <w:w w:val="105"/>
                <w:sz w:val="19"/>
                <w:szCs w:val="19"/>
              </w:rPr>
              <w:t>其他应收款</w:t>
            </w:r>
            <w:r>
              <w:rPr>
                <w:rFonts w:ascii="宋体" w:hAnsi="宋体" w:cs="宋体" w:eastAsia="宋体" w:hint="default"/>
                <w:spacing w:val="2"/>
                <w:sz w:val="19"/>
                <w:szCs w:val="19"/>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
              <w:jc w:val="right"/>
              <w:rPr>
                <w:rFonts w:ascii="Times New Roman" w:hAnsi="Times New Roman" w:cs="Times New Roman" w:eastAsia="Times New Roman" w:hint="default"/>
                <w:sz w:val="19"/>
                <w:szCs w:val="19"/>
              </w:rPr>
            </w:pPr>
            <w:r>
              <w:rPr>
                <w:rFonts w:ascii="宋体" w:hAnsi="宋体" w:cs="宋体" w:eastAsia="宋体" w:hint="default"/>
                <w:spacing w:val="3"/>
                <w:sz w:val="19"/>
                <w:szCs w:val="19"/>
              </w:rPr>
              <w:t>摊余成本</w:t>
            </w:r>
            <w:r>
              <w:rPr>
                <w:rFonts w:ascii="Times New Roman" w:hAnsi="Times New Roman" w:cs="Times New Roman" w:eastAsia="Times New Roman" w:hint="default"/>
                <w:spacing w:val="3"/>
                <w:sz w:val="19"/>
                <w:szCs w:val="19"/>
              </w:rPr>
              <w:t>(</w:t>
            </w:r>
            <w:r>
              <w:rPr>
                <w:rFonts w:ascii="宋体" w:hAnsi="宋体" w:cs="宋体" w:eastAsia="宋体" w:hint="default"/>
                <w:spacing w:val="3"/>
                <w:sz w:val="19"/>
                <w:szCs w:val="19"/>
              </w:rPr>
              <w:t>贷款和应收款</w:t>
            </w:r>
            <w:r>
              <w:rPr>
                <w:rFonts w:ascii="Times New Roman" w:hAnsi="Times New Roman" w:cs="Times New Roman" w:eastAsia="Times New Roman" w:hint="default"/>
                <w:spacing w:val="3"/>
                <w:sz w:val="19"/>
                <w:szCs w:val="19"/>
              </w:rPr>
              <w:t>)</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
              <w:jc w:val="right"/>
              <w:rPr>
                <w:rFonts w:ascii="Times New Roman" w:hAnsi="Times New Roman" w:cs="Times New Roman" w:eastAsia="Times New Roman" w:hint="default"/>
                <w:sz w:val="19"/>
                <w:szCs w:val="19"/>
              </w:rPr>
            </w:pPr>
            <w:r>
              <w:rPr>
                <w:rFonts w:ascii="Times New Roman"/>
                <w:sz w:val="19"/>
              </w:rPr>
              <w:t>183,712,070</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8"/>
              <w:jc w:val="right"/>
              <w:rPr>
                <w:rFonts w:ascii="宋体" w:hAnsi="宋体" w:cs="宋体" w:eastAsia="宋体" w:hint="default"/>
                <w:sz w:val="19"/>
                <w:szCs w:val="19"/>
              </w:rPr>
            </w:pPr>
            <w:r>
              <w:rPr>
                <w:rFonts w:ascii="宋体" w:hAnsi="宋体" w:cs="宋体" w:eastAsia="宋体" w:hint="default"/>
                <w:sz w:val="19"/>
                <w:szCs w:val="19"/>
              </w:rPr>
              <w:t>摊余成本</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
              <w:jc w:val="right"/>
              <w:rPr>
                <w:rFonts w:ascii="Times New Roman" w:hAnsi="Times New Roman" w:cs="Times New Roman" w:eastAsia="Times New Roman" w:hint="default"/>
                <w:sz w:val="19"/>
                <w:szCs w:val="19"/>
              </w:rPr>
            </w:pPr>
            <w:r>
              <w:rPr>
                <w:rFonts w:ascii="Times New Roman"/>
                <w:sz w:val="19"/>
              </w:rPr>
              <w:t>183,712,070</w:t>
            </w:r>
          </w:p>
        </w:tc>
      </w:tr>
      <w:tr>
        <w:trPr>
          <w:trHeight w:val="345" w:hRule="exact"/>
        </w:trPr>
        <w:tc>
          <w:tcPr>
            <w:tcW w:w="1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2"/>
                <w:w w:val="105"/>
                <w:sz w:val="19"/>
                <w:szCs w:val="19"/>
              </w:rPr>
              <w:t>长期应收款</w:t>
            </w:r>
            <w:r>
              <w:rPr>
                <w:rFonts w:ascii="宋体" w:hAnsi="宋体" w:cs="宋体" w:eastAsia="宋体" w:hint="default"/>
                <w:spacing w:val="2"/>
                <w:sz w:val="19"/>
                <w:szCs w:val="19"/>
              </w:rPr>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8"/>
              <w:jc w:val="right"/>
              <w:rPr>
                <w:rFonts w:ascii="Times New Roman" w:hAnsi="Times New Roman" w:cs="Times New Roman" w:eastAsia="Times New Roman" w:hint="default"/>
                <w:sz w:val="19"/>
                <w:szCs w:val="19"/>
              </w:rPr>
            </w:pPr>
            <w:r>
              <w:rPr>
                <w:rFonts w:ascii="宋体" w:hAnsi="宋体" w:cs="宋体" w:eastAsia="宋体" w:hint="default"/>
                <w:spacing w:val="3"/>
                <w:sz w:val="19"/>
                <w:szCs w:val="19"/>
              </w:rPr>
              <w:t>摊余成本</w:t>
            </w:r>
            <w:r>
              <w:rPr>
                <w:rFonts w:ascii="Times New Roman" w:hAnsi="Times New Roman" w:cs="Times New Roman" w:eastAsia="Times New Roman" w:hint="default"/>
                <w:spacing w:val="3"/>
                <w:sz w:val="19"/>
                <w:szCs w:val="19"/>
              </w:rPr>
              <w:t>(</w:t>
            </w:r>
            <w:r>
              <w:rPr>
                <w:rFonts w:ascii="宋体" w:hAnsi="宋体" w:cs="宋体" w:eastAsia="宋体" w:hint="default"/>
                <w:spacing w:val="3"/>
                <w:sz w:val="19"/>
                <w:szCs w:val="19"/>
              </w:rPr>
              <w:t>贷款和应收款</w:t>
            </w:r>
            <w:r>
              <w:rPr>
                <w:rFonts w:ascii="Times New Roman" w:hAnsi="Times New Roman" w:cs="Times New Roman" w:eastAsia="Times New Roman" w:hint="default"/>
                <w:spacing w:val="3"/>
                <w:sz w:val="19"/>
                <w:szCs w:val="19"/>
              </w:rPr>
              <w:t>)</w:t>
            </w:r>
          </w:p>
        </w:tc>
        <w:tc>
          <w:tcPr>
            <w:tcW w:w="114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7"/>
              <w:jc w:val="right"/>
              <w:rPr>
                <w:rFonts w:ascii="Times New Roman" w:hAnsi="Times New Roman" w:cs="Times New Roman" w:eastAsia="Times New Roman" w:hint="default"/>
                <w:sz w:val="19"/>
                <w:szCs w:val="19"/>
              </w:rPr>
            </w:pPr>
            <w:r>
              <w:rPr>
                <w:rFonts w:ascii="Times New Roman"/>
                <w:sz w:val="19"/>
              </w:rPr>
              <w:t>339,818,666</w:t>
            </w:r>
          </w:p>
        </w:tc>
        <w:tc>
          <w:tcPr>
            <w:tcW w:w="23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8"/>
              <w:jc w:val="right"/>
              <w:rPr>
                <w:rFonts w:ascii="宋体" w:hAnsi="宋体" w:cs="宋体" w:eastAsia="宋体" w:hint="default"/>
                <w:sz w:val="19"/>
                <w:szCs w:val="19"/>
              </w:rPr>
            </w:pPr>
            <w:r>
              <w:rPr>
                <w:rFonts w:ascii="宋体" w:hAnsi="宋体" w:cs="宋体" w:eastAsia="宋体" w:hint="default"/>
                <w:sz w:val="19"/>
                <w:szCs w:val="19"/>
              </w:rPr>
              <w:t>摊余成本</w:t>
            </w:r>
          </w:p>
        </w:tc>
        <w:tc>
          <w:tcPr>
            <w:tcW w:w="11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7"/>
              <w:jc w:val="right"/>
              <w:rPr>
                <w:rFonts w:ascii="Times New Roman" w:hAnsi="Times New Roman" w:cs="Times New Roman" w:eastAsia="Times New Roman" w:hint="default"/>
                <w:sz w:val="19"/>
                <w:szCs w:val="19"/>
              </w:rPr>
            </w:pPr>
            <w:r>
              <w:rPr>
                <w:rFonts w:ascii="Times New Roman"/>
                <w:sz w:val="19"/>
              </w:rPr>
              <w:t>337,624,833</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right="0"/>
        <w:jc w:val="left"/>
      </w:pPr>
      <w:r>
        <w:rPr/>
        <w:t>母公司财务报表：</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tbl>
      <w:tblPr>
        <w:tblW w:w="0" w:type="auto"/>
        <w:jc w:val="left"/>
        <w:tblInd w:w="126" w:type="dxa"/>
        <w:tblLayout w:type="fixed"/>
        <w:tblCellMar>
          <w:top w:w="0" w:type="dxa"/>
          <w:left w:w="0" w:type="dxa"/>
          <w:bottom w:w="0" w:type="dxa"/>
          <w:right w:w="0" w:type="dxa"/>
        </w:tblCellMar>
        <w:tblLook w:val="01E0"/>
      </w:tblPr>
      <w:tblGrid>
        <w:gridCol w:w="1802"/>
        <w:gridCol w:w="1802"/>
        <w:gridCol w:w="1802"/>
        <w:gridCol w:w="1802"/>
        <w:gridCol w:w="1802"/>
      </w:tblGrid>
      <w:tr>
        <w:trPr>
          <w:trHeight w:val="345" w:hRule="exact"/>
        </w:trPr>
        <w:tc>
          <w:tcPr>
            <w:tcW w:w="1802" w:type="dxa"/>
            <w:tcBorders>
              <w:top w:val="single" w:sz="6" w:space="0" w:color="000000"/>
              <w:left w:val="single" w:sz="6" w:space="0" w:color="000000"/>
              <w:bottom w:val="single" w:sz="6" w:space="0" w:color="000000"/>
              <w:right w:val="single" w:sz="6" w:space="0" w:color="000000"/>
            </w:tcBorders>
          </w:tcPr>
          <w:p>
            <w:pPr/>
          </w:p>
        </w:tc>
        <w:tc>
          <w:tcPr>
            <w:tcW w:w="3604"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r>
              <w:rPr>
                <w:rFonts w:ascii="宋体" w:hAnsi="宋体" w:cs="宋体" w:eastAsia="宋体" w:hint="default"/>
                <w:spacing w:val="3"/>
                <w:w w:val="105"/>
                <w:sz w:val="19"/>
                <w:szCs w:val="19"/>
              </w:rPr>
              <w:t>修订前的金融工具确认和计量准则</w:t>
            </w:r>
            <w:r>
              <w:rPr>
                <w:rFonts w:ascii="宋体" w:hAnsi="宋体" w:cs="宋体" w:eastAsia="宋体" w:hint="default"/>
                <w:spacing w:val="3"/>
                <w:sz w:val="19"/>
                <w:szCs w:val="19"/>
              </w:rPr>
            </w:r>
          </w:p>
        </w:tc>
        <w:tc>
          <w:tcPr>
            <w:tcW w:w="3605"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r>
              <w:rPr>
                <w:rFonts w:ascii="宋体" w:hAnsi="宋体" w:cs="宋体" w:eastAsia="宋体" w:hint="default"/>
                <w:spacing w:val="3"/>
                <w:w w:val="105"/>
                <w:sz w:val="19"/>
                <w:szCs w:val="19"/>
              </w:rPr>
              <w:t>修订后的金融工具确认和计量准则</w:t>
            </w:r>
            <w:r>
              <w:rPr>
                <w:rFonts w:ascii="宋体" w:hAnsi="宋体" w:cs="宋体" w:eastAsia="宋体" w:hint="default"/>
                <w:spacing w:val="3"/>
                <w:sz w:val="19"/>
                <w:szCs w:val="19"/>
              </w:rPr>
            </w:r>
          </w:p>
        </w:tc>
      </w:tr>
      <w:tr>
        <w:trPr>
          <w:trHeight w:val="346" w:hRule="exact"/>
        </w:trPr>
        <w:tc>
          <w:tcPr>
            <w:tcW w:w="18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991" w:right="0"/>
              <w:jc w:val="left"/>
              <w:rPr>
                <w:rFonts w:ascii="宋体" w:hAnsi="宋体" w:cs="宋体" w:eastAsia="宋体" w:hint="default"/>
                <w:sz w:val="19"/>
                <w:szCs w:val="19"/>
              </w:rPr>
            </w:pPr>
            <w:r>
              <w:rPr>
                <w:rFonts w:ascii="宋体" w:hAnsi="宋体" w:cs="宋体" w:eastAsia="宋体" w:hint="default"/>
                <w:w w:val="105"/>
                <w:sz w:val="19"/>
                <w:szCs w:val="19"/>
              </w:rPr>
              <w:t>计量类别</w:t>
            </w:r>
            <w:r>
              <w:rPr>
                <w:rFonts w:ascii="宋体" w:hAnsi="宋体" w:cs="宋体" w:eastAsia="宋体" w:hint="default"/>
                <w:sz w:val="19"/>
                <w:szCs w:val="19"/>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5"/>
              <w:jc w:val="right"/>
              <w:rPr>
                <w:rFonts w:ascii="宋体" w:hAnsi="宋体" w:cs="宋体" w:eastAsia="宋体" w:hint="default"/>
                <w:sz w:val="19"/>
                <w:szCs w:val="19"/>
              </w:rPr>
            </w:pPr>
            <w:r>
              <w:rPr>
                <w:rFonts w:ascii="宋体" w:hAnsi="宋体" w:cs="宋体" w:eastAsia="宋体" w:hint="default"/>
                <w:sz w:val="19"/>
                <w:szCs w:val="19"/>
              </w:rPr>
              <w:t>账面价值</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991" w:right="0"/>
              <w:jc w:val="left"/>
              <w:rPr>
                <w:rFonts w:ascii="宋体" w:hAnsi="宋体" w:cs="宋体" w:eastAsia="宋体" w:hint="default"/>
                <w:sz w:val="19"/>
                <w:szCs w:val="19"/>
              </w:rPr>
            </w:pPr>
            <w:r>
              <w:rPr>
                <w:rFonts w:ascii="宋体" w:hAnsi="宋体" w:cs="宋体" w:eastAsia="宋体" w:hint="default"/>
                <w:w w:val="105"/>
                <w:sz w:val="19"/>
                <w:szCs w:val="19"/>
              </w:rPr>
              <w:t>计量类别</w:t>
            </w:r>
            <w:r>
              <w:rPr>
                <w:rFonts w:ascii="宋体" w:hAnsi="宋体" w:cs="宋体" w:eastAsia="宋体" w:hint="default"/>
                <w:sz w:val="19"/>
                <w:szCs w:val="19"/>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5"/>
              <w:jc w:val="right"/>
              <w:rPr>
                <w:rFonts w:ascii="宋体" w:hAnsi="宋体" w:cs="宋体" w:eastAsia="宋体" w:hint="default"/>
                <w:sz w:val="19"/>
                <w:szCs w:val="19"/>
              </w:rPr>
            </w:pPr>
            <w:r>
              <w:rPr>
                <w:rFonts w:ascii="宋体" w:hAnsi="宋体" w:cs="宋体" w:eastAsia="宋体" w:hint="default"/>
                <w:sz w:val="19"/>
                <w:szCs w:val="19"/>
              </w:rPr>
              <w:t>账面价值</w:t>
            </w:r>
          </w:p>
        </w:tc>
      </w:tr>
      <w:tr>
        <w:trPr>
          <w:trHeight w:val="661"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90" w:lineRule="auto" w:before="18"/>
              <w:ind w:right="194"/>
              <w:jc w:val="left"/>
              <w:rPr>
                <w:rFonts w:ascii="宋体" w:hAnsi="宋体" w:cs="宋体" w:eastAsia="宋体" w:hint="default"/>
                <w:sz w:val="19"/>
                <w:szCs w:val="19"/>
              </w:rPr>
            </w:pPr>
            <w:r>
              <w:rPr>
                <w:rFonts w:ascii="宋体" w:hAnsi="宋体" w:cs="宋体" w:eastAsia="宋体" w:hint="default"/>
                <w:spacing w:val="3"/>
                <w:sz w:val="19"/>
                <w:szCs w:val="19"/>
              </w:rPr>
              <w:t>应收票据及应收账</w:t>
            </w:r>
            <w:r>
              <w:rPr>
                <w:rFonts w:ascii="宋体" w:hAnsi="宋体" w:cs="宋体" w:eastAsia="宋体" w:hint="default"/>
                <w:spacing w:val="-49"/>
                <w:sz w:val="19"/>
                <w:szCs w:val="19"/>
              </w:rPr>
              <w:t> </w:t>
            </w:r>
            <w:r>
              <w:rPr>
                <w:rFonts w:ascii="宋体" w:hAnsi="宋体" w:cs="宋体" w:eastAsia="宋体" w:hint="default"/>
                <w:spacing w:val="-49"/>
                <w:sz w:val="19"/>
                <w:szCs w:val="19"/>
              </w:rPr>
            </w:r>
            <w:r>
              <w:rPr>
                <w:rFonts w:ascii="宋体" w:hAnsi="宋体" w:cs="宋体" w:eastAsia="宋体" w:hint="default"/>
                <w:w w:val="105"/>
                <w:sz w:val="19"/>
                <w:szCs w:val="19"/>
              </w:rPr>
              <w:t>款</w:t>
            </w:r>
            <w:r>
              <w:rPr>
                <w:rFonts w:ascii="宋体" w:hAnsi="宋体" w:cs="宋体" w:eastAsia="宋体" w:hint="default"/>
                <w:sz w:val="19"/>
                <w:szCs w:val="19"/>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摊余成本</w:t>
            </w:r>
            <w:r>
              <w:rPr>
                <w:rFonts w:ascii="宋体" w:hAnsi="宋体" w:cs="宋体" w:eastAsia="宋体" w:hint="default"/>
                <w:sz w:val="19"/>
                <w:szCs w:val="19"/>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
              <w:jc w:val="right"/>
              <w:rPr>
                <w:rFonts w:ascii="Times New Roman" w:hAnsi="Times New Roman" w:cs="Times New Roman" w:eastAsia="Times New Roman" w:hint="default"/>
                <w:sz w:val="19"/>
                <w:szCs w:val="19"/>
              </w:rPr>
            </w:pPr>
            <w:r>
              <w:rPr>
                <w:rFonts w:ascii="Times New Roman"/>
                <w:sz w:val="19"/>
              </w:rPr>
              <w:t>3,956,179,031</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摊余成本</w:t>
            </w:r>
            <w:r>
              <w:rPr>
                <w:rFonts w:ascii="宋体" w:hAnsi="宋体" w:cs="宋体" w:eastAsia="宋体" w:hint="default"/>
                <w:sz w:val="19"/>
                <w:szCs w:val="19"/>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
              <w:jc w:val="right"/>
              <w:rPr>
                <w:rFonts w:ascii="Times New Roman" w:hAnsi="Times New Roman" w:cs="Times New Roman" w:eastAsia="Times New Roman" w:hint="default"/>
                <w:sz w:val="19"/>
                <w:szCs w:val="19"/>
              </w:rPr>
            </w:pPr>
            <w:r>
              <w:rPr>
                <w:rFonts w:ascii="Times New Roman"/>
                <w:sz w:val="19"/>
              </w:rPr>
              <w:t>3,953,226,763</w:t>
            </w:r>
          </w:p>
        </w:tc>
      </w:tr>
      <w:tr>
        <w:trPr>
          <w:trHeight w:val="345"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2"/>
                <w:w w:val="105"/>
                <w:sz w:val="19"/>
                <w:szCs w:val="19"/>
              </w:rPr>
              <w:t>其他应收款</w:t>
            </w:r>
            <w:r>
              <w:rPr>
                <w:rFonts w:ascii="宋体" w:hAnsi="宋体" w:cs="宋体" w:eastAsia="宋体" w:hint="default"/>
                <w:spacing w:val="2"/>
                <w:sz w:val="19"/>
                <w:szCs w:val="19"/>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摊余成本</w:t>
            </w:r>
            <w:r>
              <w:rPr>
                <w:rFonts w:ascii="宋体" w:hAnsi="宋体" w:cs="宋体" w:eastAsia="宋体" w:hint="default"/>
                <w:sz w:val="19"/>
                <w:szCs w:val="19"/>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
              <w:jc w:val="right"/>
              <w:rPr>
                <w:rFonts w:ascii="Times New Roman" w:hAnsi="Times New Roman" w:cs="Times New Roman" w:eastAsia="Times New Roman" w:hint="default"/>
                <w:sz w:val="19"/>
                <w:szCs w:val="19"/>
              </w:rPr>
            </w:pPr>
            <w:r>
              <w:rPr>
                <w:rFonts w:ascii="Times New Roman"/>
                <w:sz w:val="19"/>
              </w:rPr>
              <w:t>758,053,575</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摊余成本</w:t>
            </w:r>
            <w:r>
              <w:rPr>
                <w:rFonts w:ascii="宋体" w:hAnsi="宋体" w:cs="宋体" w:eastAsia="宋体" w:hint="default"/>
                <w:sz w:val="19"/>
                <w:szCs w:val="19"/>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
              <w:jc w:val="right"/>
              <w:rPr>
                <w:rFonts w:ascii="Times New Roman" w:hAnsi="Times New Roman" w:cs="Times New Roman" w:eastAsia="Times New Roman" w:hint="default"/>
                <w:sz w:val="19"/>
                <w:szCs w:val="19"/>
              </w:rPr>
            </w:pPr>
            <w:r>
              <w:rPr>
                <w:rFonts w:ascii="Times New Roman"/>
                <w:sz w:val="19"/>
              </w:rPr>
              <w:t>758,053,575</w:t>
            </w:r>
          </w:p>
        </w:tc>
      </w:tr>
      <w:tr>
        <w:trPr>
          <w:trHeight w:val="345"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2"/>
                <w:w w:val="105"/>
                <w:sz w:val="19"/>
                <w:szCs w:val="19"/>
              </w:rPr>
              <w:t>长期应收款</w:t>
            </w:r>
            <w:r>
              <w:rPr>
                <w:rFonts w:ascii="宋体" w:hAnsi="宋体" w:cs="宋体" w:eastAsia="宋体" w:hint="default"/>
                <w:spacing w:val="2"/>
                <w:sz w:val="19"/>
                <w:szCs w:val="19"/>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摊余成本</w:t>
            </w:r>
            <w:r>
              <w:rPr>
                <w:rFonts w:ascii="宋体" w:hAnsi="宋体" w:cs="宋体" w:eastAsia="宋体" w:hint="default"/>
                <w:sz w:val="19"/>
                <w:szCs w:val="19"/>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
              <w:jc w:val="right"/>
              <w:rPr>
                <w:rFonts w:ascii="Times New Roman" w:hAnsi="Times New Roman" w:cs="Times New Roman" w:eastAsia="Times New Roman" w:hint="default"/>
                <w:sz w:val="19"/>
                <w:szCs w:val="19"/>
              </w:rPr>
            </w:pPr>
            <w:r>
              <w:rPr>
                <w:rFonts w:ascii="Times New Roman"/>
                <w:sz w:val="19"/>
              </w:rPr>
              <w:t>31,978,880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摊余成本</w:t>
            </w:r>
            <w:r>
              <w:rPr>
                <w:rFonts w:ascii="宋体" w:hAnsi="宋体" w:cs="宋体" w:eastAsia="宋体" w:hint="default"/>
                <w:sz w:val="19"/>
                <w:szCs w:val="19"/>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
              <w:jc w:val="right"/>
              <w:rPr>
                <w:rFonts w:ascii="Times New Roman" w:hAnsi="Times New Roman" w:cs="Times New Roman" w:eastAsia="Times New Roman" w:hint="default"/>
                <w:sz w:val="19"/>
                <w:szCs w:val="19"/>
              </w:rPr>
            </w:pPr>
            <w:r>
              <w:rPr>
                <w:rFonts w:ascii="Times New Roman"/>
                <w:sz w:val="19"/>
              </w:rPr>
              <w:t>31,608,146</w:t>
            </w:r>
          </w:p>
        </w:tc>
      </w:tr>
    </w:tbl>
    <w:p>
      <w:pPr>
        <w:spacing w:line="240" w:lineRule="auto" w:before="5"/>
        <w:rPr>
          <w:rFonts w:ascii="宋体" w:hAnsi="宋体" w:cs="宋体" w:eastAsia="宋体" w:hint="default"/>
          <w:sz w:val="26"/>
          <w:szCs w:val="26"/>
        </w:rPr>
      </w:pPr>
    </w:p>
    <w:p>
      <w:pPr>
        <w:pStyle w:val="BodyText"/>
        <w:spacing w:line="321" w:lineRule="auto" w:before="44"/>
        <w:ind w:right="5709"/>
        <w:jc w:val="left"/>
      </w:pPr>
      <w:r>
        <w:rPr/>
        <w:t>二、财务报表列报方式变更 上述会计政策变更引起的追溯调整对财务报表的主要影响如下： 对合并财务报表的影响：</w:t>
      </w:r>
    </w:p>
    <w:tbl>
      <w:tblPr>
        <w:tblW w:w="0" w:type="auto"/>
        <w:jc w:val="left"/>
        <w:tblInd w:w="126" w:type="dxa"/>
        <w:tblLayout w:type="fixed"/>
        <w:tblCellMar>
          <w:top w:w="0" w:type="dxa"/>
          <w:left w:w="0" w:type="dxa"/>
          <w:bottom w:w="0" w:type="dxa"/>
          <w:right w:w="0" w:type="dxa"/>
        </w:tblCellMar>
        <w:tblLook w:val="01E0"/>
      </w:tblPr>
      <w:tblGrid>
        <w:gridCol w:w="2042"/>
        <w:gridCol w:w="1878"/>
        <w:gridCol w:w="1967"/>
        <w:gridCol w:w="2193"/>
        <w:gridCol w:w="2102"/>
      </w:tblGrid>
      <w:tr>
        <w:trPr>
          <w:trHeight w:val="345" w:hRule="exact"/>
        </w:trPr>
        <w:tc>
          <w:tcPr>
            <w:tcW w:w="2042"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4"/>
              <w:jc w:val="right"/>
              <w:rPr>
                <w:rFonts w:ascii="宋体" w:hAnsi="宋体" w:cs="宋体" w:eastAsia="宋体" w:hint="default"/>
                <w:sz w:val="19"/>
                <w:szCs w:val="19"/>
              </w:rPr>
            </w:pPr>
            <w:r>
              <w:rPr>
                <w:rFonts w:ascii="宋体" w:hAnsi="宋体" w:cs="宋体" w:eastAsia="宋体" w:hint="default"/>
                <w:sz w:val="19"/>
                <w:szCs w:val="19"/>
              </w:rPr>
              <w:t>会计政策变更前</w:t>
            </w:r>
          </w:p>
        </w:tc>
        <w:tc>
          <w:tcPr>
            <w:tcW w:w="41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6"/>
              <w:jc w:val="center"/>
              <w:rPr>
                <w:rFonts w:ascii="宋体" w:hAnsi="宋体" w:cs="宋体" w:eastAsia="宋体" w:hint="default"/>
                <w:sz w:val="19"/>
                <w:szCs w:val="19"/>
              </w:rPr>
            </w:pPr>
            <w:r>
              <w:rPr>
                <w:rFonts w:ascii="宋体" w:hAnsi="宋体" w:cs="宋体" w:eastAsia="宋体" w:hint="default"/>
                <w:spacing w:val="2"/>
                <w:w w:val="105"/>
                <w:sz w:val="19"/>
                <w:szCs w:val="19"/>
              </w:rPr>
              <w:t>会计政策变更</w:t>
            </w:r>
            <w:r>
              <w:rPr>
                <w:rFonts w:ascii="宋体" w:hAnsi="宋体" w:cs="宋体" w:eastAsia="宋体" w:hint="default"/>
                <w:spacing w:val="2"/>
                <w:sz w:val="19"/>
                <w:szCs w:val="19"/>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r>
              <w:rPr>
                <w:rFonts w:ascii="宋体" w:hAnsi="宋体" w:cs="宋体" w:eastAsia="宋体" w:hint="default"/>
                <w:w w:val="105"/>
                <w:sz w:val="19"/>
                <w:szCs w:val="19"/>
              </w:rPr>
              <w:t>会计政策变更后</w:t>
            </w:r>
            <w:r>
              <w:rPr>
                <w:rFonts w:ascii="宋体" w:hAnsi="宋体" w:cs="宋体" w:eastAsia="宋体" w:hint="default"/>
                <w:sz w:val="19"/>
                <w:szCs w:val="19"/>
              </w:rPr>
            </w:r>
          </w:p>
        </w:tc>
      </w:tr>
      <w:tr>
        <w:trPr>
          <w:trHeight w:val="660" w:hRule="exact"/>
        </w:trPr>
        <w:tc>
          <w:tcPr>
            <w:tcW w:w="2042"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5"/>
              <w:jc w:val="right"/>
              <w:rPr>
                <w:rFonts w:ascii="宋体" w:hAnsi="宋体" w:cs="宋体" w:eastAsia="宋体" w:hint="default"/>
                <w:sz w:val="19"/>
                <w:szCs w:val="19"/>
              </w:rPr>
            </w:pPr>
            <w:r>
              <w:rPr>
                <w:rFonts w:ascii="Times New Roman" w:hAnsi="Times New Roman" w:cs="Times New Roman" w:eastAsia="Times New Roman" w:hint="default"/>
                <w:sz w:val="19"/>
                <w:szCs w:val="19"/>
              </w:rPr>
              <w:t>2018</w:t>
            </w:r>
            <w:r>
              <w:rPr>
                <w:rFonts w:ascii="宋体" w:hAnsi="宋体" w:cs="宋体" w:eastAsia="宋体" w:hint="default"/>
                <w:sz w:val="19"/>
                <w:szCs w:val="19"/>
              </w:rPr>
              <w:t>年末余额</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4"/>
              <w:jc w:val="right"/>
              <w:rPr>
                <w:rFonts w:ascii="宋体" w:hAnsi="宋体" w:cs="宋体" w:eastAsia="宋体" w:hint="default"/>
                <w:sz w:val="19"/>
                <w:szCs w:val="19"/>
              </w:rPr>
            </w:pPr>
            <w:r>
              <w:rPr>
                <w:rFonts w:ascii="宋体" w:hAnsi="宋体" w:cs="宋体" w:eastAsia="宋体" w:hint="default"/>
                <w:spacing w:val="3"/>
                <w:sz w:val="19"/>
                <w:szCs w:val="19"/>
              </w:rPr>
              <w:t>新金融工具准则影响</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left="180" w:right="0"/>
              <w:jc w:val="left"/>
              <w:rPr>
                <w:rFonts w:ascii="宋体" w:hAnsi="宋体" w:cs="宋体" w:eastAsia="宋体" w:hint="default"/>
                <w:sz w:val="19"/>
                <w:szCs w:val="19"/>
              </w:rPr>
            </w:pPr>
            <w:r>
              <w:rPr>
                <w:rFonts w:ascii="宋体" w:hAnsi="宋体" w:cs="宋体" w:eastAsia="宋体" w:hint="default"/>
                <w:spacing w:val="2"/>
                <w:sz w:val="19"/>
                <w:szCs w:val="19"/>
              </w:rPr>
              <w:t>其他财务报表列报方式</w:t>
            </w:r>
          </w:p>
          <w:p>
            <w:pPr>
              <w:pStyle w:val="TableParagraph"/>
              <w:spacing w:line="240" w:lineRule="auto" w:before="66"/>
              <w:ind w:left="1381" w:right="0"/>
              <w:jc w:val="left"/>
              <w:rPr>
                <w:rFonts w:ascii="宋体" w:hAnsi="宋体" w:cs="宋体" w:eastAsia="宋体" w:hint="default"/>
                <w:sz w:val="19"/>
                <w:szCs w:val="19"/>
              </w:rPr>
            </w:pPr>
            <w:r>
              <w:rPr>
                <w:rFonts w:ascii="宋体" w:hAnsi="宋体" w:cs="宋体" w:eastAsia="宋体" w:hint="default"/>
                <w:w w:val="105"/>
                <w:sz w:val="19"/>
                <w:szCs w:val="19"/>
              </w:rPr>
              <w:t>变更影响</w:t>
            </w:r>
            <w:r>
              <w:rPr>
                <w:rFonts w:ascii="宋体" w:hAnsi="宋体" w:cs="宋体" w:eastAsia="宋体" w:hint="default"/>
                <w:sz w:val="19"/>
                <w:szCs w:val="19"/>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3"/>
              <w:jc w:val="right"/>
              <w:rPr>
                <w:rFonts w:ascii="宋体" w:hAnsi="宋体" w:cs="宋体" w:eastAsia="宋体" w:hint="default"/>
                <w:sz w:val="19"/>
                <w:szCs w:val="19"/>
              </w:rPr>
            </w:pPr>
            <w:r>
              <w:rPr>
                <w:rFonts w:ascii="Times New Roman" w:hAnsi="Times New Roman" w:cs="Times New Roman" w:eastAsia="Times New Roman" w:hint="default"/>
                <w:sz w:val="19"/>
                <w:szCs w:val="19"/>
              </w:rPr>
              <w:t>2019</w:t>
            </w:r>
            <w:r>
              <w:rPr>
                <w:rFonts w:ascii="宋体" w:hAnsi="宋体" w:cs="宋体" w:eastAsia="宋体" w:hint="default"/>
                <w:sz w:val="19"/>
                <w:szCs w:val="19"/>
              </w:rPr>
              <w:t>年初余额</w:t>
            </w:r>
          </w:p>
        </w:tc>
      </w:tr>
      <w:tr>
        <w:trPr>
          <w:trHeight w:val="346"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r>
              <w:rPr>
                <w:rFonts w:ascii="宋体" w:hAnsi="宋体" w:cs="宋体" w:eastAsia="宋体" w:hint="default"/>
                <w:spacing w:val="3"/>
                <w:w w:val="105"/>
                <w:sz w:val="19"/>
                <w:szCs w:val="19"/>
              </w:rPr>
              <w:t>应收票据及应收账款</w:t>
            </w:r>
            <w:r>
              <w:rPr>
                <w:rFonts w:ascii="宋体" w:hAnsi="宋体" w:cs="宋体" w:eastAsia="宋体" w:hint="default"/>
                <w:spacing w:val="3"/>
                <w:sz w:val="19"/>
                <w:szCs w:val="19"/>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
              <w:jc w:val="right"/>
              <w:rPr>
                <w:rFonts w:ascii="Times New Roman" w:hAnsi="Times New Roman" w:cs="Times New Roman" w:eastAsia="Times New Roman" w:hint="default"/>
                <w:sz w:val="19"/>
                <w:szCs w:val="19"/>
              </w:rPr>
            </w:pPr>
            <w:r>
              <w:rPr>
                <w:rFonts w:ascii="Times New Roman"/>
                <w:sz w:val="19"/>
              </w:rPr>
              <w:t>1,217,243,227</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
              <w:jc w:val="right"/>
              <w:rPr>
                <w:rFonts w:ascii="Times New Roman" w:hAnsi="Times New Roman" w:cs="Times New Roman" w:eastAsia="Times New Roman" w:hint="default"/>
                <w:sz w:val="19"/>
                <w:szCs w:val="19"/>
              </w:rPr>
            </w:pPr>
            <w:r>
              <w:rPr>
                <w:rFonts w:ascii="Times New Roman"/>
                <w:sz w:val="19"/>
              </w:rPr>
              <w:t>-10,454,892</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8"/>
              <w:jc w:val="right"/>
              <w:rPr>
                <w:rFonts w:ascii="Times New Roman" w:hAnsi="Times New Roman" w:cs="Times New Roman" w:eastAsia="Times New Roman" w:hint="default"/>
                <w:sz w:val="19"/>
                <w:szCs w:val="19"/>
              </w:rPr>
            </w:pPr>
            <w:r>
              <w:rPr>
                <w:rFonts w:ascii="Times New Roman"/>
                <w:sz w:val="19"/>
              </w:rPr>
              <w:t>-1,206,788,335</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r>
      <w:tr>
        <w:trPr>
          <w:trHeight w:val="345"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应收账款</w:t>
            </w:r>
            <w:r>
              <w:rPr>
                <w:rFonts w:ascii="宋体" w:hAnsi="宋体" w:cs="宋体" w:eastAsia="宋体" w:hint="default"/>
                <w:sz w:val="19"/>
                <w:szCs w:val="19"/>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
              <w:jc w:val="right"/>
              <w:rPr>
                <w:rFonts w:ascii="Times New Roman" w:hAnsi="Times New Roman" w:cs="Times New Roman" w:eastAsia="Times New Roman" w:hint="default"/>
                <w:sz w:val="19"/>
                <w:szCs w:val="19"/>
              </w:rPr>
            </w:pPr>
            <w:r>
              <w:rPr>
                <w:rFonts w:ascii="Times New Roman"/>
                <w:sz w:val="19"/>
              </w:rPr>
              <w:t>-10,454,892</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
              <w:jc w:val="right"/>
              <w:rPr>
                <w:rFonts w:ascii="Times New Roman" w:hAnsi="Times New Roman" w:cs="Times New Roman" w:eastAsia="Times New Roman" w:hint="default"/>
                <w:sz w:val="19"/>
                <w:szCs w:val="19"/>
              </w:rPr>
            </w:pPr>
            <w:r>
              <w:rPr>
                <w:rFonts w:ascii="Times New Roman"/>
                <w:sz w:val="19"/>
              </w:rPr>
              <w:t>1,217,243,227</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
              <w:jc w:val="right"/>
              <w:rPr>
                <w:rFonts w:ascii="Times New Roman" w:hAnsi="Times New Roman" w:cs="Times New Roman" w:eastAsia="Times New Roman" w:hint="default"/>
                <w:sz w:val="19"/>
                <w:szCs w:val="19"/>
              </w:rPr>
            </w:pPr>
            <w:r>
              <w:rPr>
                <w:rFonts w:ascii="Times New Roman"/>
                <w:sz w:val="19"/>
              </w:rPr>
              <w:t>1,206,788,335</w:t>
            </w:r>
          </w:p>
        </w:tc>
      </w:tr>
      <w:tr>
        <w:trPr>
          <w:trHeight w:val="345"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3"/>
                <w:w w:val="105"/>
                <w:sz w:val="19"/>
                <w:szCs w:val="19"/>
              </w:rPr>
              <w:t>应付票据及应付账款</w:t>
            </w:r>
            <w:r>
              <w:rPr>
                <w:rFonts w:ascii="宋体" w:hAnsi="宋体" w:cs="宋体" w:eastAsia="宋体" w:hint="default"/>
                <w:spacing w:val="3"/>
                <w:sz w:val="19"/>
                <w:szCs w:val="19"/>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
              <w:jc w:val="right"/>
              <w:rPr>
                <w:rFonts w:ascii="Times New Roman" w:hAnsi="Times New Roman" w:cs="Times New Roman" w:eastAsia="Times New Roman" w:hint="default"/>
                <w:sz w:val="19"/>
                <w:szCs w:val="19"/>
              </w:rPr>
            </w:pPr>
            <w:r>
              <w:rPr>
                <w:rFonts w:ascii="Times New Roman"/>
                <w:sz w:val="19"/>
              </w:rPr>
              <w:t>2,341,314,057</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
              <w:jc w:val="right"/>
              <w:rPr>
                <w:rFonts w:ascii="Times New Roman" w:hAnsi="Times New Roman" w:cs="Times New Roman" w:eastAsia="Times New Roman" w:hint="default"/>
                <w:sz w:val="19"/>
                <w:szCs w:val="19"/>
              </w:rPr>
            </w:pPr>
            <w:r>
              <w:rPr>
                <w:rFonts w:ascii="Times New Roman"/>
                <w:sz w:val="19"/>
              </w:rPr>
              <w:t>-2,341,314,057</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r>
      <w:tr>
        <w:trPr>
          <w:trHeight w:val="345"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
              <w:jc w:val="right"/>
              <w:rPr>
                <w:rFonts w:ascii="Times New Roman" w:hAnsi="Times New Roman" w:cs="Times New Roman" w:eastAsia="Times New Roman" w:hint="default"/>
                <w:sz w:val="19"/>
                <w:szCs w:val="19"/>
              </w:rPr>
            </w:pPr>
            <w:r>
              <w:rPr>
                <w:rFonts w:ascii="Times New Roman"/>
                <w:sz w:val="19"/>
              </w:rPr>
              <w:t>947,880,036</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7"/>
              <w:jc w:val="right"/>
              <w:rPr>
                <w:rFonts w:ascii="Times New Roman" w:hAnsi="Times New Roman" w:cs="Times New Roman" w:eastAsia="Times New Roman" w:hint="default"/>
                <w:sz w:val="19"/>
                <w:szCs w:val="19"/>
              </w:rPr>
            </w:pPr>
            <w:r>
              <w:rPr>
                <w:rFonts w:ascii="Times New Roman"/>
                <w:sz w:val="19"/>
              </w:rPr>
              <w:t>947,880,036</w:t>
            </w:r>
          </w:p>
        </w:tc>
      </w:tr>
      <w:tr>
        <w:trPr>
          <w:trHeight w:val="345"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应付账款</w:t>
            </w:r>
            <w:r>
              <w:rPr>
                <w:rFonts w:ascii="宋体" w:hAnsi="宋体" w:cs="宋体" w:eastAsia="宋体" w:hint="default"/>
                <w:sz w:val="19"/>
                <w:szCs w:val="19"/>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
              <w:jc w:val="right"/>
              <w:rPr>
                <w:rFonts w:ascii="Times New Roman" w:hAnsi="Times New Roman" w:cs="Times New Roman" w:eastAsia="Times New Roman" w:hint="default"/>
                <w:sz w:val="19"/>
                <w:szCs w:val="19"/>
              </w:rPr>
            </w:pPr>
            <w:r>
              <w:rPr>
                <w:rFonts w:ascii="Times New Roman"/>
                <w:sz w:val="19"/>
              </w:rPr>
              <w:t>1,393,434,021</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
              <w:jc w:val="right"/>
              <w:rPr>
                <w:rFonts w:ascii="Times New Roman" w:hAnsi="Times New Roman" w:cs="Times New Roman" w:eastAsia="Times New Roman" w:hint="default"/>
                <w:sz w:val="19"/>
                <w:szCs w:val="19"/>
              </w:rPr>
            </w:pPr>
            <w:r>
              <w:rPr>
                <w:rFonts w:ascii="Times New Roman"/>
                <w:sz w:val="19"/>
              </w:rPr>
              <w:t>1,393,434,021</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6"/>
          <w:szCs w:val="26"/>
        </w:rPr>
      </w:pPr>
    </w:p>
    <w:p>
      <w:pPr>
        <w:pStyle w:val="BodyText"/>
        <w:spacing w:line="240" w:lineRule="auto" w:before="44"/>
        <w:ind w:right="0"/>
        <w:jc w:val="left"/>
      </w:pPr>
      <w:r>
        <w:rPr/>
        <w:t>对母公司财务报表的影响：</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042"/>
        <w:gridCol w:w="1878"/>
        <w:gridCol w:w="1967"/>
        <w:gridCol w:w="2193"/>
        <w:gridCol w:w="2102"/>
      </w:tblGrid>
      <w:tr>
        <w:trPr>
          <w:trHeight w:val="345" w:hRule="exact"/>
        </w:trPr>
        <w:tc>
          <w:tcPr>
            <w:tcW w:w="2042"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4"/>
              <w:jc w:val="right"/>
              <w:rPr>
                <w:rFonts w:ascii="宋体" w:hAnsi="宋体" w:cs="宋体" w:eastAsia="宋体" w:hint="default"/>
                <w:sz w:val="19"/>
                <w:szCs w:val="19"/>
              </w:rPr>
            </w:pPr>
            <w:r>
              <w:rPr>
                <w:rFonts w:ascii="宋体" w:hAnsi="宋体" w:cs="宋体" w:eastAsia="宋体" w:hint="default"/>
                <w:sz w:val="19"/>
                <w:szCs w:val="19"/>
              </w:rPr>
              <w:t>会计政策变更前</w:t>
            </w:r>
          </w:p>
        </w:tc>
        <w:tc>
          <w:tcPr>
            <w:tcW w:w="416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6"/>
              <w:jc w:val="center"/>
              <w:rPr>
                <w:rFonts w:ascii="宋体" w:hAnsi="宋体" w:cs="宋体" w:eastAsia="宋体" w:hint="default"/>
                <w:sz w:val="19"/>
                <w:szCs w:val="19"/>
              </w:rPr>
            </w:pPr>
            <w:r>
              <w:rPr>
                <w:rFonts w:ascii="宋体" w:hAnsi="宋体" w:cs="宋体" w:eastAsia="宋体" w:hint="default"/>
                <w:spacing w:val="2"/>
                <w:w w:val="105"/>
                <w:sz w:val="19"/>
                <w:szCs w:val="19"/>
              </w:rPr>
              <w:t>会计政策变更</w:t>
            </w:r>
            <w:r>
              <w:rPr>
                <w:rFonts w:ascii="宋体" w:hAnsi="宋体" w:cs="宋体" w:eastAsia="宋体" w:hint="default"/>
                <w:spacing w:val="2"/>
                <w:sz w:val="19"/>
                <w:szCs w:val="19"/>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r>
              <w:rPr>
                <w:rFonts w:ascii="宋体" w:hAnsi="宋体" w:cs="宋体" w:eastAsia="宋体" w:hint="default"/>
                <w:w w:val="105"/>
                <w:sz w:val="19"/>
                <w:szCs w:val="19"/>
              </w:rPr>
              <w:t>会计政策变更后</w:t>
            </w:r>
            <w:r>
              <w:rPr>
                <w:rFonts w:ascii="宋体" w:hAnsi="宋体" w:cs="宋体" w:eastAsia="宋体" w:hint="default"/>
                <w:sz w:val="19"/>
                <w:szCs w:val="19"/>
              </w:rPr>
            </w:r>
          </w:p>
        </w:tc>
      </w:tr>
      <w:tr>
        <w:trPr>
          <w:trHeight w:val="660" w:hRule="exact"/>
        </w:trPr>
        <w:tc>
          <w:tcPr>
            <w:tcW w:w="2042"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4"/>
              <w:jc w:val="right"/>
              <w:rPr>
                <w:rFonts w:ascii="宋体" w:hAnsi="宋体" w:cs="宋体" w:eastAsia="宋体" w:hint="default"/>
                <w:sz w:val="16"/>
                <w:szCs w:val="16"/>
              </w:rPr>
            </w:pPr>
            <w:r>
              <w:rPr>
                <w:rFonts w:ascii="Times New Roman" w:hAnsi="Times New Roman" w:cs="Times New Roman" w:eastAsia="Times New Roman" w:hint="default"/>
                <w:spacing w:val="-1"/>
                <w:sz w:val="19"/>
                <w:szCs w:val="19"/>
              </w:rPr>
              <w:t>2018</w:t>
            </w:r>
            <w:r>
              <w:rPr>
                <w:rFonts w:ascii="宋体" w:hAnsi="宋体" w:cs="宋体" w:eastAsia="宋体" w:hint="default"/>
                <w:spacing w:val="-1"/>
                <w:sz w:val="16"/>
                <w:szCs w:val="16"/>
              </w:rPr>
              <w:t>年末余额</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4"/>
              <w:jc w:val="right"/>
              <w:rPr>
                <w:rFonts w:ascii="宋体" w:hAnsi="宋体" w:cs="宋体" w:eastAsia="宋体" w:hint="default"/>
                <w:sz w:val="19"/>
                <w:szCs w:val="19"/>
              </w:rPr>
            </w:pPr>
            <w:r>
              <w:rPr>
                <w:rFonts w:ascii="宋体" w:hAnsi="宋体" w:cs="宋体" w:eastAsia="宋体" w:hint="default"/>
                <w:spacing w:val="3"/>
                <w:sz w:val="19"/>
                <w:szCs w:val="19"/>
              </w:rPr>
              <w:t>新金融工具准则影响</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80" w:right="0"/>
              <w:jc w:val="left"/>
              <w:rPr>
                <w:rFonts w:ascii="宋体" w:hAnsi="宋体" w:cs="宋体" w:eastAsia="宋体" w:hint="default"/>
                <w:sz w:val="19"/>
                <w:szCs w:val="19"/>
              </w:rPr>
            </w:pPr>
            <w:r>
              <w:rPr>
                <w:rFonts w:ascii="宋体" w:hAnsi="宋体" w:cs="宋体" w:eastAsia="宋体" w:hint="default"/>
                <w:spacing w:val="2"/>
                <w:sz w:val="19"/>
                <w:szCs w:val="19"/>
              </w:rPr>
              <w:t>其他财务报表列报方式</w:t>
            </w:r>
          </w:p>
          <w:p>
            <w:pPr>
              <w:pStyle w:val="TableParagraph"/>
              <w:spacing w:line="240" w:lineRule="auto" w:before="51"/>
              <w:ind w:left="1381" w:right="0"/>
              <w:jc w:val="left"/>
              <w:rPr>
                <w:rFonts w:ascii="宋体" w:hAnsi="宋体" w:cs="宋体" w:eastAsia="宋体" w:hint="default"/>
                <w:sz w:val="19"/>
                <w:szCs w:val="19"/>
              </w:rPr>
            </w:pPr>
            <w:r>
              <w:rPr>
                <w:rFonts w:ascii="宋体" w:hAnsi="宋体" w:cs="宋体" w:eastAsia="宋体" w:hint="default"/>
                <w:w w:val="105"/>
                <w:sz w:val="19"/>
                <w:szCs w:val="19"/>
              </w:rPr>
              <w:t>变更影响</w:t>
            </w:r>
            <w:r>
              <w:rPr>
                <w:rFonts w:ascii="宋体" w:hAnsi="宋体" w:cs="宋体" w:eastAsia="宋体" w:hint="default"/>
                <w:sz w:val="19"/>
                <w:szCs w:val="19"/>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3"/>
              <w:ind w:right="-15"/>
              <w:jc w:val="right"/>
              <w:rPr>
                <w:rFonts w:ascii="宋体" w:hAnsi="宋体" w:cs="宋体" w:eastAsia="宋体" w:hint="default"/>
                <w:sz w:val="16"/>
                <w:szCs w:val="16"/>
              </w:rPr>
            </w:pPr>
            <w:r>
              <w:rPr>
                <w:rFonts w:ascii="Times New Roman" w:hAnsi="Times New Roman" w:cs="Times New Roman" w:eastAsia="Times New Roman" w:hint="default"/>
                <w:spacing w:val="-1"/>
                <w:sz w:val="19"/>
                <w:szCs w:val="19"/>
              </w:rPr>
              <w:t>2019</w:t>
            </w:r>
            <w:r>
              <w:rPr>
                <w:rFonts w:ascii="宋体" w:hAnsi="宋体" w:cs="宋体" w:eastAsia="宋体" w:hint="default"/>
                <w:spacing w:val="-1"/>
                <w:sz w:val="16"/>
                <w:szCs w:val="16"/>
              </w:rPr>
              <w:t>年初余额</w:t>
            </w:r>
          </w:p>
        </w:tc>
      </w:tr>
      <w:tr>
        <w:trPr>
          <w:trHeight w:val="345"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3"/>
                <w:w w:val="105"/>
                <w:sz w:val="19"/>
                <w:szCs w:val="19"/>
              </w:rPr>
              <w:t>应收票据及应收账款</w:t>
            </w:r>
            <w:r>
              <w:rPr>
                <w:rFonts w:ascii="宋体" w:hAnsi="宋体" w:cs="宋体" w:eastAsia="宋体" w:hint="default"/>
                <w:spacing w:val="3"/>
                <w:sz w:val="19"/>
                <w:szCs w:val="19"/>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
              <w:jc w:val="right"/>
              <w:rPr>
                <w:rFonts w:ascii="Times New Roman" w:hAnsi="Times New Roman" w:cs="Times New Roman" w:eastAsia="Times New Roman" w:hint="default"/>
                <w:sz w:val="19"/>
                <w:szCs w:val="19"/>
              </w:rPr>
            </w:pPr>
            <w:r>
              <w:rPr>
                <w:rFonts w:ascii="Times New Roman"/>
                <w:sz w:val="19"/>
              </w:rPr>
              <w:t>3,956,179,031</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
              <w:jc w:val="right"/>
              <w:rPr>
                <w:rFonts w:ascii="Times New Roman" w:hAnsi="Times New Roman" w:cs="Times New Roman" w:eastAsia="Times New Roman" w:hint="default"/>
                <w:sz w:val="19"/>
                <w:szCs w:val="19"/>
              </w:rPr>
            </w:pPr>
            <w:r>
              <w:rPr>
                <w:rFonts w:ascii="Times New Roman"/>
                <w:sz w:val="19"/>
              </w:rPr>
              <w:t>-2,952,268</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
              <w:jc w:val="right"/>
              <w:rPr>
                <w:rFonts w:ascii="Times New Roman" w:hAnsi="Times New Roman" w:cs="Times New Roman" w:eastAsia="Times New Roman" w:hint="default"/>
                <w:sz w:val="19"/>
                <w:szCs w:val="19"/>
              </w:rPr>
            </w:pPr>
            <w:r>
              <w:rPr>
                <w:rFonts w:ascii="Times New Roman"/>
                <w:sz w:val="19"/>
              </w:rPr>
              <w:t>-3,953,226,763</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r>
      <w:tr>
        <w:trPr>
          <w:trHeight w:val="346"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应收票据</w:t>
            </w:r>
            <w:r>
              <w:rPr>
                <w:rFonts w:ascii="宋体" w:hAnsi="宋体" w:cs="宋体" w:eastAsia="宋体" w:hint="default"/>
                <w:sz w:val="19"/>
                <w:szCs w:val="19"/>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
              <w:jc w:val="right"/>
              <w:rPr>
                <w:rFonts w:ascii="Times New Roman" w:hAnsi="Times New Roman" w:cs="Times New Roman" w:eastAsia="Times New Roman" w:hint="default"/>
                <w:sz w:val="19"/>
                <w:szCs w:val="19"/>
              </w:rPr>
            </w:pPr>
            <w:r>
              <w:rPr>
                <w:rFonts w:ascii="Times New Roman"/>
                <w:sz w:val="19"/>
              </w:rPr>
              <w:t>160,000,000</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7"/>
              <w:jc w:val="right"/>
              <w:rPr>
                <w:rFonts w:ascii="Times New Roman" w:hAnsi="Times New Roman" w:cs="Times New Roman" w:eastAsia="Times New Roman" w:hint="default"/>
                <w:sz w:val="19"/>
                <w:szCs w:val="19"/>
              </w:rPr>
            </w:pPr>
            <w:r>
              <w:rPr>
                <w:rFonts w:ascii="Times New Roman"/>
                <w:sz w:val="19"/>
              </w:rPr>
              <w:t>160,000,000</w:t>
            </w:r>
          </w:p>
        </w:tc>
      </w:tr>
      <w:tr>
        <w:trPr>
          <w:trHeight w:val="345"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应收账款</w:t>
            </w:r>
            <w:r>
              <w:rPr>
                <w:rFonts w:ascii="宋体" w:hAnsi="宋体" w:cs="宋体" w:eastAsia="宋体" w:hint="default"/>
                <w:sz w:val="19"/>
                <w:szCs w:val="19"/>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7"/>
              <w:jc w:val="right"/>
              <w:rPr>
                <w:rFonts w:ascii="Times New Roman" w:hAnsi="Times New Roman" w:cs="Times New Roman" w:eastAsia="Times New Roman" w:hint="default"/>
                <w:sz w:val="19"/>
                <w:szCs w:val="19"/>
              </w:rPr>
            </w:pPr>
            <w:r>
              <w:rPr>
                <w:rFonts w:ascii="Times New Roman"/>
                <w:sz w:val="19"/>
              </w:rPr>
              <w:t>-2952268</w:t>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
              <w:jc w:val="right"/>
              <w:rPr>
                <w:rFonts w:ascii="Times New Roman" w:hAnsi="Times New Roman" w:cs="Times New Roman" w:eastAsia="Times New Roman" w:hint="default"/>
                <w:sz w:val="19"/>
                <w:szCs w:val="19"/>
              </w:rPr>
            </w:pPr>
            <w:r>
              <w:rPr>
                <w:rFonts w:ascii="Times New Roman"/>
                <w:sz w:val="19"/>
              </w:rPr>
              <w:t>3,796,179,031</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7"/>
              <w:jc w:val="right"/>
              <w:rPr>
                <w:rFonts w:ascii="Times New Roman" w:hAnsi="Times New Roman" w:cs="Times New Roman" w:eastAsia="Times New Roman" w:hint="default"/>
                <w:sz w:val="19"/>
                <w:szCs w:val="19"/>
              </w:rPr>
            </w:pPr>
            <w:r>
              <w:rPr>
                <w:rFonts w:ascii="Times New Roman"/>
                <w:sz w:val="19"/>
              </w:rPr>
              <w:t>3793226763</w:t>
            </w:r>
          </w:p>
        </w:tc>
      </w:tr>
      <w:tr>
        <w:trPr>
          <w:trHeight w:val="345"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spacing w:val="3"/>
                <w:w w:val="105"/>
                <w:sz w:val="19"/>
                <w:szCs w:val="19"/>
              </w:rPr>
              <w:t>应付票据及应付账款</w:t>
            </w:r>
            <w:r>
              <w:rPr>
                <w:rFonts w:ascii="宋体" w:hAnsi="宋体" w:cs="宋体" w:eastAsia="宋体" w:hint="default"/>
                <w:spacing w:val="3"/>
                <w:sz w:val="19"/>
                <w:szCs w:val="19"/>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
              <w:jc w:val="right"/>
              <w:rPr>
                <w:rFonts w:ascii="Times New Roman" w:hAnsi="Times New Roman" w:cs="Times New Roman" w:eastAsia="Times New Roman" w:hint="default"/>
                <w:sz w:val="19"/>
                <w:szCs w:val="19"/>
              </w:rPr>
            </w:pPr>
            <w:r>
              <w:rPr>
                <w:rFonts w:ascii="Times New Roman"/>
                <w:sz w:val="19"/>
              </w:rPr>
              <w:t>2748276991</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
              <w:jc w:val="right"/>
              <w:rPr>
                <w:rFonts w:ascii="Times New Roman" w:hAnsi="Times New Roman" w:cs="Times New Roman" w:eastAsia="Times New Roman" w:hint="default"/>
                <w:sz w:val="19"/>
                <w:szCs w:val="19"/>
              </w:rPr>
            </w:pPr>
            <w:r>
              <w:rPr>
                <w:rFonts w:ascii="Times New Roman"/>
                <w:sz w:val="19"/>
              </w:rPr>
              <w:t>-2,748,276,991</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r>
      <w:tr>
        <w:trPr>
          <w:trHeight w:val="361"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left"/>
              <w:rPr>
                <w:rFonts w:ascii="宋体" w:hAnsi="宋体" w:cs="宋体" w:eastAsia="宋体" w:hint="default"/>
                <w:sz w:val="19"/>
                <w:szCs w:val="19"/>
              </w:rPr>
            </w:pPr>
            <w:r>
              <w:rPr>
                <w:rFonts w:ascii="宋体" w:hAnsi="宋体" w:cs="宋体" w:eastAsia="宋体" w:hint="default"/>
                <w:w w:val="105"/>
                <w:sz w:val="19"/>
                <w:szCs w:val="19"/>
              </w:rPr>
              <w:t>应付票据</w:t>
            </w:r>
            <w:r>
              <w:rPr>
                <w:rFonts w:ascii="宋体" w:hAnsi="宋体" w:cs="宋体" w:eastAsia="宋体" w:hint="default"/>
                <w:sz w:val="19"/>
                <w:szCs w:val="19"/>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
              <w:jc w:val="right"/>
              <w:rPr>
                <w:rFonts w:ascii="Times New Roman" w:hAnsi="Times New Roman" w:cs="Times New Roman" w:eastAsia="Times New Roman" w:hint="default"/>
                <w:sz w:val="19"/>
                <w:szCs w:val="19"/>
              </w:rPr>
            </w:pPr>
            <w:r>
              <w:rPr>
                <w:rFonts w:ascii="Times New Roman"/>
                <w:sz w:val="19"/>
              </w:rPr>
              <w:t>972,880,036</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7"/>
              <w:jc w:val="right"/>
              <w:rPr>
                <w:rFonts w:ascii="Times New Roman" w:hAnsi="Times New Roman" w:cs="Times New Roman" w:eastAsia="Times New Roman" w:hint="default"/>
                <w:sz w:val="19"/>
                <w:szCs w:val="19"/>
              </w:rPr>
            </w:pPr>
            <w:r>
              <w:rPr>
                <w:rFonts w:ascii="Times New Roman"/>
                <w:sz w:val="19"/>
              </w:rPr>
              <w:t>972,880,036</w:t>
            </w:r>
          </w:p>
        </w:tc>
      </w:tr>
      <w:tr>
        <w:trPr>
          <w:trHeight w:val="345" w:hRule="exact"/>
        </w:trPr>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r>
              <w:rPr>
                <w:rFonts w:ascii="宋体" w:hAnsi="宋体" w:cs="宋体" w:eastAsia="宋体" w:hint="default"/>
                <w:w w:val="105"/>
                <w:sz w:val="19"/>
                <w:szCs w:val="19"/>
              </w:rPr>
              <w:t>应付账款</w:t>
            </w:r>
            <w:r>
              <w:rPr>
                <w:rFonts w:ascii="宋体" w:hAnsi="宋体" w:cs="宋体" w:eastAsia="宋体" w:hint="default"/>
                <w:sz w:val="19"/>
                <w:szCs w:val="19"/>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5"/>
              <w:jc w:val="right"/>
              <w:rPr>
                <w:rFonts w:ascii="Times New Roman" w:hAnsi="Times New Roman" w:cs="Times New Roman" w:eastAsia="Times New Roman" w:hint="default"/>
                <w:sz w:val="19"/>
                <w:szCs w:val="19"/>
              </w:rPr>
            </w:pPr>
            <w:r>
              <w:rPr>
                <w:rFonts w:ascii="Times New Roman"/>
                <w:w w:val="102"/>
                <w:sz w:val="19"/>
              </w:rPr>
              <w:t>-</w:t>
            </w:r>
            <w:r>
              <w:rPr>
                <w:rFonts w:ascii="Times New Roman"/>
                <w:sz w:val="19"/>
              </w:rPr>
            </w:r>
          </w:p>
        </w:tc>
        <w:tc>
          <w:tcPr>
            <w:tcW w:w="2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8"/>
              <w:jc w:val="right"/>
              <w:rPr>
                <w:rFonts w:ascii="Times New Roman" w:hAnsi="Times New Roman" w:cs="Times New Roman" w:eastAsia="Times New Roman" w:hint="default"/>
                <w:sz w:val="19"/>
                <w:szCs w:val="19"/>
              </w:rPr>
            </w:pPr>
            <w:r>
              <w:rPr>
                <w:rFonts w:ascii="Times New Roman"/>
                <w:sz w:val="19"/>
              </w:rPr>
              <w:t>1,654,396,955</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8"/>
              <w:jc w:val="right"/>
              <w:rPr>
                <w:rFonts w:ascii="Times New Roman" w:hAnsi="Times New Roman" w:cs="Times New Roman" w:eastAsia="Times New Roman" w:hint="default"/>
                <w:sz w:val="19"/>
                <w:szCs w:val="19"/>
              </w:rPr>
            </w:pPr>
            <w:r>
              <w:rPr>
                <w:rFonts w:ascii="Times New Roman"/>
                <w:sz w:val="19"/>
              </w:rPr>
              <w:t>1,654,396,955</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Heading5"/>
        <w:spacing w:line="240" w:lineRule="auto" w:before="35"/>
        <w:ind w:right="0"/>
        <w:jc w:val="left"/>
        <w:rPr>
          <w:b w:val="0"/>
          <w:bCs w:val="0"/>
        </w:rPr>
      </w:pPr>
      <w:bookmarkStart w:name="（2）重要会计估计变更" w:id="207"/>
      <w:bookmarkEnd w:id="20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3）2019年起执行新金融工具准则、新收入准则或新租赁准则调整执行当年年初财务" w:id="208"/>
      <w:bookmarkEnd w:id="208"/>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年起执行新金融工具准则、新收入准则或新租赁准则调整执行当年年初财务报表相关项目情况</w:t>
      </w:r>
      <w:r>
        <w:rPr>
          <w:b w:val="0"/>
          <w:bCs w:val="0"/>
        </w:rPr>
      </w:r>
    </w:p>
    <w:p>
      <w:pPr>
        <w:spacing w:line="240" w:lineRule="auto" w:before="3"/>
        <w:rPr>
          <w:rFonts w:ascii="宋体" w:hAnsi="宋体" w:cs="宋体" w:eastAsia="宋体" w:hint="default"/>
          <w:b/>
          <w:bCs/>
          <w:sz w:val="25"/>
          <w:szCs w:val="25"/>
        </w:rPr>
      </w:pPr>
    </w:p>
    <w:p>
      <w:pPr>
        <w:pStyle w:val="BodyText"/>
        <w:spacing w:line="316"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不适用 合并资产负债表</w:t>
      </w:r>
    </w:p>
    <w:p>
      <w:pPr>
        <w:pStyle w:val="BodyText"/>
        <w:spacing w:line="240" w:lineRule="auto" w:before="67"/>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381,662,965.00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381,662,965.00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1,217,243,227.00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1,206,788,335.00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36" w:right="0"/>
              <w:jc w:val="left"/>
              <w:rPr>
                <w:rFonts w:ascii="Times New Roman" w:hAnsi="Times New Roman" w:cs="Times New Roman" w:eastAsia="Times New Roman" w:hint="default"/>
                <w:sz w:val="18"/>
                <w:szCs w:val="18"/>
              </w:rPr>
            </w:pPr>
            <w:r>
              <w:rPr>
                <w:rFonts w:ascii="Times New Roman"/>
                <w:sz w:val="18"/>
              </w:rPr>
              <w:t>-10,454,892.00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244,432,348.00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244,432,348.00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183,712,070.00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183,712,070.00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2,348,821,208.00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2,348,821,208.00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59,973,988.00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59,973,988.00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4,435,845,806.00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4,425,390,914.00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-10,454,892.00</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339,818,666.00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337,624,833.00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-2,193,833.00</w:t>
            </w:r>
            <w:r>
              <w:rPr>
                <w:rFonts w:ascii="Times New Roman"/>
                <w:sz w:val="18"/>
              </w:rPr>
            </w: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557,811,744.00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557,811,744.00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276,021,051.00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276,021,051.00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1,211,586,636.00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1,211,586,636.00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2,109,737.00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2,109,737.00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60,566,524.00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60,566,524.00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282,300,776.00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282,300,776.00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35,055,644.00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35,055,644.00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7,835,724.00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7,835,724.00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2,773,106,502.00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2,770,912,669.00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-2,193,833.00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7,208,952,308.00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7,196,303,583.00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36" w:right="0"/>
              <w:jc w:val="left"/>
              <w:rPr>
                <w:rFonts w:ascii="Times New Roman" w:hAnsi="Times New Roman" w:cs="Times New Roman" w:eastAsia="Times New Roman" w:hint="default"/>
                <w:sz w:val="18"/>
                <w:szCs w:val="18"/>
              </w:rPr>
            </w:pPr>
            <w:r>
              <w:rPr>
                <w:rFonts w:ascii="Times New Roman"/>
                <w:sz w:val="18"/>
              </w:rPr>
              <w:t>-12,648,725.00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1,080,000,000.00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1,080,000,000.00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947,880,036.00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947,880,036.00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1,393,434,021.00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1,393,434,021.00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60,975,433.00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60,975,433.00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87"/>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87"/>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108,447,998.00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108,447,998.00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108,447,998.00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185,744,148.00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185,744,148.00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554,775,433.00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554,775,433.00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47"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995,811.00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995,811.00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89"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80"/>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4,331,257,069.00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4,331,257,069.00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4,331,257,069.00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4,331,257,069.00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2,512,500,000.00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2,512,500,000.00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161,473,545.00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161,473,545.00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184,510.00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184,510.00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523,409,142.00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523,409,142.00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-319,871,958.00</w:t>
            </w:r>
            <w:r>
              <w:rPr>
                <w:rFonts w:ascii="Times New Roman"/>
                <w:sz w:val="18"/>
              </w:rPr>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-332,520,683.00</w:t>
            </w:r>
            <w:r>
              <w:rPr>
                <w:rFonts w:ascii="Times New Roman"/>
                <w:sz w:val="18"/>
              </w:rPr>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-12,648,725.00</w:t>
            </w:r>
            <w:r>
              <w:rPr>
                <w:rFonts w:ascii="Times New Roman"/>
                <w:sz w:val="18"/>
              </w:rPr>
            </w:r>
          </w:p>
        </w:tc>
      </w:tr>
      <w:tr>
        <w:trPr>
          <w:trHeight w:val="7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8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2,877,695,239.00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2,865,046,514.00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-12,648,725.00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2,877,695,239.00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2,865,046,514.00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-12,648,725.00</w:t>
            </w:r>
            <w:r>
              <w:rPr>
                <w:rFonts w:ascii="Times New Roman"/>
                <w:sz w:val="18"/>
              </w:rPr>
            </w: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7,208,952,308.00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7,196,303,583.00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-12,648,725.00</w:t>
            </w:r>
            <w:r>
              <w:rPr>
                <w:rFonts w:ascii="Times New Roman"/>
                <w:sz w:val="18"/>
              </w:rPr>
            </w:r>
          </w:p>
        </w:tc>
      </w:tr>
    </w:tbl>
    <w:p>
      <w:pPr>
        <w:pStyle w:val="BodyText"/>
        <w:spacing w:line="240" w:lineRule="auto" w:before="44"/>
        <w:ind w:right="0"/>
        <w:jc w:val="left"/>
      </w:pPr>
      <w:r>
        <w:rPr/>
        <w:t>调整情况说明</w:t>
      </w:r>
    </w:p>
    <w:p>
      <w:pPr>
        <w:pStyle w:val="Heading4"/>
        <w:spacing w:line="261" w:lineRule="auto" w:before="93"/>
        <w:ind w:right="0"/>
        <w:jc w:val="left"/>
      </w:pPr>
      <w:r>
        <w:rPr>
          <w:spacing w:val="-6"/>
        </w:rPr>
        <w:t>在首次执行日，原金融资产账面价值调整为按照修订后金融工具确认和计量准则的规定进行分类和计</w:t>
      </w:r>
      <w:r>
        <w:rPr>
          <w:spacing w:val="31"/>
        </w:rPr>
        <w:t> </w:t>
      </w:r>
      <w:r>
        <w:rPr>
          <w:spacing w:val="31"/>
        </w:rPr>
      </w:r>
      <w:r>
        <w:rPr>
          <w:spacing w:val="-4"/>
        </w:rPr>
        <w:t>量的新金融资产账面价值的调节表：</w:t>
      </w:r>
    </w:p>
    <w:p>
      <w:pPr>
        <w:spacing w:line="240" w:lineRule="auto" w:before="3"/>
        <w:rPr>
          <w:rFonts w:ascii="宋体" w:hAnsi="宋体" w:cs="宋体" w:eastAsia="宋体" w:hint="default"/>
          <w:sz w:val="26"/>
          <w:szCs w:val="26"/>
        </w:rPr>
      </w:pPr>
    </w:p>
    <w:p>
      <w:pPr>
        <w:spacing w:before="0"/>
        <w:ind w:left="862" w:right="0" w:firstLine="0"/>
        <w:jc w:val="left"/>
        <w:rPr>
          <w:rFonts w:ascii="宋体" w:hAnsi="宋体" w:cs="宋体" w:eastAsia="宋体" w:hint="default"/>
          <w:sz w:val="19"/>
          <w:szCs w:val="19"/>
        </w:rPr>
      </w:pPr>
      <w:r>
        <w:rPr>
          <w:rFonts w:ascii="宋体" w:hAnsi="宋体" w:cs="宋体" w:eastAsia="宋体" w:hint="default"/>
          <w:b/>
          <w:bCs/>
          <w:spacing w:val="5"/>
          <w:sz w:val="19"/>
          <w:szCs w:val="19"/>
        </w:rPr>
        <w:t>合并资产负债表：</w:t>
      </w:r>
      <w:r>
        <w:rPr>
          <w:rFonts w:ascii="宋体" w:hAnsi="宋体" w:cs="宋体" w:eastAsia="宋体" w:hint="default"/>
          <w:spacing w:val="5"/>
          <w:sz w:val="19"/>
          <w:szCs w:val="19"/>
        </w:rPr>
      </w:r>
    </w:p>
    <w:p>
      <w:pPr>
        <w:spacing w:line="240" w:lineRule="auto" w:before="10"/>
        <w:rPr>
          <w:rFonts w:ascii="宋体" w:hAnsi="宋体" w:cs="宋体" w:eastAsia="宋体" w:hint="default"/>
          <w:b/>
          <w:bCs/>
          <w:sz w:val="27"/>
          <w:szCs w:val="27"/>
        </w:rPr>
      </w:pPr>
    </w:p>
    <w:tbl>
      <w:tblPr>
        <w:tblW w:w="0" w:type="auto"/>
        <w:jc w:val="left"/>
        <w:tblInd w:w="126" w:type="dxa"/>
        <w:tblLayout w:type="fixed"/>
        <w:tblCellMar>
          <w:top w:w="0" w:type="dxa"/>
          <w:left w:w="0" w:type="dxa"/>
          <w:bottom w:w="0" w:type="dxa"/>
          <w:right w:w="0" w:type="dxa"/>
        </w:tblCellMar>
        <w:tblLook w:val="01E0"/>
      </w:tblPr>
      <w:tblGrid>
        <w:gridCol w:w="1802"/>
        <w:gridCol w:w="1937"/>
        <w:gridCol w:w="1803"/>
        <w:gridCol w:w="1802"/>
        <w:gridCol w:w="2043"/>
      </w:tblGrid>
      <w:tr>
        <w:trPr>
          <w:trHeight w:val="976"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165"/>
              <w:jc w:val="left"/>
              <w:rPr>
                <w:rFonts w:ascii="宋体" w:hAnsi="宋体" w:cs="宋体" w:eastAsia="宋体" w:hint="default"/>
                <w:sz w:val="18"/>
                <w:szCs w:val="18"/>
              </w:rPr>
            </w:pPr>
            <w:r>
              <w:rPr>
                <w:rFonts w:ascii="宋体" w:hAnsi="宋体" w:cs="宋体" w:eastAsia="宋体" w:hint="default"/>
                <w:sz w:val="18"/>
                <w:szCs w:val="18"/>
              </w:rPr>
              <w:t>以摊余成本计量的金 融资产</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5"/>
              <w:ind w:right="118"/>
              <w:jc w:val="both"/>
              <w:rPr>
                <w:rFonts w:ascii="宋体" w:hAnsi="宋体" w:cs="宋体" w:eastAsia="宋体" w:hint="default"/>
                <w:sz w:val="18"/>
                <w:szCs w:val="18"/>
              </w:rPr>
            </w:pPr>
            <w:r>
              <w:rPr>
                <w:rFonts w:ascii="宋体" w:hAnsi="宋体" w:cs="宋体" w:eastAsia="宋体" w:hint="default"/>
                <w:sz w:val="18"/>
                <w:szCs w:val="18"/>
              </w:rPr>
              <w:t>按原金融工具准则列示 的账面价值</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15"/>
              <w:ind w:right="45"/>
              <w:jc w:val="left"/>
              <w:rPr>
                <w:rFonts w:ascii="宋体" w:hAnsi="宋体" w:cs="宋体" w:eastAsia="宋体" w:hint="default"/>
                <w:sz w:val="18"/>
                <w:szCs w:val="18"/>
              </w:rPr>
            </w:pPr>
            <w:r>
              <w:rPr>
                <w:rFonts w:ascii="宋体" w:hAnsi="宋体" w:cs="宋体" w:eastAsia="宋体" w:hint="default"/>
                <w:sz w:val="18"/>
                <w:szCs w:val="18"/>
              </w:rPr>
              <w:t>按新金融工具准则列示的 账面价值</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bl>
    <w:p>
      <w:pPr>
        <w:spacing w:after="0" w:line="336"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1802"/>
        <w:gridCol w:w="1937"/>
        <w:gridCol w:w="1803"/>
        <w:gridCol w:w="1802"/>
        <w:gridCol w:w="2043"/>
      </w:tblGrid>
      <w:tr>
        <w:trPr>
          <w:trHeight w:val="345" w:hRule="exact"/>
        </w:trPr>
        <w:tc>
          <w:tcPr>
            <w:tcW w:w="37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r>
              <w:rPr>
                <w:rFonts w:ascii="宋体" w:hAnsi="宋体" w:cs="宋体" w:eastAsia="宋体" w:hint="default"/>
                <w:i/>
                <w:sz w:val="19"/>
                <w:szCs w:val="19"/>
              </w:rPr>
              <w:t>应收票据及应收账款</w:t>
            </w:r>
            <w:r>
              <w:rPr>
                <w:rFonts w:ascii="宋体" w:hAnsi="宋体" w:cs="宋体" w:eastAsia="宋体" w:hint="default"/>
                <w:sz w:val="19"/>
                <w:szCs w:val="19"/>
              </w:rPr>
            </w:r>
          </w:p>
        </w:tc>
        <w:tc>
          <w:tcPr>
            <w:tcW w:w="1803"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c>
          <w:tcPr>
            <w:tcW w:w="2043"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165"/>
              <w:jc w:val="left"/>
              <w:rPr>
                <w:rFonts w:ascii="宋体" w:hAnsi="宋体" w:cs="宋体" w:eastAsia="宋体" w:hint="default"/>
                <w:sz w:val="18"/>
                <w:szCs w:val="18"/>
              </w:rPr>
            </w:pPr>
            <w:r>
              <w:rPr>
                <w:rFonts w:ascii="宋体" w:hAnsi="宋体" w:cs="宋体" w:eastAsia="宋体" w:hint="default"/>
                <w:sz w:val="18"/>
                <w:szCs w:val="18"/>
              </w:rPr>
              <w:t>按原金融工具准则列 示的余额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1,217,243,227</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1,217,243,227</w:t>
            </w:r>
          </w:p>
        </w:tc>
      </w:tr>
      <w:tr>
        <w:trPr>
          <w:trHeight w:val="660"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0"/>
              <w:jc w:val="left"/>
              <w:rPr>
                <w:rFonts w:ascii="宋体" w:hAnsi="宋体" w:cs="宋体" w:eastAsia="宋体" w:hint="default"/>
                <w:sz w:val="18"/>
                <w:szCs w:val="18"/>
              </w:rPr>
            </w:pPr>
            <w:r>
              <w:rPr>
                <w:rFonts w:ascii="宋体" w:hAnsi="宋体" w:cs="宋体" w:eastAsia="宋体" w:hint="default"/>
                <w:spacing w:val="-2"/>
                <w:sz w:val="18"/>
                <w:szCs w:val="18"/>
              </w:rPr>
              <w:t>重新计量：预期信用损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失准备</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5"/>
                <w:sz w:val="18"/>
              </w:rPr>
              <w:t>-10,454,892</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5"/>
                <w:sz w:val="18"/>
              </w:rPr>
              <w:t>-10,454,892</w:t>
            </w:r>
            <w:r>
              <w:rPr>
                <w:rFonts w:ascii="Times New Roman"/>
                <w:sz w:val="18"/>
              </w:rPr>
            </w:r>
          </w:p>
        </w:tc>
      </w:tr>
      <w:tr>
        <w:trPr>
          <w:trHeight w:val="661"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5"/>
              <w:ind w:right="165"/>
              <w:jc w:val="left"/>
              <w:rPr>
                <w:rFonts w:ascii="宋体" w:hAnsi="宋体" w:cs="宋体" w:eastAsia="宋体" w:hint="default"/>
                <w:sz w:val="18"/>
                <w:szCs w:val="18"/>
              </w:rPr>
            </w:pPr>
            <w:r>
              <w:rPr>
                <w:rFonts w:ascii="宋体" w:hAnsi="宋体" w:cs="宋体" w:eastAsia="宋体" w:hint="default"/>
                <w:sz w:val="18"/>
                <w:szCs w:val="18"/>
              </w:rPr>
              <w:t>按新金融工具准则列 示的余额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1,217,243,227</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5"/>
                <w:sz w:val="18"/>
              </w:rPr>
              <w:t>-10,454,892</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1,206,788,335</w:t>
            </w:r>
          </w:p>
        </w:tc>
      </w:tr>
      <w:tr>
        <w:trPr>
          <w:trHeight w:val="345"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r>
              <w:rPr>
                <w:rFonts w:ascii="宋体" w:hAnsi="宋体" w:cs="宋体" w:eastAsia="宋体" w:hint="default"/>
                <w:i/>
                <w:sz w:val="19"/>
                <w:szCs w:val="19"/>
              </w:rPr>
              <w:t>其他应收款</w:t>
            </w:r>
            <w:r>
              <w:rPr>
                <w:rFonts w:ascii="宋体" w:hAnsi="宋体" w:cs="宋体" w:eastAsia="宋体" w:hint="default"/>
                <w:sz w:val="19"/>
                <w:szCs w:val="19"/>
              </w:rPr>
            </w:r>
          </w:p>
        </w:tc>
        <w:tc>
          <w:tcPr>
            <w:tcW w:w="1937"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c>
          <w:tcPr>
            <w:tcW w:w="2043"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165"/>
              <w:jc w:val="left"/>
              <w:rPr>
                <w:rFonts w:ascii="宋体" w:hAnsi="宋体" w:cs="宋体" w:eastAsia="宋体" w:hint="default"/>
                <w:sz w:val="18"/>
                <w:szCs w:val="18"/>
              </w:rPr>
            </w:pPr>
            <w:r>
              <w:rPr>
                <w:rFonts w:ascii="宋体" w:hAnsi="宋体" w:cs="宋体" w:eastAsia="宋体" w:hint="default"/>
                <w:sz w:val="18"/>
                <w:szCs w:val="18"/>
              </w:rPr>
              <w:t>按原金融工具准则列 示的余额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183,712,070</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183,712,070</w:t>
            </w:r>
          </w:p>
        </w:tc>
      </w:tr>
      <w:tr>
        <w:trPr>
          <w:trHeight w:val="661"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5"/>
              <w:ind w:right="0"/>
              <w:jc w:val="left"/>
              <w:rPr>
                <w:rFonts w:ascii="宋体" w:hAnsi="宋体" w:cs="宋体" w:eastAsia="宋体" w:hint="default"/>
                <w:sz w:val="18"/>
                <w:szCs w:val="18"/>
              </w:rPr>
            </w:pPr>
            <w:r>
              <w:rPr>
                <w:rFonts w:ascii="宋体" w:hAnsi="宋体" w:cs="宋体" w:eastAsia="宋体" w:hint="default"/>
                <w:spacing w:val="-2"/>
                <w:sz w:val="18"/>
                <w:szCs w:val="18"/>
              </w:rPr>
              <w:t>重新计量：预期信用损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失准备</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1"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right="165"/>
              <w:jc w:val="left"/>
              <w:rPr>
                <w:rFonts w:ascii="宋体" w:hAnsi="宋体" w:cs="宋体" w:eastAsia="宋体" w:hint="default"/>
                <w:sz w:val="18"/>
                <w:szCs w:val="18"/>
              </w:rPr>
            </w:pPr>
            <w:r>
              <w:rPr>
                <w:rFonts w:ascii="宋体" w:hAnsi="宋体" w:cs="宋体" w:eastAsia="宋体" w:hint="default"/>
                <w:sz w:val="18"/>
                <w:szCs w:val="18"/>
              </w:rPr>
              <w:t>按新金融工具准则列 示的余额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183,712,070</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183,712,070</w:t>
            </w:r>
          </w:p>
        </w:tc>
      </w:tr>
      <w:tr>
        <w:trPr>
          <w:trHeight w:val="345"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r>
              <w:rPr>
                <w:rFonts w:ascii="宋体" w:hAnsi="宋体" w:cs="宋体" w:eastAsia="宋体" w:hint="default"/>
                <w:i/>
                <w:sz w:val="19"/>
                <w:szCs w:val="19"/>
              </w:rPr>
              <w:t>长期应收款</w:t>
            </w:r>
            <w:r>
              <w:rPr>
                <w:rFonts w:ascii="宋体" w:hAnsi="宋体" w:cs="宋体" w:eastAsia="宋体" w:hint="default"/>
                <w:sz w:val="19"/>
                <w:szCs w:val="19"/>
              </w:rPr>
            </w:r>
          </w:p>
        </w:tc>
        <w:tc>
          <w:tcPr>
            <w:tcW w:w="1937"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c>
          <w:tcPr>
            <w:tcW w:w="2043"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5"/>
              <w:ind w:right="165"/>
              <w:jc w:val="left"/>
              <w:rPr>
                <w:rFonts w:ascii="宋体" w:hAnsi="宋体" w:cs="宋体" w:eastAsia="宋体" w:hint="default"/>
                <w:sz w:val="18"/>
                <w:szCs w:val="18"/>
              </w:rPr>
            </w:pPr>
            <w:r>
              <w:rPr>
                <w:rFonts w:ascii="宋体" w:hAnsi="宋体" w:cs="宋体" w:eastAsia="宋体" w:hint="default"/>
                <w:sz w:val="18"/>
                <w:szCs w:val="18"/>
              </w:rPr>
              <w:t>按原金融工具准则列 示的余额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339,818,666</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339,818,666</w:t>
            </w:r>
          </w:p>
        </w:tc>
      </w:tr>
      <w:tr>
        <w:trPr>
          <w:trHeight w:val="661"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4"/>
              <w:ind w:right="0"/>
              <w:jc w:val="left"/>
              <w:rPr>
                <w:rFonts w:ascii="宋体" w:hAnsi="宋体" w:cs="宋体" w:eastAsia="宋体" w:hint="default"/>
                <w:sz w:val="18"/>
                <w:szCs w:val="18"/>
              </w:rPr>
            </w:pPr>
            <w:r>
              <w:rPr>
                <w:rFonts w:ascii="宋体" w:hAnsi="宋体" w:cs="宋体" w:eastAsia="宋体" w:hint="default"/>
                <w:spacing w:val="-2"/>
                <w:sz w:val="18"/>
                <w:szCs w:val="18"/>
              </w:rPr>
              <w:t>重新计量：预期信用损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失准备</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5"/>
                <w:sz w:val="18"/>
              </w:rPr>
              <w:t>-2,193,833</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5"/>
                <w:sz w:val="18"/>
              </w:rPr>
              <w:t>-2,193,833</w:t>
            </w:r>
            <w:r>
              <w:rPr>
                <w:rFonts w:ascii="Times New Roman"/>
                <w:sz w:val="18"/>
              </w:rPr>
            </w:r>
          </w:p>
        </w:tc>
      </w:tr>
      <w:tr>
        <w:trPr>
          <w:trHeight w:val="660"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right="165"/>
              <w:jc w:val="left"/>
              <w:rPr>
                <w:rFonts w:ascii="宋体" w:hAnsi="宋体" w:cs="宋体" w:eastAsia="宋体" w:hint="default"/>
                <w:sz w:val="18"/>
                <w:szCs w:val="18"/>
              </w:rPr>
            </w:pPr>
            <w:r>
              <w:rPr>
                <w:rFonts w:ascii="宋体" w:hAnsi="宋体" w:cs="宋体" w:eastAsia="宋体" w:hint="default"/>
                <w:sz w:val="18"/>
                <w:szCs w:val="18"/>
              </w:rPr>
              <w:t>按新金融工具准则列 示的余额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339,818,666</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w w:val="95"/>
                <w:sz w:val="18"/>
              </w:rPr>
              <w:t>-2,193,833</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337,624,833</w:t>
            </w:r>
          </w:p>
        </w:tc>
      </w:tr>
      <w:tr>
        <w:trPr>
          <w:trHeight w:val="661"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65"/>
              <w:jc w:val="left"/>
              <w:rPr>
                <w:rFonts w:ascii="宋体" w:hAnsi="宋体" w:cs="宋体" w:eastAsia="宋体" w:hint="default"/>
                <w:sz w:val="18"/>
                <w:szCs w:val="18"/>
              </w:rPr>
            </w:pPr>
            <w:r>
              <w:rPr>
                <w:rFonts w:ascii="宋体" w:hAnsi="宋体" w:cs="宋体" w:eastAsia="宋体" w:hint="default"/>
                <w:b/>
                <w:bCs/>
                <w:sz w:val="18"/>
                <w:szCs w:val="18"/>
              </w:rPr>
              <w:t>以摊余成本计量的总</w:t>
            </w:r>
            <w:r>
              <w:rPr>
                <w:rFonts w:ascii="宋体" w:hAnsi="宋体" w:cs="宋体" w:eastAsia="宋体" w:hint="default"/>
                <w:b/>
                <w:bCs/>
                <w:w w:val="99"/>
                <w:sz w:val="18"/>
                <w:szCs w:val="18"/>
              </w:rPr>
              <w:t> </w:t>
            </w:r>
            <w:r>
              <w:rPr>
                <w:rFonts w:ascii="宋体" w:hAnsi="宋体" w:cs="宋体" w:eastAsia="宋体" w:hint="default"/>
                <w:b/>
                <w:bCs/>
                <w:sz w:val="18"/>
                <w:szCs w:val="18"/>
              </w:rPr>
              <w:t>资产总计</w:t>
            </w:r>
            <w:r>
              <w:rPr>
                <w:rFonts w:ascii="宋体" w:hAnsi="宋体" w:cs="宋体" w:eastAsia="宋体" w:hint="default"/>
                <w:sz w:val="18"/>
                <w:szCs w:val="18"/>
              </w:rPr>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b/>
                <w:sz w:val="18"/>
              </w:rPr>
              <w:t>1,740,773,963</w:t>
            </w:r>
            <w:r>
              <w:rPr>
                <w:rFonts w:ascii="Times New Roman"/>
                <w:sz w:val="18"/>
              </w:rPr>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Times New Roman"/>
                <w:b/>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b/>
                <w:w w:val="95"/>
                <w:sz w:val="18"/>
              </w:rPr>
              <w:t>-12,648,725</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b/>
                <w:sz w:val="18"/>
              </w:rPr>
              <w:t>1,728,125,238</w:t>
            </w:r>
            <w:r>
              <w:rPr>
                <w:rFonts w:ascii="Times New Roman"/>
                <w:sz w:val="18"/>
              </w:rPr>
            </w:r>
          </w:p>
        </w:tc>
      </w:tr>
    </w:tbl>
    <w:p>
      <w:pPr>
        <w:spacing w:line="240" w:lineRule="auto" w:before="2"/>
        <w:rPr>
          <w:rFonts w:ascii="宋体" w:hAnsi="宋体" w:cs="宋体" w:eastAsia="宋体" w:hint="default"/>
          <w:b/>
          <w:bCs/>
          <w:sz w:val="24"/>
          <w:szCs w:val="24"/>
        </w:rPr>
      </w:pPr>
    </w:p>
    <w:p>
      <w:pPr>
        <w:pStyle w:val="BodyText"/>
        <w:spacing w:line="240" w:lineRule="auto" w:before="44"/>
        <w:ind w:right="0"/>
        <w:jc w:val="left"/>
      </w:pPr>
      <w:r>
        <w:rPr/>
        <w:t>母公司资产负债表</w:t>
      </w:r>
    </w:p>
    <w:p>
      <w:pPr>
        <w:pStyle w:val="BodyText"/>
        <w:spacing w:line="240" w:lineRule="auto" w:before="110"/>
        <w:ind w:left="0" w:right="1110"/>
        <w:jc w:val="right"/>
      </w:pPr>
      <w:r>
        <w:rPr/>
        <w:t>单位：元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4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208,612,433.00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208,612,433.00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3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160,000,000.00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160,000,000.00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3,796,179,031.00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3,793,226,763.00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426" w:right="0"/>
              <w:jc w:val="left"/>
              <w:rPr>
                <w:rFonts w:ascii="Times New Roman" w:hAnsi="Times New Roman" w:cs="Times New Roman" w:eastAsia="Times New Roman" w:hint="default"/>
                <w:sz w:val="18"/>
                <w:szCs w:val="18"/>
              </w:rPr>
            </w:pPr>
            <w:r>
              <w:rPr>
                <w:rFonts w:ascii="Times New Roman"/>
                <w:sz w:val="18"/>
              </w:rPr>
              <w:t>-2,952,268.00</w:t>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125,802,714.00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125,802,714.00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758,053,575.00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758,053,575.00</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14"/>
          <w:pgSz w:w="11910" w:h="16850"/>
          <w:pgMar w:footer="981" w:header="73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47"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89"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1,402,309,192.00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1,402,309,192.00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4"/>
              <w:ind w:left="7"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6,450,956,945.00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6,448,004,677.00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-2,952,268.00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31,978,880.00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31,608,146.00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-370,734.00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1,289,562,462.00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1,289,562,462.00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1,078,794,098.00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1,078,794,098.00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72,821,119.00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72,821,119.00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1,711,840.00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1,711,840.00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43,233,924.00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43,233,924.00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67,200,190.00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67,200,190.00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7,835,724.00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7,835,724.00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2,593,138,237.00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2,592,767,503.00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-370,734.00</w:t>
            </w:r>
            <w:r>
              <w:rPr>
                <w:rFonts w:ascii="Times New Roman"/>
                <w:sz w:val="18"/>
              </w:rPr>
            </w: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9,044,095,182.00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9,040,772,180.00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-3,323,002.00</w:t>
            </w:r>
            <w:r>
              <w:rPr>
                <w:rFonts w:ascii="Times New Roman"/>
                <w:sz w:val="18"/>
              </w:rPr>
            </w: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1,055,000,000.00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1,055,000,000.00</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footerReference w:type="default" r:id="rId15"/>
          <w:pgSz w:w="11910" w:h="16850"/>
          <w:pgMar w:footer="981" w:header="731" w:top="1040" w:bottom="1180" w:left="100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33" w:type="dxa"/>
        <w:tblLayout w:type="fixed"/>
        <w:tblCellMar>
          <w:top w:w="0" w:type="dxa"/>
          <w:left w:w="0" w:type="dxa"/>
          <w:bottom w:w="0" w:type="dxa"/>
          <w:right w:w="0" w:type="dxa"/>
        </w:tblCellMar>
        <w:tblLook w:val="01E0"/>
      </w:tblPr>
      <w:tblGrid>
        <w:gridCol w:w="2192"/>
        <w:gridCol w:w="2471"/>
        <w:gridCol w:w="2448"/>
        <w:gridCol w:w="2463"/>
      </w:tblGrid>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 w:right="187"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972,880,036.00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972,880,036.00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1,654,396,955.00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1,654,396,955.00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158,349,684.00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158,349,684.00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34,182,146.00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34,182,146.00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144,507,253.00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144,507,253.00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536,247,692.00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536,247,692.00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6"/>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995,811.00</w:t>
            </w: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6"/>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一年内到期的非流动</w:t>
            </w:r>
          </w:p>
          <w:p>
            <w:pPr>
              <w:pStyle w:val="TableParagraph"/>
              <w:spacing w:line="240" w:lineRule="auto" w:before="65"/>
              <w:ind w:left="7"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4,555,563,766.00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4,555,563,766.00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47"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8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7"/>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1" w:type="dxa"/>
            <w:tcBorders>
              <w:top w:val="single" w:sz="6" w:space="0" w:color="000000"/>
              <w:left w:val="single" w:sz="12"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4,555,563,766.00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4,555,563,766.00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48"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2463"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405" w:hRule="exact"/>
        </w:trPr>
        <w:tc>
          <w:tcPr>
            <w:tcW w:w="2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2,512,500,000.00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2,512,500,000.00</w:t>
            </w:r>
          </w:p>
        </w:tc>
        <w:tc>
          <w:tcPr>
            <w:tcW w:w="2463"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2200"/>
        <w:gridCol w:w="2471"/>
        <w:gridCol w:w="2448"/>
        <w:gridCol w:w="2463"/>
      </w:tblGrid>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5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9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86,308,819.00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86,308,819.00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184,510.00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184,510.00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1" w:type="dxa"/>
            <w:tcBorders>
              <w:top w:val="single" w:sz="6" w:space="0" w:color="000000"/>
              <w:left w:val="single" w:sz="6" w:space="0" w:color="000000"/>
              <w:bottom w:val="single" w:sz="6" w:space="0" w:color="000000"/>
              <w:right w:val="single" w:sz="6" w:space="0" w:color="000000"/>
            </w:tcBorders>
          </w:tcPr>
          <w:p>
            <w:pPr/>
          </w:p>
        </w:tc>
        <w:tc>
          <w:tcPr>
            <w:tcW w:w="2448" w:type="dxa"/>
            <w:tcBorders>
              <w:top w:val="single" w:sz="6" w:space="0" w:color="000000"/>
              <w:left w:val="single" w:sz="6" w:space="0" w:color="000000"/>
              <w:bottom w:val="single" w:sz="6" w:space="0" w:color="000000"/>
              <w:right w:val="single" w:sz="6" w:space="0" w:color="000000"/>
            </w:tcBorders>
          </w:tcPr>
          <w:p>
            <w:pP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420,734,371.00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420,734,371.00</w:t>
            </w:r>
          </w:p>
        </w:tc>
        <w:tc>
          <w:tcPr>
            <w:tcW w:w="246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1,468,803,716.00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1,465,480,714.00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-3,323,002.00</w:t>
            </w:r>
            <w:r>
              <w:rPr>
                <w:rFonts w:ascii="Times New Roman"/>
                <w:sz w:val="18"/>
              </w:rPr>
            </w:r>
          </w:p>
        </w:tc>
      </w:tr>
      <w:tr>
        <w:trPr>
          <w:trHeight w:val="406"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4,488,531,416.00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4,485,208,414.00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-3,323,002.00</w:t>
            </w:r>
            <w:r>
              <w:rPr>
                <w:rFonts w:ascii="Times New Roman"/>
                <w:sz w:val="18"/>
              </w:rPr>
            </w:r>
          </w:p>
        </w:tc>
      </w:tr>
      <w:tr>
        <w:trPr>
          <w:trHeight w:val="390" w:hRule="exact"/>
        </w:trPr>
        <w:tc>
          <w:tcPr>
            <w:tcW w:w="22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9,044,095,182.00</w:t>
            </w:r>
          </w:p>
        </w:tc>
        <w:tc>
          <w:tcPr>
            <w:tcW w:w="24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9,040,772,180.00</w:t>
            </w:r>
          </w:p>
        </w:tc>
        <w:tc>
          <w:tcPr>
            <w:tcW w:w="24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-3,323,002.00</w:t>
            </w:r>
            <w:r>
              <w:rPr>
                <w:rFonts w:ascii="Times New Roman"/>
                <w:sz w:val="18"/>
              </w:rPr>
            </w:r>
          </w:p>
        </w:tc>
      </w:tr>
    </w:tbl>
    <w:p>
      <w:pPr>
        <w:pStyle w:val="BodyText"/>
        <w:spacing w:line="240" w:lineRule="auto" w:before="45"/>
        <w:ind w:right="0"/>
        <w:jc w:val="left"/>
      </w:pPr>
      <w:r>
        <w:rPr/>
        <w:t>调整情况说明</w:t>
      </w:r>
    </w:p>
    <w:p>
      <w:pPr>
        <w:pStyle w:val="Heading7"/>
        <w:spacing w:line="290" w:lineRule="auto" w:before="127"/>
        <w:ind w:right="0" w:firstLine="0"/>
        <w:jc w:val="left"/>
      </w:pPr>
      <w:r>
        <w:rPr>
          <w:spacing w:val="4"/>
        </w:rPr>
        <w:t>在首次执行日，原金融资产账面价值调整为按照修订后金融工具确认和计量准则的规定进行分类和计量的新金</w:t>
      </w:r>
      <w:r>
        <w:rPr>
          <w:spacing w:val="86"/>
        </w:rPr>
        <w:t> </w:t>
      </w:r>
      <w:r>
        <w:rPr>
          <w:spacing w:val="86"/>
        </w:rPr>
      </w:r>
      <w:r>
        <w:rPr>
          <w:spacing w:val="3"/>
          <w:w w:val="105"/>
        </w:rPr>
        <w:t>融资产账面价值的调节表：</w:t>
      </w:r>
      <w:r>
        <w:rPr>
          <w:spacing w:val="3"/>
        </w:rPr>
      </w:r>
    </w:p>
    <w:p>
      <w:pPr>
        <w:pStyle w:val="Heading7"/>
        <w:spacing w:line="240" w:lineRule="auto" w:before="27"/>
        <w:ind w:right="0" w:firstLine="0"/>
        <w:jc w:val="left"/>
      </w:pPr>
      <w:r>
        <w:rPr>
          <w:spacing w:val="3"/>
          <w:w w:val="105"/>
        </w:rPr>
        <w:t>母公司资产负债表：</w:t>
      </w:r>
      <w:r>
        <w:rPr>
          <w:spacing w:val="3"/>
        </w:rPr>
      </w:r>
    </w:p>
    <w:p>
      <w:pPr>
        <w:spacing w:line="240" w:lineRule="auto" w:before="11"/>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1802"/>
        <w:gridCol w:w="1937"/>
        <w:gridCol w:w="1803"/>
        <w:gridCol w:w="1802"/>
        <w:gridCol w:w="2043"/>
      </w:tblGrid>
      <w:tr>
        <w:trPr>
          <w:trHeight w:val="975"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right="165"/>
              <w:jc w:val="left"/>
              <w:rPr>
                <w:rFonts w:ascii="宋体" w:hAnsi="宋体" w:cs="宋体" w:eastAsia="宋体" w:hint="default"/>
                <w:sz w:val="18"/>
                <w:szCs w:val="18"/>
              </w:rPr>
            </w:pPr>
            <w:r>
              <w:rPr>
                <w:rFonts w:ascii="宋体" w:hAnsi="宋体" w:cs="宋体" w:eastAsia="宋体" w:hint="default"/>
                <w:sz w:val="18"/>
                <w:szCs w:val="18"/>
              </w:rPr>
              <w:t>以摊余成本计量的金 融资产</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312" w:lineRule="auto" w:before="14"/>
              <w:ind w:right="118"/>
              <w:jc w:val="both"/>
              <w:rPr>
                <w:rFonts w:ascii="宋体" w:hAnsi="宋体" w:cs="宋体" w:eastAsia="宋体" w:hint="default"/>
                <w:sz w:val="18"/>
                <w:szCs w:val="18"/>
              </w:rPr>
            </w:pPr>
            <w:r>
              <w:rPr>
                <w:rFonts w:ascii="宋体" w:hAnsi="宋体" w:cs="宋体" w:eastAsia="宋体" w:hint="default"/>
                <w:sz w:val="18"/>
                <w:szCs w:val="18"/>
              </w:rPr>
              <w:t>按原金融工具准则列示 的账面价值</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4"/>
              <w:ind w:right="45"/>
              <w:jc w:val="left"/>
              <w:rPr>
                <w:rFonts w:ascii="宋体" w:hAnsi="宋体" w:cs="宋体" w:eastAsia="宋体" w:hint="default"/>
                <w:sz w:val="18"/>
                <w:szCs w:val="18"/>
              </w:rPr>
            </w:pPr>
            <w:r>
              <w:rPr>
                <w:rFonts w:ascii="宋体" w:hAnsi="宋体" w:cs="宋体" w:eastAsia="宋体" w:hint="default"/>
                <w:sz w:val="18"/>
                <w:szCs w:val="18"/>
              </w:rPr>
              <w:t>按新金融工具准则列示的 账面价值</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5" w:hRule="exact"/>
        </w:trPr>
        <w:tc>
          <w:tcPr>
            <w:tcW w:w="3740" w:type="dxa"/>
            <w:gridSpan w:val="2"/>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left"/>
              <w:rPr>
                <w:rFonts w:ascii="宋体" w:hAnsi="宋体" w:cs="宋体" w:eastAsia="宋体" w:hint="default"/>
                <w:sz w:val="19"/>
                <w:szCs w:val="19"/>
              </w:rPr>
            </w:pPr>
            <w:r>
              <w:rPr>
                <w:rFonts w:ascii="宋体" w:hAnsi="宋体" w:cs="宋体" w:eastAsia="宋体" w:hint="default"/>
                <w:i/>
                <w:sz w:val="19"/>
                <w:szCs w:val="19"/>
              </w:rPr>
              <w:t>应收票据及应收账款</w:t>
            </w:r>
            <w:r>
              <w:rPr>
                <w:rFonts w:ascii="宋体" w:hAnsi="宋体" w:cs="宋体" w:eastAsia="宋体" w:hint="default"/>
                <w:sz w:val="19"/>
                <w:szCs w:val="19"/>
              </w:rPr>
            </w:r>
          </w:p>
        </w:tc>
        <w:tc>
          <w:tcPr>
            <w:tcW w:w="1803"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c>
          <w:tcPr>
            <w:tcW w:w="2043" w:type="dxa"/>
            <w:tcBorders>
              <w:top w:val="single" w:sz="6" w:space="0" w:color="000000"/>
              <w:left w:val="single" w:sz="6" w:space="0" w:color="000000"/>
              <w:bottom w:val="single" w:sz="6" w:space="0" w:color="000000"/>
              <w:right w:val="single" w:sz="6" w:space="0" w:color="000000"/>
            </w:tcBorders>
          </w:tcPr>
          <w:p>
            <w:pPr/>
          </w:p>
        </w:tc>
      </w:tr>
      <w:tr>
        <w:trPr>
          <w:trHeight w:val="661"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14"/>
              <w:ind w:right="165"/>
              <w:jc w:val="left"/>
              <w:rPr>
                <w:rFonts w:ascii="宋体" w:hAnsi="宋体" w:cs="宋体" w:eastAsia="宋体" w:hint="default"/>
                <w:sz w:val="18"/>
                <w:szCs w:val="18"/>
              </w:rPr>
            </w:pPr>
            <w:r>
              <w:rPr>
                <w:rFonts w:ascii="宋体" w:hAnsi="宋体" w:cs="宋体" w:eastAsia="宋体" w:hint="default"/>
                <w:sz w:val="18"/>
                <w:szCs w:val="18"/>
              </w:rPr>
              <w:t>按原金融工具准则列 示的余额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3,956,179,031</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3,956,179,031</w:t>
            </w:r>
          </w:p>
        </w:tc>
      </w:tr>
      <w:tr>
        <w:trPr>
          <w:trHeight w:val="661"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0"/>
              <w:jc w:val="left"/>
              <w:rPr>
                <w:rFonts w:ascii="宋体" w:hAnsi="宋体" w:cs="宋体" w:eastAsia="宋体" w:hint="default"/>
                <w:sz w:val="18"/>
                <w:szCs w:val="18"/>
              </w:rPr>
            </w:pPr>
            <w:r>
              <w:rPr>
                <w:rFonts w:ascii="宋体" w:hAnsi="宋体" w:cs="宋体" w:eastAsia="宋体" w:hint="default"/>
                <w:spacing w:val="-2"/>
                <w:sz w:val="18"/>
                <w:szCs w:val="18"/>
              </w:rPr>
              <w:t>重新计量：预期信用损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失准备</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5"/>
                <w:sz w:val="18"/>
              </w:rPr>
              <w:t>-2,952,268</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5"/>
                <w:sz w:val="18"/>
              </w:rPr>
              <w:t>-2,952,268</w:t>
            </w:r>
            <w:r>
              <w:rPr>
                <w:rFonts w:ascii="Times New Roman"/>
                <w:sz w:val="18"/>
              </w:rPr>
            </w:r>
          </w:p>
        </w:tc>
      </w:tr>
      <w:tr>
        <w:trPr>
          <w:trHeight w:val="661"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65"/>
              <w:jc w:val="left"/>
              <w:rPr>
                <w:rFonts w:ascii="宋体" w:hAnsi="宋体" w:cs="宋体" w:eastAsia="宋体" w:hint="default"/>
                <w:sz w:val="18"/>
                <w:szCs w:val="18"/>
              </w:rPr>
            </w:pPr>
            <w:r>
              <w:rPr>
                <w:rFonts w:ascii="宋体" w:hAnsi="宋体" w:cs="宋体" w:eastAsia="宋体" w:hint="default"/>
                <w:sz w:val="18"/>
                <w:szCs w:val="18"/>
              </w:rPr>
              <w:t>按新金融工具准则列 示的余额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3,956,179,031</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5"/>
                <w:sz w:val="18"/>
              </w:rPr>
              <w:t>-2,952,268</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3,953,226,763</w:t>
            </w:r>
          </w:p>
        </w:tc>
      </w:tr>
      <w:tr>
        <w:trPr>
          <w:trHeight w:val="345"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left"/>
              <w:rPr>
                <w:rFonts w:ascii="宋体" w:hAnsi="宋体" w:cs="宋体" w:eastAsia="宋体" w:hint="default"/>
                <w:sz w:val="19"/>
                <w:szCs w:val="19"/>
              </w:rPr>
            </w:pPr>
            <w:r>
              <w:rPr>
                <w:rFonts w:ascii="宋体" w:hAnsi="宋体" w:cs="宋体" w:eastAsia="宋体" w:hint="default"/>
                <w:i/>
                <w:sz w:val="19"/>
                <w:szCs w:val="19"/>
              </w:rPr>
              <w:t>其他应收款</w:t>
            </w:r>
            <w:r>
              <w:rPr>
                <w:rFonts w:ascii="宋体" w:hAnsi="宋体" w:cs="宋体" w:eastAsia="宋体" w:hint="default"/>
                <w:sz w:val="19"/>
                <w:szCs w:val="19"/>
              </w:rPr>
            </w:r>
          </w:p>
        </w:tc>
        <w:tc>
          <w:tcPr>
            <w:tcW w:w="1937"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c>
          <w:tcPr>
            <w:tcW w:w="2043"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65"/>
              <w:jc w:val="left"/>
              <w:rPr>
                <w:rFonts w:ascii="宋体" w:hAnsi="宋体" w:cs="宋体" w:eastAsia="宋体" w:hint="default"/>
                <w:sz w:val="18"/>
                <w:szCs w:val="18"/>
              </w:rPr>
            </w:pPr>
            <w:r>
              <w:rPr>
                <w:rFonts w:ascii="宋体" w:hAnsi="宋体" w:cs="宋体" w:eastAsia="宋体" w:hint="default"/>
                <w:sz w:val="18"/>
                <w:szCs w:val="18"/>
              </w:rPr>
              <w:t>按原金融工具准则列 示的余额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758,053,575</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758,053,575</w:t>
            </w:r>
          </w:p>
        </w:tc>
      </w:tr>
      <w:tr>
        <w:trPr>
          <w:trHeight w:val="661"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0"/>
              <w:jc w:val="left"/>
              <w:rPr>
                <w:rFonts w:ascii="宋体" w:hAnsi="宋体" w:cs="宋体" w:eastAsia="宋体" w:hint="default"/>
                <w:sz w:val="18"/>
                <w:szCs w:val="18"/>
              </w:rPr>
            </w:pPr>
            <w:r>
              <w:rPr>
                <w:rFonts w:ascii="宋体" w:hAnsi="宋体" w:cs="宋体" w:eastAsia="宋体" w:hint="default"/>
                <w:spacing w:val="-2"/>
                <w:sz w:val="18"/>
                <w:szCs w:val="18"/>
              </w:rPr>
              <w:t>重新计量：预期信用损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失准备</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661"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65"/>
              <w:jc w:val="left"/>
              <w:rPr>
                <w:rFonts w:ascii="宋体" w:hAnsi="宋体" w:cs="宋体" w:eastAsia="宋体" w:hint="default"/>
                <w:sz w:val="18"/>
                <w:szCs w:val="18"/>
              </w:rPr>
            </w:pPr>
            <w:r>
              <w:rPr>
                <w:rFonts w:ascii="宋体" w:hAnsi="宋体" w:cs="宋体" w:eastAsia="宋体" w:hint="default"/>
                <w:sz w:val="18"/>
                <w:szCs w:val="18"/>
              </w:rPr>
              <w:t>按新金融工具准则列 示的余额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758,053,575</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758,053,575</w:t>
            </w:r>
          </w:p>
        </w:tc>
      </w:tr>
      <w:tr>
        <w:trPr>
          <w:trHeight w:val="345"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37" w:lineRule="exact"/>
              <w:ind w:right="0"/>
              <w:jc w:val="left"/>
              <w:rPr>
                <w:rFonts w:ascii="宋体" w:hAnsi="宋体" w:cs="宋体" w:eastAsia="宋体" w:hint="default"/>
                <w:sz w:val="19"/>
                <w:szCs w:val="19"/>
              </w:rPr>
            </w:pPr>
            <w:r>
              <w:rPr>
                <w:rFonts w:ascii="宋体" w:hAnsi="宋体" w:cs="宋体" w:eastAsia="宋体" w:hint="default"/>
                <w:i/>
                <w:sz w:val="19"/>
                <w:szCs w:val="19"/>
              </w:rPr>
              <w:t>长期应收款</w:t>
            </w:r>
            <w:r>
              <w:rPr>
                <w:rFonts w:ascii="宋体" w:hAnsi="宋体" w:cs="宋体" w:eastAsia="宋体" w:hint="default"/>
                <w:sz w:val="19"/>
                <w:szCs w:val="19"/>
              </w:rPr>
            </w:r>
          </w:p>
        </w:tc>
        <w:tc>
          <w:tcPr>
            <w:tcW w:w="1937" w:type="dxa"/>
            <w:tcBorders>
              <w:top w:val="single" w:sz="6" w:space="0" w:color="000000"/>
              <w:left w:val="single" w:sz="6" w:space="0" w:color="000000"/>
              <w:bottom w:val="single" w:sz="6" w:space="0" w:color="000000"/>
              <w:right w:val="single" w:sz="6" w:space="0" w:color="000000"/>
            </w:tcBorders>
          </w:tcPr>
          <w:p>
            <w:pPr/>
          </w:p>
        </w:tc>
        <w:tc>
          <w:tcPr>
            <w:tcW w:w="1803"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
        </w:tc>
        <w:tc>
          <w:tcPr>
            <w:tcW w:w="2043"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65"/>
              <w:jc w:val="left"/>
              <w:rPr>
                <w:rFonts w:ascii="宋体" w:hAnsi="宋体" w:cs="宋体" w:eastAsia="宋体" w:hint="default"/>
                <w:sz w:val="18"/>
                <w:szCs w:val="18"/>
              </w:rPr>
            </w:pPr>
            <w:r>
              <w:rPr>
                <w:rFonts w:ascii="宋体" w:hAnsi="宋体" w:cs="宋体" w:eastAsia="宋体" w:hint="default"/>
                <w:sz w:val="18"/>
                <w:szCs w:val="18"/>
              </w:rPr>
              <w:t>按原金融工具准则列 示的余额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31,978,880</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left="-1"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31,978,880</w:t>
            </w:r>
          </w:p>
        </w:tc>
      </w:tr>
      <w:tr>
        <w:trPr>
          <w:trHeight w:val="661"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0"/>
              <w:jc w:val="left"/>
              <w:rPr>
                <w:rFonts w:ascii="宋体" w:hAnsi="宋体" w:cs="宋体" w:eastAsia="宋体" w:hint="default"/>
                <w:sz w:val="18"/>
                <w:szCs w:val="18"/>
              </w:rPr>
            </w:pPr>
            <w:r>
              <w:rPr>
                <w:rFonts w:ascii="宋体" w:hAnsi="宋体" w:cs="宋体" w:eastAsia="宋体" w:hint="default"/>
                <w:spacing w:val="-2"/>
                <w:sz w:val="18"/>
                <w:szCs w:val="18"/>
              </w:rPr>
              <w:t>重新计量：预期信用损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失准备</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-370,734</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w w:val="95"/>
                <w:sz w:val="18"/>
              </w:rPr>
              <w:t>-370,734</w:t>
            </w:r>
            <w:r>
              <w:rPr>
                <w:rFonts w:ascii="Times New Roman"/>
                <w:sz w:val="18"/>
              </w:rPr>
            </w:r>
          </w:p>
        </w:tc>
      </w:tr>
      <w:tr>
        <w:trPr>
          <w:trHeight w:val="660"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right="165"/>
              <w:jc w:val="left"/>
              <w:rPr>
                <w:rFonts w:ascii="宋体" w:hAnsi="宋体" w:cs="宋体" w:eastAsia="宋体" w:hint="default"/>
                <w:sz w:val="18"/>
                <w:szCs w:val="18"/>
              </w:rPr>
            </w:pPr>
            <w:r>
              <w:rPr>
                <w:rFonts w:ascii="宋体" w:hAnsi="宋体" w:cs="宋体" w:eastAsia="宋体" w:hint="default"/>
                <w:sz w:val="18"/>
                <w:szCs w:val="18"/>
              </w:rPr>
              <w:t>按新金融工具准则列 示的余额</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31,978,880</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-370,734</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31,608,146</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802"/>
        <w:gridCol w:w="1937"/>
        <w:gridCol w:w="1803"/>
        <w:gridCol w:w="1802"/>
        <w:gridCol w:w="2043"/>
      </w:tblGrid>
      <w:tr>
        <w:trPr>
          <w:trHeight w:val="660" w:hRule="exact"/>
        </w:trPr>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14"/>
              <w:ind w:right="165"/>
              <w:jc w:val="left"/>
              <w:rPr>
                <w:rFonts w:ascii="宋体" w:hAnsi="宋体" w:cs="宋体" w:eastAsia="宋体" w:hint="default"/>
                <w:sz w:val="18"/>
                <w:szCs w:val="18"/>
              </w:rPr>
            </w:pPr>
            <w:r>
              <w:rPr>
                <w:rFonts w:ascii="宋体" w:hAnsi="宋体" w:cs="宋体" w:eastAsia="宋体" w:hint="default"/>
                <w:sz w:val="18"/>
                <w:szCs w:val="18"/>
              </w:rPr>
              <w:t>以摊余成本计量的总 资产总计</w:t>
            </w:r>
          </w:p>
        </w:tc>
        <w:tc>
          <w:tcPr>
            <w:tcW w:w="19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886" w:right="0"/>
              <w:jc w:val="left"/>
              <w:rPr>
                <w:rFonts w:ascii="Times New Roman" w:hAnsi="Times New Roman" w:cs="Times New Roman" w:eastAsia="Times New Roman" w:hint="default"/>
                <w:sz w:val="18"/>
                <w:szCs w:val="18"/>
              </w:rPr>
            </w:pPr>
            <w:r>
              <w:rPr>
                <w:rFonts w:ascii="Times New Roman"/>
                <w:sz w:val="18"/>
              </w:rPr>
              <w:t>4,746,211,486</w:t>
            </w:r>
          </w:p>
        </w:tc>
        <w:tc>
          <w:tcPr>
            <w:tcW w:w="1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1006" w:right="0"/>
              <w:jc w:val="left"/>
              <w:rPr>
                <w:rFonts w:ascii="Times New Roman" w:hAnsi="Times New Roman" w:cs="Times New Roman" w:eastAsia="Times New Roman" w:hint="default"/>
                <w:sz w:val="18"/>
                <w:szCs w:val="18"/>
              </w:rPr>
            </w:pPr>
            <w:r>
              <w:rPr>
                <w:rFonts w:ascii="Times New Roman"/>
                <w:sz w:val="18"/>
              </w:rPr>
              <w:t>-3,323,002</w:t>
            </w:r>
          </w:p>
        </w:tc>
        <w:tc>
          <w:tcPr>
            <w:tcW w:w="20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left="991" w:right="0"/>
              <w:jc w:val="left"/>
              <w:rPr>
                <w:rFonts w:ascii="Times New Roman" w:hAnsi="Times New Roman" w:cs="Times New Roman" w:eastAsia="Times New Roman" w:hint="default"/>
                <w:sz w:val="18"/>
                <w:szCs w:val="18"/>
              </w:rPr>
            </w:pPr>
            <w:r>
              <w:rPr>
                <w:rFonts w:ascii="Times New Roman"/>
                <w:sz w:val="18"/>
              </w:rPr>
              <w:t>4,742,888,484</w:t>
            </w:r>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Heading5"/>
        <w:spacing w:line="240" w:lineRule="auto" w:before="35"/>
        <w:ind w:right="0"/>
        <w:jc w:val="left"/>
        <w:rPr>
          <w:b w:val="0"/>
          <w:bCs w:val="0"/>
        </w:rPr>
      </w:pPr>
      <w:bookmarkStart w:name="（4）2019年起执行新金融工具准则或新租赁准则追溯调整前期比较数据说明" w:id="209"/>
      <w:bookmarkEnd w:id="209"/>
      <w:r>
        <w:rPr>
          <w:b w:val="0"/>
          <w:bCs w:val="0"/>
        </w:rPr>
      </w: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rFonts w:ascii="Times New Roman" w:hAnsi="Times New Roman" w:cs="Times New Roman" w:eastAsia="Times New Roman" w:hint="default"/>
          <w:spacing w:val="-18"/>
        </w:rPr>
        <w:t> </w:t>
      </w:r>
      <w:r>
        <w:rPr/>
        <w:t>年起执行新金融工具准则或新租赁准则追溯调整前期比较数据说明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10"/>
        <w:rPr>
          <w:rFonts w:ascii="宋体" w:hAnsi="宋体" w:cs="宋体" w:eastAsia="宋体" w:hint="default"/>
          <w:sz w:val="23"/>
          <w:szCs w:val="23"/>
        </w:rPr>
      </w:pPr>
    </w:p>
    <w:p>
      <w:pPr>
        <w:pStyle w:val="Heading2"/>
        <w:spacing w:line="240" w:lineRule="auto"/>
        <w:ind w:right="0"/>
        <w:jc w:val="left"/>
        <w:rPr>
          <w:b w:val="0"/>
          <w:bCs w:val="0"/>
        </w:rPr>
      </w:pPr>
      <w:bookmarkStart w:name="六、税项" w:id="210"/>
      <w:bookmarkEnd w:id="210"/>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bookmarkStart w:name="1、主要税种及税率" w:id="211"/>
      <w:bookmarkEnd w:id="211"/>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3"/>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3192"/>
        <w:gridCol w:w="3184"/>
        <w:gridCol w:w="3199"/>
      </w:tblGrid>
      <w:tr>
        <w:trPr>
          <w:trHeight w:val="406"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6"/>
              <w:jc w:val="center"/>
              <w:rPr>
                <w:rFonts w:ascii="宋体" w:hAnsi="宋体" w:cs="宋体" w:eastAsia="宋体" w:hint="default"/>
                <w:sz w:val="18"/>
                <w:szCs w:val="18"/>
              </w:rPr>
            </w:pPr>
            <w:r>
              <w:rPr>
                <w:rFonts w:ascii="宋体" w:hAnsi="宋体" w:cs="宋体" w:eastAsia="宋体" w:hint="default"/>
                <w:sz w:val="18"/>
                <w:szCs w:val="18"/>
              </w:rPr>
              <w:t>税种</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788" w:hRule="exact"/>
        </w:trPr>
        <w:tc>
          <w:tcPr>
            <w:tcW w:w="31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vMerge w:val="restart"/>
            <w:tcBorders>
              <w:top w:val="single" w:sz="6" w:space="0" w:color="000000"/>
              <w:left w:val="single" w:sz="12" w:space="0" w:color="D2D2D2"/>
              <w:right w:val="single" w:sz="6" w:space="0" w:color="000000"/>
            </w:tcBorders>
          </w:tcPr>
          <w:p>
            <w:pPr>
              <w:pStyle w:val="TableParagraph"/>
              <w:spacing w:line="240" w:lineRule="auto" w:before="59"/>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本公司的应税收入按</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6%</w:t>
            </w:r>
            <w:r>
              <w:rPr>
                <w:rFonts w:ascii="宋体" w:hAnsi="宋体" w:cs="宋体" w:eastAsia="宋体" w:hint="default"/>
                <w:spacing w:val="-90"/>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300" w:lineRule="auto" w:before="51"/>
              <w:ind w:left="7" w:right="28"/>
              <w:jc w:val="left"/>
              <w:rPr>
                <w:rFonts w:ascii="宋体" w:hAnsi="宋体" w:cs="宋体" w:eastAsia="宋体" w:hint="default"/>
                <w:sz w:val="18"/>
                <w:szCs w:val="18"/>
              </w:rPr>
            </w:pPr>
            <w:r>
              <w:rPr>
                <w:rFonts w:ascii="宋体" w:hAnsi="宋体" w:cs="宋体" w:eastAsia="宋体" w:hint="default"/>
                <w:sz w:val="18"/>
                <w:szCs w:val="18"/>
              </w:rPr>
              <w:t>的税率计算销项税。</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日之 前应税收入按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w:t>
            </w:r>
            <w:r>
              <w:rPr>
                <w:rFonts w:ascii="宋体" w:hAnsi="宋体" w:cs="宋体" w:eastAsia="宋体" w:hint="default"/>
                <w:sz w:val="18"/>
                <w:szCs w:val="18"/>
              </w:rPr>
              <w:t>的税率计算销项税，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日起应税收入按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13%</w:t>
            </w:r>
            <w:r>
              <w:rPr>
                <w:rFonts w:ascii="宋体" w:hAnsi="宋体" w:cs="宋体" w:eastAsia="宋体" w:hint="default"/>
                <w:sz w:val="18"/>
                <w:szCs w:val="18"/>
              </w:rPr>
              <w:t>的税 率计算销项税，并按扣除当期允许抵扣 的进项税额后的差额计缴增值税。</w:t>
            </w:r>
          </w:p>
        </w:tc>
        <w:tc>
          <w:tcPr>
            <w:tcW w:w="31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4"/>
              <w:ind w:left="3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tc>
      </w:tr>
      <w:tr>
        <w:trPr>
          <w:trHeight w:val="391" w:hRule="exact"/>
        </w:trPr>
        <w:tc>
          <w:tcPr>
            <w:tcW w:w="31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84" w:type="dxa"/>
            <w:vMerge/>
            <w:tcBorders>
              <w:left w:val="single" w:sz="12"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788" w:hRule="exact"/>
        </w:trPr>
        <w:tc>
          <w:tcPr>
            <w:tcW w:w="319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12"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30"/>
              <w:ind w:left="-1"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0" w:hRule="exact"/>
        </w:trPr>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4"/>
              <w:ind w:left="-1"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计缴。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1%-7%</w:t>
            </w:r>
          </w:p>
        </w:tc>
      </w:tr>
      <w:tr>
        <w:trPr>
          <w:trHeight w:val="158" w:hRule="exact"/>
        </w:trPr>
        <w:tc>
          <w:tcPr>
            <w:tcW w:w="319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vMerge w:val="restart"/>
            <w:tcBorders>
              <w:top w:val="single" w:sz="6" w:space="0" w:color="000000"/>
              <w:left w:val="single" w:sz="18" w:space="0" w:color="D2D2D2"/>
              <w:right w:val="single" w:sz="6" w:space="0" w:color="000000"/>
            </w:tcBorders>
          </w:tcPr>
          <w:p>
            <w:pPr>
              <w:pStyle w:val="TableParagraph"/>
              <w:spacing w:line="290" w:lineRule="auto" w:before="59"/>
              <w:ind w:left="-1" w:right="253"/>
              <w:jc w:val="left"/>
              <w:rPr>
                <w:rFonts w:ascii="宋体" w:hAnsi="宋体" w:cs="宋体" w:eastAsia="宋体" w:hint="default"/>
                <w:sz w:val="18"/>
                <w:szCs w:val="18"/>
              </w:rPr>
            </w:pPr>
            <w:r>
              <w:rPr>
                <w:rFonts w:ascii="宋体" w:hAnsi="宋体" w:cs="宋体" w:eastAsia="宋体" w:hint="default"/>
                <w:sz w:val="18"/>
                <w:szCs w:val="18"/>
              </w:rPr>
              <w:t>企业所得税按应纳税所得额的</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计 缴。</w:t>
            </w:r>
          </w:p>
        </w:tc>
        <w:tc>
          <w:tcPr>
            <w:tcW w:w="3199"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30" w:right="0"/>
              <w:jc w:val="left"/>
              <w:rPr>
                <w:rFonts w:ascii="Times New Roman" w:hAnsi="Times New Roman" w:cs="Times New Roman" w:eastAsia="Times New Roman" w:hint="default"/>
                <w:sz w:val="18"/>
                <w:szCs w:val="18"/>
              </w:rPr>
            </w:pPr>
            <w:r>
              <w:rPr>
                <w:rFonts w:ascii="Times New Roman"/>
                <w:sz w:val="18"/>
              </w:rPr>
              <w:t>25%</w:t>
            </w:r>
          </w:p>
        </w:tc>
      </w:tr>
      <w:tr>
        <w:trPr>
          <w:trHeight w:val="406" w:hRule="exact"/>
        </w:trPr>
        <w:tc>
          <w:tcPr>
            <w:tcW w:w="319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84" w:type="dxa"/>
            <w:vMerge/>
            <w:tcBorders>
              <w:left w:val="single" w:sz="18" w:space="0" w:color="D2D2D2"/>
              <w:right w:val="single" w:sz="6" w:space="0" w:color="000000"/>
            </w:tcBorders>
          </w:tcPr>
          <w:p>
            <w:pPr/>
          </w:p>
        </w:tc>
        <w:tc>
          <w:tcPr>
            <w:tcW w:w="3199" w:type="dxa"/>
            <w:vMerge/>
            <w:tcBorders>
              <w:left w:val="single" w:sz="6" w:space="0" w:color="000000"/>
              <w:right w:val="single" w:sz="6" w:space="0" w:color="000000"/>
            </w:tcBorders>
          </w:tcPr>
          <w:p>
            <w:pPr/>
          </w:p>
        </w:tc>
      </w:tr>
      <w:tr>
        <w:trPr>
          <w:trHeight w:val="158" w:hRule="exact"/>
        </w:trPr>
        <w:tc>
          <w:tcPr>
            <w:tcW w:w="319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18" w:space="0" w:color="D2D2D2"/>
              <w:bottom w:val="single" w:sz="6" w:space="0" w:color="000000"/>
              <w:right w:val="single" w:sz="6" w:space="0" w:color="000000"/>
            </w:tcBorders>
          </w:tcPr>
          <w:p>
            <w:pPr/>
          </w:p>
        </w:tc>
        <w:tc>
          <w:tcPr>
            <w:tcW w:w="3199" w:type="dxa"/>
            <w:vMerge/>
            <w:tcBorders>
              <w:left w:val="single" w:sz="6" w:space="0" w:color="000000"/>
              <w:bottom w:val="single" w:sz="6" w:space="0" w:color="000000"/>
              <w:right w:val="single" w:sz="6" w:space="0" w:color="000000"/>
            </w:tcBorders>
          </w:tcPr>
          <w:p>
            <w:pPr/>
          </w:p>
        </w:tc>
      </w:tr>
      <w:tr>
        <w:trPr>
          <w:trHeight w:val="406" w:hRule="exact"/>
        </w:trPr>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计缴。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w:t>
            </w:r>
          </w:p>
        </w:tc>
      </w:tr>
      <w:tr>
        <w:trPr>
          <w:trHeight w:val="405" w:hRule="exact"/>
        </w:trPr>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计缴。</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left="30" w:right="0"/>
              <w:jc w:val="left"/>
              <w:rPr>
                <w:rFonts w:ascii="Times New Roman" w:hAnsi="Times New Roman" w:cs="Times New Roman" w:eastAsia="Times New Roman" w:hint="default"/>
                <w:sz w:val="18"/>
                <w:szCs w:val="18"/>
              </w:rPr>
            </w:pPr>
            <w:r>
              <w:rPr>
                <w:rFonts w:ascii="Times New Roman"/>
                <w:sz w:val="18"/>
              </w:rPr>
              <w:t>2%</w:t>
            </w:r>
          </w:p>
        </w:tc>
      </w:tr>
      <w:tr>
        <w:trPr>
          <w:trHeight w:val="706" w:hRule="exact"/>
        </w:trPr>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02" w:lineRule="auto" w:before="45"/>
              <w:ind w:left="14" w:right="239"/>
              <w:jc w:val="left"/>
              <w:rPr>
                <w:rFonts w:ascii="宋体" w:hAnsi="宋体" w:cs="宋体" w:eastAsia="宋体" w:hint="default"/>
                <w:sz w:val="18"/>
                <w:szCs w:val="18"/>
              </w:rPr>
            </w:pPr>
            <w:r>
              <w:rPr>
                <w:rFonts w:ascii="宋体" w:hAnsi="宋体" w:cs="宋体" w:eastAsia="宋体" w:hint="default"/>
                <w:sz w:val="18"/>
                <w:szCs w:val="18"/>
              </w:rPr>
              <w:t>按实际房产原值扣除</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后的余值的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计缴或按照租金收入的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存在不同企业所得税税率纳税主体的，披露情况说明</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上海华邦科创信息科技有限公司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5" w:right="0"/>
              <w:jc w:val="left"/>
              <w:rPr>
                <w:rFonts w:ascii="Times New Roman" w:hAnsi="Times New Roman" w:cs="Times New Roman" w:eastAsia="Times New Roman" w:hint="default"/>
                <w:sz w:val="18"/>
                <w:szCs w:val="18"/>
              </w:rPr>
            </w:pPr>
            <w:r>
              <w:rPr>
                <w:rFonts w:ascii="Times New Roman"/>
                <w:sz w:val="18"/>
              </w:rPr>
              <w:t>15%</w:t>
            </w:r>
          </w:p>
        </w:tc>
      </w:tr>
    </w:tbl>
    <w:p>
      <w:pPr>
        <w:spacing w:line="240" w:lineRule="auto" w:before="11"/>
        <w:rPr>
          <w:rFonts w:ascii="宋体" w:hAnsi="宋体" w:cs="宋体" w:eastAsia="宋体" w:hint="default"/>
          <w:sz w:val="19"/>
          <w:szCs w:val="19"/>
        </w:rPr>
      </w:pPr>
    </w:p>
    <w:p>
      <w:pPr>
        <w:pStyle w:val="Heading5"/>
        <w:spacing w:line="240" w:lineRule="auto" w:before="35"/>
        <w:ind w:right="0"/>
        <w:jc w:val="both"/>
        <w:rPr>
          <w:b w:val="0"/>
          <w:bCs w:val="0"/>
        </w:rPr>
      </w:pPr>
      <w:bookmarkStart w:name="2、税收优惠" w:id="212"/>
      <w:bookmarkEnd w:id="212"/>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5"/>
        <w:rPr>
          <w:rFonts w:ascii="宋体" w:hAnsi="宋体" w:cs="宋体" w:eastAsia="宋体" w:hint="default"/>
          <w:b/>
          <w:bCs/>
          <w:sz w:val="26"/>
          <w:szCs w:val="26"/>
        </w:rPr>
      </w:pPr>
    </w:p>
    <w:p>
      <w:pPr>
        <w:pStyle w:val="BodyText"/>
        <w:spacing w:line="295" w:lineRule="auto"/>
        <w:ind w:right="1109"/>
        <w:jc w:val="both"/>
      </w:pPr>
      <w:r>
        <w:rPr>
          <w:spacing w:val="-2"/>
        </w:rPr>
        <w:t>上海华邦科创信息科技有限公司于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日获上海市科学技术委员会、上海市财政局、国家税务总局上海市税务局批</w:t>
      </w:r>
      <w:r>
        <w:rPr>
          <w:spacing w:val="-61"/>
        </w:rPr>
        <w:t> </w:t>
      </w:r>
      <w:r>
        <w:rPr>
          <w:spacing w:val="-61"/>
        </w:rPr>
      </w:r>
      <w:r>
        <w:rPr>
          <w:spacing w:val="-1"/>
        </w:rPr>
        <w:t>准为高新技术企业。根据税法，按应纳税所得额的</w:t>
      </w:r>
      <w:r>
        <w:rPr>
          <w:rFonts w:ascii="Times New Roman" w:hAnsi="Times New Roman" w:cs="Times New Roman" w:eastAsia="Times New Roman" w:hint="default"/>
          <w:spacing w:val="-1"/>
        </w:rPr>
        <w:t>15%</w:t>
      </w:r>
      <w:r>
        <w:rPr>
          <w:spacing w:val="-1"/>
        </w:rPr>
        <w:t>计缴企业所得税。税收优惠有效期间为</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w:t>
      </w:r>
      <w:r>
        <w:rPr>
          <w:spacing w:val="-1"/>
        </w:rPr>
        <w:t>月</w:t>
      </w:r>
      <w:r>
        <w:rPr>
          <w:rFonts w:ascii="Times New Roman" w:hAnsi="Times New Roman" w:cs="Times New Roman" w:eastAsia="Times New Roman" w:hint="default"/>
          <w:spacing w:val="-1"/>
        </w:rPr>
        <w:t>1</w:t>
      </w:r>
      <w:r>
        <w:rPr>
          <w:spacing w:val="-1"/>
        </w:rPr>
        <w:t>日至</w:t>
      </w:r>
      <w:r>
        <w:rPr>
          <w:rFonts w:ascii="Times New Roman" w:hAnsi="Times New Roman" w:cs="Times New Roman" w:eastAsia="Times New Roman" w:hint="default"/>
          <w:spacing w:val="-1"/>
        </w:rPr>
        <w:t>2021</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22"/>
        </w:rPr>
        <w:t> </w:t>
      </w:r>
      <w:r>
        <w:rPr/>
        <w:t>日。</w:t>
      </w:r>
    </w:p>
    <w:p>
      <w:pPr>
        <w:spacing w:after="0" w:line="295" w:lineRule="auto"/>
        <w:jc w:val="both"/>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bookmarkStart w:name="七、合并财务报表项目注释" w:id="213"/>
      <w:bookmarkEnd w:id="213"/>
      <w:r>
        <w:rPr>
          <w:b w:val="0"/>
          <w:bCs w:val="0"/>
        </w:rPr>
      </w:r>
      <w:r>
        <w:rPr/>
        <w:t>七、合并财务报表项目注释</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货币资金" w:id="214"/>
      <w:bookmarkEnd w:id="21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1,352,642.00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1,957,560.00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288,699,801.00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378,523,665.00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85,070,461.00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1,181,740.00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375,122,904.00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381,662,965.00</w:t>
            </w:r>
          </w:p>
        </w:tc>
      </w:tr>
      <w:tr>
        <w:trPr>
          <w:trHeight w:val="72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15" w:right="91" w:firstLine="721"/>
              <w:jc w:val="left"/>
              <w:rPr>
                <w:rFonts w:ascii="宋体" w:hAnsi="宋体" w:cs="宋体" w:eastAsia="宋体" w:hint="default"/>
                <w:sz w:val="18"/>
                <w:szCs w:val="18"/>
              </w:rPr>
            </w:pPr>
            <w:r>
              <w:rPr>
                <w:rFonts w:ascii="宋体" w:hAnsi="宋体" w:cs="宋体" w:eastAsia="宋体" w:hint="default"/>
                <w:sz w:val="18"/>
                <w:szCs w:val="18"/>
              </w:rPr>
              <w:t>因抵押、质押或冻结等对使用 有限制的款项总额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85,070,461.00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1,181,740.00</w:t>
            </w:r>
          </w:p>
        </w:tc>
      </w:tr>
    </w:tbl>
    <w:p>
      <w:pPr>
        <w:pStyle w:val="BodyText"/>
        <w:spacing w:line="240" w:lineRule="auto" w:before="45"/>
        <w:ind w:right="0"/>
        <w:jc w:val="left"/>
      </w:pPr>
      <w:r>
        <w:rPr/>
        <w:t>其他说明</w:t>
      </w:r>
    </w:p>
    <w:p>
      <w:pPr>
        <w:pStyle w:val="Heading3"/>
        <w:spacing w:line="240" w:lineRule="auto" w:before="69"/>
        <w:ind w:right="0"/>
        <w:jc w:val="left"/>
      </w:pPr>
      <w:r>
        <w:rPr/>
        <w:t>因抵押、质押或冻结等对使用有限制的款项系公司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日综合授信额度保证金。</w:t>
      </w:r>
    </w:p>
    <w:p>
      <w:pPr>
        <w:spacing w:line="240" w:lineRule="auto" w:before="2"/>
        <w:rPr>
          <w:rFonts w:ascii="宋体" w:hAnsi="宋体" w:cs="宋体" w:eastAsia="宋体" w:hint="default"/>
          <w:sz w:val="23"/>
          <w:szCs w:val="23"/>
        </w:rPr>
      </w:pPr>
    </w:p>
    <w:p>
      <w:pPr>
        <w:pStyle w:val="Heading5"/>
        <w:spacing w:line="240" w:lineRule="auto"/>
        <w:ind w:right="0"/>
        <w:jc w:val="left"/>
        <w:rPr>
          <w:b w:val="0"/>
          <w:bCs w:val="0"/>
        </w:rPr>
      </w:pPr>
      <w:bookmarkStart w:name="2、应收账款" w:id="215"/>
      <w:bookmarkEnd w:id="215"/>
      <w:r>
        <w:rPr>
          <w:b w:val="0"/>
          <w:bCs w:val="0"/>
        </w:rPr>
      </w:r>
      <w:r>
        <w:rPr>
          <w:rFonts w:ascii="Times New Roman" w:hAnsi="Times New Roman" w:cs="Times New Roman" w:eastAsia="Times New Roman" w:hint="default"/>
        </w:rPr>
        <w:t>2</w:t>
      </w:r>
      <w:r>
        <w:rPr/>
        <w:t>、应收账款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应收账款分类披露" w:id="216"/>
      <w:bookmarkEnd w:id="216"/>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390"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6"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96"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73"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97" w:right="0"/>
              <w:jc w:val="left"/>
              <w:rPr>
                <w:rFonts w:ascii="Times New Roman" w:hAnsi="Times New Roman" w:cs="Times New Roman" w:eastAsia="Times New Roman" w:hint="default"/>
                <w:sz w:val="18"/>
                <w:szCs w:val="18"/>
              </w:rPr>
            </w:pPr>
            <w:r>
              <w:rPr>
                <w:rFonts w:ascii="Times New Roman"/>
                <w:sz w:val="18"/>
              </w:rPr>
              <w:t>0.00</w:t>
            </w:r>
          </w:p>
        </w:tc>
        <w:tc>
          <w:tcPr>
            <w:tcW w:w="76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6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50" w:right="0"/>
              <w:jc w:val="left"/>
              <w:rPr>
                <w:rFonts w:ascii="Times New Roman" w:hAnsi="Times New Roman" w:cs="Times New Roman" w:eastAsia="Times New Roman" w:hint="default"/>
                <w:sz w:val="18"/>
                <w:szCs w:val="18"/>
              </w:rPr>
            </w:pPr>
            <w:r>
              <w:rPr>
                <w:rFonts w:ascii="Times New Roman"/>
                <w:sz w:val="18"/>
              </w:rPr>
              <w:t>0.00</w:t>
            </w:r>
          </w:p>
        </w:tc>
        <w:tc>
          <w:tcPr>
            <w:tcW w:w="78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1,135,16</w:t>
            </w:r>
          </w:p>
          <w:p>
            <w:pPr>
              <w:pStyle w:val="TableParagraph"/>
              <w:spacing w:line="240" w:lineRule="auto" w:before="93"/>
              <w:ind w:left="82" w:right="0"/>
              <w:jc w:val="left"/>
              <w:rPr>
                <w:rFonts w:ascii="Times New Roman" w:hAnsi="Times New Roman" w:cs="Times New Roman" w:eastAsia="Times New Roman" w:hint="default"/>
                <w:sz w:val="18"/>
                <w:szCs w:val="18"/>
              </w:rPr>
            </w:pPr>
            <w:r>
              <w:rPr>
                <w:rFonts w:ascii="Times New Roman"/>
                <w:sz w:val="18"/>
              </w:rPr>
              <w:t>1,189.00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 w:right="0"/>
              <w:jc w:val="center"/>
              <w:rPr>
                <w:rFonts w:ascii="Times New Roman" w:hAnsi="Times New Roman" w:cs="Times New Roman" w:eastAsia="Times New Roman" w:hint="default"/>
                <w:sz w:val="18"/>
                <w:szCs w:val="18"/>
              </w:rPr>
            </w:pPr>
            <w:r>
              <w:rPr>
                <w:rFonts w:ascii="Times New Roman"/>
                <w:sz w:val="18"/>
              </w:rPr>
              <w:t>202,479,</w:t>
            </w:r>
          </w:p>
          <w:p>
            <w:pPr>
              <w:pStyle w:val="TableParagraph"/>
              <w:spacing w:line="240" w:lineRule="auto" w:before="93"/>
              <w:ind w:left="208" w:right="0"/>
              <w:jc w:val="center"/>
              <w:rPr>
                <w:rFonts w:ascii="Times New Roman" w:hAnsi="Times New Roman" w:cs="Times New Roman" w:eastAsia="Times New Roman" w:hint="default"/>
                <w:sz w:val="18"/>
                <w:szCs w:val="18"/>
              </w:rPr>
            </w:pPr>
            <w:r>
              <w:rPr>
                <w:rFonts w:ascii="Times New Roman"/>
                <w:sz w:val="18"/>
              </w:rPr>
              <w:t>167.00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932,682,0</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22.00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1,302,707</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,213.00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95,918,87</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8.00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1,206,788,3</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35.00</w:t>
            </w:r>
          </w:p>
        </w:tc>
      </w:tr>
      <w:tr>
        <w:trPr>
          <w:trHeight w:val="4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06"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65"/>
              <w:jc w:val="left"/>
              <w:rPr>
                <w:rFonts w:ascii="宋体" w:hAnsi="宋体" w:cs="宋体" w:eastAsia="宋体" w:hint="default"/>
                <w:sz w:val="18"/>
                <w:szCs w:val="18"/>
              </w:rPr>
            </w:pPr>
            <w:r>
              <w:rPr>
                <w:rFonts w:ascii="宋体" w:hAnsi="宋体" w:cs="宋体" w:eastAsia="宋体" w:hint="default"/>
                <w:sz w:val="18"/>
                <w:szCs w:val="18"/>
              </w:rPr>
              <w:t>按信用风险特征组 合</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1,135,16</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1,189.00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 w:right="0"/>
              <w:jc w:val="center"/>
              <w:rPr>
                <w:rFonts w:ascii="Times New Roman" w:hAnsi="Times New Roman" w:cs="Times New Roman" w:eastAsia="Times New Roman" w:hint="default"/>
                <w:sz w:val="18"/>
                <w:szCs w:val="18"/>
              </w:rPr>
            </w:pPr>
            <w:r>
              <w:rPr>
                <w:rFonts w:ascii="Times New Roman"/>
                <w:sz w:val="18"/>
              </w:rPr>
              <w:t>202,479,</w:t>
            </w:r>
          </w:p>
          <w:p>
            <w:pPr>
              <w:pStyle w:val="TableParagraph"/>
              <w:spacing w:line="240" w:lineRule="auto" w:before="108"/>
              <w:ind w:left="208" w:right="0"/>
              <w:jc w:val="center"/>
              <w:rPr>
                <w:rFonts w:ascii="Times New Roman" w:hAnsi="Times New Roman" w:cs="Times New Roman" w:eastAsia="Times New Roman" w:hint="default"/>
                <w:sz w:val="18"/>
                <w:szCs w:val="18"/>
              </w:rPr>
            </w:pPr>
            <w:r>
              <w:rPr>
                <w:rFonts w:ascii="Times New Roman"/>
                <w:sz w:val="18"/>
              </w:rPr>
              <w:t>167.00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932,682,0</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22.00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1,302,707</w:t>
            </w:r>
          </w:p>
          <w:p>
            <w:pPr>
              <w:pStyle w:val="TableParagraph"/>
              <w:spacing w:line="240" w:lineRule="auto" w:before="108"/>
              <w:ind w:left="164" w:right="0"/>
              <w:jc w:val="center"/>
              <w:rPr>
                <w:rFonts w:ascii="Times New Roman" w:hAnsi="Times New Roman" w:cs="Times New Roman" w:eastAsia="Times New Roman" w:hint="default"/>
                <w:sz w:val="18"/>
                <w:szCs w:val="18"/>
              </w:rPr>
            </w:pPr>
            <w:r>
              <w:rPr>
                <w:rFonts w:ascii="Times New Roman"/>
                <w:sz w:val="18"/>
              </w:rPr>
              <w:t>,213.00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95,918,87</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8.00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1,206,788,3</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35.00</w:t>
            </w:r>
          </w:p>
        </w:tc>
      </w:tr>
      <w:tr>
        <w:trPr>
          <w:trHeight w:val="72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1,135,16</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1,189.00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 w:right="0"/>
              <w:jc w:val="center"/>
              <w:rPr>
                <w:rFonts w:ascii="Times New Roman" w:hAnsi="Times New Roman" w:cs="Times New Roman" w:eastAsia="Times New Roman" w:hint="default"/>
                <w:sz w:val="18"/>
                <w:szCs w:val="18"/>
              </w:rPr>
            </w:pPr>
            <w:r>
              <w:rPr>
                <w:rFonts w:ascii="Times New Roman"/>
                <w:sz w:val="18"/>
              </w:rPr>
              <w:t>202,479,</w:t>
            </w:r>
          </w:p>
          <w:p>
            <w:pPr>
              <w:pStyle w:val="TableParagraph"/>
              <w:spacing w:line="240" w:lineRule="auto" w:before="93"/>
              <w:ind w:left="208" w:right="0"/>
              <w:jc w:val="center"/>
              <w:rPr>
                <w:rFonts w:ascii="Times New Roman" w:hAnsi="Times New Roman" w:cs="Times New Roman" w:eastAsia="Times New Roman" w:hint="default"/>
                <w:sz w:val="18"/>
                <w:szCs w:val="18"/>
              </w:rPr>
            </w:pPr>
            <w:r>
              <w:rPr>
                <w:rFonts w:ascii="Times New Roman"/>
                <w:sz w:val="18"/>
              </w:rPr>
              <w:t>167.00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932,682,0</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22.00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1,302,707</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,213.00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95,918,87</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8.00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7.00%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1,206,788,3</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35.00</w:t>
            </w:r>
          </w:p>
        </w:tc>
      </w:tr>
    </w:tbl>
    <w:p>
      <w:pPr>
        <w:pStyle w:val="BodyText"/>
        <w:spacing w:line="240" w:lineRule="auto" w:before="44"/>
        <w:ind w:right="0"/>
        <w:jc w:val="left"/>
      </w:pPr>
      <w:r>
        <w:rPr/>
        <w:t>按单项计提坏账准备：无</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按单项计提坏账准备：</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1"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4"/>
        <w:ind w:right="0"/>
        <w:jc w:val="left"/>
      </w:pPr>
      <w:r>
        <w:rPr/>
        <w:t>按组合计提坏账准备：直营渠道风险组合</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221,695,925.00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8,876,108.00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4.00%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7,916,265.00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7,916,265.00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1,081,793.00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1,081,793.00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230,693,983.00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17,874,166.00</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0"/>
        <w:jc w:val="left"/>
      </w:pPr>
      <w:r>
        <w:rPr/>
        <w:t>确定该组合依据的说明：</w:t>
      </w:r>
    </w:p>
    <w:p>
      <w:pPr>
        <w:pStyle w:val="BodyText"/>
        <w:spacing w:line="240" w:lineRule="auto" w:before="125"/>
        <w:ind w:right="0"/>
        <w:jc w:val="left"/>
      </w:pPr>
      <w:r>
        <w:rPr/>
        <w:t>按组合计提坏账准备：加盟渠道风险组合</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757,323,657.00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82,822,594.00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11.00%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96,614,061.00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53,769,018.00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56.00%</w:t>
            </w:r>
            <w:r>
              <w:rPr>
                <w:rFonts w:ascii="Times New Roman"/>
                <w:sz w:val="18"/>
              </w:rPr>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26,285,382.00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23,769,283.00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24,244,106.00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24,244,106.00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904,467,206.00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184,605,001.00</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352" w:lineRule="auto" w:before="45"/>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2122" w:space="6724"/>
            <w:col w:w="206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2" w:lineRule="auto" w:before="44"/>
        <w:ind w:right="1749"/>
        <w:jc w:val="left"/>
      </w:pPr>
      <w:r>
        <w:rPr/>
        <w:t>确定该组合依据的说明： 如是按照预期信用损失一般模型计提应收账款坏账准备，请参照其他应收款的披露方式披露坏账准备的相关信息：</w:t>
      </w:r>
    </w:p>
    <w:p>
      <w:pPr>
        <w:spacing w:after="0" w:line="352" w:lineRule="auto"/>
        <w:jc w:val="left"/>
        <w:sectPr>
          <w:type w:val="continuous"/>
          <w:pgSz w:w="11910" w:h="16850"/>
          <w:pgMar w:top="1040" w:bottom="1180" w:left="1000" w:right="0"/>
        </w:sectPr>
      </w:pPr>
    </w:p>
    <w:p>
      <w:pPr>
        <w:pStyle w:val="BodyText"/>
        <w:spacing w:line="240" w:lineRule="auto" w:before="55"/>
        <w:ind w:right="-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Heading3"/>
        <w:spacing w:line="240" w:lineRule="auto" w:before="40"/>
        <w:ind w:right="-9"/>
        <w:jc w:val="left"/>
      </w:pPr>
      <w:r>
        <w:rPr/>
        <w:t>本集团采用账龄分析法计提坏账准备的应收账款。</w:t>
      </w:r>
    </w:p>
    <w:p>
      <w:pPr>
        <w:pStyle w:val="BodyText"/>
        <w:spacing w:line="240" w:lineRule="auto" w:before="86"/>
        <w:ind w:right="-9"/>
        <w:jc w:val="left"/>
      </w:pPr>
      <w:r>
        <w:rPr/>
        <w:t>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48"/>
        <w:ind w:right="0"/>
        <w:jc w:val="left"/>
      </w:pPr>
      <w:r>
        <w:rPr/>
        <w:t>单位： 元</w:t>
      </w:r>
    </w:p>
    <w:p>
      <w:pPr>
        <w:spacing w:after="0" w:line="240" w:lineRule="auto"/>
        <w:jc w:val="left"/>
        <w:sectPr>
          <w:type w:val="continuous"/>
          <w:pgSz w:w="11910" w:h="16850"/>
          <w:pgMar w:top="1040" w:bottom="1180" w:left="1000" w:right="0"/>
          <w:cols w:num="2" w:equalWidth="0">
            <w:col w:w="5433" w:space="3413"/>
            <w:col w:w="2064"/>
          </w:cols>
        </w:sectPr>
      </w:pP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4784"/>
        <w:gridCol w:w="4791"/>
      </w:tblGrid>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6"/>
              <w:jc w:val="center"/>
              <w:rPr>
                <w:rFonts w:ascii="宋体" w:hAnsi="宋体" w:cs="宋体" w:eastAsia="宋体" w:hint="default"/>
                <w:sz w:val="18"/>
                <w:szCs w:val="18"/>
              </w:rPr>
            </w:pPr>
            <w:r>
              <w:rPr>
                <w:rFonts w:ascii="宋体" w:hAnsi="宋体" w:cs="宋体" w:eastAsia="宋体" w:hint="default"/>
                <w:sz w:val="18"/>
                <w:szCs w:val="18"/>
              </w:rPr>
              <w:t>账龄</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979,019,581.00</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104,530,327.00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27,367,175.00</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24,244,106.00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24,244,106.00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1,135,161,189.00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本期计提、收回或转回的坏账准备情况" w:id="217"/>
      <w:bookmarkEnd w:id="217"/>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right="0"/>
        <w:jc w:val="left"/>
      </w:pPr>
      <w:r>
        <w:rPr/>
        <w:t>本期计提坏账准备情况：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8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应收销货款</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95,918,878.00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107,396,965.00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836,676.00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202,479,167.00</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95,918,878.00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107,396,965.00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10" w:right="0"/>
              <w:jc w:val="left"/>
              <w:rPr>
                <w:rFonts w:ascii="Times New Roman" w:hAnsi="Times New Roman" w:cs="Times New Roman" w:eastAsia="Times New Roman" w:hint="default"/>
                <w:sz w:val="18"/>
                <w:szCs w:val="18"/>
              </w:rPr>
            </w:pPr>
            <w:r>
              <w:rPr>
                <w:rFonts w:ascii="Times New Roman"/>
                <w:sz w:val="18"/>
              </w:rPr>
              <w:t>836,676.00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202,479,167.00</w:t>
            </w:r>
          </w:p>
        </w:tc>
      </w:tr>
    </w:tbl>
    <w:p>
      <w:pPr>
        <w:pStyle w:val="BodyText"/>
        <w:spacing w:line="240" w:lineRule="auto" w:before="44"/>
        <w:ind w:right="0"/>
        <w:jc w:val="left"/>
      </w:pPr>
      <w:r>
        <w:rPr/>
        <w:t>其中本期坏账准备收回或转回金额重要的：</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45"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本期实际核销的应收账款情况" w:id="218"/>
      <w:bookmarkEnd w:id="218"/>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0"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核销无法收回的商场专柜货款</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836,676.00</w:t>
            </w:r>
          </w:p>
        </w:tc>
      </w:tr>
    </w:tbl>
    <w:p>
      <w:pPr>
        <w:pStyle w:val="BodyText"/>
        <w:spacing w:line="240" w:lineRule="auto" w:before="45"/>
        <w:ind w:right="0"/>
        <w:jc w:val="left"/>
      </w:pPr>
      <w:r>
        <w:rPr/>
        <w:t>其中重要的应收账款核销情况：</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应收账款核销说明：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按欠款方归集的期末余额前五名的应收账款情况" w:id="219"/>
      <w:bookmarkEnd w:id="219"/>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82"/>
        <w:gridCol w:w="2538"/>
        <w:gridCol w:w="2523"/>
        <w:gridCol w:w="2538"/>
      </w:tblGrid>
      <w:tr>
        <w:trPr>
          <w:trHeight w:val="721"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1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066" w:right="92"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4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36,037,954.00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3.17%</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34,496,680.00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3.04%</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528,356.00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82"/>
        <w:gridCol w:w="2538"/>
        <w:gridCol w:w="2523"/>
        <w:gridCol w:w="2538"/>
      </w:tblGrid>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29,926,988.00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2.64%</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1,599,751.00</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28,872,407.00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2.54%</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370,062.00</w:t>
            </w:r>
          </w:p>
        </w:tc>
      </w:tr>
      <w:tr>
        <w:trPr>
          <w:trHeight w:val="390" w:hRule="exact"/>
        </w:trPr>
        <w:tc>
          <w:tcPr>
            <w:tcW w:w="19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19,487,843.00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1.72%</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1,041,725.00</w:t>
            </w:r>
          </w:p>
        </w:tc>
      </w:tr>
      <w:tr>
        <w:trPr>
          <w:trHeight w:val="405" w:hRule="exact"/>
        </w:trPr>
        <w:tc>
          <w:tcPr>
            <w:tcW w:w="19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148,821,872.00</w:t>
            </w:r>
          </w:p>
        </w:tc>
        <w:tc>
          <w:tcPr>
            <w:tcW w:w="25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13.11%</w:t>
            </w:r>
            <w:r>
              <w:rPr>
                <w:rFonts w:ascii="Times New Roman"/>
                <w:sz w:val="18"/>
              </w:rPr>
            </w:r>
          </w:p>
        </w:tc>
        <w:tc>
          <w:tcPr>
            <w:tcW w:w="2538"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5）因金融资产转移而终止确认的应收账款" w:id="220"/>
      <w:bookmarkEnd w:id="220"/>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6）转移应收账款且继续涉入形成的资产、负债金额" w:id="221"/>
      <w:bookmarkEnd w:id="221"/>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1"/>
        <w:rPr>
          <w:rFonts w:ascii="宋体" w:hAnsi="宋体" w:cs="宋体" w:eastAsia="宋体" w:hint="default"/>
          <w:b/>
          <w:bCs/>
          <w:sz w:val="24"/>
          <w:szCs w:val="24"/>
        </w:rPr>
      </w:pPr>
    </w:p>
    <w:p>
      <w:pPr>
        <w:pStyle w:val="BodyText"/>
        <w:spacing w:line="367" w:lineRule="auto"/>
        <w:ind w:right="9849"/>
        <w:jc w:val="left"/>
      </w:pPr>
      <w:r>
        <w:rPr/>
        <w:t>无 其他说明：</w:t>
      </w:r>
    </w:p>
    <w:p>
      <w:pPr>
        <w:spacing w:line="240" w:lineRule="auto" w:before="5"/>
        <w:rPr>
          <w:rFonts w:ascii="宋体" w:hAnsi="宋体" w:cs="宋体" w:eastAsia="宋体" w:hint="default"/>
          <w:sz w:val="21"/>
          <w:szCs w:val="21"/>
        </w:rPr>
      </w:pPr>
    </w:p>
    <w:p>
      <w:pPr>
        <w:pStyle w:val="Heading5"/>
        <w:spacing w:line="240" w:lineRule="auto"/>
        <w:ind w:right="0"/>
        <w:jc w:val="left"/>
        <w:rPr>
          <w:b w:val="0"/>
          <w:bCs w:val="0"/>
        </w:rPr>
      </w:pPr>
      <w:bookmarkStart w:name="3、预付款项" w:id="222"/>
      <w:bookmarkEnd w:id="222"/>
      <w:r>
        <w:rPr>
          <w:b w:val="0"/>
          <w:bCs w:val="0"/>
        </w:rPr>
      </w:r>
      <w:r>
        <w:rPr>
          <w:rFonts w:ascii="Times New Roman" w:hAnsi="Times New Roman" w:cs="Times New Roman" w:eastAsia="Times New Roman" w:hint="default"/>
        </w:rPr>
        <w:t>3</w:t>
      </w:r>
      <w:r>
        <w:rPr/>
        <w:t>、预付款项</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预付款项按账龄列示" w:id="223"/>
      <w:bookmarkEnd w:id="223"/>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15"/>
        <w:gridCol w:w="1915"/>
        <w:gridCol w:w="1923"/>
        <w:gridCol w:w="1907"/>
        <w:gridCol w:w="1922"/>
      </w:tblGrid>
      <w:tr>
        <w:trPr>
          <w:trHeight w:val="202" w:hRule="exact"/>
        </w:trPr>
        <w:tc>
          <w:tcPr>
            <w:tcW w:w="1915"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915"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账龄</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915"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18" w:hRule="exact"/>
        </w:trPr>
        <w:tc>
          <w:tcPr>
            <w:tcW w:w="1915"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163,979,531.00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97.82%</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240,998,812.00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98.60%</w:t>
            </w:r>
            <w:r>
              <w:rPr>
                <w:rFonts w:ascii="Times New Roman"/>
                <w:sz w:val="18"/>
              </w:rPr>
            </w:r>
          </w:p>
        </w:tc>
      </w:tr>
      <w:tr>
        <w:trPr>
          <w:trHeight w:val="405"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3,656,314.00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2.18%</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3,433,536.00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1.40%</w:t>
            </w:r>
            <w:r>
              <w:rPr>
                <w:rFonts w:ascii="Times New Roman"/>
                <w:sz w:val="18"/>
              </w:rPr>
            </w:r>
          </w:p>
        </w:tc>
      </w:tr>
      <w:tr>
        <w:trPr>
          <w:trHeight w:val="406" w:hRule="exact"/>
        </w:trPr>
        <w:tc>
          <w:tcPr>
            <w:tcW w:w="191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18" w:space="0" w:color="D2D2D2"/>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167,635,845.00</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90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244,432,348.00</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16" w:lineRule="auto" w:before="60"/>
        <w:ind w:right="5889"/>
        <w:jc w:val="left"/>
      </w:pPr>
      <w:r>
        <w:rPr/>
        <w:t>账龄超过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无</w:t>
      </w:r>
    </w:p>
    <w:p>
      <w:pPr>
        <w:spacing w:line="240" w:lineRule="auto" w:before="3"/>
        <w:rPr>
          <w:rFonts w:ascii="宋体" w:hAnsi="宋体" w:cs="宋体" w:eastAsia="宋体" w:hint="default"/>
          <w:sz w:val="24"/>
          <w:szCs w:val="24"/>
        </w:rPr>
      </w:pPr>
    </w:p>
    <w:p>
      <w:pPr>
        <w:spacing w:line="468" w:lineRule="auto" w:before="0"/>
        <w:ind w:left="141" w:right="5795" w:firstLine="0"/>
        <w:jc w:val="left"/>
        <w:rPr>
          <w:rFonts w:ascii="宋体" w:hAnsi="宋体" w:cs="宋体" w:eastAsia="宋体" w:hint="default"/>
          <w:sz w:val="24"/>
          <w:szCs w:val="24"/>
        </w:rPr>
      </w:pPr>
      <w:r>
        <w:rPr/>
        <w:pict>
          <v:shape style="position:absolute;margin-left:56.325001pt;margin-top:46.073669pt;width:346.55pt;height:122.35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2"/>
                    <w:gridCol w:w="1562"/>
                    <w:gridCol w:w="1472"/>
                    <w:gridCol w:w="1217"/>
                    <w:gridCol w:w="1246"/>
                  </w:tblGrid>
                  <w:tr>
                    <w:trPr>
                      <w:trHeight w:val="345"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
                          <w:jc w:val="center"/>
                          <w:rPr>
                            <w:rFonts w:ascii="宋体" w:hAnsi="宋体" w:cs="宋体" w:eastAsia="宋体" w:hint="default"/>
                            <w:sz w:val="19"/>
                            <w:szCs w:val="19"/>
                          </w:rPr>
                        </w:pPr>
                        <w:r>
                          <w:rPr>
                            <w:rFonts w:ascii="宋体" w:hAnsi="宋体" w:cs="宋体" w:eastAsia="宋体" w:hint="default"/>
                            <w:b/>
                            <w:bCs/>
                            <w:spacing w:val="5"/>
                            <w:sz w:val="19"/>
                            <w:szCs w:val="19"/>
                          </w:rPr>
                          <w:t>预付前五名</w:t>
                        </w:r>
                        <w:r>
                          <w:rPr>
                            <w:rFonts w:ascii="宋体" w:hAnsi="宋体" w:cs="宋体" w:eastAsia="宋体" w:hint="default"/>
                            <w:spacing w:val="5"/>
                            <w:sz w:val="19"/>
                            <w:szCs w:val="19"/>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9"/>
                            <w:szCs w:val="19"/>
                          </w:rPr>
                        </w:pPr>
                        <w:r>
                          <w:rPr>
                            <w:rFonts w:ascii="宋体" w:hAnsi="宋体" w:cs="宋体" w:eastAsia="宋体" w:hint="default"/>
                            <w:b/>
                            <w:bCs/>
                            <w:spacing w:val="4"/>
                            <w:sz w:val="19"/>
                            <w:szCs w:val="19"/>
                          </w:rPr>
                          <w:t>与本集团关系</w:t>
                        </w:r>
                        <w:r>
                          <w:rPr>
                            <w:rFonts w:ascii="宋体" w:hAnsi="宋体" w:cs="宋体" w:eastAsia="宋体" w:hint="default"/>
                            <w:spacing w:val="4"/>
                            <w:sz w:val="19"/>
                            <w:szCs w:val="19"/>
                          </w:rPr>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6"/>
                          <w:jc w:val="right"/>
                          <w:rPr>
                            <w:rFonts w:ascii="宋体" w:hAnsi="宋体" w:cs="宋体" w:eastAsia="宋体" w:hint="default"/>
                            <w:sz w:val="19"/>
                            <w:szCs w:val="19"/>
                          </w:rPr>
                        </w:pPr>
                        <w:r>
                          <w:rPr>
                            <w:rFonts w:ascii="宋体" w:hAnsi="宋体" w:cs="宋体" w:eastAsia="宋体" w:hint="default"/>
                            <w:b/>
                            <w:bCs/>
                            <w:spacing w:val="14"/>
                            <w:sz w:val="19"/>
                            <w:szCs w:val="19"/>
                          </w:rPr>
                          <w:t>金额</w:t>
                        </w:r>
                        <w:r>
                          <w:rPr>
                            <w:rFonts w:ascii="宋体" w:hAnsi="宋体" w:cs="宋体" w:eastAsia="宋体" w:hint="default"/>
                            <w:sz w:val="19"/>
                            <w:szCs w:val="19"/>
                          </w:rPr>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5"/>
                          <w:jc w:val="right"/>
                          <w:rPr>
                            <w:rFonts w:ascii="宋体" w:hAnsi="宋体" w:cs="宋体" w:eastAsia="宋体" w:hint="default"/>
                            <w:sz w:val="19"/>
                            <w:szCs w:val="19"/>
                          </w:rPr>
                        </w:pPr>
                        <w:r>
                          <w:rPr>
                            <w:rFonts w:ascii="宋体" w:hAnsi="宋体" w:cs="宋体" w:eastAsia="宋体" w:hint="default"/>
                            <w:b/>
                            <w:bCs/>
                            <w:spacing w:val="7"/>
                            <w:sz w:val="19"/>
                            <w:szCs w:val="19"/>
                          </w:rPr>
                          <w:t>预付时间</w:t>
                        </w:r>
                        <w:r>
                          <w:rPr>
                            <w:rFonts w:ascii="宋体" w:hAnsi="宋体" w:cs="宋体" w:eastAsia="宋体" w:hint="default"/>
                            <w:spacing w:val="7"/>
                            <w:sz w:val="19"/>
                            <w:szCs w:val="19"/>
                          </w:rPr>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5"/>
                          <w:jc w:val="right"/>
                          <w:rPr>
                            <w:rFonts w:ascii="宋体" w:hAnsi="宋体" w:cs="宋体" w:eastAsia="宋体" w:hint="default"/>
                            <w:sz w:val="19"/>
                            <w:szCs w:val="19"/>
                          </w:rPr>
                        </w:pPr>
                        <w:r>
                          <w:rPr>
                            <w:rFonts w:ascii="宋体" w:hAnsi="宋体" w:cs="宋体" w:eastAsia="宋体" w:hint="default"/>
                            <w:b/>
                            <w:bCs/>
                            <w:spacing w:val="5"/>
                            <w:sz w:val="19"/>
                            <w:szCs w:val="19"/>
                          </w:rPr>
                          <w:t>未结算原因</w:t>
                        </w:r>
                        <w:r>
                          <w:rPr>
                            <w:rFonts w:ascii="宋体" w:hAnsi="宋体" w:cs="宋体" w:eastAsia="宋体" w:hint="default"/>
                            <w:spacing w:val="5"/>
                            <w:sz w:val="19"/>
                            <w:szCs w:val="19"/>
                          </w:rPr>
                        </w:r>
                      </w:p>
                    </w:tc>
                  </w:tr>
                  <w:tr>
                    <w:trPr>
                      <w:trHeight w:val="345"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8"/>
                          <w:jc w:val="center"/>
                          <w:rPr>
                            <w:rFonts w:ascii="宋体" w:hAnsi="宋体" w:cs="宋体" w:eastAsia="宋体" w:hint="default"/>
                            <w:sz w:val="19"/>
                            <w:szCs w:val="19"/>
                          </w:rPr>
                        </w:pPr>
                        <w:r>
                          <w:rPr>
                            <w:rFonts w:ascii="宋体" w:hAnsi="宋体" w:cs="宋体" w:eastAsia="宋体" w:hint="default"/>
                            <w:w w:val="105"/>
                            <w:sz w:val="19"/>
                            <w:szCs w:val="19"/>
                          </w:rPr>
                          <w:t>第一名</w:t>
                        </w:r>
                        <w:r>
                          <w:rPr>
                            <w:rFonts w:ascii="宋体" w:hAnsi="宋体" w:cs="宋体" w:eastAsia="宋体" w:hint="default"/>
                            <w:sz w:val="19"/>
                            <w:szCs w:val="19"/>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3"/>
                          <w:jc w:val="right"/>
                          <w:rPr>
                            <w:rFonts w:ascii="宋体" w:hAnsi="宋体" w:cs="宋体" w:eastAsia="宋体" w:hint="default"/>
                            <w:sz w:val="19"/>
                            <w:szCs w:val="19"/>
                          </w:rPr>
                        </w:pPr>
                        <w:r>
                          <w:rPr>
                            <w:rFonts w:ascii="宋体" w:hAnsi="宋体" w:cs="宋体" w:eastAsia="宋体" w:hint="default"/>
                            <w:sz w:val="19"/>
                            <w:szCs w:val="19"/>
                          </w:rPr>
                          <w:t>第三方</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7"/>
                          <w:jc w:val="right"/>
                          <w:rPr>
                            <w:rFonts w:ascii="Times New Roman" w:hAnsi="Times New Roman" w:cs="Times New Roman" w:eastAsia="Times New Roman" w:hint="default"/>
                            <w:sz w:val="19"/>
                            <w:szCs w:val="19"/>
                          </w:rPr>
                        </w:pPr>
                        <w:r>
                          <w:rPr>
                            <w:rFonts w:ascii="Times New Roman"/>
                            <w:sz w:val="19"/>
                          </w:rPr>
                          <w:t>13,689,963</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8"/>
                          <w:jc w:val="right"/>
                          <w:rPr>
                            <w:rFonts w:ascii="Times New Roman" w:hAnsi="Times New Roman" w:cs="Times New Roman" w:eastAsia="Times New Roman" w:hint="default"/>
                            <w:sz w:val="19"/>
                            <w:szCs w:val="19"/>
                          </w:rPr>
                        </w:pPr>
                        <w:r>
                          <w:rPr>
                            <w:rFonts w:ascii="Times New Roman"/>
                            <w:sz w:val="19"/>
                          </w:rPr>
                          <w:t>2019-10-1</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9"/>
                            <w:szCs w:val="19"/>
                          </w:rPr>
                        </w:pPr>
                        <w:r>
                          <w:rPr>
                            <w:rFonts w:ascii="宋体" w:hAnsi="宋体" w:cs="宋体" w:eastAsia="宋体" w:hint="default"/>
                            <w:sz w:val="19"/>
                            <w:szCs w:val="19"/>
                          </w:rPr>
                          <w:t>预付租金</w:t>
                        </w:r>
                      </w:p>
                    </w:tc>
                  </w:tr>
                  <w:tr>
                    <w:trPr>
                      <w:trHeight w:val="360"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8"/>
                          <w:jc w:val="center"/>
                          <w:rPr>
                            <w:rFonts w:ascii="宋体" w:hAnsi="宋体" w:cs="宋体" w:eastAsia="宋体" w:hint="default"/>
                            <w:sz w:val="19"/>
                            <w:szCs w:val="19"/>
                          </w:rPr>
                        </w:pPr>
                        <w:r>
                          <w:rPr>
                            <w:rFonts w:ascii="宋体" w:hAnsi="宋体" w:cs="宋体" w:eastAsia="宋体" w:hint="default"/>
                            <w:w w:val="105"/>
                            <w:sz w:val="19"/>
                            <w:szCs w:val="19"/>
                          </w:rPr>
                          <w:t>第二名</w:t>
                        </w:r>
                        <w:r>
                          <w:rPr>
                            <w:rFonts w:ascii="宋体" w:hAnsi="宋体" w:cs="宋体" w:eastAsia="宋体" w:hint="default"/>
                            <w:sz w:val="19"/>
                            <w:szCs w:val="19"/>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3"/>
                          <w:jc w:val="right"/>
                          <w:rPr>
                            <w:rFonts w:ascii="宋体" w:hAnsi="宋体" w:cs="宋体" w:eastAsia="宋体" w:hint="default"/>
                            <w:sz w:val="19"/>
                            <w:szCs w:val="19"/>
                          </w:rPr>
                        </w:pPr>
                        <w:r>
                          <w:rPr>
                            <w:rFonts w:ascii="宋体" w:hAnsi="宋体" w:cs="宋体" w:eastAsia="宋体" w:hint="default"/>
                            <w:sz w:val="19"/>
                            <w:szCs w:val="19"/>
                          </w:rPr>
                          <w:t>第三方</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7"/>
                          <w:jc w:val="right"/>
                          <w:rPr>
                            <w:rFonts w:ascii="Times New Roman" w:hAnsi="Times New Roman" w:cs="Times New Roman" w:eastAsia="Times New Roman" w:hint="default"/>
                            <w:sz w:val="19"/>
                            <w:szCs w:val="19"/>
                          </w:rPr>
                        </w:pPr>
                        <w:r>
                          <w:rPr>
                            <w:rFonts w:ascii="Times New Roman"/>
                            <w:sz w:val="19"/>
                          </w:rPr>
                          <w:t>11,700,000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9"/>
                            <w:szCs w:val="19"/>
                          </w:rPr>
                        </w:pPr>
                        <w:r>
                          <w:rPr>
                            <w:rFonts w:ascii="Times New Roman"/>
                            <w:sz w:val="19"/>
                          </w:rPr>
                          <w:t>2019-12-25</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9"/>
                            <w:szCs w:val="19"/>
                          </w:rPr>
                        </w:pPr>
                        <w:r>
                          <w:rPr>
                            <w:rFonts w:ascii="宋体" w:hAnsi="宋体" w:cs="宋体" w:eastAsia="宋体" w:hint="default"/>
                            <w:sz w:val="19"/>
                            <w:szCs w:val="19"/>
                          </w:rPr>
                          <w:t>预付租金</w:t>
                        </w:r>
                      </w:p>
                    </w:tc>
                  </w:tr>
                  <w:tr>
                    <w:trPr>
                      <w:trHeight w:val="346"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28"/>
                          <w:jc w:val="center"/>
                          <w:rPr>
                            <w:rFonts w:ascii="宋体" w:hAnsi="宋体" w:cs="宋体" w:eastAsia="宋体" w:hint="default"/>
                            <w:sz w:val="19"/>
                            <w:szCs w:val="19"/>
                          </w:rPr>
                        </w:pPr>
                        <w:r>
                          <w:rPr>
                            <w:rFonts w:ascii="宋体" w:hAnsi="宋体" w:cs="宋体" w:eastAsia="宋体" w:hint="default"/>
                            <w:w w:val="105"/>
                            <w:sz w:val="19"/>
                            <w:szCs w:val="19"/>
                          </w:rPr>
                          <w:t>第三名</w:t>
                        </w:r>
                        <w:r>
                          <w:rPr>
                            <w:rFonts w:ascii="宋体" w:hAnsi="宋体" w:cs="宋体" w:eastAsia="宋体" w:hint="default"/>
                            <w:sz w:val="19"/>
                            <w:szCs w:val="19"/>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3"/>
                          <w:jc w:val="right"/>
                          <w:rPr>
                            <w:rFonts w:ascii="宋体" w:hAnsi="宋体" w:cs="宋体" w:eastAsia="宋体" w:hint="default"/>
                            <w:sz w:val="19"/>
                            <w:szCs w:val="19"/>
                          </w:rPr>
                        </w:pPr>
                        <w:r>
                          <w:rPr>
                            <w:rFonts w:ascii="宋体" w:hAnsi="宋体" w:cs="宋体" w:eastAsia="宋体" w:hint="default"/>
                            <w:sz w:val="19"/>
                            <w:szCs w:val="19"/>
                          </w:rPr>
                          <w:t>第三方</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7"/>
                          <w:jc w:val="right"/>
                          <w:rPr>
                            <w:rFonts w:ascii="Times New Roman" w:hAnsi="Times New Roman" w:cs="Times New Roman" w:eastAsia="Times New Roman" w:hint="default"/>
                            <w:sz w:val="19"/>
                            <w:szCs w:val="19"/>
                          </w:rPr>
                        </w:pPr>
                        <w:r>
                          <w:rPr>
                            <w:rFonts w:ascii="Times New Roman"/>
                            <w:sz w:val="19"/>
                          </w:rPr>
                          <w:t>10,920,000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19"/>
                            <w:szCs w:val="19"/>
                          </w:rPr>
                        </w:pPr>
                        <w:r>
                          <w:rPr>
                            <w:rFonts w:ascii="Times New Roman"/>
                            <w:sz w:val="19"/>
                          </w:rPr>
                          <w:t>2019-10-24</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right"/>
                          <w:rPr>
                            <w:rFonts w:ascii="宋体" w:hAnsi="宋体" w:cs="宋体" w:eastAsia="宋体" w:hint="default"/>
                            <w:sz w:val="19"/>
                            <w:szCs w:val="19"/>
                          </w:rPr>
                        </w:pPr>
                        <w:r>
                          <w:rPr>
                            <w:rFonts w:ascii="宋体" w:hAnsi="宋体" w:cs="宋体" w:eastAsia="宋体" w:hint="default"/>
                            <w:sz w:val="19"/>
                            <w:szCs w:val="19"/>
                          </w:rPr>
                          <w:t>预付租金</w:t>
                        </w:r>
                      </w:p>
                    </w:tc>
                  </w:tr>
                  <w:tr>
                    <w:trPr>
                      <w:trHeight w:val="345"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28"/>
                          <w:jc w:val="center"/>
                          <w:rPr>
                            <w:rFonts w:ascii="宋体" w:hAnsi="宋体" w:cs="宋体" w:eastAsia="宋体" w:hint="default"/>
                            <w:sz w:val="19"/>
                            <w:szCs w:val="19"/>
                          </w:rPr>
                        </w:pPr>
                        <w:r>
                          <w:rPr>
                            <w:rFonts w:ascii="宋体" w:hAnsi="宋体" w:cs="宋体" w:eastAsia="宋体" w:hint="default"/>
                            <w:w w:val="105"/>
                            <w:sz w:val="19"/>
                            <w:szCs w:val="19"/>
                          </w:rPr>
                          <w:t>第四名</w:t>
                        </w:r>
                        <w:r>
                          <w:rPr>
                            <w:rFonts w:ascii="宋体" w:hAnsi="宋体" w:cs="宋体" w:eastAsia="宋体" w:hint="default"/>
                            <w:sz w:val="19"/>
                            <w:szCs w:val="19"/>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13"/>
                          <w:jc w:val="right"/>
                          <w:rPr>
                            <w:rFonts w:ascii="宋体" w:hAnsi="宋体" w:cs="宋体" w:eastAsia="宋体" w:hint="default"/>
                            <w:sz w:val="19"/>
                            <w:szCs w:val="19"/>
                          </w:rPr>
                        </w:pPr>
                        <w:r>
                          <w:rPr>
                            <w:rFonts w:ascii="宋体" w:hAnsi="宋体" w:cs="宋体" w:eastAsia="宋体" w:hint="default"/>
                            <w:sz w:val="19"/>
                            <w:szCs w:val="19"/>
                          </w:rPr>
                          <w:t>第三方</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6"/>
                          <w:jc w:val="right"/>
                          <w:rPr>
                            <w:rFonts w:ascii="Times New Roman" w:hAnsi="Times New Roman" w:cs="Times New Roman" w:eastAsia="Times New Roman" w:hint="default"/>
                            <w:sz w:val="19"/>
                            <w:szCs w:val="19"/>
                          </w:rPr>
                        </w:pPr>
                        <w:r>
                          <w:rPr>
                            <w:rFonts w:ascii="Times New Roman"/>
                            <w:sz w:val="19"/>
                          </w:rPr>
                          <w:t>9,166,667</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0"/>
                          <w:jc w:val="right"/>
                          <w:rPr>
                            <w:rFonts w:ascii="Times New Roman" w:hAnsi="Times New Roman" w:cs="Times New Roman" w:eastAsia="Times New Roman" w:hint="default"/>
                            <w:sz w:val="19"/>
                            <w:szCs w:val="19"/>
                          </w:rPr>
                        </w:pPr>
                        <w:r>
                          <w:rPr>
                            <w:rFonts w:ascii="Times New Roman"/>
                            <w:sz w:val="19"/>
                          </w:rPr>
                          <w:t>2019-10-15</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right"/>
                          <w:rPr>
                            <w:rFonts w:ascii="宋体" w:hAnsi="宋体" w:cs="宋体" w:eastAsia="宋体" w:hint="default"/>
                            <w:sz w:val="19"/>
                            <w:szCs w:val="19"/>
                          </w:rPr>
                        </w:pPr>
                        <w:r>
                          <w:rPr>
                            <w:rFonts w:ascii="宋体" w:hAnsi="宋体" w:cs="宋体" w:eastAsia="宋体" w:hint="default"/>
                            <w:sz w:val="19"/>
                            <w:szCs w:val="19"/>
                          </w:rPr>
                          <w:t>预付租金</w:t>
                        </w:r>
                      </w:p>
                    </w:tc>
                  </w:tr>
                  <w:tr>
                    <w:trPr>
                      <w:trHeight w:val="345"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28"/>
                          <w:jc w:val="center"/>
                          <w:rPr>
                            <w:rFonts w:ascii="宋体" w:hAnsi="宋体" w:cs="宋体" w:eastAsia="宋体" w:hint="default"/>
                            <w:sz w:val="19"/>
                            <w:szCs w:val="19"/>
                          </w:rPr>
                        </w:pPr>
                        <w:r>
                          <w:rPr>
                            <w:rFonts w:ascii="宋体" w:hAnsi="宋体" w:cs="宋体" w:eastAsia="宋体" w:hint="default"/>
                            <w:w w:val="105"/>
                            <w:sz w:val="19"/>
                            <w:szCs w:val="19"/>
                          </w:rPr>
                          <w:t>第五名</w:t>
                        </w:r>
                        <w:r>
                          <w:rPr>
                            <w:rFonts w:ascii="宋体" w:hAnsi="宋体" w:cs="宋体" w:eastAsia="宋体" w:hint="default"/>
                            <w:sz w:val="19"/>
                            <w:szCs w:val="19"/>
                          </w:rPr>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13"/>
                          <w:jc w:val="right"/>
                          <w:rPr>
                            <w:rFonts w:ascii="宋体" w:hAnsi="宋体" w:cs="宋体" w:eastAsia="宋体" w:hint="default"/>
                            <w:sz w:val="19"/>
                            <w:szCs w:val="19"/>
                          </w:rPr>
                        </w:pPr>
                        <w:r>
                          <w:rPr>
                            <w:rFonts w:ascii="宋体" w:hAnsi="宋体" w:cs="宋体" w:eastAsia="宋体" w:hint="default"/>
                            <w:sz w:val="19"/>
                            <w:szCs w:val="19"/>
                          </w:rPr>
                          <w:t>第三方</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6"/>
                          <w:jc w:val="right"/>
                          <w:rPr>
                            <w:rFonts w:ascii="Times New Roman" w:hAnsi="Times New Roman" w:cs="Times New Roman" w:eastAsia="Times New Roman" w:hint="default"/>
                            <w:sz w:val="19"/>
                            <w:szCs w:val="19"/>
                          </w:rPr>
                        </w:pPr>
                        <w:r>
                          <w:rPr>
                            <w:rFonts w:ascii="Times New Roman"/>
                            <w:sz w:val="19"/>
                          </w:rPr>
                          <w:t>8,458,730</w:t>
                        </w: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8"/>
                          <w:jc w:val="right"/>
                          <w:rPr>
                            <w:rFonts w:ascii="Times New Roman" w:hAnsi="Times New Roman" w:cs="Times New Roman" w:eastAsia="Times New Roman" w:hint="default"/>
                            <w:sz w:val="19"/>
                            <w:szCs w:val="19"/>
                          </w:rPr>
                        </w:pPr>
                        <w:r>
                          <w:rPr>
                            <w:rFonts w:ascii="Times New Roman"/>
                            <w:sz w:val="19"/>
                          </w:rPr>
                          <w:t>2019-11-2</w:t>
                        </w:r>
                      </w:p>
                    </w:tc>
                    <w:tc>
                      <w:tcPr>
                        <w:tcW w:w="1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right="0"/>
                          <w:jc w:val="right"/>
                          <w:rPr>
                            <w:rFonts w:ascii="宋体" w:hAnsi="宋体" w:cs="宋体" w:eastAsia="宋体" w:hint="default"/>
                            <w:sz w:val="19"/>
                            <w:szCs w:val="19"/>
                          </w:rPr>
                        </w:pPr>
                        <w:r>
                          <w:rPr>
                            <w:rFonts w:ascii="宋体" w:hAnsi="宋体" w:cs="宋体" w:eastAsia="宋体" w:hint="default"/>
                            <w:sz w:val="19"/>
                            <w:szCs w:val="19"/>
                          </w:rPr>
                          <w:t>预付租金</w:t>
                        </w:r>
                      </w:p>
                    </w:tc>
                  </w:tr>
                  <w:tr>
                    <w:trPr>
                      <w:trHeight w:val="345"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8"/>
                          <w:ind w:left="15" w:right="0"/>
                          <w:jc w:val="center"/>
                          <w:rPr>
                            <w:rFonts w:ascii="宋体" w:hAnsi="宋体" w:cs="宋体" w:eastAsia="宋体" w:hint="default"/>
                            <w:sz w:val="19"/>
                            <w:szCs w:val="19"/>
                          </w:rPr>
                        </w:pPr>
                        <w:r>
                          <w:rPr>
                            <w:rFonts w:ascii="宋体" w:hAnsi="宋体" w:cs="宋体" w:eastAsia="宋体" w:hint="default"/>
                            <w:b/>
                            <w:bCs/>
                            <w:spacing w:val="14"/>
                            <w:sz w:val="19"/>
                            <w:szCs w:val="19"/>
                          </w:rPr>
                          <w:t>合计</w:t>
                        </w:r>
                        <w:r>
                          <w:rPr>
                            <w:rFonts w:ascii="宋体" w:hAnsi="宋体" w:cs="宋体" w:eastAsia="宋体" w:hint="default"/>
                            <w:sz w:val="19"/>
                            <w:szCs w:val="19"/>
                          </w:rPr>
                        </w:r>
                      </w:p>
                    </w:tc>
                    <w:tc>
                      <w:tcPr>
                        <w:tcW w:w="1562" w:type="dxa"/>
                        <w:tcBorders>
                          <w:top w:val="single" w:sz="6" w:space="0" w:color="000000"/>
                          <w:left w:val="single" w:sz="6" w:space="0" w:color="000000"/>
                          <w:bottom w:val="single" w:sz="6" w:space="0" w:color="000000"/>
                          <w:right w:val="single" w:sz="6" w:space="0" w:color="000000"/>
                        </w:tcBorders>
                      </w:tcPr>
                      <w:p>
                        <w:pP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3"/>
                          <w:ind w:right="-5"/>
                          <w:jc w:val="right"/>
                          <w:rPr>
                            <w:rFonts w:ascii="Times New Roman" w:hAnsi="Times New Roman" w:cs="Times New Roman" w:eastAsia="Times New Roman" w:hint="default"/>
                            <w:sz w:val="19"/>
                            <w:szCs w:val="19"/>
                          </w:rPr>
                        </w:pPr>
                        <w:r>
                          <w:rPr>
                            <w:rFonts w:ascii="Times New Roman"/>
                            <w:b/>
                            <w:w w:val="105"/>
                            <w:sz w:val="19"/>
                          </w:rPr>
                          <w:t>53,935,360</w:t>
                        </w:r>
                        <w:r>
                          <w:rPr>
                            <w:rFonts w:ascii="Times New Roman"/>
                            <w:sz w:val="19"/>
                          </w:rPr>
                        </w:r>
                      </w:p>
                    </w:tc>
                    <w:tc>
                      <w:tcPr>
                        <w:tcW w:w="1217" w:type="dxa"/>
                        <w:tcBorders>
                          <w:top w:val="single" w:sz="6" w:space="0" w:color="000000"/>
                          <w:left w:val="single" w:sz="6" w:space="0" w:color="000000"/>
                          <w:bottom w:val="single" w:sz="6" w:space="0" w:color="000000"/>
                          <w:right w:val="single" w:sz="6" w:space="0" w:color="000000"/>
                        </w:tcBorders>
                      </w:tcPr>
                      <w:p>
                        <w:pPr/>
                      </w:p>
                    </w:tc>
                    <w:tc>
                      <w:tcPr>
                        <w:tcW w:w="1246" w:type="dxa"/>
                        <w:tcBorders>
                          <w:top w:val="single" w:sz="6" w:space="0" w:color="000000"/>
                          <w:left w:val="single" w:sz="6" w:space="0" w:color="000000"/>
                          <w:bottom w:val="single" w:sz="6" w:space="0" w:color="000000"/>
                          <w:right w:val="single" w:sz="6" w:space="0" w:color="000000"/>
                        </w:tcBorders>
                      </w:tcPr>
                      <w:p>
                        <w:pPr/>
                      </w:p>
                    </w:tc>
                  </w:tr>
                </w:tbl>
                <w:p>
                  <w:pPr/>
                </w:p>
              </w:txbxContent>
            </v:textbox>
            <w10:wrap type="none"/>
          </v:shape>
        </w:pict>
      </w:r>
      <w:bookmarkStart w:name="（2）按预付对象归集的期末余额前五名的预付款情况" w:id="224"/>
      <w:bookmarkEnd w:id="22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z w:val="21"/>
          <w:szCs w:val="21"/>
        </w:rPr>
        <w:t>于</w:t>
      </w:r>
      <w:r>
        <w:rPr>
          <w:rFonts w:ascii="Times New Roman" w:hAnsi="Times New Roman" w:cs="Times New Roman" w:eastAsia="Times New Roman" w:hint="default"/>
          <w:sz w:val="21"/>
          <w:szCs w:val="21"/>
        </w:rPr>
        <w:t>2019</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r>
        <w:rPr>
          <w:rFonts w:ascii="Times New Roman" w:hAnsi="Times New Roman" w:cs="Times New Roman" w:eastAsia="Times New Roman" w:hint="default"/>
          <w:sz w:val="21"/>
          <w:szCs w:val="21"/>
        </w:rPr>
        <w:t>31</w:t>
      </w:r>
      <w:r>
        <w:rPr>
          <w:rFonts w:ascii="宋体" w:hAnsi="宋体" w:cs="宋体" w:eastAsia="宋体" w:hint="default"/>
          <w:sz w:val="21"/>
          <w:szCs w:val="21"/>
        </w:rPr>
        <w:t>日，预付款项金额前五名如下</w:t>
      </w:r>
      <w:r>
        <w:rPr>
          <w:rFonts w:ascii="宋体" w:hAnsi="宋体" w:cs="宋体" w:eastAsia="宋体" w:hint="default"/>
          <w:sz w:val="24"/>
          <w:szCs w:val="24"/>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44"/>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5"/>
        <w:spacing w:line="240" w:lineRule="auto" w:before="35"/>
        <w:ind w:right="0"/>
        <w:jc w:val="left"/>
        <w:rPr>
          <w:b w:val="0"/>
          <w:bCs w:val="0"/>
        </w:rPr>
      </w:pPr>
      <w:bookmarkStart w:name="4、其他应收款" w:id="225"/>
      <w:bookmarkEnd w:id="225"/>
      <w:r>
        <w:rPr>
          <w:b w:val="0"/>
          <w:bCs w:val="0"/>
        </w:rPr>
      </w:r>
      <w:r>
        <w:rPr>
          <w:rFonts w:ascii="Times New Roman" w:hAnsi="Times New Roman" w:cs="Times New Roman" w:eastAsia="Times New Roman" w:hint="default"/>
        </w:rPr>
        <w:t>4</w:t>
      </w:r>
      <w:r>
        <w:rPr/>
        <w:t>、其他应收款</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166,797,914.00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183,712,070.00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166,797,914.00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183,712,070.00</w:t>
            </w:r>
          </w:p>
        </w:tc>
      </w:tr>
    </w:tbl>
    <w:p>
      <w:pPr>
        <w:spacing w:line="240" w:lineRule="auto" w:before="11"/>
        <w:rPr>
          <w:rFonts w:ascii="宋体" w:hAnsi="宋体" w:cs="宋体" w:eastAsia="宋体" w:hint="default"/>
          <w:sz w:val="19"/>
          <w:szCs w:val="19"/>
        </w:rPr>
      </w:pPr>
    </w:p>
    <w:p>
      <w:pPr>
        <w:pStyle w:val="Heading5"/>
        <w:spacing w:line="508" w:lineRule="auto" w:before="35"/>
        <w:ind w:right="7481"/>
        <w:jc w:val="left"/>
        <w:rPr>
          <w:b w:val="0"/>
          <w:bCs w:val="0"/>
        </w:rPr>
      </w:pPr>
      <w:bookmarkStart w:name="（1）其他应收款" w:id="226"/>
      <w:bookmarkEnd w:id="226"/>
      <w:r>
        <w:rPr>
          <w:b w:val="0"/>
          <w:bCs w:val="0"/>
        </w:rPr>
      </w:r>
      <w:r>
        <w:rPr/>
        <w:t>（</w:t>
      </w:r>
      <w:r>
        <w:rPr>
          <w:rFonts w:ascii="Times New Roman" w:hAnsi="Times New Roman" w:cs="Times New Roman" w:eastAsia="Times New Roman" w:hint="default"/>
        </w:rPr>
        <w:t>1</w:t>
      </w:r>
      <w:r>
        <w:rPr/>
        <w:t>）其他应收款</w:t>
      </w:r>
      <w:r>
        <w:rPr>
          <w:w w:val="99"/>
        </w:rPr>
        <w:t> </w:t>
      </w:r>
      <w:bookmarkStart w:name="1）其他应收款按款项性质分类情况" w:id="227"/>
      <w:bookmarkEnd w:id="227"/>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6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土地意向金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直营店营业款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20,451,495.00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49,969,095.00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89,023,051.00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72,811,147.00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18,890,831.00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17,053,906.00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个人借款及备用金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3,885,678.00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7,582,517.00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2,299,978.00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3,081,584.00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184,551,033.00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200,498,249.00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坏账准备计提情况" w:id="228"/>
      <w:bookmarkEnd w:id="228"/>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405"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6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9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7"/>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7"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60"/>
              <w:ind w:left="555"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9"/>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53"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67"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16,786,179.00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16,786,179.00</w:t>
            </w:r>
          </w:p>
        </w:tc>
      </w:tr>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73" w:lineRule="auto" w:before="60"/>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73"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1,236,292.00</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3,427,232.00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4,663,524.00</w:t>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3,696,584.00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3,696,584.00</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1,236,292.00</w:t>
            </w: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16,516,827.00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17,753,119.00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240" w:lineRule="auto" w:before="44"/>
        <w:ind w:right="-20"/>
        <w:jc w:val="left"/>
      </w:pPr>
      <w:r>
        <w:rPr/>
        <w:t>损失准备本期变动金额重大的账面余额变动情况</w:t>
      </w:r>
    </w:p>
    <w:p>
      <w:pPr>
        <w:pStyle w:val="BodyText"/>
        <w:spacing w:line="333" w:lineRule="auto" w:before="125"/>
        <w:ind w:right="159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3"/>
        <w:ind w:right="0"/>
        <w:jc w:val="left"/>
      </w:pPr>
      <w:r>
        <w:rPr/>
        <w:t>单位： 元</w:t>
      </w:r>
    </w:p>
    <w:p>
      <w:pPr>
        <w:spacing w:after="0" w:line="240" w:lineRule="auto"/>
        <w:jc w:val="left"/>
        <w:sectPr>
          <w:type w:val="continuous"/>
          <w:pgSz w:w="11910" w:h="16850"/>
          <w:pgMar w:top="1040" w:bottom="1180" w:left="1000" w:right="0"/>
          <w:cols w:num="2" w:equalWidth="0">
            <w:col w:w="3922" w:space="492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30"/>
              <w:jc w:val="center"/>
              <w:rPr>
                <w:rFonts w:ascii="宋体" w:hAnsi="宋体" w:cs="宋体" w:eastAsia="宋体" w:hint="default"/>
                <w:sz w:val="18"/>
                <w:szCs w:val="18"/>
              </w:rPr>
            </w:pPr>
            <w:r>
              <w:rPr>
                <w:rFonts w:ascii="宋体" w:hAnsi="宋体" w:cs="宋体" w:eastAsia="宋体" w:hint="default"/>
                <w:sz w:val="18"/>
                <w:szCs w:val="18"/>
              </w:rPr>
              <w:t>账面余额</w:t>
            </w:r>
          </w:p>
        </w:tc>
      </w:tr>
    </w:tbl>
    <w:p>
      <w:pPr>
        <w:spacing w:after="0" w:line="240" w:lineRule="auto"/>
        <w:jc w:val="center"/>
        <w:rPr>
          <w:rFonts w:ascii="宋体" w:hAnsi="宋体" w:cs="宋体" w:eastAsia="宋体"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4784"/>
        <w:gridCol w:w="4798"/>
      </w:tblGrid>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69,278,908.00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40,319,599.00</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15,868,821.00</w:t>
            </w:r>
          </w:p>
        </w:tc>
      </w:tr>
      <w:tr>
        <w:trPr>
          <w:trHeight w:val="405"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59,083,705.00</w:t>
            </w:r>
          </w:p>
        </w:tc>
      </w:tr>
      <w:tr>
        <w:trPr>
          <w:trHeight w:val="406"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59,083,705.00</w:t>
            </w:r>
          </w:p>
        </w:tc>
      </w:tr>
      <w:tr>
        <w:trPr>
          <w:trHeight w:val="390" w:hRule="exact"/>
        </w:trPr>
        <w:tc>
          <w:tcPr>
            <w:tcW w:w="47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184,551,033.00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本期计提、收回或转回的坏账准备情况" w:id="229"/>
      <w:bookmarkEnd w:id="229"/>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0"/>
        <w:jc w:val="left"/>
      </w:pPr>
      <w:r>
        <w:rPr/>
        <w:t>本期计提坏账准备情况：</w:t>
      </w:r>
    </w:p>
    <w:p>
      <w:pPr>
        <w:pStyle w:val="BodyText"/>
        <w:spacing w:line="240" w:lineRule="auto" w:before="12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412"/>
        <w:gridCol w:w="1112"/>
        <w:gridCol w:w="1186"/>
        <w:gridCol w:w="1307"/>
        <w:gridCol w:w="1096"/>
        <w:gridCol w:w="1742"/>
        <w:gridCol w:w="1727"/>
      </w:tblGrid>
      <w:tr>
        <w:trPr>
          <w:trHeight w:val="405"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1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1"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496"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12" w:type="dxa"/>
            <w:vMerge/>
            <w:tcBorders>
              <w:left w:val="single" w:sz="6" w:space="0" w:color="000000"/>
              <w:bottom w:val="single" w:sz="6" w:space="0" w:color="000000"/>
              <w:right w:val="single" w:sz="6" w:space="0" w:color="000000"/>
            </w:tcBorders>
            <w:shd w:val="clear" w:color="auto" w:fill="D2D2D2"/>
          </w:tcPr>
          <w:p>
            <w:pP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74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其他</w:t>
            </w:r>
          </w:p>
        </w:tc>
        <w:tc>
          <w:tcPr>
            <w:tcW w:w="172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412" w:type="dxa"/>
            <w:tcBorders>
              <w:top w:val="single" w:sz="6" w:space="0" w:color="000000"/>
              <w:left w:val="single" w:sz="6" w:space="0" w:color="000000"/>
              <w:bottom w:val="single" w:sz="6" w:space="0" w:color="000000"/>
              <w:right w:val="single" w:sz="6" w:space="0" w:color="000000"/>
            </w:tcBorders>
          </w:tcPr>
          <w:p>
            <w:pP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16,786,179.00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4,663,524.00</w:t>
            </w:r>
          </w:p>
        </w:tc>
        <w:tc>
          <w:tcPr>
            <w:tcW w:w="1307"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4" w:right="0"/>
              <w:jc w:val="center"/>
              <w:rPr>
                <w:rFonts w:ascii="Times New Roman" w:hAnsi="Times New Roman" w:cs="Times New Roman" w:eastAsia="Times New Roman" w:hint="default"/>
                <w:sz w:val="18"/>
                <w:szCs w:val="18"/>
              </w:rPr>
            </w:pPr>
            <w:r>
              <w:rPr>
                <w:rFonts w:ascii="Times New Roman"/>
                <w:sz w:val="18"/>
              </w:rPr>
              <w:t>3,696,584.00</w:t>
            </w:r>
          </w:p>
        </w:tc>
        <w:tc>
          <w:tcPr>
            <w:tcW w:w="1742"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17,753,119.00</w:t>
            </w:r>
          </w:p>
        </w:tc>
      </w:tr>
      <w:tr>
        <w:trPr>
          <w:trHeight w:val="390"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16,786,179.00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4,663,524.00</w:t>
            </w:r>
          </w:p>
        </w:tc>
        <w:tc>
          <w:tcPr>
            <w:tcW w:w="1307"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4" w:right="0"/>
              <w:jc w:val="center"/>
              <w:rPr>
                <w:rFonts w:ascii="Times New Roman" w:hAnsi="Times New Roman" w:cs="Times New Roman" w:eastAsia="Times New Roman" w:hint="default"/>
                <w:sz w:val="18"/>
                <w:szCs w:val="18"/>
              </w:rPr>
            </w:pPr>
            <w:r>
              <w:rPr>
                <w:rFonts w:ascii="Times New Roman"/>
                <w:sz w:val="18"/>
              </w:rPr>
              <w:t>3,696,584.00</w:t>
            </w:r>
          </w:p>
        </w:tc>
        <w:tc>
          <w:tcPr>
            <w:tcW w:w="1742" w:type="dxa"/>
            <w:tcBorders>
              <w:top w:val="single" w:sz="6" w:space="0" w:color="000000"/>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17,753,119.00</w:t>
            </w:r>
          </w:p>
        </w:tc>
      </w:tr>
    </w:tbl>
    <w:p>
      <w:pPr>
        <w:pStyle w:val="BodyText"/>
        <w:spacing w:line="302" w:lineRule="auto" w:before="15"/>
        <w:ind w:right="0"/>
        <w:jc w:val="left"/>
      </w:pPr>
      <w:r>
        <w:rPr>
          <w:rFonts w:ascii="Times New Roman" w:hAnsi="Times New Roman" w:cs="Times New Roman" w:eastAsia="Times New Roman" w:hint="default"/>
          <w:spacing w:val="-1"/>
        </w:rPr>
        <w:t>2019</w:t>
      </w:r>
      <w:r>
        <w:rPr>
          <w:spacing w:val="-1"/>
        </w:rPr>
        <w:t>年计提坏账准备人民币</w:t>
      </w:r>
      <w:r>
        <w:rPr>
          <w:rFonts w:ascii="Times New Roman" w:hAnsi="Times New Roman" w:cs="Times New Roman" w:eastAsia="Times New Roman" w:hint="default"/>
          <w:spacing w:val="-1"/>
        </w:rPr>
        <w:t>17,644,757</w:t>
      </w:r>
      <w:r>
        <w:rPr>
          <w:spacing w:val="-1"/>
        </w:rPr>
        <w:t>元</w:t>
      </w:r>
      <w:r>
        <w:rPr>
          <w:rFonts w:ascii="Times New Roman" w:hAnsi="Times New Roman" w:cs="Times New Roman" w:eastAsia="Times New Roman" w:hint="default"/>
          <w:spacing w:val="-1"/>
        </w:rPr>
        <w:t>(2018</w:t>
      </w:r>
      <w:r>
        <w:rPr>
          <w:spacing w:val="-1"/>
        </w:rPr>
        <w:t>年：无</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2019</w:t>
      </w:r>
      <w:r>
        <w:rPr>
          <w:spacing w:val="-1"/>
        </w:rPr>
        <w:t>年未转回坏账准备</w:t>
      </w:r>
      <w:r>
        <w:rPr>
          <w:rFonts w:ascii="Times New Roman" w:hAnsi="Times New Roman" w:cs="Times New Roman" w:eastAsia="Times New Roman" w:hint="default"/>
          <w:spacing w:val="-1"/>
        </w:rPr>
        <w:t>(2018</w:t>
      </w:r>
      <w:r>
        <w:rPr>
          <w:spacing w:val="-1"/>
        </w:rPr>
        <w:t>年：人民币</w:t>
      </w:r>
      <w:r>
        <w:rPr>
          <w:rFonts w:ascii="Times New Roman" w:hAnsi="Times New Roman" w:cs="Times New Roman" w:eastAsia="Times New Roman" w:hint="default"/>
          <w:spacing w:val="-1"/>
        </w:rPr>
        <w:t>4,159,281</w:t>
      </w:r>
      <w:r>
        <w:rPr>
          <w:spacing w:val="-1"/>
        </w:rPr>
        <w:t>元</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2019</w:t>
      </w:r>
      <w:r>
        <w:rPr>
          <w:spacing w:val="-1"/>
        </w:rPr>
        <w:t>年核销坏</w:t>
      </w:r>
      <w:r>
        <w:rPr>
          <w:spacing w:val="-68"/>
        </w:rPr>
        <w:t> </w:t>
      </w:r>
      <w:r>
        <w:rPr/>
        <w:t>账准备人民币</w:t>
      </w:r>
      <w:r>
        <w:rPr>
          <w:rFonts w:ascii="Times New Roman" w:hAnsi="Times New Roman" w:cs="Times New Roman" w:eastAsia="Times New Roman" w:hint="default"/>
        </w:rPr>
        <w:t>14,842,740</w:t>
      </w:r>
      <w:r>
        <w:rPr/>
        <w:t>元</w:t>
      </w:r>
      <w:r>
        <w:rPr>
          <w:rFonts w:ascii="Times New Roman" w:hAnsi="Times New Roman" w:cs="Times New Roman" w:eastAsia="Times New Roman" w:hint="default"/>
        </w:rPr>
        <w:t>(2018</w:t>
      </w:r>
      <w:r>
        <w:rPr/>
        <w:t>年：人民币</w:t>
      </w:r>
      <w:r>
        <w:rPr>
          <w:rFonts w:ascii="Times New Roman" w:hAnsi="Times New Roman" w:cs="Times New Roman" w:eastAsia="Times New Roman" w:hint="default"/>
        </w:rPr>
        <w:t>198,884</w:t>
      </w:r>
      <w:r>
        <w:rPr/>
        <w:t>元</w:t>
      </w:r>
      <w:r>
        <w:rPr>
          <w:rFonts w:ascii="Times New Roman" w:hAnsi="Times New Roman" w:cs="Times New Roman" w:eastAsia="Times New Roman" w:hint="default"/>
        </w:rPr>
        <w:t>)</w:t>
      </w:r>
      <w:r>
        <w:rPr/>
        <w:t>。</w:t>
      </w:r>
    </w:p>
    <w:p>
      <w:pPr>
        <w:pStyle w:val="Heading3"/>
        <w:spacing w:line="273" w:lineRule="exact"/>
        <w:ind w:right="0"/>
        <w:jc w:val="left"/>
      </w:pPr>
      <w:r>
        <w:rPr/>
        <w:t>其中本期坏账准备转回或收回金额重要的：</w:t>
      </w:r>
    </w:p>
    <w:p>
      <w:pPr>
        <w:pStyle w:val="BodyText"/>
        <w:spacing w:line="240" w:lineRule="auto" w:before="8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4）本期实际核销的其他应收款情况" w:id="230"/>
      <w:bookmarkEnd w:id="230"/>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5"/>
        <w:ind w:right="0"/>
        <w:jc w:val="left"/>
      </w:pPr>
      <w:r>
        <w:rPr/>
        <w:t>其中重要的其他应收款核销情况：</w:t>
      </w:r>
    </w:p>
    <w:p>
      <w:pPr>
        <w:pStyle w:val="BodyText"/>
        <w:spacing w:line="240" w:lineRule="auto" w:before="10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525"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4"/>
        <w:ind w:right="0"/>
        <w:jc w:val="left"/>
      </w:pPr>
      <w:r>
        <w:rPr/>
        <w:t>其他应收款核销说明：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5）按欠款方归集的期末余额前五名的其他应收款情况" w:id="231"/>
      <w:bookmarkEnd w:id="231"/>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21"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4"/>
              <w:jc w:val="center"/>
              <w:rPr>
                <w:rFonts w:ascii="宋体" w:hAnsi="宋体" w:cs="宋体" w:eastAsia="宋体" w:hint="default"/>
                <w:sz w:val="18"/>
                <w:szCs w:val="18"/>
              </w:rPr>
            </w:pPr>
            <w:r>
              <w:rPr>
                <w:rFonts w:ascii="宋体" w:hAnsi="宋体" w:cs="宋体" w:eastAsia="宋体" w:hint="default"/>
                <w:sz w:val="18"/>
                <w:szCs w:val="18"/>
              </w:rPr>
              <w:t>账龄</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5" w:right="6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土地意向金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525" w:right="0"/>
              <w:jc w:val="left"/>
              <w:rPr>
                <w:rFonts w:ascii="Times New Roman" w:hAnsi="Times New Roman" w:cs="Times New Roman" w:eastAsia="Times New Roman" w:hint="default"/>
                <w:sz w:val="18"/>
                <w:szCs w:val="18"/>
              </w:rPr>
            </w:pPr>
            <w:r>
              <w:rPr>
                <w:rFonts w:ascii="Times New Roman"/>
                <w:sz w:val="18"/>
              </w:rPr>
              <w:t>50,000,000.00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20" w:right="0"/>
              <w:jc w:val="left"/>
              <w:rPr>
                <w:rFonts w:ascii="Times New Roman" w:hAnsi="Times New Roman" w:cs="Times New Roman" w:eastAsia="Times New Roman" w:hint="default"/>
                <w:sz w:val="18"/>
                <w:szCs w:val="18"/>
              </w:rPr>
            </w:pPr>
            <w:r>
              <w:rPr>
                <w:rFonts w:ascii="Times New Roman"/>
                <w:sz w:val="18"/>
              </w:rPr>
              <w:t>27.09%</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15,895,020.00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8.61%</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8.13%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15,000,000.00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w w:val="95"/>
                <w:sz w:val="18"/>
              </w:rPr>
              <w:t>8.13%</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13,500,000.00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w w:val="95"/>
                <w:sz w:val="18"/>
              </w:rPr>
              <w:t>7.32%</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109,395,020.00</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w w:val="95"/>
                <w:sz w:val="18"/>
              </w:rPr>
              <w:t>59.28%</w:t>
            </w:r>
            <w:r>
              <w:rPr>
                <w:rFonts w:ascii="Times New Roman"/>
                <w:sz w:val="18"/>
              </w:rPr>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6）涉及政府补助的应收款项" w:id="232"/>
      <w:bookmarkEnd w:id="232"/>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72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0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691" w:right="45"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7）因金融资产转移而终止确认的其他应收款" w:id="233"/>
      <w:bookmarkEnd w:id="233"/>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8）转移其他应收款且继续涉入形成的资产、负债金额" w:id="234"/>
      <w:bookmarkEnd w:id="234"/>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5、存货" w:id="235"/>
      <w:bookmarkEnd w:id="235"/>
      <w:r>
        <w:rPr>
          <w:b w:val="0"/>
          <w:bCs w:val="0"/>
        </w:rPr>
      </w:r>
      <w:r>
        <w:rPr>
          <w:rFonts w:ascii="Times New Roman" w:hAnsi="Times New Roman" w:cs="Times New Roman" w:eastAsia="Times New Roman" w:hint="default"/>
        </w:rPr>
        <w:t>5</w:t>
      </w:r>
      <w:r>
        <w:rPr/>
        <w:t>、存货</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是否已执行新收入准则</w:t>
      </w:r>
    </w:p>
    <w:p>
      <w:pPr>
        <w:pStyle w:val="BodyText"/>
        <w:spacing w:line="240" w:lineRule="auto" w:before="12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1）存货分类" w:id="236"/>
      <w:bookmarkEnd w:id="236"/>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82"/>
        <w:gridCol w:w="1367"/>
        <w:gridCol w:w="1366"/>
        <w:gridCol w:w="1367"/>
        <w:gridCol w:w="1367"/>
      </w:tblGrid>
      <w:tr>
        <w:trPr>
          <w:trHeight w:val="405"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15"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10,566,901.00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3,937,980.00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6,628,921.00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16,760,018.00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1,532,021.00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15,227,997.00</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2,495,556,528.00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451,453,581.00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1"/>
              <w:jc w:val="right"/>
              <w:rPr>
                <w:rFonts w:ascii="Times New Roman" w:hAnsi="Times New Roman" w:cs="Times New Roman" w:eastAsia="Times New Roman" w:hint="default"/>
                <w:sz w:val="18"/>
                <w:szCs w:val="18"/>
              </w:rPr>
            </w:pPr>
            <w:r>
              <w:rPr>
                <w:rFonts w:ascii="Times New Roman"/>
                <w:sz w:val="18"/>
              </w:rPr>
              <w:t>2,044,102,947.00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2,777,763,015.00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446,037,961.00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2,331,725,054.00</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周转材料</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1,814,884.00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1,814,884.00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1,868,157.00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1,868,157.00</w:t>
            </w: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2,507,938,313.00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455,391,561.00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2,052,546,752.00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2,796,391,190.00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447,569,982.00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2,348,821,208.00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存货跌价准备" w:id="237"/>
      <w:bookmarkEnd w:id="237"/>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26"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11"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0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1,532,021.00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2,405,959.00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3,937,980.00</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446,037,961.00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220,874,645.00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215,459,025.00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451,453,581.00</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447,569,982.00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223,280,604.00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215,459,025.00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455,391,561.00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存货期末余额含有借款费用资本化金额的说明" w:id="238"/>
      <w:bookmarkEnd w:id="238"/>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4）期末建造合同形成的已完工未结算资产情况" w:id="239"/>
      <w:bookmarkEnd w:id="239"/>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3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6、一年内到期的非流动资产" w:id="240"/>
      <w:bookmarkEnd w:id="240"/>
      <w:r>
        <w:rPr>
          <w:b w:val="0"/>
          <w:bCs w:val="0"/>
        </w:rPr>
      </w:r>
      <w:r>
        <w:rPr>
          <w:rFonts w:ascii="Times New Roman" w:hAnsi="Times New Roman" w:cs="Times New Roman" w:eastAsia="Times New Roman" w:hint="default"/>
        </w:rPr>
        <w:t>6</w:t>
      </w:r>
      <w:r>
        <w:rPr/>
        <w:t>、一年内到期的非流动资产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加盟商经营性资金支持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208,279,318.00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208,279,318.00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9"/>
        <w:ind w:right="0"/>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81"/>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961"/>
        <w:gridCol w:w="946"/>
        <w:gridCol w:w="962"/>
        <w:gridCol w:w="961"/>
        <w:gridCol w:w="961"/>
        <w:gridCol w:w="946"/>
        <w:gridCol w:w="961"/>
        <w:gridCol w:w="961"/>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85"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20"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6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5"/>
        <w:ind w:right="0"/>
        <w:jc w:val="left"/>
      </w:pPr>
      <w:r>
        <w:rPr/>
        <w:t>其他说明：</w:t>
      </w:r>
    </w:p>
    <w:p>
      <w:pPr>
        <w:pStyle w:val="Heading3"/>
        <w:spacing w:line="300" w:lineRule="exact" w:before="110"/>
        <w:ind w:right="0"/>
        <w:jc w:val="left"/>
      </w:pPr>
      <w:r>
        <w:rPr/>
        <w:t>一年内到期的非流动资产按照</w:t>
      </w:r>
      <w:r>
        <w:rPr>
          <w:rFonts w:ascii="Times New Roman" w:hAnsi="Times New Roman" w:cs="Times New Roman" w:eastAsia="Times New Roman" w:hint="default"/>
        </w:rPr>
        <w:t>12</w:t>
      </w:r>
      <w:r>
        <w:rPr/>
        <w:t>个月预期信用损失及整个存续期预期信用损失分别计提的坏</w:t>
      </w:r>
      <w:r>
        <w:rPr>
          <w:spacing w:val="-93"/>
        </w:rPr>
        <w:t> </w:t>
      </w:r>
      <w:r>
        <w:rPr>
          <w:spacing w:val="-93"/>
        </w:rPr>
      </w:r>
      <w:r>
        <w:rPr/>
        <w:t>账准备的变动如下：</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1"/>
          <w:szCs w:val="11"/>
        </w:rPr>
      </w:pPr>
    </w:p>
    <w:tbl>
      <w:tblPr>
        <w:tblW w:w="0" w:type="auto"/>
        <w:jc w:val="left"/>
        <w:tblInd w:w="126" w:type="dxa"/>
        <w:tblLayout w:type="fixed"/>
        <w:tblCellMar>
          <w:top w:w="0" w:type="dxa"/>
          <w:left w:w="0" w:type="dxa"/>
          <w:bottom w:w="0" w:type="dxa"/>
          <w:right w:w="0" w:type="dxa"/>
        </w:tblCellMar>
        <w:tblLook w:val="01E0"/>
      </w:tblPr>
      <w:tblGrid>
        <w:gridCol w:w="2095"/>
        <w:gridCol w:w="1479"/>
        <w:gridCol w:w="1674"/>
        <w:gridCol w:w="1720"/>
        <w:gridCol w:w="1532"/>
      </w:tblGrid>
      <w:tr>
        <w:trPr>
          <w:trHeight w:val="254" w:hRule="exact"/>
        </w:trPr>
        <w:tc>
          <w:tcPr>
            <w:tcW w:w="2095" w:type="dxa"/>
            <w:tcBorders>
              <w:top w:val="nil" w:sz="6" w:space="0" w:color="auto"/>
              <w:left w:val="nil" w:sz="6" w:space="0" w:color="auto"/>
              <w:bottom w:val="single" w:sz="6" w:space="0" w:color="000000"/>
              <w:right w:val="nil" w:sz="6" w:space="0" w:color="auto"/>
            </w:tcBorders>
          </w:tcPr>
          <w:p>
            <w:pPr/>
          </w:p>
        </w:tc>
        <w:tc>
          <w:tcPr>
            <w:tcW w:w="1479" w:type="dxa"/>
            <w:tcBorders>
              <w:top w:val="nil" w:sz="6" w:space="0" w:color="auto"/>
              <w:left w:val="nil" w:sz="6" w:space="0" w:color="auto"/>
              <w:bottom w:val="single" w:sz="6" w:space="0" w:color="000000"/>
              <w:right w:val="nil" w:sz="6" w:space="0" w:color="auto"/>
            </w:tcBorders>
          </w:tcPr>
          <w:p>
            <w:pPr>
              <w:pStyle w:val="TableParagraph"/>
              <w:spacing w:line="164" w:lineRule="exact"/>
              <w:ind w:right="254"/>
              <w:jc w:val="right"/>
              <w:rPr>
                <w:rFonts w:ascii="宋体" w:hAnsi="宋体" w:cs="宋体" w:eastAsia="宋体" w:hint="default"/>
                <w:sz w:val="16"/>
                <w:szCs w:val="16"/>
              </w:rPr>
            </w:pPr>
            <w:r>
              <w:rPr>
                <w:rFonts w:ascii="宋体" w:hAnsi="宋体" w:cs="宋体" w:eastAsia="宋体" w:hint="default"/>
                <w:sz w:val="16"/>
                <w:szCs w:val="16"/>
              </w:rPr>
              <w:t>第一阶段</w:t>
            </w:r>
          </w:p>
        </w:tc>
        <w:tc>
          <w:tcPr>
            <w:tcW w:w="1674" w:type="dxa"/>
            <w:tcBorders>
              <w:top w:val="nil" w:sz="6" w:space="0" w:color="auto"/>
              <w:left w:val="nil" w:sz="6" w:space="0" w:color="auto"/>
              <w:bottom w:val="single" w:sz="6" w:space="0" w:color="000000"/>
              <w:right w:val="nil" w:sz="6" w:space="0" w:color="auto"/>
            </w:tcBorders>
          </w:tcPr>
          <w:p>
            <w:pPr>
              <w:pStyle w:val="TableParagraph"/>
              <w:spacing w:line="164" w:lineRule="exact"/>
              <w:ind w:right="262"/>
              <w:jc w:val="right"/>
              <w:rPr>
                <w:rFonts w:ascii="宋体" w:hAnsi="宋体" w:cs="宋体" w:eastAsia="宋体" w:hint="default"/>
                <w:sz w:val="16"/>
                <w:szCs w:val="16"/>
              </w:rPr>
            </w:pPr>
            <w:r>
              <w:rPr>
                <w:rFonts w:ascii="宋体" w:hAnsi="宋体" w:cs="宋体" w:eastAsia="宋体" w:hint="default"/>
                <w:sz w:val="16"/>
                <w:szCs w:val="16"/>
              </w:rPr>
              <w:t>第二阶段</w:t>
            </w:r>
          </w:p>
        </w:tc>
        <w:tc>
          <w:tcPr>
            <w:tcW w:w="1720" w:type="dxa"/>
            <w:tcBorders>
              <w:top w:val="nil" w:sz="6" w:space="0" w:color="auto"/>
              <w:left w:val="nil" w:sz="6" w:space="0" w:color="auto"/>
              <w:bottom w:val="single" w:sz="6" w:space="0" w:color="000000"/>
              <w:right w:val="nil" w:sz="6" w:space="0" w:color="auto"/>
            </w:tcBorders>
          </w:tcPr>
          <w:p>
            <w:pPr>
              <w:pStyle w:val="TableParagraph"/>
              <w:spacing w:line="164" w:lineRule="exact"/>
              <w:ind w:right="298"/>
              <w:jc w:val="right"/>
              <w:rPr>
                <w:rFonts w:ascii="宋体" w:hAnsi="宋体" w:cs="宋体" w:eastAsia="宋体" w:hint="default"/>
                <w:sz w:val="16"/>
                <w:szCs w:val="16"/>
              </w:rPr>
            </w:pPr>
            <w:r>
              <w:rPr>
                <w:rFonts w:ascii="宋体" w:hAnsi="宋体" w:cs="宋体" w:eastAsia="宋体" w:hint="default"/>
                <w:sz w:val="16"/>
                <w:szCs w:val="16"/>
              </w:rPr>
              <w:t>第三阶段</w:t>
            </w:r>
          </w:p>
        </w:tc>
        <w:tc>
          <w:tcPr>
            <w:tcW w:w="1532" w:type="dxa"/>
            <w:tcBorders>
              <w:top w:val="nil" w:sz="6" w:space="0" w:color="auto"/>
              <w:left w:val="nil" w:sz="6" w:space="0" w:color="auto"/>
              <w:bottom w:val="single" w:sz="6" w:space="0" w:color="000000"/>
              <w:right w:val="nil" w:sz="6" w:space="0" w:color="auto"/>
            </w:tcBorders>
          </w:tcPr>
          <w:p>
            <w:pPr>
              <w:pStyle w:val="TableParagraph"/>
              <w:spacing w:line="164" w:lineRule="exact"/>
              <w:ind w:right="133"/>
              <w:jc w:val="right"/>
              <w:rPr>
                <w:rFonts w:ascii="宋体" w:hAnsi="宋体" w:cs="宋体" w:eastAsia="宋体" w:hint="default"/>
                <w:sz w:val="16"/>
                <w:szCs w:val="16"/>
              </w:rPr>
            </w:pPr>
            <w:r>
              <w:rPr>
                <w:rFonts w:ascii="宋体" w:hAnsi="宋体" w:cs="宋体" w:eastAsia="宋体" w:hint="default"/>
                <w:sz w:val="16"/>
                <w:szCs w:val="16"/>
              </w:rPr>
              <w:t>合计</w:t>
            </w:r>
          </w:p>
        </w:tc>
      </w:tr>
      <w:tr>
        <w:trPr>
          <w:trHeight w:val="976" w:hRule="exact"/>
        </w:trPr>
        <w:tc>
          <w:tcPr>
            <w:tcW w:w="2095" w:type="dxa"/>
            <w:tcBorders>
              <w:top w:val="single" w:sz="6" w:space="0" w:color="000000"/>
              <w:left w:val="nil" w:sz="6" w:space="0" w:color="auto"/>
              <w:bottom w:val="single" w:sz="6" w:space="0" w:color="000000"/>
              <w:right w:val="nil" w:sz="6" w:space="0" w:color="auto"/>
            </w:tcBorders>
          </w:tcPr>
          <w:p>
            <w:pPr>
              <w:pStyle w:val="TableParagraph"/>
              <w:spacing w:line="240" w:lineRule="auto" w:before="38"/>
              <w:ind w:right="202"/>
              <w:jc w:val="right"/>
              <w:rPr>
                <w:rFonts w:ascii="宋体" w:hAnsi="宋体" w:cs="宋体" w:eastAsia="宋体" w:hint="default"/>
                <w:sz w:val="16"/>
                <w:szCs w:val="16"/>
              </w:rPr>
            </w:pPr>
            <w:r>
              <w:rPr>
                <w:rFonts w:ascii="宋体" w:hAnsi="宋体"/>
                <w:w w:val="103"/>
                <w:sz w:val="16"/>
              </w:rPr>
              <w:t>·</w:t>
            </w:r>
            <w:r>
              <w:rPr>
                <w:rFonts w:ascii="宋体" w:hAnsi="宋体"/>
                <w:sz w:val="16"/>
              </w:rPr>
            </w:r>
          </w:p>
        </w:tc>
        <w:tc>
          <w:tcPr>
            <w:tcW w:w="1479" w:type="dxa"/>
            <w:tcBorders>
              <w:top w:val="single" w:sz="6" w:space="0" w:color="000000"/>
              <w:left w:val="nil" w:sz="6" w:space="0" w:color="auto"/>
              <w:bottom w:val="single" w:sz="6" w:space="0" w:color="000000"/>
              <w:right w:val="nil" w:sz="6" w:space="0" w:color="auto"/>
            </w:tcBorders>
          </w:tcPr>
          <w:p>
            <w:pPr>
              <w:pStyle w:val="TableParagraph"/>
              <w:spacing w:line="240" w:lineRule="auto" w:before="38"/>
              <w:ind w:left="202" w:right="0"/>
              <w:jc w:val="left"/>
              <w:rPr>
                <w:rFonts w:ascii="宋体" w:hAnsi="宋体" w:cs="宋体" w:eastAsia="宋体" w:hint="default"/>
                <w:sz w:val="16"/>
                <w:szCs w:val="16"/>
              </w:rPr>
            </w:pPr>
            <w:r>
              <w:rPr>
                <w:rFonts w:ascii="宋体" w:hAnsi="宋体" w:cs="宋体" w:eastAsia="宋体" w:hint="default"/>
                <w:w w:val="105"/>
                <w:sz w:val="16"/>
                <w:szCs w:val="16"/>
              </w:rPr>
              <w:t>· </w:t>
            </w:r>
            <w:r>
              <w:rPr>
                <w:rFonts w:ascii="宋体" w:hAnsi="宋体" w:cs="宋体" w:eastAsia="宋体" w:hint="default"/>
                <w:spacing w:val="11"/>
                <w:w w:val="105"/>
                <w:sz w:val="16"/>
                <w:szCs w:val="16"/>
              </w:rPr>
              <w:t> </w:t>
            </w:r>
            <w:r>
              <w:rPr>
                <w:rFonts w:ascii="宋体" w:hAnsi="宋体" w:cs="宋体" w:eastAsia="宋体" w:hint="default"/>
                <w:w w:val="105"/>
                <w:sz w:val="16"/>
                <w:szCs w:val="16"/>
              </w:rPr>
              <w:t>未来</w:t>
            </w:r>
            <w:r>
              <w:rPr>
                <w:rFonts w:ascii="Times New Roman" w:hAnsi="Times New Roman" w:cs="Times New Roman" w:eastAsia="Times New Roman" w:hint="default"/>
                <w:w w:val="105"/>
                <w:sz w:val="16"/>
                <w:szCs w:val="16"/>
              </w:rPr>
              <w:t>12</w:t>
            </w:r>
            <w:r>
              <w:rPr>
                <w:rFonts w:ascii="宋体" w:hAnsi="宋体" w:cs="宋体" w:eastAsia="宋体" w:hint="default"/>
                <w:w w:val="105"/>
                <w:sz w:val="16"/>
                <w:szCs w:val="16"/>
              </w:rPr>
              <w:t>个</w:t>
            </w:r>
            <w:r>
              <w:rPr>
                <w:rFonts w:ascii="宋体" w:hAnsi="宋体" w:cs="宋体" w:eastAsia="宋体" w:hint="default"/>
                <w:sz w:val="16"/>
                <w:szCs w:val="16"/>
              </w:rPr>
            </w:r>
          </w:p>
          <w:p>
            <w:pPr>
              <w:pStyle w:val="TableParagraph"/>
              <w:spacing w:line="362" w:lineRule="auto" w:before="78"/>
              <w:ind w:left="247" w:right="254" w:firstLine="795"/>
              <w:jc w:val="left"/>
              <w:rPr>
                <w:rFonts w:ascii="宋体" w:hAnsi="宋体" w:cs="宋体" w:eastAsia="宋体" w:hint="default"/>
                <w:sz w:val="16"/>
                <w:szCs w:val="16"/>
              </w:rPr>
            </w:pPr>
            <w:r>
              <w:rPr>
                <w:rFonts w:ascii="宋体" w:hAnsi="宋体" w:cs="宋体" w:eastAsia="宋体" w:hint="default"/>
                <w:w w:val="105"/>
                <w:sz w:val="16"/>
                <w:szCs w:val="16"/>
              </w:rPr>
              <w:t>月</w:t>
            </w:r>
            <w:r>
              <w:rPr>
                <w:rFonts w:ascii="宋体" w:hAnsi="宋体" w:cs="宋体" w:eastAsia="宋体" w:hint="default"/>
                <w:w w:val="103"/>
                <w:sz w:val="16"/>
                <w:szCs w:val="16"/>
              </w:rPr>
              <w:t> </w:t>
            </w:r>
            <w:r>
              <w:rPr>
                <w:rFonts w:ascii="宋体" w:hAnsi="宋体" w:cs="宋体" w:eastAsia="宋体" w:hint="default"/>
                <w:spacing w:val="-3"/>
                <w:sz w:val="16"/>
                <w:szCs w:val="16"/>
              </w:rPr>
              <w:t>预期信用损失</w:t>
            </w:r>
          </w:p>
        </w:tc>
        <w:tc>
          <w:tcPr>
            <w:tcW w:w="1674" w:type="dxa"/>
            <w:tcBorders>
              <w:top w:val="single" w:sz="6" w:space="0" w:color="000000"/>
              <w:left w:val="nil" w:sz="6" w:space="0" w:color="auto"/>
              <w:bottom w:val="single" w:sz="6" w:space="0" w:color="000000"/>
              <w:right w:val="nil" w:sz="6" w:space="0" w:color="auto"/>
            </w:tcBorders>
          </w:tcPr>
          <w:p>
            <w:pPr>
              <w:pStyle w:val="TableParagraph"/>
              <w:spacing w:line="343" w:lineRule="auto" w:before="38"/>
              <w:ind w:left="450" w:right="246" w:hanging="196"/>
              <w:jc w:val="left"/>
              <w:rPr>
                <w:rFonts w:ascii="宋体" w:hAnsi="宋体" w:cs="宋体" w:eastAsia="宋体" w:hint="default"/>
                <w:sz w:val="16"/>
                <w:szCs w:val="16"/>
              </w:rPr>
            </w:pPr>
            <w:r>
              <w:rPr>
                <w:rFonts w:ascii="宋体" w:hAnsi="宋体" w:cs="宋体" w:eastAsia="宋体" w:hint="default"/>
                <w:w w:val="105"/>
                <w:sz w:val="16"/>
                <w:szCs w:val="16"/>
              </w:rPr>
              <w:t>·</w:t>
            </w:r>
            <w:r>
              <w:rPr>
                <w:rFonts w:ascii="宋体" w:hAnsi="宋体" w:cs="宋体" w:eastAsia="宋体" w:hint="default"/>
                <w:spacing w:val="9"/>
                <w:w w:val="105"/>
                <w:sz w:val="16"/>
                <w:szCs w:val="16"/>
              </w:rPr>
              <w:t> </w:t>
            </w:r>
            <w:r>
              <w:rPr>
                <w:rFonts w:ascii="宋体" w:hAnsi="宋体" w:cs="宋体" w:eastAsia="宋体" w:hint="default"/>
                <w:spacing w:val="-3"/>
                <w:w w:val="105"/>
                <w:sz w:val="16"/>
                <w:szCs w:val="16"/>
              </w:rPr>
              <w:t>整个存续期</w:t>
            </w:r>
            <w:r>
              <w:rPr>
                <w:rFonts w:ascii="宋体" w:hAnsi="宋体" w:cs="宋体" w:eastAsia="宋体" w:hint="default"/>
                <w:w w:val="103"/>
                <w:sz w:val="16"/>
                <w:szCs w:val="16"/>
              </w:rPr>
              <w:t> </w:t>
            </w:r>
            <w:r>
              <w:rPr>
                <w:rFonts w:ascii="宋体" w:hAnsi="宋体" w:cs="宋体" w:eastAsia="宋体" w:hint="default"/>
                <w:spacing w:val="-3"/>
                <w:sz w:val="16"/>
                <w:szCs w:val="16"/>
              </w:rPr>
              <w:t>预期信用损失</w:t>
            </w:r>
          </w:p>
        </w:tc>
        <w:tc>
          <w:tcPr>
            <w:tcW w:w="1720" w:type="dxa"/>
            <w:tcBorders>
              <w:top w:val="single" w:sz="6" w:space="0" w:color="000000"/>
              <w:left w:val="nil" w:sz="6" w:space="0" w:color="auto"/>
              <w:bottom w:val="single" w:sz="6" w:space="0" w:color="000000"/>
              <w:right w:val="nil" w:sz="6" w:space="0" w:color="auto"/>
            </w:tcBorders>
          </w:tcPr>
          <w:p>
            <w:pPr>
              <w:pStyle w:val="TableParagraph"/>
              <w:spacing w:line="343" w:lineRule="auto" w:before="38"/>
              <w:ind w:left="443" w:right="299" w:hanging="195"/>
              <w:jc w:val="left"/>
              <w:rPr>
                <w:rFonts w:ascii="宋体" w:hAnsi="宋体" w:cs="宋体" w:eastAsia="宋体" w:hint="default"/>
                <w:sz w:val="16"/>
                <w:szCs w:val="16"/>
              </w:rPr>
            </w:pPr>
            <w:r>
              <w:rPr>
                <w:rFonts w:ascii="宋体" w:hAnsi="宋体" w:cs="宋体" w:eastAsia="宋体" w:hint="default"/>
                <w:w w:val="105"/>
                <w:sz w:val="16"/>
                <w:szCs w:val="16"/>
              </w:rPr>
              <w:t>·</w:t>
            </w:r>
            <w:r>
              <w:rPr>
                <w:rFonts w:ascii="宋体" w:hAnsi="宋体" w:cs="宋体" w:eastAsia="宋体" w:hint="default"/>
                <w:spacing w:val="9"/>
                <w:w w:val="105"/>
                <w:sz w:val="16"/>
                <w:szCs w:val="16"/>
              </w:rPr>
              <w:t> </w:t>
            </w:r>
            <w:r>
              <w:rPr>
                <w:rFonts w:ascii="宋体" w:hAnsi="宋体" w:cs="宋体" w:eastAsia="宋体" w:hint="default"/>
                <w:spacing w:val="-3"/>
                <w:w w:val="105"/>
                <w:sz w:val="16"/>
                <w:szCs w:val="16"/>
              </w:rPr>
              <w:t>已发生信用</w:t>
            </w:r>
            <w:r>
              <w:rPr>
                <w:rFonts w:ascii="宋体" w:hAnsi="宋体" w:cs="宋体" w:eastAsia="宋体" w:hint="default"/>
                <w:w w:val="103"/>
                <w:sz w:val="16"/>
                <w:szCs w:val="16"/>
              </w:rPr>
              <w:t> </w:t>
            </w:r>
            <w:r>
              <w:rPr>
                <w:rFonts w:ascii="宋体" w:hAnsi="宋体" w:cs="宋体" w:eastAsia="宋体" w:hint="default"/>
                <w:spacing w:val="-3"/>
                <w:sz w:val="16"/>
                <w:szCs w:val="16"/>
              </w:rPr>
              <w:t>减值金融资产</w:t>
            </w:r>
          </w:p>
        </w:tc>
        <w:tc>
          <w:tcPr>
            <w:tcW w:w="1532" w:type="dxa"/>
            <w:tcBorders>
              <w:top w:val="single" w:sz="6" w:space="0" w:color="000000"/>
              <w:left w:val="nil" w:sz="6" w:space="0" w:color="auto"/>
              <w:bottom w:val="single" w:sz="6" w:space="0" w:color="000000"/>
              <w:right w:val="nil" w:sz="6" w:space="0" w:color="auto"/>
            </w:tcBorders>
          </w:tcPr>
          <w:p>
            <w:pPr/>
          </w:p>
        </w:tc>
      </w:tr>
      <w:tr>
        <w:trPr>
          <w:trHeight w:val="961" w:hRule="exact"/>
        </w:trPr>
        <w:tc>
          <w:tcPr>
            <w:tcW w:w="2095" w:type="dxa"/>
            <w:tcBorders>
              <w:top w:val="single" w:sz="6" w:space="0" w:color="000000"/>
              <w:left w:val="nil" w:sz="6" w:space="0" w:color="auto"/>
              <w:bottom w:val="single" w:sz="6" w:space="0" w:color="000000"/>
              <w:right w:val="nil" w:sz="6" w:space="0" w:color="auto"/>
            </w:tcBorders>
          </w:tcPr>
          <w:p>
            <w:pPr/>
          </w:p>
        </w:tc>
        <w:tc>
          <w:tcPr>
            <w:tcW w:w="1479" w:type="dxa"/>
            <w:tcBorders>
              <w:top w:val="single" w:sz="6" w:space="0" w:color="000000"/>
              <w:left w:val="nil" w:sz="6" w:space="0" w:color="auto"/>
              <w:bottom w:val="single" w:sz="6" w:space="0" w:color="000000"/>
              <w:right w:val="nil" w:sz="6" w:space="0" w:color="auto"/>
            </w:tcBorders>
          </w:tcPr>
          <w:p>
            <w:pPr/>
          </w:p>
        </w:tc>
        <w:tc>
          <w:tcPr>
            <w:tcW w:w="1674" w:type="dxa"/>
            <w:tcBorders>
              <w:top w:val="single" w:sz="6" w:space="0" w:color="000000"/>
              <w:left w:val="nil" w:sz="6" w:space="0" w:color="auto"/>
              <w:bottom w:val="single" w:sz="6" w:space="0" w:color="000000"/>
              <w:right w:val="nil" w:sz="6" w:space="0" w:color="auto"/>
            </w:tcBorders>
          </w:tcPr>
          <w:p>
            <w:pPr/>
          </w:p>
        </w:tc>
        <w:tc>
          <w:tcPr>
            <w:tcW w:w="1720" w:type="dxa"/>
            <w:tcBorders>
              <w:top w:val="single" w:sz="6" w:space="0" w:color="000000"/>
              <w:left w:val="nil" w:sz="6" w:space="0" w:color="auto"/>
              <w:bottom w:val="single" w:sz="6" w:space="0" w:color="000000"/>
              <w:right w:val="nil" w:sz="6" w:space="0" w:color="auto"/>
            </w:tcBorders>
          </w:tcPr>
          <w:p>
            <w:pPr>
              <w:pStyle w:val="TableParagraph"/>
              <w:spacing w:line="340" w:lineRule="auto" w:before="23"/>
              <w:ind w:left="383" w:right="299" w:hanging="196"/>
              <w:jc w:val="left"/>
              <w:rPr>
                <w:rFonts w:ascii="Times New Roman" w:hAnsi="Times New Roman" w:cs="Times New Roman" w:eastAsia="Times New Roman" w:hint="default"/>
                <w:sz w:val="16"/>
                <w:szCs w:val="16"/>
              </w:rPr>
            </w:pPr>
            <w:r>
              <w:rPr>
                <w:rFonts w:ascii="宋体" w:hAnsi="宋体" w:cs="宋体" w:eastAsia="宋体" w:hint="default"/>
                <w:w w:val="105"/>
                <w:sz w:val="16"/>
                <w:szCs w:val="16"/>
              </w:rPr>
              <w:t>·</w:t>
            </w:r>
            <w:r>
              <w:rPr>
                <w:rFonts w:ascii="宋体" w:hAnsi="宋体" w:cs="宋体" w:eastAsia="宋体" w:hint="default"/>
                <w:spacing w:val="82"/>
                <w:w w:val="105"/>
                <w:sz w:val="16"/>
                <w:szCs w:val="16"/>
              </w:rPr>
              <w:t> </w:t>
            </w:r>
            <w:r>
              <w:rPr>
                <w:rFonts w:ascii="Times New Roman" w:hAnsi="Times New Roman" w:cs="Times New Roman" w:eastAsia="Times New Roman" w:hint="default"/>
                <w:w w:val="105"/>
                <w:sz w:val="16"/>
                <w:szCs w:val="16"/>
              </w:rPr>
              <w:t>(</w:t>
            </w:r>
            <w:r>
              <w:rPr>
                <w:rFonts w:ascii="宋体" w:hAnsi="宋体" w:cs="宋体" w:eastAsia="宋体" w:hint="default"/>
                <w:w w:val="105"/>
                <w:sz w:val="16"/>
                <w:szCs w:val="16"/>
              </w:rPr>
              <w:t>整个存续期</w:t>
            </w:r>
            <w:r>
              <w:rPr>
                <w:rFonts w:ascii="宋体" w:hAnsi="宋体" w:cs="宋体" w:eastAsia="宋体" w:hint="default"/>
                <w:w w:val="103"/>
                <w:sz w:val="16"/>
                <w:szCs w:val="16"/>
              </w:rPr>
              <w:t> </w:t>
            </w:r>
            <w:r>
              <w:rPr>
                <w:rFonts w:ascii="宋体" w:hAnsi="宋体" w:cs="宋体" w:eastAsia="宋体" w:hint="default"/>
                <w:spacing w:val="-3"/>
                <w:sz w:val="16"/>
                <w:szCs w:val="16"/>
              </w:rPr>
              <w:t>预期信用损失</w:t>
            </w:r>
            <w:r>
              <w:rPr>
                <w:rFonts w:ascii="Times New Roman" w:hAnsi="Times New Roman" w:cs="Times New Roman" w:eastAsia="Times New Roman" w:hint="default"/>
                <w:spacing w:val="-3"/>
                <w:sz w:val="16"/>
                <w:szCs w:val="16"/>
              </w:rPr>
              <w:t>)</w:t>
            </w:r>
          </w:p>
        </w:tc>
        <w:tc>
          <w:tcPr>
            <w:tcW w:w="1532" w:type="dxa"/>
            <w:tcBorders>
              <w:top w:val="single" w:sz="6" w:space="0" w:color="000000"/>
              <w:left w:val="nil" w:sz="6" w:space="0" w:color="auto"/>
              <w:bottom w:val="single" w:sz="6" w:space="0" w:color="000000"/>
              <w:right w:val="nil" w:sz="6" w:space="0" w:color="auto"/>
            </w:tcBorders>
          </w:tcPr>
          <w:p>
            <w:pPr/>
          </w:p>
        </w:tc>
      </w:tr>
      <w:tr>
        <w:trPr>
          <w:trHeight w:val="345" w:hRule="exact"/>
        </w:trPr>
        <w:tc>
          <w:tcPr>
            <w:tcW w:w="2095" w:type="dxa"/>
            <w:tcBorders>
              <w:top w:val="single" w:sz="6" w:space="0" w:color="000000"/>
              <w:left w:val="nil" w:sz="6" w:space="0" w:color="auto"/>
              <w:bottom w:val="single" w:sz="6" w:space="0" w:color="000000"/>
              <w:right w:val="nil" w:sz="6" w:space="0" w:color="auto"/>
            </w:tcBorders>
          </w:tcPr>
          <w:p>
            <w:pPr/>
          </w:p>
        </w:tc>
        <w:tc>
          <w:tcPr>
            <w:tcW w:w="1479" w:type="dxa"/>
            <w:tcBorders>
              <w:top w:val="single" w:sz="6" w:space="0" w:color="000000"/>
              <w:left w:val="nil" w:sz="6" w:space="0" w:color="auto"/>
              <w:bottom w:val="single" w:sz="6" w:space="0" w:color="000000"/>
              <w:right w:val="nil" w:sz="6" w:space="0" w:color="auto"/>
            </w:tcBorders>
          </w:tcPr>
          <w:p>
            <w:pPr/>
          </w:p>
        </w:tc>
        <w:tc>
          <w:tcPr>
            <w:tcW w:w="1674" w:type="dxa"/>
            <w:tcBorders>
              <w:top w:val="single" w:sz="6" w:space="0" w:color="000000"/>
              <w:left w:val="nil" w:sz="6" w:space="0" w:color="auto"/>
              <w:bottom w:val="single" w:sz="6" w:space="0" w:color="000000"/>
              <w:right w:val="nil" w:sz="6" w:space="0" w:color="auto"/>
            </w:tcBorders>
          </w:tcPr>
          <w:p>
            <w:pPr/>
          </w:p>
        </w:tc>
        <w:tc>
          <w:tcPr>
            <w:tcW w:w="1720" w:type="dxa"/>
            <w:tcBorders>
              <w:top w:val="single" w:sz="6" w:space="0" w:color="000000"/>
              <w:left w:val="nil" w:sz="6" w:space="0" w:color="auto"/>
              <w:bottom w:val="single" w:sz="6" w:space="0" w:color="000000"/>
              <w:right w:val="nil" w:sz="6" w:space="0" w:color="auto"/>
            </w:tcBorders>
          </w:tcPr>
          <w:p>
            <w:pPr/>
          </w:p>
        </w:tc>
        <w:tc>
          <w:tcPr>
            <w:tcW w:w="1532" w:type="dxa"/>
            <w:tcBorders>
              <w:top w:val="single" w:sz="6" w:space="0" w:color="000000"/>
              <w:left w:val="nil" w:sz="6" w:space="0" w:color="auto"/>
              <w:bottom w:val="single" w:sz="6" w:space="0" w:color="000000"/>
              <w:right w:val="nil" w:sz="6" w:space="0" w:color="auto"/>
            </w:tcBorders>
          </w:tcPr>
          <w:p>
            <w:pPr/>
          </w:p>
        </w:tc>
      </w:tr>
      <w:tr>
        <w:trPr>
          <w:trHeight w:val="345" w:hRule="exact"/>
        </w:trPr>
        <w:tc>
          <w:tcPr>
            <w:tcW w:w="2095" w:type="dxa"/>
            <w:tcBorders>
              <w:top w:val="single" w:sz="6" w:space="0" w:color="000000"/>
              <w:left w:val="nil" w:sz="6" w:space="0" w:color="auto"/>
              <w:bottom w:val="single" w:sz="6" w:space="0" w:color="000000"/>
              <w:right w:val="nil" w:sz="6" w:space="0" w:color="auto"/>
            </w:tcBorders>
          </w:tcPr>
          <w:p>
            <w:pPr>
              <w:pStyle w:val="TableParagraph"/>
              <w:spacing w:line="240" w:lineRule="auto" w:before="23"/>
              <w:ind w:left="15" w:right="0"/>
              <w:jc w:val="left"/>
              <w:rPr>
                <w:rFonts w:ascii="宋体" w:hAnsi="宋体" w:cs="宋体" w:eastAsia="宋体" w:hint="default"/>
                <w:sz w:val="16"/>
                <w:szCs w:val="16"/>
              </w:rPr>
            </w:pPr>
            <w:r>
              <w:rPr>
                <w:rFonts w:ascii="宋体" w:hAnsi="宋体" w:cs="宋体" w:eastAsia="宋体" w:hint="default"/>
                <w:w w:val="105"/>
                <w:sz w:val="16"/>
                <w:szCs w:val="16"/>
              </w:rPr>
              <w:t>· </w:t>
            </w:r>
            <w:r>
              <w:rPr>
                <w:rFonts w:ascii="宋体" w:hAnsi="宋体" w:cs="宋体" w:eastAsia="宋体" w:hint="default"/>
                <w:spacing w:val="12"/>
                <w:w w:val="105"/>
                <w:sz w:val="16"/>
                <w:szCs w:val="16"/>
              </w:rPr>
              <w:t> </w:t>
            </w:r>
            <w:r>
              <w:rPr>
                <w:rFonts w:ascii="宋体" w:hAnsi="宋体" w:cs="宋体" w:eastAsia="宋体" w:hint="default"/>
                <w:w w:val="105"/>
                <w:sz w:val="16"/>
                <w:szCs w:val="16"/>
              </w:rPr>
              <w:t>年初余额</w:t>
            </w:r>
            <w:r>
              <w:rPr>
                <w:rFonts w:ascii="宋体" w:hAnsi="宋体" w:cs="宋体" w:eastAsia="宋体" w:hint="default"/>
                <w:sz w:val="16"/>
                <w:szCs w:val="16"/>
              </w:rPr>
            </w:r>
          </w:p>
        </w:tc>
        <w:tc>
          <w:tcPr>
            <w:tcW w:w="1479" w:type="dxa"/>
            <w:tcBorders>
              <w:top w:val="single" w:sz="6" w:space="0" w:color="000000"/>
              <w:left w:val="nil" w:sz="6" w:space="0" w:color="auto"/>
              <w:bottom w:val="single" w:sz="6" w:space="0" w:color="000000"/>
              <w:right w:val="nil" w:sz="6" w:space="0" w:color="auto"/>
            </w:tcBorders>
          </w:tcPr>
          <w:p>
            <w:pPr>
              <w:pStyle w:val="TableParagraph"/>
              <w:spacing w:line="240" w:lineRule="auto" w:before="23"/>
              <w:ind w:right="273"/>
              <w:jc w:val="right"/>
              <w:rPr>
                <w:rFonts w:ascii="Times New Roman" w:hAnsi="Times New Roman" w:cs="Times New Roman" w:eastAsia="Times New Roman" w:hint="default"/>
                <w:sz w:val="16"/>
                <w:szCs w:val="16"/>
              </w:rPr>
            </w:pPr>
            <w:r>
              <w:rPr>
                <w:rFonts w:ascii="宋体" w:hAnsi="宋体"/>
                <w:w w:val="105"/>
                <w:sz w:val="16"/>
              </w:rPr>
              <w:t>· </w:t>
            </w:r>
            <w:r>
              <w:rPr>
                <w:rFonts w:ascii="宋体" w:hAnsi="宋体"/>
                <w:spacing w:val="23"/>
                <w:w w:val="105"/>
                <w:sz w:val="16"/>
              </w:rPr>
              <w:t> </w:t>
            </w:r>
            <w:r>
              <w:rPr>
                <w:rFonts w:ascii="Times New Roman" w:hAnsi="Times New Roman"/>
                <w:w w:val="105"/>
                <w:sz w:val="16"/>
              </w:rPr>
              <w:t>-</w:t>
            </w:r>
            <w:r>
              <w:rPr>
                <w:rFonts w:ascii="Times New Roman" w:hAnsi="Times New Roman"/>
                <w:sz w:val="16"/>
              </w:rPr>
            </w:r>
          </w:p>
        </w:tc>
        <w:tc>
          <w:tcPr>
            <w:tcW w:w="1674" w:type="dxa"/>
            <w:tcBorders>
              <w:top w:val="single" w:sz="6" w:space="0" w:color="000000"/>
              <w:left w:val="nil" w:sz="6" w:space="0" w:color="auto"/>
              <w:bottom w:val="single" w:sz="6" w:space="0" w:color="000000"/>
              <w:right w:val="nil" w:sz="6" w:space="0" w:color="auto"/>
            </w:tcBorders>
          </w:tcPr>
          <w:p>
            <w:pPr>
              <w:pStyle w:val="TableParagraph"/>
              <w:spacing w:line="240" w:lineRule="auto" w:before="23"/>
              <w:ind w:right="280"/>
              <w:jc w:val="right"/>
              <w:rPr>
                <w:rFonts w:ascii="Times New Roman" w:hAnsi="Times New Roman" w:cs="Times New Roman" w:eastAsia="Times New Roman" w:hint="default"/>
                <w:sz w:val="16"/>
                <w:szCs w:val="16"/>
              </w:rPr>
            </w:pPr>
            <w:r>
              <w:rPr>
                <w:rFonts w:ascii="宋体" w:hAnsi="宋体"/>
                <w:w w:val="105"/>
                <w:sz w:val="16"/>
              </w:rPr>
              <w:t>· </w:t>
            </w:r>
            <w:r>
              <w:rPr>
                <w:rFonts w:ascii="宋体" w:hAnsi="宋体"/>
                <w:spacing w:val="23"/>
                <w:w w:val="105"/>
                <w:sz w:val="16"/>
              </w:rPr>
              <w:t> </w:t>
            </w:r>
            <w:r>
              <w:rPr>
                <w:rFonts w:ascii="Times New Roman" w:hAnsi="Times New Roman"/>
                <w:w w:val="105"/>
                <w:sz w:val="16"/>
              </w:rPr>
              <w:t>-</w:t>
            </w:r>
            <w:r>
              <w:rPr>
                <w:rFonts w:ascii="Times New Roman" w:hAnsi="Times New Roman"/>
                <w:sz w:val="16"/>
              </w:rPr>
            </w:r>
          </w:p>
        </w:tc>
        <w:tc>
          <w:tcPr>
            <w:tcW w:w="1720" w:type="dxa"/>
            <w:tcBorders>
              <w:top w:val="single" w:sz="6" w:space="0" w:color="000000"/>
              <w:left w:val="nil" w:sz="6" w:space="0" w:color="auto"/>
              <w:bottom w:val="single" w:sz="6" w:space="0" w:color="000000"/>
              <w:right w:val="nil" w:sz="6" w:space="0" w:color="auto"/>
            </w:tcBorders>
          </w:tcPr>
          <w:p>
            <w:pPr>
              <w:pStyle w:val="TableParagraph"/>
              <w:spacing w:line="240" w:lineRule="auto" w:before="23"/>
              <w:ind w:right="318"/>
              <w:jc w:val="right"/>
              <w:rPr>
                <w:rFonts w:ascii="Times New Roman" w:hAnsi="Times New Roman" w:cs="Times New Roman" w:eastAsia="Times New Roman" w:hint="default"/>
                <w:sz w:val="16"/>
                <w:szCs w:val="16"/>
              </w:rPr>
            </w:pPr>
            <w:r>
              <w:rPr>
                <w:rFonts w:ascii="宋体" w:hAnsi="宋体"/>
                <w:w w:val="105"/>
                <w:sz w:val="16"/>
              </w:rPr>
              <w:t>· </w:t>
            </w:r>
            <w:r>
              <w:rPr>
                <w:rFonts w:ascii="宋体" w:hAnsi="宋体"/>
                <w:spacing w:val="23"/>
                <w:w w:val="105"/>
                <w:sz w:val="16"/>
              </w:rPr>
              <w:t> </w:t>
            </w:r>
            <w:r>
              <w:rPr>
                <w:rFonts w:ascii="Times New Roman" w:hAnsi="Times New Roman"/>
                <w:w w:val="105"/>
                <w:sz w:val="16"/>
              </w:rPr>
              <w:t>-</w:t>
            </w:r>
            <w:r>
              <w:rPr>
                <w:rFonts w:ascii="Times New Roman" w:hAnsi="Times New Roman"/>
                <w:sz w:val="16"/>
              </w:rPr>
            </w:r>
          </w:p>
        </w:tc>
        <w:tc>
          <w:tcPr>
            <w:tcW w:w="1532" w:type="dxa"/>
            <w:tcBorders>
              <w:top w:val="single" w:sz="6" w:space="0" w:color="000000"/>
              <w:left w:val="nil" w:sz="6" w:space="0" w:color="auto"/>
              <w:bottom w:val="single" w:sz="6" w:space="0" w:color="000000"/>
              <w:right w:val="nil" w:sz="6" w:space="0" w:color="auto"/>
            </w:tcBorders>
          </w:tcPr>
          <w:p>
            <w:pPr>
              <w:pStyle w:val="TableParagraph"/>
              <w:spacing w:line="240" w:lineRule="auto" w:before="23"/>
              <w:ind w:right="153"/>
              <w:jc w:val="right"/>
              <w:rPr>
                <w:rFonts w:ascii="Times New Roman" w:hAnsi="Times New Roman" w:cs="Times New Roman" w:eastAsia="Times New Roman" w:hint="default"/>
                <w:sz w:val="16"/>
                <w:szCs w:val="16"/>
              </w:rPr>
            </w:pPr>
            <w:r>
              <w:rPr>
                <w:rFonts w:ascii="宋体" w:hAnsi="宋体"/>
                <w:w w:val="105"/>
                <w:sz w:val="16"/>
              </w:rPr>
              <w:t>· </w:t>
            </w:r>
            <w:r>
              <w:rPr>
                <w:rFonts w:ascii="宋体" w:hAnsi="宋体"/>
                <w:spacing w:val="23"/>
                <w:w w:val="105"/>
                <w:sz w:val="16"/>
              </w:rPr>
              <w:t> </w:t>
            </w:r>
            <w:r>
              <w:rPr>
                <w:rFonts w:ascii="Times New Roman" w:hAnsi="Times New Roman"/>
                <w:w w:val="105"/>
                <w:sz w:val="16"/>
              </w:rPr>
              <w:t>-</w:t>
            </w:r>
            <w:r>
              <w:rPr>
                <w:rFonts w:ascii="Times New Roman" w:hAnsi="Times New Roman"/>
                <w:sz w:val="16"/>
              </w:rPr>
            </w:r>
          </w:p>
        </w:tc>
      </w:tr>
      <w:tr>
        <w:trPr>
          <w:trHeight w:val="330" w:hRule="exact"/>
        </w:trPr>
        <w:tc>
          <w:tcPr>
            <w:tcW w:w="2095" w:type="dxa"/>
            <w:tcBorders>
              <w:top w:val="single" w:sz="6" w:space="0" w:color="000000"/>
              <w:left w:val="nil" w:sz="6" w:space="0" w:color="auto"/>
              <w:bottom w:val="single" w:sz="6" w:space="0" w:color="000000"/>
              <w:right w:val="nil" w:sz="6" w:space="0" w:color="auto"/>
            </w:tcBorders>
          </w:tcPr>
          <w:p>
            <w:pPr>
              <w:pStyle w:val="TableParagraph"/>
              <w:spacing w:line="240" w:lineRule="auto" w:before="23"/>
              <w:ind w:left="15" w:right="0"/>
              <w:jc w:val="left"/>
              <w:rPr>
                <w:rFonts w:ascii="宋体" w:hAnsi="宋体" w:cs="宋体" w:eastAsia="宋体" w:hint="default"/>
                <w:sz w:val="16"/>
                <w:szCs w:val="16"/>
              </w:rPr>
            </w:pPr>
            <w:r>
              <w:rPr>
                <w:rFonts w:ascii="宋体" w:hAnsi="宋体" w:cs="宋体" w:eastAsia="宋体" w:hint="default"/>
                <w:w w:val="105"/>
                <w:sz w:val="16"/>
                <w:szCs w:val="16"/>
              </w:rPr>
              <w:t>本年计提</w:t>
            </w:r>
            <w:r>
              <w:rPr>
                <w:rFonts w:ascii="宋体" w:hAnsi="宋体" w:cs="宋体" w:eastAsia="宋体" w:hint="default"/>
                <w:sz w:val="16"/>
                <w:szCs w:val="16"/>
              </w:rPr>
            </w:r>
          </w:p>
        </w:tc>
        <w:tc>
          <w:tcPr>
            <w:tcW w:w="1479" w:type="dxa"/>
            <w:tcBorders>
              <w:top w:val="single" w:sz="6" w:space="0" w:color="000000"/>
              <w:left w:val="nil" w:sz="6" w:space="0" w:color="auto"/>
              <w:bottom w:val="single" w:sz="6" w:space="0" w:color="000000"/>
              <w:right w:val="nil" w:sz="6" w:space="0" w:color="auto"/>
            </w:tcBorders>
          </w:tcPr>
          <w:p>
            <w:pPr>
              <w:pStyle w:val="TableParagraph"/>
              <w:spacing w:line="240" w:lineRule="auto" w:before="23"/>
              <w:ind w:right="262"/>
              <w:jc w:val="right"/>
              <w:rPr>
                <w:rFonts w:ascii="Times New Roman" w:hAnsi="Times New Roman" w:cs="Times New Roman" w:eastAsia="Times New Roman" w:hint="default"/>
                <w:sz w:val="16"/>
                <w:szCs w:val="16"/>
              </w:rPr>
            </w:pPr>
            <w:r>
              <w:rPr>
                <w:rFonts w:ascii="宋体" w:hAnsi="宋体"/>
                <w:w w:val="105"/>
                <w:sz w:val="16"/>
              </w:rPr>
              <w:t>·  </w:t>
            </w:r>
            <w:r>
              <w:rPr>
                <w:rFonts w:ascii="Times New Roman" w:hAnsi="Times New Roman"/>
                <w:w w:val="105"/>
                <w:sz w:val="16"/>
              </w:rPr>
              <w:t>7,120,285</w:t>
            </w:r>
            <w:r>
              <w:rPr>
                <w:rFonts w:ascii="Times New Roman" w:hAnsi="Times New Roman"/>
                <w:sz w:val="16"/>
              </w:rPr>
            </w:r>
          </w:p>
        </w:tc>
        <w:tc>
          <w:tcPr>
            <w:tcW w:w="1674" w:type="dxa"/>
            <w:tcBorders>
              <w:top w:val="single" w:sz="6" w:space="0" w:color="000000"/>
              <w:left w:val="nil" w:sz="6" w:space="0" w:color="auto"/>
              <w:bottom w:val="single" w:sz="6" w:space="0" w:color="000000"/>
              <w:right w:val="nil" w:sz="6" w:space="0" w:color="auto"/>
            </w:tcBorders>
          </w:tcPr>
          <w:p>
            <w:pPr>
              <w:pStyle w:val="TableParagraph"/>
              <w:spacing w:line="240" w:lineRule="auto" w:before="23"/>
              <w:ind w:right="269"/>
              <w:jc w:val="right"/>
              <w:rPr>
                <w:rFonts w:ascii="Times New Roman" w:hAnsi="Times New Roman" w:cs="Times New Roman" w:eastAsia="Times New Roman" w:hint="default"/>
                <w:sz w:val="16"/>
                <w:szCs w:val="16"/>
              </w:rPr>
            </w:pPr>
            <w:r>
              <w:rPr>
                <w:rFonts w:ascii="宋体" w:hAnsi="宋体"/>
                <w:w w:val="105"/>
                <w:sz w:val="16"/>
              </w:rPr>
              <w:t>·  </w:t>
            </w:r>
            <w:r>
              <w:rPr>
                <w:rFonts w:ascii="Times New Roman" w:hAnsi="Times New Roman"/>
                <w:w w:val="105"/>
                <w:sz w:val="16"/>
              </w:rPr>
              <w:t>2,644,306</w:t>
            </w:r>
            <w:r>
              <w:rPr>
                <w:rFonts w:ascii="Times New Roman" w:hAnsi="Times New Roman"/>
                <w:sz w:val="16"/>
              </w:rPr>
            </w:r>
          </w:p>
        </w:tc>
        <w:tc>
          <w:tcPr>
            <w:tcW w:w="1720" w:type="dxa"/>
            <w:tcBorders>
              <w:top w:val="single" w:sz="6" w:space="0" w:color="000000"/>
              <w:left w:val="nil" w:sz="6" w:space="0" w:color="auto"/>
              <w:bottom w:val="single" w:sz="6" w:space="0" w:color="000000"/>
              <w:right w:val="nil" w:sz="6" w:space="0" w:color="auto"/>
            </w:tcBorders>
          </w:tcPr>
          <w:p>
            <w:pPr>
              <w:pStyle w:val="TableParagraph"/>
              <w:spacing w:line="240" w:lineRule="auto" w:before="23"/>
              <w:ind w:right="306"/>
              <w:jc w:val="right"/>
              <w:rPr>
                <w:rFonts w:ascii="Times New Roman" w:hAnsi="Times New Roman" w:cs="Times New Roman" w:eastAsia="Times New Roman" w:hint="default"/>
                <w:sz w:val="16"/>
                <w:szCs w:val="16"/>
              </w:rPr>
            </w:pPr>
            <w:r>
              <w:rPr>
                <w:rFonts w:ascii="宋体" w:hAnsi="宋体"/>
                <w:w w:val="105"/>
                <w:sz w:val="16"/>
              </w:rPr>
              <w:t>·  </w:t>
            </w:r>
            <w:r>
              <w:rPr>
                <w:rFonts w:ascii="Times New Roman" w:hAnsi="Times New Roman"/>
                <w:w w:val="105"/>
                <w:sz w:val="16"/>
              </w:rPr>
              <w:t>6,855,557</w:t>
            </w:r>
            <w:r>
              <w:rPr>
                <w:rFonts w:ascii="Times New Roman" w:hAnsi="Times New Roman"/>
                <w:sz w:val="16"/>
              </w:rPr>
            </w:r>
          </w:p>
        </w:tc>
        <w:tc>
          <w:tcPr>
            <w:tcW w:w="1532" w:type="dxa"/>
            <w:tcBorders>
              <w:top w:val="single" w:sz="6" w:space="0" w:color="000000"/>
              <w:left w:val="nil" w:sz="6" w:space="0" w:color="auto"/>
              <w:bottom w:val="single" w:sz="6" w:space="0" w:color="000000"/>
              <w:right w:val="nil" w:sz="6" w:space="0" w:color="auto"/>
            </w:tcBorders>
          </w:tcPr>
          <w:p>
            <w:pPr>
              <w:pStyle w:val="TableParagraph"/>
              <w:spacing w:line="240" w:lineRule="auto" w:before="23"/>
              <w:ind w:right="142"/>
              <w:jc w:val="right"/>
              <w:rPr>
                <w:rFonts w:ascii="Times New Roman" w:hAnsi="Times New Roman" w:cs="Times New Roman" w:eastAsia="Times New Roman" w:hint="default"/>
                <w:sz w:val="16"/>
                <w:szCs w:val="16"/>
              </w:rPr>
            </w:pPr>
            <w:r>
              <w:rPr>
                <w:rFonts w:ascii="宋体" w:hAnsi="宋体"/>
                <w:w w:val="105"/>
                <w:sz w:val="16"/>
              </w:rPr>
              <w:t>· </w:t>
            </w:r>
            <w:r>
              <w:rPr>
                <w:rFonts w:ascii="宋体" w:hAnsi="宋体"/>
                <w:spacing w:val="20"/>
                <w:w w:val="105"/>
                <w:sz w:val="16"/>
              </w:rPr>
              <w:t> </w:t>
            </w:r>
            <w:r>
              <w:rPr>
                <w:rFonts w:ascii="Times New Roman" w:hAnsi="Times New Roman"/>
                <w:spacing w:val="-3"/>
                <w:w w:val="105"/>
                <w:sz w:val="16"/>
              </w:rPr>
              <w:t>16,620,148</w:t>
            </w:r>
            <w:r>
              <w:rPr>
                <w:rFonts w:ascii="Times New Roman" w:hAnsi="Times New Roman"/>
                <w:spacing w:val="-3"/>
                <w:sz w:val="16"/>
              </w:rPr>
            </w:r>
          </w:p>
        </w:tc>
      </w:tr>
      <w:tr>
        <w:trPr>
          <w:trHeight w:val="345" w:hRule="exact"/>
        </w:trPr>
        <w:tc>
          <w:tcPr>
            <w:tcW w:w="2095" w:type="dxa"/>
            <w:tcBorders>
              <w:top w:val="single" w:sz="6" w:space="0" w:color="000000"/>
              <w:left w:val="nil" w:sz="6" w:space="0" w:color="auto"/>
              <w:bottom w:val="single" w:sz="6" w:space="0" w:color="000000"/>
              <w:right w:val="nil" w:sz="6" w:space="0" w:color="auto"/>
            </w:tcBorders>
          </w:tcPr>
          <w:p>
            <w:pPr>
              <w:pStyle w:val="TableParagraph"/>
              <w:spacing w:line="240" w:lineRule="auto" w:before="38"/>
              <w:ind w:right="202"/>
              <w:jc w:val="right"/>
              <w:rPr>
                <w:rFonts w:ascii="宋体" w:hAnsi="宋体" w:cs="宋体" w:eastAsia="宋体" w:hint="default"/>
                <w:sz w:val="16"/>
                <w:szCs w:val="16"/>
              </w:rPr>
            </w:pPr>
            <w:r>
              <w:rPr>
                <w:rFonts w:ascii="宋体" w:hAnsi="宋体"/>
                <w:w w:val="103"/>
                <w:sz w:val="16"/>
              </w:rPr>
              <w:t>·</w:t>
            </w:r>
            <w:r>
              <w:rPr>
                <w:rFonts w:ascii="宋体" w:hAnsi="宋体"/>
                <w:sz w:val="16"/>
              </w:rPr>
            </w:r>
          </w:p>
        </w:tc>
        <w:tc>
          <w:tcPr>
            <w:tcW w:w="1479" w:type="dxa"/>
            <w:tcBorders>
              <w:top w:val="single" w:sz="6" w:space="0" w:color="000000"/>
              <w:left w:val="nil" w:sz="6" w:space="0" w:color="auto"/>
              <w:bottom w:val="single" w:sz="6" w:space="0" w:color="000000"/>
              <w:right w:val="nil" w:sz="6" w:space="0" w:color="auto"/>
            </w:tcBorders>
          </w:tcPr>
          <w:p>
            <w:pPr/>
          </w:p>
        </w:tc>
        <w:tc>
          <w:tcPr>
            <w:tcW w:w="1674" w:type="dxa"/>
            <w:tcBorders>
              <w:top w:val="single" w:sz="6" w:space="0" w:color="000000"/>
              <w:left w:val="nil" w:sz="6" w:space="0" w:color="auto"/>
              <w:bottom w:val="single" w:sz="6" w:space="0" w:color="000000"/>
              <w:right w:val="nil" w:sz="6" w:space="0" w:color="auto"/>
            </w:tcBorders>
          </w:tcPr>
          <w:p>
            <w:pPr/>
          </w:p>
        </w:tc>
        <w:tc>
          <w:tcPr>
            <w:tcW w:w="1720" w:type="dxa"/>
            <w:tcBorders>
              <w:top w:val="single" w:sz="6" w:space="0" w:color="000000"/>
              <w:left w:val="nil" w:sz="6" w:space="0" w:color="auto"/>
              <w:bottom w:val="single" w:sz="6" w:space="0" w:color="000000"/>
              <w:right w:val="nil" w:sz="6" w:space="0" w:color="auto"/>
            </w:tcBorders>
          </w:tcPr>
          <w:p>
            <w:pPr/>
          </w:p>
        </w:tc>
        <w:tc>
          <w:tcPr>
            <w:tcW w:w="1532" w:type="dxa"/>
            <w:tcBorders>
              <w:top w:val="single" w:sz="6" w:space="0" w:color="000000"/>
              <w:left w:val="nil" w:sz="6" w:space="0" w:color="auto"/>
              <w:bottom w:val="single" w:sz="6" w:space="0" w:color="000000"/>
              <w:right w:val="nil" w:sz="6" w:space="0" w:color="auto"/>
            </w:tcBorders>
          </w:tcPr>
          <w:p>
            <w:pPr/>
          </w:p>
        </w:tc>
      </w:tr>
      <w:tr>
        <w:trPr>
          <w:trHeight w:val="345" w:hRule="exact"/>
        </w:trPr>
        <w:tc>
          <w:tcPr>
            <w:tcW w:w="2095" w:type="dxa"/>
            <w:tcBorders>
              <w:top w:val="single" w:sz="6" w:space="0" w:color="000000"/>
              <w:left w:val="nil" w:sz="6" w:space="0" w:color="auto"/>
              <w:bottom w:val="single" w:sz="6" w:space="0" w:color="000000"/>
              <w:right w:val="nil" w:sz="6" w:space="0" w:color="auto"/>
            </w:tcBorders>
          </w:tcPr>
          <w:p>
            <w:pPr>
              <w:pStyle w:val="TableParagraph"/>
              <w:spacing w:line="240" w:lineRule="auto" w:before="38"/>
              <w:ind w:left="15" w:right="0"/>
              <w:jc w:val="left"/>
              <w:rPr>
                <w:rFonts w:ascii="宋体" w:hAnsi="宋体" w:cs="宋体" w:eastAsia="宋体" w:hint="default"/>
                <w:sz w:val="16"/>
                <w:szCs w:val="16"/>
              </w:rPr>
            </w:pPr>
            <w:r>
              <w:rPr>
                <w:rFonts w:ascii="宋体" w:hAnsi="宋体" w:cs="宋体" w:eastAsia="宋体" w:hint="default"/>
                <w:w w:val="105"/>
                <w:sz w:val="16"/>
                <w:szCs w:val="16"/>
              </w:rPr>
              <w:t>年末余额</w:t>
            </w:r>
            <w:r>
              <w:rPr>
                <w:rFonts w:ascii="宋体" w:hAnsi="宋体" w:cs="宋体" w:eastAsia="宋体" w:hint="default"/>
                <w:sz w:val="16"/>
                <w:szCs w:val="16"/>
              </w:rPr>
            </w:r>
          </w:p>
        </w:tc>
        <w:tc>
          <w:tcPr>
            <w:tcW w:w="1479" w:type="dxa"/>
            <w:tcBorders>
              <w:top w:val="single" w:sz="6" w:space="0" w:color="000000"/>
              <w:left w:val="nil" w:sz="6" w:space="0" w:color="auto"/>
              <w:bottom w:val="single" w:sz="6" w:space="0" w:color="000000"/>
              <w:right w:val="nil" w:sz="6" w:space="0" w:color="auto"/>
            </w:tcBorders>
          </w:tcPr>
          <w:p>
            <w:pPr>
              <w:pStyle w:val="TableParagraph"/>
              <w:spacing w:line="240" w:lineRule="auto" w:before="38"/>
              <w:ind w:right="262"/>
              <w:jc w:val="right"/>
              <w:rPr>
                <w:rFonts w:ascii="Times New Roman" w:hAnsi="Times New Roman" w:cs="Times New Roman" w:eastAsia="Times New Roman" w:hint="default"/>
                <w:sz w:val="16"/>
                <w:szCs w:val="16"/>
              </w:rPr>
            </w:pPr>
            <w:r>
              <w:rPr>
                <w:rFonts w:ascii="宋体" w:hAnsi="宋体"/>
                <w:w w:val="105"/>
                <w:sz w:val="16"/>
              </w:rPr>
              <w:t>·  </w:t>
            </w:r>
            <w:r>
              <w:rPr>
                <w:rFonts w:ascii="Times New Roman" w:hAnsi="Times New Roman"/>
                <w:w w:val="105"/>
                <w:sz w:val="16"/>
              </w:rPr>
              <w:t>7,120,285</w:t>
            </w:r>
            <w:r>
              <w:rPr>
                <w:rFonts w:ascii="Times New Roman" w:hAnsi="Times New Roman"/>
                <w:sz w:val="16"/>
              </w:rPr>
            </w:r>
          </w:p>
        </w:tc>
        <w:tc>
          <w:tcPr>
            <w:tcW w:w="1674" w:type="dxa"/>
            <w:tcBorders>
              <w:top w:val="single" w:sz="6" w:space="0" w:color="000000"/>
              <w:left w:val="nil" w:sz="6" w:space="0" w:color="auto"/>
              <w:bottom w:val="single" w:sz="6" w:space="0" w:color="000000"/>
              <w:right w:val="nil" w:sz="6" w:space="0" w:color="auto"/>
            </w:tcBorders>
          </w:tcPr>
          <w:p>
            <w:pPr>
              <w:pStyle w:val="TableParagraph"/>
              <w:spacing w:line="240" w:lineRule="auto" w:before="38"/>
              <w:ind w:right="269"/>
              <w:jc w:val="right"/>
              <w:rPr>
                <w:rFonts w:ascii="Times New Roman" w:hAnsi="Times New Roman" w:cs="Times New Roman" w:eastAsia="Times New Roman" w:hint="default"/>
                <w:sz w:val="16"/>
                <w:szCs w:val="16"/>
              </w:rPr>
            </w:pPr>
            <w:r>
              <w:rPr>
                <w:rFonts w:ascii="宋体" w:hAnsi="宋体"/>
                <w:w w:val="105"/>
                <w:sz w:val="16"/>
              </w:rPr>
              <w:t>·  </w:t>
            </w:r>
            <w:r>
              <w:rPr>
                <w:rFonts w:ascii="Times New Roman" w:hAnsi="Times New Roman"/>
                <w:w w:val="105"/>
                <w:sz w:val="16"/>
              </w:rPr>
              <w:t>2,644,306</w:t>
            </w:r>
            <w:r>
              <w:rPr>
                <w:rFonts w:ascii="Times New Roman" w:hAnsi="Times New Roman"/>
                <w:sz w:val="16"/>
              </w:rPr>
            </w:r>
          </w:p>
        </w:tc>
        <w:tc>
          <w:tcPr>
            <w:tcW w:w="1720" w:type="dxa"/>
            <w:tcBorders>
              <w:top w:val="single" w:sz="6" w:space="0" w:color="000000"/>
              <w:left w:val="nil" w:sz="6" w:space="0" w:color="auto"/>
              <w:bottom w:val="single" w:sz="6" w:space="0" w:color="000000"/>
              <w:right w:val="nil" w:sz="6" w:space="0" w:color="auto"/>
            </w:tcBorders>
          </w:tcPr>
          <w:p>
            <w:pPr>
              <w:pStyle w:val="TableParagraph"/>
              <w:spacing w:line="240" w:lineRule="auto" w:before="38"/>
              <w:ind w:right="306"/>
              <w:jc w:val="right"/>
              <w:rPr>
                <w:rFonts w:ascii="Times New Roman" w:hAnsi="Times New Roman" w:cs="Times New Roman" w:eastAsia="Times New Roman" w:hint="default"/>
                <w:sz w:val="16"/>
                <w:szCs w:val="16"/>
              </w:rPr>
            </w:pPr>
            <w:r>
              <w:rPr>
                <w:rFonts w:ascii="宋体" w:hAnsi="宋体"/>
                <w:w w:val="105"/>
                <w:sz w:val="16"/>
              </w:rPr>
              <w:t>·  </w:t>
            </w:r>
            <w:r>
              <w:rPr>
                <w:rFonts w:ascii="Times New Roman" w:hAnsi="Times New Roman"/>
                <w:w w:val="105"/>
                <w:sz w:val="16"/>
              </w:rPr>
              <w:t>6,855,557</w:t>
            </w:r>
            <w:r>
              <w:rPr>
                <w:rFonts w:ascii="Times New Roman" w:hAnsi="Times New Roman"/>
                <w:sz w:val="16"/>
              </w:rPr>
            </w:r>
          </w:p>
        </w:tc>
        <w:tc>
          <w:tcPr>
            <w:tcW w:w="1532" w:type="dxa"/>
            <w:tcBorders>
              <w:top w:val="single" w:sz="6" w:space="0" w:color="000000"/>
              <w:left w:val="nil" w:sz="6" w:space="0" w:color="auto"/>
              <w:bottom w:val="single" w:sz="6" w:space="0" w:color="000000"/>
              <w:right w:val="nil" w:sz="6" w:space="0" w:color="auto"/>
            </w:tcBorders>
          </w:tcPr>
          <w:p>
            <w:pPr>
              <w:pStyle w:val="TableParagraph"/>
              <w:spacing w:line="240" w:lineRule="auto" w:before="76"/>
              <w:ind w:right="142"/>
              <w:jc w:val="right"/>
              <w:rPr>
                <w:rFonts w:ascii="Times New Roman" w:hAnsi="Times New Roman" w:cs="Times New Roman" w:eastAsia="Times New Roman" w:hint="default"/>
                <w:sz w:val="16"/>
                <w:szCs w:val="16"/>
              </w:rPr>
            </w:pPr>
            <w:r>
              <w:rPr>
                <w:rFonts w:ascii="Times New Roman"/>
                <w:spacing w:val="-3"/>
                <w:sz w:val="16"/>
              </w:rPr>
              <w:t>16,620,148</w:t>
            </w:r>
          </w:p>
        </w:tc>
      </w:tr>
    </w:tbl>
    <w:p>
      <w:pPr>
        <w:spacing w:after="0" w:line="240" w:lineRule="auto"/>
        <w:jc w:val="right"/>
        <w:rPr>
          <w:rFonts w:ascii="Times New Roman" w:hAnsi="Times New Roman" w:cs="Times New Roman" w:eastAsia="Times New Roman" w:hint="default"/>
          <w:sz w:val="16"/>
          <w:szCs w:val="16"/>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7、其他流动资产" w:id="241"/>
      <w:bookmarkEnd w:id="241"/>
      <w:r>
        <w:rPr>
          <w:b w:val="0"/>
          <w:bCs w:val="0"/>
        </w:rPr>
      </w:r>
      <w:r>
        <w:rPr>
          <w:rFonts w:ascii="Times New Roman" w:hAnsi="Times New Roman" w:cs="Times New Roman" w:eastAsia="Times New Roman" w:hint="default"/>
        </w:rPr>
        <w:t>7</w:t>
      </w:r>
      <w:r>
        <w:rPr/>
        <w:t>、其他流动资产</w:t>
      </w:r>
      <w:r>
        <w:rPr>
          <w:b w:val="0"/>
          <w:bCs w:val="0"/>
        </w:rPr>
      </w:r>
    </w:p>
    <w:p>
      <w:pPr>
        <w:spacing w:line="240" w:lineRule="auto" w:before="10"/>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before="44"/>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75,487,859.00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59,973,988.00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75,487,859.00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59,973,988.00</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8、长期应收款" w:id="242"/>
      <w:bookmarkEnd w:id="242"/>
      <w:r>
        <w:rPr>
          <w:b w:val="0"/>
          <w:bCs w:val="0"/>
        </w:rPr>
      </w:r>
      <w:r>
        <w:rPr>
          <w:rFonts w:ascii="Times New Roman" w:hAnsi="Times New Roman" w:cs="Times New Roman" w:eastAsia="Times New Roman" w:hint="default"/>
        </w:rPr>
        <w:t>8</w:t>
      </w:r>
      <w:r>
        <w:rPr/>
        <w:t>、长期应收款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长期应收款情况" w:id="243"/>
      <w:bookmarkEnd w:id="243"/>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412"/>
        <w:gridCol w:w="1157"/>
        <w:gridCol w:w="1171"/>
        <w:gridCol w:w="1172"/>
        <w:gridCol w:w="1171"/>
        <w:gridCol w:w="1171"/>
        <w:gridCol w:w="1157"/>
        <w:gridCol w:w="1171"/>
      </w:tblGrid>
      <w:tr>
        <w:trPr>
          <w:trHeight w:val="405" w:hRule="exact"/>
        </w:trPr>
        <w:tc>
          <w:tcPr>
            <w:tcW w:w="141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7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35"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6" w:hRule="exact"/>
        </w:trPr>
        <w:tc>
          <w:tcPr>
            <w:tcW w:w="1412" w:type="dxa"/>
            <w:vMerge/>
            <w:tcBorders>
              <w:left w:val="single" w:sz="6" w:space="0" w:color="000000"/>
              <w:bottom w:val="single" w:sz="6" w:space="0" w:color="000000"/>
              <w:right w:val="single" w:sz="6" w:space="0" w:color="000000"/>
            </w:tcBorders>
            <w:shd w:val="clear" w:color="auto" w:fill="D2D2D2"/>
          </w:tcPr>
          <w:p>
            <w:pP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2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21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71" w:type="dxa"/>
            <w:vMerge/>
            <w:tcBorders>
              <w:left w:val="single" w:sz="6" w:space="0" w:color="000000"/>
              <w:bottom w:val="single" w:sz="6" w:space="0" w:color="000000"/>
              <w:right w:val="single" w:sz="6" w:space="0" w:color="000000"/>
            </w:tcBorders>
            <w:shd w:val="clear" w:color="auto" w:fill="D2D2D2"/>
          </w:tcPr>
          <w:p>
            <w:pPr/>
          </w:p>
        </w:tc>
      </w:tr>
      <w:tr>
        <w:trPr>
          <w:trHeight w:val="705"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商铺保证金</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106,889,602.0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106,889,602.0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159,760,415.0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159,760,415.0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2.47%</w:t>
            </w:r>
            <w:r>
              <w:rPr>
                <w:rFonts w:ascii="宋体" w:hAnsi="宋体" w:cs="宋体" w:eastAsia="宋体" w:hint="default"/>
                <w:sz w:val="18"/>
                <w:szCs w:val="18"/>
              </w:rPr>
              <w:t>至</w:t>
            </w:r>
          </w:p>
          <w:p>
            <w:pPr>
              <w:pStyle w:val="TableParagraph"/>
              <w:spacing w:line="240" w:lineRule="auto" w:before="108"/>
              <w:ind w:left="30" w:right="0"/>
              <w:jc w:val="left"/>
              <w:rPr>
                <w:rFonts w:ascii="Times New Roman" w:hAnsi="Times New Roman" w:cs="Times New Roman" w:eastAsia="Times New Roman" w:hint="default"/>
                <w:sz w:val="18"/>
                <w:szCs w:val="18"/>
              </w:rPr>
            </w:pPr>
            <w:r>
              <w:rPr>
                <w:rFonts w:ascii="Times New Roman"/>
                <w:sz w:val="18"/>
              </w:rPr>
              <w:t>4.90%</w:t>
            </w:r>
          </w:p>
        </w:tc>
      </w:tr>
      <w:tr>
        <w:trPr>
          <w:trHeight w:val="721" w:hRule="exact"/>
        </w:trPr>
        <w:tc>
          <w:tcPr>
            <w:tcW w:w="1412"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19"/>
              <w:jc w:val="left"/>
              <w:rPr>
                <w:rFonts w:ascii="宋体" w:hAnsi="宋体" w:cs="宋体" w:eastAsia="宋体" w:hint="default"/>
                <w:sz w:val="18"/>
                <w:szCs w:val="18"/>
              </w:rPr>
            </w:pPr>
            <w:r>
              <w:rPr>
                <w:rFonts w:ascii="宋体" w:hAnsi="宋体" w:cs="宋体" w:eastAsia="宋体" w:hint="default"/>
                <w:sz w:val="18"/>
                <w:szCs w:val="18"/>
              </w:rPr>
              <w:t>加盟商经营性资 金支持</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4" w:right="0"/>
              <w:jc w:val="center"/>
              <w:rPr>
                <w:rFonts w:ascii="Times New Roman" w:hAnsi="Times New Roman" w:cs="Times New Roman" w:eastAsia="Times New Roman" w:hint="default"/>
                <w:sz w:val="18"/>
                <w:szCs w:val="18"/>
              </w:rPr>
            </w:pPr>
            <w:r>
              <w:rPr>
                <w:rFonts w:ascii="Times New Roman"/>
                <w:sz w:val="18"/>
              </w:rPr>
              <w:t>52,999,921.00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3,644,931.00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49,354,990.00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180,058,251.0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2,193,833.00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177,864,418.0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2.47%</w:t>
            </w:r>
            <w:r>
              <w:rPr>
                <w:rFonts w:ascii="宋体" w:hAnsi="宋体" w:cs="宋体" w:eastAsia="宋体" w:hint="default"/>
                <w:sz w:val="18"/>
                <w:szCs w:val="18"/>
              </w:rPr>
              <w:t>至</w:t>
            </w:r>
          </w:p>
          <w:p>
            <w:pPr>
              <w:pStyle w:val="TableParagraph"/>
              <w:spacing w:line="240" w:lineRule="auto" w:before="93"/>
              <w:ind w:left="30" w:right="0"/>
              <w:jc w:val="left"/>
              <w:rPr>
                <w:rFonts w:ascii="Times New Roman" w:hAnsi="Times New Roman" w:cs="Times New Roman" w:eastAsia="Times New Roman" w:hint="default"/>
                <w:sz w:val="18"/>
                <w:szCs w:val="18"/>
              </w:rPr>
            </w:pPr>
            <w:r>
              <w:rPr>
                <w:rFonts w:ascii="Times New Roman"/>
                <w:sz w:val="18"/>
              </w:rPr>
              <w:t>4.90%</w:t>
            </w:r>
          </w:p>
        </w:tc>
      </w:tr>
      <w:tr>
        <w:trPr>
          <w:trHeight w:val="706" w:hRule="exact"/>
        </w:trPr>
        <w:tc>
          <w:tcPr>
            <w:tcW w:w="14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159,889,523.0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95" w:right="0"/>
              <w:jc w:val="left"/>
              <w:rPr>
                <w:rFonts w:ascii="Times New Roman" w:hAnsi="Times New Roman" w:cs="Times New Roman" w:eastAsia="Times New Roman" w:hint="default"/>
                <w:sz w:val="18"/>
                <w:szCs w:val="18"/>
              </w:rPr>
            </w:pPr>
            <w:r>
              <w:rPr>
                <w:rFonts w:ascii="Times New Roman"/>
                <w:sz w:val="18"/>
              </w:rPr>
              <w:t>3,644,931.00</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156,244,592.0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339,818,666.0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2,193,833.00</w:t>
            </w:r>
          </w:p>
        </w:tc>
        <w:tc>
          <w:tcPr>
            <w:tcW w:w="115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337,624,833.0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4"/>
        <w:ind w:right="0"/>
        <w:jc w:val="left"/>
      </w:pPr>
      <w:r>
        <w:rPr/>
        <w:t>坏账准备减值情况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406"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65"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75" w:right="0"/>
              <w:jc w:val="left"/>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37" w:hRule="exact"/>
        </w:trPr>
        <w:tc>
          <w:tcPr>
            <w:tcW w:w="19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28" w:lineRule="exact"/>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7"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44"/>
              <w:ind w:left="555"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68"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67"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2,193,833.00</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2102"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2,193,833.00</w:t>
            </w:r>
          </w:p>
        </w:tc>
      </w:tr>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76" w:lineRule="auto" w:before="59"/>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73"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8,571,383.00</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2,644,306.00</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6,855,557.00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18,071,246.00</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-7,120,285.00</w:t>
            </w:r>
            <w:r>
              <w:rPr>
                <w:rFonts w:ascii="Times New Roman"/>
                <w:sz w:val="18"/>
              </w:rPr>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-2,644,306.00</w:t>
            </w:r>
            <w:r>
              <w:rPr>
                <w:rFonts w:ascii="Times New Roman"/>
                <w:sz w:val="18"/>
              </w:rPr>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w w:val="95"/>
                <w:sz w:val="18"/>
              </w:rPr>
              <w:t>-6,855,557.00</w:t>
            </w:r>
            <w:r>
              <w:rPr>
                <w:rFonts w:ascii="Times New Roman"/>
                <w:sz w:val="18"/>
              </w:rPr>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-16,620,148.00</w:t>
            </w:r>
            <w:r>
              <w:rPr>
                <w:rFonts w:ascii="Times New Roman"/>
                <w:sz w:val="18"/>
              </w:rPr>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3,644,931.00</w:t>
            </w:r>
          </w:p>
        </w:tc>
        <w:tc>
          <w:tcPr>
            <w:tcW w:w="2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3,644,931.00</w:t>
            </w:r>
          </w:p>
        </w:tc>
      </w:tr>
    </w:tbl>
    <w:p>
      <w:pPr>
        <w:pStyle w:val="BodyText"/>
        <w:spacing w:line="240" w:lineRule="auto" w:before="45"/>
        <w:ind w:right="0"/>
        <w:jc w:val="left"/>
      </w:pPr>
      <w:r>
        <w:rPr/>
        <w:t>损失准备本期变动金额重大的账面余额变动情况</w:t>
      </w:r>
    </w:p>
    <w:p>
      <w:pPr>
        <w:pStyle w:val="BodyText"/>
        <w:spacing w:line="240" w:lineRule="auto" w:before="12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pStyle w:val="Heading3"/>
        <w:spacing w:line="240" w:lineRule="auto" w:before="41"/>
        <w:ind w:right="0"/>
        <w:jc w:val="left"/>
      </w:pPr>
      <w:r>
        <w:rPr/>
        <w:t>长期应收款按照</w:t>
      </w:r>
      <w:r>
        <w:rPr>
          <w:rFonts w:ascii="Times New Roman" w:hAnsi="Times New Roman" w:cs="Times New Roman" w:eastAsia="Times New Roman" w:hint="default"/>
        </w:rPr>
        <w:t>12</w:t>
      </w:r>
      <w:r>
        <w:rPr/>
        <w:t>个月预期信用损失及整个存续期预期信用损失分别计提的坏账准备。</w:t>
      </w:r>
    </w:p>
    <w:p>
      <w:pPr>
        <w:spacing w:after="0" w:line="240" w:lineRule="auto"/>
        <w:jc w:val="left"/>
        <w:sectPr>
          <w:type w:val="continuous"/>
          <w:pgSz w:w="11910" w:h="16850"/>
          <w:pgMar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2）因金融资产转移而终止确认的长期应收款" w:id="244"/>
      <w:bookmarkEnd w:id="244"/>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3）转移长期应收款且继续涉入形成的资产、负债金额" w:id="245"/>
      <w:bookmarkEnd w:id="245"/>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9、长期股权投资" w:id="246"/>
      <w:bookmarkEnd w:id="246"/>
      <w:r>
        <w:rPr>
          <w:b w:val="0"/>
          <w:bCs w:val="0"/>
        </w:rPr>
      </w:r>
      <w:r>
        <w:rPr>
          <w:rFonts w:ascii="Times New Roman" w:hAnsi="Times New Roman" w:cs="Times New Roman" w:eastAsia="Times New Roman" w:hint="default"/>
        </w:rPr>
        <w:t>9</w:t>
      </w:r>
      <w:r>
        <w:rPr/>
        <w:t>、长期股权投资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796"/>
        <w:gridCol w:w="811"/>
        <w:gridCol w:w="796"/>
        <w:gridCol w:w="796"/>
        <w:gridCol w:w="796"/>
        <w:gridCol w:w="796"/>
        <w:gridCol w:w="811"/>
        <w:gridCol w:w="796"/>
        <w:gridCol w:w="796"/>
        <w:gridCol w:w="796"/>
      </w:tblGrid>
      <w:tr>
        <w:trPr>
          <w:trHeight w:val="405" w:hRule="exact"/>
        </w:trPr>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285" w:right="45" w:hanging="271"/>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12" w:lineRule="auto"/>
              <w:ind w:left="30" w:right="29"/>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98" w:type="dxa"/>
            <w:gridSpan w:val="8"/>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312" w:lineRule="auto"/>
              <w:ind w:left="15" w:right="4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21" w:lineRule="auto" w:before="154"/>
              <w:ind w:left="15" w:right="43"/>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1" w:hRule="exact"/>
        </w:trPr>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14" w:right="44"/>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5"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195" w:right="4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29" w:right="29"/>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1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04" w:lineRule="auto"/>
              <w:ind w:left="210" w:right="4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06" w:hRule="exact"/>
        </w:trPr>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华瑞银行</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5" w:right="0"/>
              <w:jc w:val="left"/>
              <w:rPr>
                <w:rFonts w:ascii="Times New Roman" w:hAnsi="Times New Roman" w:cs="Times New Roman" w:eastAsia="Times New Roman" w:hint="default"/>
                <w:sz w:val="18"/>
                <w:szCs w:val="18"/>
              </w:rPr>
            </w:pPr>
            <w:r>
              <w:rPr>
                <w:rFonts w:ascii="Times New Roman"/>
                <w:sz w:val="18"/>
              </w:rPr>
              <w:t>557,811,7</w:t>
            </w:r>
          </w:p>
          <w:p>
            <w:pPr>
              <w:pStyle w:val="TableParagraph"/>
              <w:spacing w:line="240" w:lineRule="auto" w:before="108"/>
              <w:ind w:left="360" w:right="0"/>
              <w:jc w:val="left"/>
              <w:rPr>
                <w:rFonts w:ascii="Times New Roman" w:hAnsi="Times New Roman" w:cs="Times New Roman" w:eastAsia="Times New Roman" w:hint="default"/>
                <w:sz w:val="18"/>
                <w:szCs w:val="18"/>
              </w:rPr>
            </w:pPr>
            <w:r>
              <w:rPr>
                <w:rFonts w:ascii="Times New Roman"/>
                <w:sz w:val="18"/>
              </w:rPr>
              <w:t>44.00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left"/>
              <w:rPr>
                <w:rFonts w:ascii="Times New Roman" w:hAnsi="Times New Roman" w:cs="Times New Roman" w:eastAsia="Times New Roman" w:hint="default"/>
                <w:sz w:val="18"/>
                <w:szCs w:val="18"/>
              </w:rPr>
            </w:pPr>
            <w:r>
              <w:rPr>
                <w:rFonts w:ascii="Times New Roman"/>
                <w:sz w:val="18"/>
              </w:rPr>
              <w:t>40,223,57</w:t>
            </w:r>
          </w:p>
          <w:p>
            <w:pPr>
              <w:pStyle w:val="TableParagraph"/>
              <w:spacing w:line="240" w:lineRule="auto" w:before="108"/>
              <w:ind w:left="435" w:right="0"/>
              <w:jc w:val="left"/>
              <w:rPr>
                <w:rFonts w:ascii="Times New Roman" w:hAnsi="Times New Roman" w:cs="Times New Roman" w:eastAsia="Times New Roman" w:hint="default"/>
                <w:sz w:val="18"/>
                <w:szCs w:val="18"/>
              </w:rPr>
            </w:pPr>
            <w:r>
              <w:rPr>
                <w:rFonts w:ascii="Times New Roman"/>
                <w:sz w:val="18"/>
              </w:rPr>
              <w:t>8.00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246,428.0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598,281,7</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50.00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557,811,7</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44.00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40,223,57</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8.00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246,428.0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598,281,7</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50.00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5" w:right="0"/>
              <w:jc w:val="left"/>
              <w:rPr>
                <w:rFonts w:ascii="Times New Roman" w:hAnsi="Times New Roman" w:cs="Times New Roman" w:eastAsia="Times New Roman" w:hint="default"/>
                <w:sz w:val="18"/>
                <w:szCs w:val="18"/>
              </w:rPr>
            </w:pPr>
            <w:r>
              <w:rPr>
                <w:rFonts w:ascii="Times New Roman"/>
                <w:sz w:val="18"/>
              </w:rPr>
              <w:t>557,811,7</w:t>
            </w:r>
          </w:p>
          <w:p>
            <w:pPr>
              <w:pStyle w:val="TableParagraph"/>
              <w:spacing w:line="240" w:lineRule="auto" w:before="93"/>
              <w:ind w:left="360" w:right="0"/>
              <w:jc w:val="left"/>
              <w:rPr>
                <w:rFonts w:ascii="Times New Roman" w:hAnsi="Times New Roman" w:cs="Times New Roman" w:eastAsia="Times New Roman" w:hint="default"/>
                <w:sz w:val="18"/>
                <w:szCs w:val="18"/>
              </w:rPr>
            </w:pPr>
            <w:r>
              <w:rPr>
                <w:rFonts w:ascii="Times New Roman"/>
                <w:sz w:val="18"/>
              </w:rPr>
              <w:t>44.00</w:t>
            </w: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left"/>
              <w:rPr>
                <w:rFonts w:ascii="Times New Roman" w:hAnsi="Times New Roman" w:cs="Times New Roman" w:eastAsia="Times New Roman" w:hint="default"/>
                <w:sz w:val="18"/>
                <w:szCs w:val="18"/>
              </w:rPr>
            </w:pPr>
            <w:r>
              <w:rPr>
                <w:rFonts w:ascii="Times New Roman"/>
                <w:sz w:val="18"/>
              </w:rPr>
              <w:t>40,223,57</w:t>
            </w:r>
          </w:p>
          <w:p>
            <w:pPr>
              <w:pStyle w:val="TableParagraph"/>
              <w:spacing w:line="240" w:lineRule="auto" w:before="93"/>
              <w:ind w:left="435" w:right="0"/>
              <w:jc w:val="left"/>
              <w:rPr>
                <w:rFonts w:ascii="Times New Roman" w:hAnsi="Times New Roman" w:cs="Times New Roman" w:eastAsia="Times New Roman" w:hint="default"/>
                <w:sz w:val="18"/>
                <w:szCs w:val="18"/>
              </w:rPr>
            </w:pPr>
            <w:r>
              <w:rPr>
                <w:rFonts w:ascii="Times New Roman"/>
                <w:sz w:val="18"/>
              </w:rPr>
              <w:t>8.00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246,428.0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1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598,281,7</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50.00</w:t>
            </w:r>
          </w:p>
        </w:tc>
        <w:tc>
          <w:tcPr>
            <w:tcW w:w="79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0" w:lineRule="auto" w:before="45"/>
        <w:ind w:right="10029"/>
        <w:jc w:val="left"/>
      </w:pPr>
      <w:r>
        <w:rPr/>
        <w:t>其他说明 无</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10、投资性房地产" w:id="247"/>
      <w:bookmarkEnd w:id="247"/>
      <w:r>
        <w:rPr>
          <w:b w:val="0"/>
          <w:bCs w:val="0"/>
        </w:rPr>
      </w:r>
      <w:r>
        <w:rPr>
          <w:rFonts w:ascii="Times New Roman" w:hAnsi="Times New Roman" w:cs="Times New Roman" w:eastAsia="Times New Roman" w:hint="default"/>
        </w:rPr>
        <w:t>10</w:t>
      </w:r>
      <w:r>
        <w:rPr/>
        <w:t>、投资性房地产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采用成本计量模式的投资性房地产" w:id="248"/>
      <w:bookmarkEnd w:id="248"/>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28"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1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324,263,320.00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324,263,320.00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29,989,774.00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29,989,774.00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2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6"/>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29,989,774.00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29,989,774.00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5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30" w:type="dxa"/>
            <w:tcBorders>
              <w:top w:val="single" w:sz="6" w:space="0" w:color="000000"/>
              <w:left w:val="single" w:sz="12"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tcPr>
          <w:p>
            <w:pPr/>
          </w:p>
        </w:tc>
        <w:tc>
          <w:tcPr>
            <w:tcW w:w="1930"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3,697,591.00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3,697,591.00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3,697,591.00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3,697,591.00</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350,555,503.00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350,555,503.00</w:t>
            </w:r>
          </w:p>
        </w:tc>
      </w:tr>
      <w:tr>
        <w:trPr>
          <w:trHeight w:val="72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75"/>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48,242,269.00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48,242,269.00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15,274,675.00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15,274,675.00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66"/>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9,075,940.00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9,075,940.00</w:t>
            </w:r>
          </w:p>
        </w:tc>
      </w:tr>
      <w:tr>
        <w:trPr>
          <w:trHeight w:val="721"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64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）固定资产</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转入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6,198,735.00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6,198,735.00</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2,269,462.00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2,269,462.00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2,269,462.00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2,269,462.00</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61,247,482.00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61,247,482.00</w:t>
            </w: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6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289,308,021.00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289,308,021.00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276,021,051.00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276,021,051.00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采用公允价值计量模式的投资性房地产" w:id="249"/>
      <w:bookmarkEnd w:id="249"/>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5"/>
        <w:spacing w:line="240" w:lineRule="auto" w:before="35"/>
        <w:ind w:right="0"/>
        <w:jc w:val="left"/>
        <w:rPr>
          <w:b w:val="0"/>
          <w:bCs w:val="0"/>
        </w:rPr>
      </w:pPr>
      <w:bookmarkStart w:name="（3）未办妥产权证书的投资性房地产情况" w:id="250"/>
      <w:bookmarkEnd w:id="250"/>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11、固定资产" w:id="251"/>
      <w:bookmarkEnd w:id="251"/>
      <w:r>
        <w:rPr>
          <w:b w:val="0"/>
          <w:bCs w:val="0"/>
        </w:rPr>
      </w:r>
      <w:r>
        <w:rPr>
          <w:rFonts w:ascii="Times New Roman" w:hAnsi="Times New Roman" w:cs="Times New Roman" w:eastAsia="Times New Roman" w:hint="default"/>
        </w:rPr>
        <w:t>11</w:t>
      </w:r>
      <w:r>
        <w:rPr/>
        <w:t>、固定资产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1,105,730,715.00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1,211,586,636.00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1,105,730,715.00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1,211,586,636.00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1）固定资产情况" w:id="252"/>
      <w:bookmarkEnd w:id="252"/>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67"/>
        <w:gridCol w:w="1382"/>
        <w:gridCol w:w="1366"/>
        <w:gridCol w:w="1367"/>
        <w:gridCol w:w="1367"/>
      </w:tblGrid>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1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99"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00"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7"/>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1,480,304,347.00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34,858,398.00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72,853,790.00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300,078,805.00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31,195,305.00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1,919,290,645.00</w:t>
            </w: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6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810,919.00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4,248.00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11,184,628.00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1,171,945.00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13,171,740.00</w:t>
            </w:r>
          </w:p>
        </w:tc>
      </w:tr>
      <w:tr>
        <w:trPr>
          <w:trHeight w:val="7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6"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）在建工</w:t>
            </w:r>
            <w:r>
              <w:rPr>
                <w:rFonts w:ascii="宋体" w:hAnsi="宋体" w:cs="宋体" w:eastAsia="宋体" w:hint="default"/>
                <w:sz w:val="18"/>
                <w:szCs w:val="18"/>
              </w:rPr>
              <w:t> 程转入</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6"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）企业合</w:t>
            </w:r>
            <w:r>
              <w:rPr>
                <w:rFonts w:ascii="宋体" w:hAnsi="宋体" w:cs="宋体" w:eastAsia="宋体" w:hint="default"/>
                <w:sz w:val="18"/>
                <w:szCs w:val="18"/>
              </w:rPr>
              <w:t> 并增加</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111"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6"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）处置或</w:t>
            </w:r>
            <w:r>
              <w:rPr>
                <w:rFonts w:ascii="宋体" w:hAnsi="宋体" w:cs="宋体" w:eastAsia="宋体" w:hint="default"/>
                <w:sz w:val="18"/>
                <w:szCs w:val="18"/>
              </w:rPr>
              <w:t> 报废</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507,629.00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2,440,112.00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17,529,647.00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1,880,088.00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22,357,476.00</w:t>
            </w:r>
          </w:p>
        </w:tc>
      </w:tr>
      <w:tr>
        <w:trPr>
          <w:trHeight w:val="7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68" w:firstLine="180"/>
              <w:jc w:val="left"/>
              <w:rPr>
                <w:rFonts w:ascii="宋体" w:hAnsi="宋体" w:cs="宋体" w:eastAsia="宋体" w:hint="default"/>
                <w:sz w:val="18"/>
                <w:szCs w:val="18"/>
              </w:rPr>
            </w:pPr>
            <w:r>
              <w:rPr>
                <w:rFonts w:ascii="宋体" w:hAnsi="宋体" w:cs="宋体" w:eastAsia="宋体" w:hint="default"/>
                <w:sz w:val="18"/>
                <w:szCs w:val="18"/>
              </w:rPr>
              <w:t>转出至投资性 房地产</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29,989,774.00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1,450,314,573.00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35,161,688.00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70,417,926.00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293,733,786.00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30,487,162.00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1,880,115,135.00</w:t>
            </w: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369,024,222.00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32,141,929.00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57,724,326.00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232,297,244.00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16,516,288.00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707,704,009.00</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75"/>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w:t>
            </w:r>
          </w:p>
        </w:tc>
        <w:tc>
          <w:tcPr>
            <w:tcW w:w="1375" w:type="dxa"/>
            <w:tcBorders>
              <w:top w:val="single" w:sz="6" w:space="0" w:color="000000"/>
              <w:left w:val="single" w:sz="12"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67"/>
        <w:gridCol w:w="1382"/>
        <w:gridCol w:w="1366"/>
        <w:gridCol w:w="1367"/>
        <w:gridCol w:w="1367"/>
      </w:tblGrid>
      <w:tr>
        <w:trPr>
          <w:trHeight w:val="36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right="1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35,460,719.00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520,869.00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2,664,624.00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19,791,722.00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2,672,440.00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61,110,374.00</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3"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）处置或</w:t>
            </w:r>
            <w:r>
              <w:rPr>
                <w:rFonts w:ascii="宋体" w:hAnsi="宋体" w:cs="宋体" w:eastAsia="宋体" w:hint="default"/>
                <w:sz w:val="18"/>
                <w:szCs w:val="18"/>
              </w:rPr>
              <w:t> 报废</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466,781.00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1,989,363.00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15,619,322.00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1,013,047.00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19,088,513.00</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74" w:firstLine="180"/>
              <w:jc w:val="left"/>
              <w:rPr>
                <w:rFonts w:ascii="宋体" w:hAnsi="宋体" w:cs="宋体" w:eastAsia="宋体" w:hint="default"/>
                <w:sz w:val="18"/>
                <w:szCs w:val="18"/>
              </w:rPr>
            </w:pPr>
            <w:r>
              <w:rPr>
                <w:rFonts w:ascii="宋体" w:hAnsi="宋体" w:cs="宋体" w:eastAsia="宋体" w:hint="default"/>
                <w:sz w:val="18"/>
                <w:szCs w:val="18"/>
              </w:rPr>
              <w:t>转出至投资性 房地产</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6,198,735.00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398,286,206.00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32,196,017.00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58,399,587.00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236,469,644.00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18,175,681.00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743,527,135.00</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59"/>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65"/>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1,870,499.00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3,470,257.00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20,932,838.00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4,583,691.00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30,857,285.00</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15" w:right="13" w:firstLine="345"/>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）处置或</w:t>
            </w:r>
            <w:r>
              <w:rPr>
                <w:rFonts w:ascii="宋体" w:hAnsi="宋体" w:cs="宋体" w:eastAsia="宋体" w:hint="default"/>
                <w:sz w:val="18"/>
                <w:szCs w:val="18"/>
              </w:rPr>
              <w:t> 报废</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9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1,870,499.00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3,470,257.00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20,932,838.00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4,583,691.00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30,857,285.00</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82"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1,052,028,367.00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1,095,172.00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8,548,082.00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36,331,304.00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7,727,790.00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1,105,730,715.00</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15"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1,111,280,125.00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2,716,469.00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15,129,464.00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67,781,561.00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14,679,017.00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1,211,586,636.00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暂时闲置的固定资产情况" w:id="253"/>
      <w:bookmarkEnd w:id="253"/>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607"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592" w:type="dxa"/>
            <w:tcBorders>
              <w:top w:val="single" w:sz="6" w:space="0" w:color="000000"/>
              <w:left w:val="single" w:sz="6" w:space="0" w:color="000000"/>
              <w:bottom w:val="single" w:sz="6" w:space="0" w:color="000000"/>
              <w:right w:val="single" w:sz="6" w:space="0" w:color="000000"/>
            </w:tcBorders>
          </w:tcPr>
          <w:p>
            <w:pPr/>
          </w:p>
        </w:tc>
        <w:tc>
          <w:tcPr>
            <w:tcW w:w="1607"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通过融资租赁租入的固定资产情况" w:id="254"/>
      <w:bookmarkEnd w:id="254"/>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22"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4）通过经营租赁租出的固定资产" w:id="255"/>
      <w:bookmarkEnd w:id="255"/>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91"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5）未办妥产权证书的固定资产情况" w:id="256"/>
      <w:bookmarkEnd w:id="256"/>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6）固定资产清理" w:id="257"/>
      <w:bookmarkEnd w:id="257"/>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12、在建工程" w:id="258"/>
      <w:bookmarkEnd w:id="258"/>
      <w:r>
        <w:rPr>
          <w:b w:val="0"/>
          <w:bCs w:val="0"/>
        </w:rPr>
      </w:r>
      <w:r>
        <w:rPr>
          <w:rFonts w:ascii="Times New Roman" w:hAnsi="Times New Roman" w:cs="Times New Roman" w:eastAsia="Times New Roman" w:hint="default"/>
        </w:rPr>
        <w:t>12</w:t>
      </w:r>
      <w:r>
        <w:rPr/>
        <w:t>、在建工程</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3,434,860.00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2,109,737.00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3,434,860.00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2,109,737.00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1）在建工程情况" w:id="259"/>
      <w:bookmarkEnd w:id="259"/>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16"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总部办公楼改良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777,150.00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777,150.00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126,440.00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126,440.00</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系统升级项目</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2,469,297.00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2,469,297.00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1,587,374.00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1,587,374.00</w:t>
            </w:r>
          </w:p>
        </w:tc>
      </w:tr>
      <w:tr>
        <w:trPr>
          <w:trHeight w:val="4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门店装修工程</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63,950.00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63,950.00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271,460.00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271,460.00</w:t>
            </w: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124,463.00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124,463.00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124,463.00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124,463.00</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3,434,860.00</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3,434,860.00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2,109,737.00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2,109,737.00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2）重要在建工程项目本期变动情况" w:id="260"/>
      <w:bookmarkEnd w:id="260"/>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1351"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55" w:right="105"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55" w:right="103"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75" w:right="103"/>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75" w:right="105"/>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90"/>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70" w:right="90" w:hanging="181"/>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90" w:right="90"/>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70" w:right="88"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88"/>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6" w:lineRule="auto" w:before="45"/>
              <w:ind w:left="30" w:right="14"/>
              <w:jc w:val="center"/>
              <w:rPr>
                <w:rFonts w:ascii="宋体" w:hAnsi="宋体" w:cs="宋体" w:eastAsia="宋体" w:hint="default"/>
                <w:sz w:val="18"/>
                <w:szCs w:val="18"/>
              </w:rPr>
            </w:pPr>
            <w:r>
              <w:rPr>
                <w:rFonts w:ascii="宋体" w:hAnsi="宋体" w:cs="宋体" w:eastAsia="宋体" w:hint="default"/>
                <w:spacing w:val="-12"/>
                <w:sz w:val="18"/>
                <w:szCs w:val="18"/>
              </w:rPr>
              <w:t>其中：本</w:t>
            </w:r>
            <w:r>
              <w:rPr>
                <w:rFonts w:ascii="宋体" w:hAnsi="宋体" w:cs="宋体" w:eastAsia="宋体" w:hint="default"/>
                <w:sz w:val="18"/>
                <w:szCs w:val="18"/>
              </w:rPr>
              <w:t> 期利息 资本化 金额</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90" w:right="105"/>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07" w:lineRule="auto" w:before="124"/>
              <w:ind w:left="255" w:right="103" w:hanging="181"/>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165"/>
              <w:jc w:val="both"/>
              <w:rPr>
                <w:rFonts w:ascii="宋体" w:hAnsi="宋体" w:cs="宋体" w:eastAsia="宋体" w:hint="default"/>
                <w:sz w:val="18"/>
                <w:szCs w:val="18"/>
              </w:rPr>
            </w:pPr>
            <w:r>
              <w:rPr>
                <w:rFonts w:ascii="宋体" w:hAnsi="宋体" w:cs="宋体" w:eastAsia="宋体" w:hint="default"/>
                <w:sz w:val="18"/>
                <w:szCs w:val="18"/>
              </w:rPr>
              <w:t>总部办 公楼改 良</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126,440.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1,236,80</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8.00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586,098.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777,150.</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21"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系统升 级项目</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1,587,37</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60" w:right="0"/>
              <w:jc w:val="left"/>
              <w:rPr>
                <w:rFonts w:ascii="Times New Roman" w:hAnsi="Times New Roman" w:cs="Times New Roman" w:eastAsia="Times New Roman" w:hint="default"/>
                <w:sz w:val="18"/>
                <w:szCs w:val="18"/>
              </w:rPr>
            </w:pPr>
            <w:r>
              <w:rPr>
                <w:rFonts w:ascii="Times New Roman"/>
                <w:sz w:val="18"/>
              </w:rPr>
              <w:t>1,895,73</w:t>
            </w:r>
          </w:p>
          <w:p>
            <w:pPr>
              <w:pStyle w:val="TableParagraph"/>
              <w:spacing w:line="240" w:lineRule="auto" w:before="93"/>
              <w:ind w:left="375" w:right="0"/>
              <w:jc w:val="left"/>
              <w:rPr>
                <w:rFonts w:ascii="Times New Roman" w:hAnsi="Times New Roman" w:cs="Times New Roman" w:eastAsia="Times New Roman" w:hint="default"/>
                <w:sz w:val="18"/>
                <w:szCs w:val="18"/>
              </w:rPr>
            </w:pPr>
            <w:r>
              <w:rPr>
                <w:rFonts w:ascii="Times New Roman"/>
                <w:sz w:val="18"/>
              </w:rPr>
              <w:t>7.00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1,013,81</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4.00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5" w:right="0"/>
              <w:jc w:val="left"/>
              <w:rPr>
                <w:rFonts w:ascii="Times New Roman" w:hAnsi="Times New Roman" w:cs="Times New Roman" w:eastAsia="Times New Roman" w:hint="default"/>
                <w:sz w:val="18"/>
                <w:szCs w:val="18"/>
              </w:rPr>
            </w:pPr>
            <w:r>
              <w:rPr>
                <w:rFonts w:ascii="Times New Roman"/>
                <w:sz w:val="18"/>
              </w:rPr>
              <w:t>2,469,29</w:t>
            </w:r>
          </w:p>
          <w:p>
            <w:pPr>
              <w:pStyle w:val="TableParagraph"/>
              <w:spacing w:line="240" w:lineRule="auto" w:before="93"/>
              <w:ind w:left="390" w:right="0"/>
              <w:jc w:val="left"/>
              <w:rPr>
                <w:rFonts w:ascii="Times New Roman" w:hAnsi="Times New Roman" w:cs="Times New Roman" w:eastAsia="Times New Roman" w:hint="default"/>
                <w:sz w:val="18"/>
                <w:szCs w:val="18"/>
              </w:rPr>
            </w:pPr>
            <w:r>
              <w:rPr>
                <w:rFonts w:ascii="Times New Roman"/>
                <w:sz w:val="18"/>
              </w:rPr>
              <w:t>7.00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06"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165"/>
              <w:jc w:val="left"/>
              <w:rPr>
                <w:rFonts w:ascii="宋体" w:hAnsi="宋体" w:cs="宋体" w:eastAsia="宋体" w:hint="default"/>
                <w:sz w:val="18"/>
                <w:szCs w:val="18"/>
              </w:rPr>
            </w:pPr>
            <w:r>
              <w:rPr>
                <w:rFonts w:ascii="宋体" w:hAnsi="宋体" w:cs="宋体" w:eastAsia="宋体" w:hint="default"/>
                <w:sz w:val="18"/>
                <w:szCs w:val="18"/>
              </w:rPr>
              <w:t>门店装 修工程</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271,460.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57,208.0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264,718.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63,950.0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20"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124,463.</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509,342.</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509,342.</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124,463.</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343"/>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06" w:hRule="exact"/>
        </w:trPr>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2,109,73</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7.00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60" w:right="0"/>
              <w:jc w:val="left"/>
              <w:rPr>
                <w:rFonts w:ascii="Times New Roman" w:hAnsi="Times New Roman" w:cs="Times New Roman" w:eastAsia="Times New Roman" w:hint="default"/>
                <w:sz w:val="18"/>
                <w:szCs w:val="18"/>
              </w:rPr>
            </w:pPr>
            <w:r>
              <w:rPr>
                <w:rFonts w:ascii="Times New Roman"/>
                <w:sz w:val="18"/>
              </w:rPr>
              <w:t>3,699,09</w:t>
            </w:r>
          </w:p>
          <w:p>
            <w:pPr>
              <w:pStyle w:val="TableParagraph"/>
              <w:spacing w:line="240" w:lineRule="auto" w:before="108"/>
              <w:ind w:left="375" w:right="0"/>
              <w:jc w:val="left"/>
              <w:rPr>
                <w:rFonts w:ascii="Times New Roman" w:hAnsi="Times New Roman" w:cs="Times New Roman" w:eastAsia="Times New Roman" w:hint="default"/>
                <w:sz w:val="18"/>
                <w:szCs w:val="18"/>
              </w:rPr>
            </w:pPr>
            <w:r>
              <w:rPr>
                <w:rFonts w:ascii="Times New Roman"/>
                <w:sz w:val="18"/>
              </w:rPr>
              <w:t>5.00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75"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2,373,97</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2.00</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5" w:right="0"/>
              <w:jc w:val="left"/>
              <w:rPr>
                <w:rFonts w:ascii="Times New Roman" w:hAnsi="Times New Roman" w:cs="Times New Roman" w:eastAsia="Times New Roman" w:hint="default"/>
                <w:sz w:val="18"/>
                <w:szCs w:val="18"/>
              </w:rPr>
            </w:pPr>
            <w:r>
              <w:rPr>
                <w:rFonts w:ascii="Times New Roman"/>
                <w:sz w:val="18"/>
              </w:rPr>
              <w:t>3,434,86</w:t>
            </w:r>
          </w:p>
          <w:p>
            <w:pPr>
              <w:pStyle w:val="TableParagraph"/>
              <w:spacing w:line="240" w:lineRule="auto" w:before="108"/>
              <w:ind w:left="390" w:right="0"/>
              <w:jc w:val="lef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13"/>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本期计提在建工程减值准备情况" w:id="261"/>
      <w:bookmarkEnd w:id="261"/>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35"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84"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0" w:lineRule="auto" w:before="45"/>
        <w:ind w:right="10029"/>
        <w:jc w:val="left"/>
      </w:pPr>
      <w:r>
        <w:rPr/>
        <w:t>其他说明 无</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4）工程物资" w:id="262"/>
      <w:bookmarkEnd w:id="262"/>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132"/>
        <w:gridCol w:w="1337"/>
        <w:gridCol w:w="1322"/>
        <w:gridCol w:w="1201"/>
        <w:gridCol w:w="1201"/>
        <w:gridCol w:w="1187"/>
        <w:gridCol w:w="1201"/>
      </w:tblGrid>
      <w:tr>
        <w:trPr>
          <w:trHeight w:val="405" w:hRule="exact"/>
        </w:trPr>
        <w:tc>
          <w:tcPr>
            <w:tcW w:w="213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6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9"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2132"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8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2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8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2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4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1" w:hRule="exact"/>
        </w:trPr>
        <w:tc>
          <w:tcPr>
            <w:tcW w:w="21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2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2" w:lineRule="auto" w:before="44"/>
        <w:ind w:right="9849"/>
        <w:jc w:val="left"/>
      </w:pPr>
      <w:r>
        <w:rPr/>
        <w:t>其他说明： 无</w:t>
      </w:r>
    </w:p>
    <w:p>
      <w:pPr>
        <w:spacing w:after="0" w:line="352"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13、无形资产" w:id="263"/>
      <w:bookmarkEnd w:id="263"/>
      <w:r>
        <w:rPr>
          <w:b w:val="0"/>
          <w:bCs w:val="0"/>
        </w:rPr>
      </w:r>
      <w:r>
        <w:rPr>
          <w:rFonts w:ascii="Times New Roman" w:hAnsi="Times New Roman" w:cs="Times New Roman" w:eastAsia="Times New Roman" w:hint="default"/>
        </w:rPr>
        <w:t>13</w:t>
      </w:r>
      <w:r>
        <w:rPr/>
        <w:t>、无形资产</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无形资产情况" w:id="264"/>
      <w:bookmarkEnd w:id="264"/>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179"/>
        <w:gridCol w:w="1202"/>
        <w:gridCol w:w="1201"/>
        <w:gridCol w:w="1202"/>
        <w:gridCol w:w="1201"/>
        <w:gridCol w:w="1186"/>
        <w:gridCol w:w="1202"/>
        <w:gridCol w:w="1201"/>
      </w:tblGrid>
      <w:tr>
        <w:trPr>
          <w:trHeight w:val="4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59"/>
              <w:jc w:val="right"/>
              <w:rPr>
                <w:rFonts w:ascii="宋体" w:hAnsi="宋体" w:cs="宋体" w:eastAsia="宋体" w:hint="default"/>
                <w:sz w:val="18"/>
                <w:szCs w:val="18"/>
              </w:rPr>
            </w:pPr>
            <w:r>
              <w:rPr>
                <w:rFonts w:ascii="宋体" w:hAnsi="宋体" w:cs="宋体" w:eastAsia="宋体" w:hint="default"/>
                <w:sz w:val="18"/>
                <w:szCs w:val="18"/>
              </w:rPr>
              <w:t>财务管理软件</w:t>
            </w:r>
          </w:p>
        </w:tc>
        <w:tc>
          <w:tcPr>
            <w:tcW w:w="11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44"/>
              <w:jc w:val="right"/>
              <w:rPr>
                <w:rFonts w:ascii="宋体" w:hAnsi="宋体" w:cs="宋体" w:eastAsia="宋体" w:hint="default"/>
                <w:sz w:val="18"/>
                <w:szCs w:val="18"/>
              </w:rPr>
            </w:pPr>
            <w:r>
              <w:rPr>
                <w:rFonts w:ascii="宋体" w:hAnsi="宋体" w:cs="宋体" w:eastAsia="宋体" w:hint="default"/>
                <w:sz w:val="18"/>
                <w:szCs w:val="18"/>
              </w:rPr>
              <w:t>网络管理软件</w:t>
            </w:r>
          </w:p>
        </w:tc>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30" w:right="0"/>
              <w:jc w:val="left"/>
              <w:rPr>
                <w:rFonts w:ascii="宋体" w:hAnsi="宋体" w:cs="宋体" w:eastAsia="宋体" w:hint="default"/>
                <w:sz w:val="18"/>
                <w:szCs w:val="18"/>
              </w:rPr>
            </w:pPr>
            <w:r>
              <w:rPr>
                <w:rFonts w:ascii="宋体" w:hAnsi="宋体" w:cs="宋体" w:eastAsia="宋体" w:hint="default"/>
                <w:sz w:val="18"/>
                <w:szCs w:val="18"/>
              </w:rPr>
              <w:t>商标权</w:t>
            </w:r>
          </w:p>
        </w:tc>
        <w:tc>
          <w:tcPr>
            <w:tcW w:w="12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8"/>
              <w:jc w:val="center"/>
              <w:rPr>
                <w:rFonts w:ascii="宋体" w:hAnsi="宋体" w:cs="宋体" w:eastAsia="宋体" w:hint="default"/>
                <w:sz w:val="18"/>
                <w:szCs w:val="18"/>
              </w:rPr>
            </w:pPr>
            <w:r>
              <w:rPr>
                <w:rFonts w:ascii="宋体" w:hAnsi="宋体" w:cs="宋体" w:eastAsia="宋体" w:hint="default"/>
                <w:sz w:val="18"/>
                <w:szCs w:val="18"/>
              </w:rPr>
              <w:t>一、账面原值</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19,894,453.00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2,323,124.00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174,538,035.00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6,180,778.00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202,936,390.00</w:t>
            </w:r>
          </w:p>
        </w:tc>
      </w:tr>
      <w:tr>
        <w:trPr>
          <w:trHeight w:val="720"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59"/>
              <w:ind w:left="7" w:right="12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32"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）购</w:t>
            </w:r>
            <w:r>
              <w:rPr>
                <w:rFonts w:ascii="宋体" w:hAnsi="宋体" w:cs="宋体" w:eastAsia="宋体" w:hint="default"/>
                <w:sz w:val="18"/>
                <w:szCs w:val="18"/>
              </w:rPr>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776,699.00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776,699.00</w:t>
            </w:r>
          </w:p>
        </w:tc>
      </w:tr>
      <w:tr>
        <w:trPr>
          <w:trHeight w:val="7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28" w:firstLine="525"/>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）内</w:t>
            </w:r>
            <w:r>
              <w:rPr>
                <w:rFonts w:ascii="宋体" w:hAnsi="宋体" w:cs="宋体" w:eastAsia="宋体" w:hint="default"/>
                <w:spacing w:val="-15"/>
                <w:sz w:val="18"/>
                <w:szCs w:val="18"/>
              </w:rPr>
              <w:t> </w:t>
            </w:r>
            <w:r>
              <w:rPr>
                <w:rFonts w:ascii="宋体" w:hAnsi="宋体" w:cs="宋体" w:eastAsia="宋体" w:hint="default"/>
                <w:sz w:val="18"/>
                <w:szCs w:val="18"/>
              </w:rPr>
              <w:t>部研发</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28" w:firstLine="525"/>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）企</w:t>
            </w:r>
            <w:r>
              <w:rPr>
                <w:rFonts w:ascii="宋体" w:hAnsi="宋体" w:cs="宋体" w:eastAsia="宋体" w:hint="default"/>
                <w:spacing w:val="-15"/>
                <w:sz w:val="18"/>
                <w:szCs w:val="18"/>
              </w:rPr>
              <w:t> </w:t>
            </w:r>
            <w:r>
              <w:rPr>
                <w:rFonts w:ascii="宋体" w:hAnsi="宋体" w:cs="宋体" w:eastAsia="宋体" w:hint="default"/>
                <w:sz w:val="18"/>
                <w:szCs w:val="18"/>
              </w:rPr>
              <w:t>业合并增加</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 w:right="120"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532"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51"/>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23,169,947.00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2,323,124.00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182,339,504.00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6,575,827.00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214,408,402.00</w:t>
            </w:r>
          </w:p>
        </w:tc>
      </w:tr>
      <w:tr>
        <w:trPr>
          <w:trHeight w:val="4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8"/>
              <w:jc w:val="center"/>
              <w:rPr>
                <w:rFonts w:ascii="宋体" w:hAnsi="宋体" w:cs="宋体" w:eastAsia="宋体" w:hint="default"/>
                <w:sz w:val="18"/>
                <w:szCs w:val="18"/>
              </w:rPr>
            </w:pPr>
            <w:r>
              <w:rPr>
                <w:rFonts w:ascii="宋体" w:hAnsi="宋体" w:cs="宋体" w:eastAsia="宋体" w:hint="default"/>
                <w:sz w:val="18"/>
                <w:szCs w:val="18"/>
              </w:rPr>
              <w:t>二、累计摊销</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6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20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6,788,144.00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1,816,632.00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140,477,559.00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3,982,844.00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153,065,179.00</w:t>
            </w:r>
          </w:p>
        </w:tc>
      </w:tr>
      <w:tr>
        <w:trPr>
          <w:trHeight w:val="7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12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32"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20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405,127.00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148,873.00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12,421,936.00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450,957.00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13,426,893.00</w:t>
            </w:r>
          </w:p>
        </w:tc>
      </w:tr>
      <w:tr>
        <w:trPr>
          <w:trHeight w:val="405"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88" w:lineRule="auto" w:before="45"/>
              <w:ind w:left="7" w:right="120"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532"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）处</w:t>
            </w:r>
            <w:r>
              <w:rPr>
                <w:rFonts w:ascii="宋体" w:hAnsi="宋体" w:cs="宋体" w:eastAsia="宋体" w:hint="default"/>
                <w:sz w:val="18"/>
                <w:szCs w:val="18"/>
              </w:rPr>
            </w:r>
          </w:p>
          <w:p>
            <w:pPr>
              <w:pStyle w:val="TableParagraph"/>
              <w:spacing w:line="240" w:lineRule="auto" w:before="36"/>
              <w:ind w:left="7"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17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202" w:type="dxa"/>
            <w:tcBorders>
              <w:top w:val="single" w:sz="6" w:space="0" w:color="000000"/>
              <w:left w:val="single" w:sz="18" w:space="0" w:color="D2D2D2"/>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02"/>
        <w:gridCol w:w="1187"/>
        <w:gridCol w:w="1201"/>
        <w:gridCol w:w="1202"/>
        <w:gridCol w:w="1201"/>
        <w:gridCol w:w="1186"/>
        <w:gridCol w:w="1202"/>
        <w:gridCol w:w="1201"/>
      </w:tblGrid>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7,193,271.00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1,965,505.00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152,899,495.00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4,433,801.00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166,492,072.00</w:t>
            </w:r>
          </w:p>
        </w:tc>
      </w:tr>
      <w:tr>
        <w:trPr>
          <w:trHeight w:val="39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r>
      <w:tr>
        <w:trPr>
          <w:trHeight w:val="720"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0" w:right="0"/>
              <w:jc w:val="left"/>
              <w:rPr>
                <w:rFonts w:ascii="宋体" w:hAnsi="宋体" w:cs="宋体" w:eastAsia="宋体" w:hint="default"/>
                <w:sz w:val="18"/>
                <w:szCs w:val="18"/>
              </w:rPr>
            </w:pP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）计</w:t>
            </w:r>
            <w:r>
              <w:rPr>
                <w:rFonts w:ascii="宋体" w:hAnsi="宋体" w:cs="宋体" w:eastAsia="宋体" w:hint="default"/>
                <w:sz w:val="18"/>
                <w:szCs w:val="18"/>
              </w:rPr>
            </w:r>
          </w:p>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37,037.00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10,078,237.00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730,832.00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10,846,106.00</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0"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）处置</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3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36"/>
              <w:ind w:left="15"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37,037.00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10,078,237.00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730,832.00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10,846,106.00</w:t>
            </w:r>
          </w:p>
        </w:tc>
      </w:tr>
      <w:tr>
        <w:trPr>
          <w:trHeight w:val="4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187"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c>
          <w:tcPr>
            <w:tcW w:w="1186"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15" w:right="1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15,976,676.00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320,582.00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19,361,772.00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1,411,194.00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37,070,224.00</w:t>
            </w:r>
          </w:p>
        </w:tc>
      </w:tr>
      <w:tr>
        <w:trPr>
          <w:trHeight w:val="706" w:hRule="exact"/>
        </w:trPr>
        <w:tc>
          <w:tcPr>
            <w:tcW w:w="12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15" w:right="13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1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16,381,803.00</w:t>
            </w:r>
          </w:p>
        </w:tc>
        <w:tc>
          <w:tcPr>
            <w:tcW w:w="1201"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506,492.00</w:t>
            </w:r>
          </w:p>
        </w:tc>
        <w:tc>
          <w:tcPr>
            <w:tcW w:w="11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41,085,246.00</w:t>
            </w:r>
          </w:p>
        </w:tc>
        <w:tc>
          <w:tcPr>
            <w:tcW w:w="12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2,592,983.00</w:t>
            </w:r>
          </w:p>
        </w:tc>
        <w:tc>
          <w:tcPr>
            <w:tcW w:w="12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60,566,524.00</w:t>
            </w:r>
          </w:p>
        </w:tc>
      </w:tr>
    </w:tbl>
    <w:p>
      <w:pPr>
        <w:pStyle w:val="BodyText"/>
        <w:spacing w:line="240" w:lineRule="auto" w:before="45"/>
        <w:ind w:right="0"/>
        <w:jc w:val="left"/>
      </w:pPr>
      <w:r>
        <w:rPr/>
        <w:t>本期末通过公司内部研发形成的无形资产占无形资产余额的比例。</w:t>
      </w:r>
    </w:p>
    <w:p>
      <w:pPr>
        <w:spacing w:line="240" w:lineRule="auto" w:before="0"/>
        <w:rPr>
          <w:rFonts w:ascii="宋体" w:hAnsi="宋体" w:cs="宋体" w:eastAsia="宋体" w:hint="default"/>
          <w:sz w:val="18"/>
          <w:szCs w:val="18"/>
        </w:rPr>
      </w:pPr>
    </w:p>
    <w:p>
      <w:pPr>
        <w:pStyle w:val="Heading5"/>
        <w:spacing w:line="240" w:lineRule="auto" w:before="154"/>
        <w:ind w:right="0"/>
        <w:jc w:val="left"/>
        <w:rPr>
          <w:b w:val="0"/>
          <w:bCs w:val="0"/>
        </w:rPr>
      </w:pPr>
      <w:bookmarkStart w:name="（2）未办妥产权证书的土地使用权情况" w:id="265"/>
      <w:bookmarkEnd w:id="265"/>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90"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2" w:lineRule="auto" w:before="45"/>
        <w:ind w:right="9849"/>
        <w:jc w:val="left"/>
      </w:pPr>
      <w:r>
        <w:rPr/>
        <w:t>其他说明： 无</w:t>
      </w:r>
    </w:p>
    <w:p>
      <w:pPr>
        <w:spacing w:line="240" w:lineRule="auto" w:before="1"/>
        <w:rPr>
          <w:rFonts w:ascii="宋体" w:hAnsi="宋体" w:cs="宋体" w:eastAsia="宋体" w:hint="default"/>
          <w:sz w:val="21"/>
          <w:szCs w:val="21"/>
        </w:rPr>
      </w:pPr>
    </w:p>
    <w:p>
      <w:pPr>
        <w:pStyle w:val="Heading5"/>
        <w:spacing w:line="240" w:lineRule="auto"/>
        <w:ind w:right="0"/>
        <w:jc w:val="left"/>
        <w:rPr>
          <w:b w:val="0"/>
          <w:bCs w:val="0"/>
        </w:rPr>
      </w:pPr>
      <w:bookmarkStart w:name="14、开发支出" w:id="266"/>
      <w:bookmarkEnd w:id="266"/>
      <w:r>
        <w:rPr>
          <w:b w:val="0"/>
          <w:bCs w:val="0"/>
        </w:rPr>
      </w:r>
      <w:r>
        <w:rPr>
          <w:rFonts w:ascii="Times New Roman" w:hAnsi="Times New Roman" w:cs="Times New Roman" w:eastAsia="Times New Roman" w:hint="default"/>
        </w:rPr>
        <w:t>14</w:t>
      </w:r>
      <w:r>
        <w:rPr/>
        <w:t>、开发支出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059"/>
        <w:gridCol w:w="1074"/>
        <w:gridCol w:w="1044"/>
        <w:gridCol w:w="1066"/>
        <w:gridCol w:w="1081"/>
        <w:gridCol w:w="1059"/>
        <w:gridCol w:w="1051"/>
        <w:gridCol w:w="1074"/>
        <w:gridCol w:w="1066"/>
      </w:tblGrid>
      <w:tr>
        <w:trPr>
          <w:trHeight w:val="405" w:hRule="exact"/>
        </w:trPr>
        <w:tc>
          <w:tcPr>
            <w:tcW w:w="1059" w:type="dxa"/>
            <w:tcBorders>
              <w:top w:val="single" w:sz="6" w:space="0" w:color="000000"/>
              <w:left w:val="single" w:sz="6" w:space="0" w:color="000000"/>
              <w:bottom w:val="nil" w:sz="6" w:space="0" w:color="auto"/>
              <w:right w:val="single" w:sz="6" w:space="0" w:color="000000"/>
            </w:tcBorders>
            <w:shd w:val="clear" w:color="auto" w:fill="D2D2D2"/>
          </w:tcPr>
          <w:p>
            <w:pPr/>
          </w:p>
        </w:tc>
        <w:tc>
          <w:tcPr>
            <w:tcW w:w="1074" w:type="dxa"/>
            <w:tcBorders>
              <w:top w:val="single" w:sz="6" w:space="0" w:color="000000"/>
              <w:left w:val="single" w:sz="6" w:space="0" w:color="000000"/>
              <w:bottom w:val="nil" w:sz="6" w:space="0" w:color="auto"/>
              <w:right w:val="single" w:sz="6" w:space="0" w:color="000000"/>
            </w:tcBorders>
            <w:shd w:val="clear" w:color="auto" w:fill="D2D2D2"/>
          </w:tcPr>
          <w:p>
            <w:pPr/>
          </w:p>
        </w:tc>
        <w:tc>
          <w:tcPr>
            <w:tcW w:w="3192"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28"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36"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1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8" w:hRule="exact"/>
        </w:trPr>
        <w:tc>
          <w:tcPr>
            <w:tcW w:w="1059"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32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74" w:type="dxa"/>
            <w:vMerge w:val="restart"/>
            <w:tcBorders>
              <w:top w:val="nil" w:sz="6" w:space="0" w:color="auto"/>
              <w:left w:val="single" w:sz="6" w:space="0" w:color="000000"/>
              <w:right w:val="single" w:sz="6" w:space="0" w:color="000000"/>
            </w:tcBorders>
            <w:shd w:val="clear" w:color="auto" w:fill="D2D2D2"/>
          </w:tcPr>
          <w:p>
            <w:pPr>
              <w:pStyle w:val="TableParagraph"/>
              <w:spacing w:line="228" w:lineRule="exact"/>
              <w:ind w:left="15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44"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13" w:right="74" w:hanging="361"/>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6" w:type="dxa"/>
            <w:tcBorders>
              <w:top w:val="single" w:sz="6" w:space="0" w:color="000000"/>
              <w:left w:val="single" w:sz="6" w:space="0" w:color="000000"/>
              <w:bottom w:val="nil" w:sz="6" w:space="0" w:color="auto"/>
              <w:right w:val="single" w:sz="6" w:space="0" w:color="000000"/>
            </w:tcBorders>
            <w:shd w:val="clear" w:color="auto" w:fill="D2D2D2"/>
          </w:tcPr>
          <w:p>
            <w:pPr/>
          </w:p>
        </w:tc>
        <w:tc>
          <w:tcPr>
            <w:tcW w:w="1081" w:type="dxa"/>
            <w:tcBorders>
              <w:top w:val="single" w:sz="6" w:space="0" w:color="000000"/>
              <w:left w:val="single" w:sz="6" w:space="0" w:color="000000"/>
              <w:bottom w:val="nil" w:sz="6" w:space="0" w:color="auto"/>
              <w:right w:val="single" w:sz="6" w:space="0" w:color="000000"/>
            </w:tcBorders>
            <w:shd w:val="clear" w:color="auto" w:fill="D2D2D2"/>
          </w:tcPr>
          <w:p>
            <w:pPr/>
          </w:p>
        </w:tc>
        <w:tc>
          <w:tcPr>
            <w:tcW w:w="1059"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330" w:right="82" w:hanging="271"/>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51"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29"/>
              <w:ind w:left="427" w:right="66" w:hanging="361"/>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74" w:type="dxa"/>
            <w:tcBorders>
              <w:top w:val="single" w:sz="6" w:space="0" w:color="000000"/>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80" w:hRule="exact"/>
        </w:trPr>
        <w:tc>
          <w:tcPr>
            <w:tcW w:w="1059" w:type="dxa"/>
            <w:vMerge/>
            <w:tcBorders>
              <w:left w:val="single" w:sz="6" w:space="0" w:color="000000"/>
              <w:right w:val="single" w:sz="6" w:space="0" w:color="000000"/>
            </w:tcBorders>
            <w:shd w:val="clear" w:color="auto" w:fill="D2D2D2"/>
          </w:tcPr>
          <w:p>
            <w:pPr/>
          </w:p>
        </w:tc>
        <w:tc>
          <w:tcPr>
            <w:tcW w:w="1074" w:type="dxa"/>
            <w:vMerge/>
            <w:tcBorders>
              <w:left w:val="single" w:sz="6" w:space="0" w:color="000000"/>
              <w:bottom w:val="nil" w:sz="6" w:space="0" w:color="auto"/>
              <w:right w:val="single" w:sz="6" w:space="0" w:color="000000"/>
            </w:tcBorders>
            <w:shd w:val="clear" w:color="auto" w:fill="D2D2D2"/>
          </w:tcPr>
          <w:p>
            <w:pPr/>
          </w:p>
        </w:tc>
        <w:tc>
          <w:tcPr>
            <w:tcW w:w="1044" w:type="dxa"/>
            <w:vMerge/>
            <w:tcBorders>
              <w:left w:val="single" w:sz="6" w:space="0" w:color="000000"/>
              <w:right w:val="single" w:sz="6" w:space="0" w:color="000000"/>
            </w:tcBorders>
            <w:shd w:val="clear" w:color="auto" w:fill="D2D2D2"/>
          </w:tcPr>
          <w:p>
            <w:pPr/>
          </w:p>
        </w:tc>
        <w:tc>
          <w:tcPr>
            <w:tcW w:w="10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81" w:type="dxa"/>
            <w:vMerge w:val="restart"/>
            <w:tcBorders>
              <w:top w:val="nil" w:sz="6" w:space="0" w:color="auto"/>
              <w:left w:val="single" w:sz="6" w:space="0" w:color="000000"/>
              <w:right w:val="single" w:sz="6" w:space="0" w:color="000000"/>
            </w:tcBorders>
            <w:shd w:val="clear" w:color="auto" w:fill="D2D2D2"/>
          </w:tcPr>
          <w:p>
            <w:pPr/>
          </w:p>
        </w:tc>
        <w:tc>
          <w:tcPr>
            <w:tcW w:w="1059"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1074" w:type="dxa"/>
            <w:vMerge w:val="restart"/>
            <w:tcBorders>
              <w:top w:val="nil" w:sz="6" w:space="0" w:color="auto"/>
              <w:left w:val="single" w:sz="6" w:space="0" w:color="000000"/>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210" w:hRule="exact"/>
        </w:trPr>
        <w:tc>
          <w:tcPr>
            <w:tcW w:w="1059" w:type="dxa"/>
            <w:vMerge/>
            <w:tcBorders>
              <w:left w:val="single" w:sz="6" w:space="0" w:color="000000"/>
              <w:right w:val="single" w:sz="6" w:space="0" w:color="000000"/>
            </w:tcBorders>
            <w:shd w:val="clear" w:color="auto" w:fill="D2D2D2"/>
          </w:tcPr>
          <w:p>
            <w:pPr/>
          </w:p>
        </w:tc>
        <w:tc>
          <w:tcPr>
            <w:tcW w:w="1074" w:type="dxa"/>
            <w:vMerge w:val="restart"/>
            <w:tcBorders>
              <w:top w:val="nil" w:sz="6" w:space="0" w:color="auto"/>
              <w:left w:val="single" w:sz="6" w:space="0" w:color="000000"/>
              <w:right w:val="single" w:sz="6" w:space="0" w:color="000000"/>
            </w:tcBorders>
            <w:shd w:val="clear" w:color="auto" w:fill="D2D2D2"/>
          </w:tcPr>
          <w:p>
            <w:pPr/>
          </w:p>
        </w:tc>
        <w:tc>
          <w:tcPr>
            <w:tcW w:w="1044" w:type="dxa"/>
            <w:vMerge/>
            <w:tcBorders>
              <w:left w:val="single" w:sz="6" w:space="0" w:color="000000"/>
              <w:right w:val="single" w:sz="6" w:space="0" w:color="000000"/>
            </w:tcBorders>
            <w:shd w:val="clear" w:color="auto" w:fill="D2D2D2"/>
          </w:tcPr>
          <w:p>
            <w:pPr/>
          </w:p>
        </w:tc>
        <w:tc>
          <w:tcPr>
            <w:tcW w:w="1066" w:type="dxa"/>
            <w:vMerge/>
            <w:tcBorders>
              <w:left w:val="single" w:sz="6" w:space="0" w:color="000000"/>
              <w:bottom w:val="nil" w:sz="6" w:space="0" w:color="auto"/>
              <w:right w:val="single" w:sz="6" w:space="0" w:color="000000"/>
            </w:tcBorders>
            <w:shd w:val="clear" w:color="auto" w:fill="D2D2D2"/>
          </w:tcPr>
          <w:p>
            <w:pPr/>
          </w:p>
        </w:tc>
        <w:tc>
          <w:tcPr>
            <w:tcW w:w="1081" w:type="dxa"/>
            <w:vMerge/>
            <w:tcBorders>
              <w:left w:val="single" w:sz="6" w:space="0" w:color="000000"/>
              <w:bottom w:val="nil" w:sz="6" w:space="0" w:color="auto"/>
              <w:right w:val="single" w:sz="6" w:space="0" w:color="000000"/>
            </w:tcBorders>
            <w:shd w:val="clear" w:color="auto" w:fill="D2D2D2"/>
          </w:tcPr>
          <w:p>
            <w:pPr/>
          </w:p>
        </w:tc>
        <w:tc>
          <w:tcPr>
            <w:tcW w:w="1059"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1074" w:type="dxa"/>
            <w:vMerge/>
            <w:tcBorders>
              <w:left w:val="single" w:sz="6" w:space="0" w:color="000000"/>
              <w:bottom w:val="nil" w:sz="6" w:space="0" w:color="auto"/>
              <w:right w:val="single" w:sz="6" w:space="0" w:color="000000"/>
            </w:tcBorders>
            <w:shd w:val="clear" w:color="auto" w:fill="D2D2D2"/>
          </w:tcPr>
          <w:p>
            <w:pPr/>
          </w:p>
        </w:tc>
        <w:tc>
          <w:tcPr>
            <w:tcW w:w="1066" w:type="dxa"/>
            <w:vMerge/>
            <w:tcBorders>
              <w:left w:val="single" w:sz="6" w:space="0" w:color="000000"/>
              <w:right w:val="single" w:sz="6" w:space="0" w:color="000000"/>
            </w:tcBorders>
            <w:shd w:val="clear" w:color="auto" w:fill="D2D2D2"/>
          </w:tcPr>
          <w:p>
            <w:pPr/>
          </w:p>
        </w:tc>
      </w:tr>
      <w:tr>
        <w:trPr>
          <w:trHeight w:val="158" w:hRule="exact"/>
        </w:trPr>
        <w:tc>
          <w:tcPr>
            <w:tcW w:w="1059" w:type="dxa"/>
            <w:vMerge/>
            <w:tcBorders>
              <w:left w:val="single" w:sz="6" w:space="0" w:color="000000"/>
              <w:bottom w:val="single" w:sz="6" w:space="0" w:color="000000"/>
              <w:right w:val="single" w:sz="6" w:space="0" w:color="000000"/>
            </w:tcBorders>
            <w:shd w:val="clear" w:color="auto" w:fill="D2D2D2"/>
          </w:tcPr>
          <w:p>
            <w:pPr/>
          </w:p>
        </w:tc>
        <w:tc>
          <w:tcPr>
            <w:tcW w:w="1074" w:type="dxa"/>
            <w:vMerge/>
            <w:tcBorders>
              <w:left w:val="single" w:sz="6" w:space="0" w:color="000000"/>
              <w:bottom w:val="single" w:sz="6" w:space="0" w:color="000000"/>
              <w:right w:val="single" w:sz="6" w:space="0" w:color="000000"/>
            </w:tcBorders>
            <w:shd w:val="clear" w:color="auto" w:fill="D2D2D2"/>
          </w:tcPr>
          <w:p>
            <w:pPr/>
          </w:p>
        </w:tc>
        <w:tc>
          <w:tcPr>
            <w:tcW w:w="1044" w:type="dxa"/>
            <w:vMerge/>
            <w:tcBorders>
              <w:left w:val="single" w:sz="6" w:space="0" w:color="000000"/>
              <w:bottom w:val="single" w:sz="6" w:space="0" w:color="000000"/>
              <w:right w:val="single" w:sz="6" w:space="0" w:color="000000"/>
            </w:tcBorders>
            <w:shd w:val="clear" w:color="auto" w:fill="D2D2D2"/>
          </w:tcPr>
          <w:p>
            <w:pPr/>
          </w:p>
        </w:tc>
        <w:tc>
          <w:tcPr>
            <w:tcW w:w="1066" w:type="dxa"/>
            <w:tcBorders>
              <w:top w:val="nil" w:sz="6" w:space="0" w:color="auto"/>
              <w:left w:val="single" w:sz="6" w:space="0" w:color="000000"/>
              <w:bottom w:val="single" w:sz="6" w:space="0" w:color="000000"/>
              <w:right w:val="single" w:sz="6" w:space="0" w:color="000000"/>
            </w:tcBorders>
            <w:shd w:val="clear" w:color="auto" w:fill="D2D2D2"/>
          </w:tcPr>
          <w:p>
            <w:pPr/>
          </w:p>
        </w:tc>
        <w:tc>
          <w:tcPr>
            <w:tcW w:w="1081" w:type="dxa"/>
            <w:tcBorders>
              <w:top w:val="nil" w:sz="6" w:space="0" w:color="auto"/>
              <w:left w:val="single" w:sz="6" w:space="0" w:color="000000"/>
              <w:bottom w:val="single" w:sz="6" w:space="0" w:color="000000"/>
              <w:right w:val="single" w:sz="6" w:space="0" w:color="000000"/>
            </w:tcBorders>
            <w:shd w:val="clear" w:color="auto" w:fill="D2D2D2"/>
          </w:tcPr>
          <w:p>
            <w:pPr/>
          </w:p>
        </w:tc>
        <w:tc>
          <w:tcPr>
            <w:tcW w:w="1059" w:type="dxa"/>
            <w:vMerge/>
            <w:tcBorders>
              <w:left w:val="single" w:sz="6" w:space="0" w:color="000000"/>
              <w:bottom w:val="single" w:sz="6" w:space="0" w:color="000000"/>
              <w:right w:val="single" w:sz="6" w:space="0" w:color="000000"/>
            </w:tcBorders>
            <w:shd w:val="clear" w:color="auto" w:fill="D2D2D2"/>
          </w:tcPr>
          <w:p>
            <w:pPr/>
          </w:p>
        </w:tc>
        <w:tc>
          <w:tcPr>
            <w:tcW w:w="1051" w:type="dxa"/>
            <w:vMerge/>
            <w:tcBorders>
              <w:left w:val="single" w:sz="6" w:space="0" w:color="000000"/>
              <w:bottom w:val="single" w:sz="6" w:space="0" w:color="000000"/>
              <w:right w:val="single" w:sz="6" w:space="0" w:color="000000"/>
            </w:tcBorders>
            <w:shd w:val="clear" w:color="auto" w:fill="D2D2D2"/>
          </w:tcPr>
          <w:p>
            <w:pPr/>
          </w:p>
        </w:tc>
        <w:tc>
          <w:tcPr>
            <w:tcW w:w="1074" w:type="dxa"/>
            <w:tcBorders>
              <w:top w:val="nil" w:sz="6" w:space="0" w:color="auto"/>
              <w:left w:val="single" w:sz="6" w:space="0" w:color="000000"/>
              <w:bottom w:val="single" w:sz="6" w:space="0" w:color="000000"/>
              <w:right w:val="single" w:sz="6" w:space="0" w:color="000000"/>
            </w:tcBorders>
            <w:shd w:val="clear" w:color="auto" w:fill="D2D2D2"/>
          </w:tcPr>
          <w:p>
            <w:pPr/>
          </w:p>
        </w:tc>
        <w:tc>
          <w:tcPr>
            <w:tcW w:w="1066"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05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宋体" w:hAnsi="宋体" w:cs="宋体" w:eastAsia="宋体" w:hint="default"/>
                <w:sz w:val="18"/>
                <w:szCs w:val="18"/>
              </w:rPr>
              <w:t>信息技术研</w:t>
            </w:r>
          </w:p>
        </w:tc>
        <w:tc>
          <w:tcPr>
            <w:tcW w:w="107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698" w:right="0"/>
              <w:jc w:val="left"/>
              <w:rPr>
                <w:rFonts w:ascii="Times New Roman" w:hAnsi="Times New Roman" w:cs="Times New Roman" w:eastAsia="Times New Roman" w:hint="default"/>
                <w:sz w:val="18"/>
                <w:szCs w:val="18"/>
              </w:rPr>
            </w:pPr>
            <w:r>
              <w:rPr>
                <w:rFonts w:ascii="Times New Roman"/>
                <w:sz w:val="18"/>
              </w:rPr>
              <w:t>0.00</w:t>
            </w:r>
          </w:p>
        </w:tc>
        <w:tc>
          <w:tcPr>
            <w:tcW w:w="10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67" w:right="0"/>
              <w:jc w:val="left"/>
              <w:rPr>
                <w:rFonts w:ascii="Times New Roman" w:hAnsi="Times New Roman" w:cs="Times New Roman" w:eastAsia="Times New Roman" w:hint="default"/>
                <w:sz w:val="18"/>
                <w:szCs w:val="18"/>
              </w:rPr>
            </w:pPr>
            <w:r>
              <w:rPr>
                <w:rFonts w:ascii="Times New Roman"/>
                <w:sz w:val="18"/>
              </w:rPr>
              <w:t>63,429,523.0</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81" w:type="dxa"/>
            <w:tcBorders>
              <w:top w:val="single" w:sz="6" w:space="0" w:color="000000"/>
              <w:left w:val="single" w:sz="6" w:space="0" w:color="000000"/>
              <w:bottom w:val="single" w:sz="6" w:space="0" w:color="000000"/>
              <w:right w:val="single" w:sz="6" w:space="0" w:color="000000"/>
            </w:tcBorders>
          </w:tcPr>
          <w:p>
            <w:pPr/>
          </w:p>
        </w:tc>
        <w:tc>
          <w:tcPr>
            <w:tcW w:w="1059"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82" w:right="0"/>
              <w:jc w:val="left"/>
              <w:rPr>
                <w:rFonts w:ascii="Times New Roman" w:hAnsi="Times New Roman" w:cs="Times New Roman" w:eastAsia="Times New Roman" w:hint="default"/>
                <w:sz w:val="18"/>
                <w:szCs w:val="18"/>
              </w:rPr>
            </w:pPr>
            <w:r>
              <w:rPr>
                <w:rFonts w:ascii="Times New Roman"/>
                <w:sz w:val="18"/>
              </w:rPr>
              <w:t>63,429,523.0</w:t>
            </w:r>
          </w:p>
        </w:tc>
        <w:tc>
          <w:tcPr>
            <w:tcW w:w="1074"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51"/>
        <w:gridCol w:w="1066"/>
        <w:gridCol w:w="1067"/>
        <w:gridCol w:w="1066"/>
        <w:gridCol w:w="1067"/>
        <w:gridCol w:w="1066"/>
      </w:tblGrid>
      <w:tr>
        <w:trPr>
          <w:trHeight w:val="360"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发</w:t>
            </w: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28"/>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0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63,429,523.0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63,429,523.0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81" w:lineRule="auto" w:before="45"/>
        <w:ind w:right="5469"/>
        <w:jc w:val="left"/>
      </w:pPr>
      <w:r>
        <w:rPr/>
        <w:t>其他说明 通过公司内部研发形成的无形资产占无形资产期末账面价值的</w:t>
      </w:r>
      <w:r>
        <w:rPr>
          <w:rFonts w:ascii="Times New Roman" w:hAnsi="Times New Roman" w:cs="Times New Roman" w:eastAsia="Times New Roman" w:hint="default"/>
        </w:rPr>
        <w:t>0%</w:t>
      </w:r>
      <w:r>
        <w:rPr/>
        <w:t>。</w:t>
      </w:r>
    </w:p>
    <w:p>
      <w:pPr>
        <w:spacing w:line="240" w:lineRule="auto" w:before="4"/>
        <w:rPr>
          <w:rFonts w:ascii="宋体" w:hAnsi="宋体" w:cs="宋体" w:eastAsia="宋体" w:hint="default"/>
          <w:sz w:val="16"/>
          <w:szCs w:val="16"/>
        </w:rPr>
      </w:pPr>
    </w:p>
    <w:p>
      <w:pPr>
        <w:pStyle w:val="Heading5"/>
        <w:spacing w:line="240" w:lineRule="auto"/>
        <w:ind w:right="0"/>
        <w:jc w:val="left"/>
        <w:rPr>
          <w:b w:val="0"/>
          <w:bCs w:val="0"/>
        </w:rPr>
      </w:pPr>
      <w:bookmarkStart w:name="15、长期待摊费用" w:id="267"/>
      <w:bookmarkEnd w:id="267"/>
      <w:r>
        <w:rPr>
          <w:b w:val="0"/>
          <w:bCs w:val="0"/>
        </w:rPr>
      </w:r>
      <w:r>
        <w:rPr>
          <w:rFonts w:ascii="Times New Roman" w:hAnsi="Times New Roman" w:cs="Times New Roman" w:eastAsia="Times New Roman" w:hint="default"/>
        </w:rPr>
        <w:t>15</w:t>
      </w:r>
      <w:r>
        <w:rPr/>
        <w:t>、长期待摊费用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390"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3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3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经营租入固定资产 改良</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190,437,593.00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100,076,579.00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166,057,296.00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
              <w:jc w:val="right"/>
              <w:rPr>
                <w:rFonts w:ascii="Times New Roman" w:hAnsi="Times New Roman" w:cs="Times New Roman" w:eastAsia="Times New Roman" w:hint="default"/>
                <w:sz w:val="18"/>
                <w:szCs w:val="18"/>
              </w:rPr>
            </w:pPr>
            <w:r>
              <w:rPr>
                <w:rFonts w:ascii="Times New Roman"/>
                <w:sz w:val="18"/>
              </w:rPr>
              <w:t>27,670,544.00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96,786,332.00</w:t>
            </w:r>
          </w:p>
        </w:tc>
      </w:tr>
      <w:tr>
        <w:trPr>
          <w:trHeight w:val="721"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20"/>
              <w:jc w:val="left"/>
              <w:rPr>
                <w:rFonts w:ascii="宋体" w:hAnsi="宋体" w:cs="宋体" w:eastAsia="宋体" w:hint="default"/>
                <w:sz w:val="18"/>
                <w:szCs w:val="18"/>
              </w:rPr>
            </w:pPr>
            <w:r>
              <w:rPr>
                <w:rFonts w:ascii="宋体" w:hAnsi="宋体" w:cs="宋体" w:eastAsia="宋体" w:hint="default"/>
                <w:sz w:val="18"/>
                <w:szCs w:val="18"/>
              </w:rPr>
              <w:t>预付租金一年以上 部分</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51,120,325.00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1,514,835.00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7,486,671.00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18"/>
                <w:szCs w:val="18"/>
              </w:rPr>
            </w:pPr>
            <w:r>
              <w:rPr>
                <w:rFonts w:ascii="Times New Roman"/>
                <w:sz w:val="18"/>
              </w:rPr>
              <w:t>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45,148,489.00</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道具及辅料</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40,196,297.00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17,113,837.00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33,673,776.00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23,636,358.00</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546,561.00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24,389,995.00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24,874,512.00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0"/>
              <w:jc w:val="right"/>
              <w:rPr>
                <w:rFonts w:ascii="Times New Roman" w:hAnsi="Times New Roman" w:cs="Times New Roman" w:eastAsia="Times New Roman" w:hint="default"/>
                <w:sz w:val="18"/>
                <w:szCs w:val="18"/>
              </w:rPr>
            </w:pPr>
            <w:r>
              <w:rPr>
                <w:rFonts w:ascii="Times New Roman"/>
                <w:sz w:val="18"/>
              </w:rPr>
              <w:t>0.00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62,044.00</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282,300,776.00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143,095,246.00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232,092,255.00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27,670,544.00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165,633,223.00</w:t>
            </w:r>
          </w:p>
        </w:tc>
      </w:tr>
    </w:tbl>
    <w:p>
      <w:pPr>
        <w:pStyle w:val="BodyText"/>
        <w:spacing w:line="350" w:lineRule="auto" w:before="45"/>
        <w:ind w:right="10029"/>
        <w:jc w:val="left"/>
      </w:pPr>
      <w:r>
        <w:rPr/>
        <w:t>其他说明 无</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16、递延所得税资产/递延所得税负债" w:id="268"/>
      <w:bookmarkEnd w:id="268"/>
      <w:r>
        <w:rPr>
          <w:b w:val="0"/>
          <w:bCs w:val="0"/>
        </w:rPr>
      </w:r>
      <w:r>
        <w:rPr>
          <w:rFonts w:ascii="Times New Roman" w:hAnsi="Times New Roman" w:cs="Times New Roman" w:eastAsia="Times New Roman" w:hint="default"/>
        </w:rPr>
        <w:t>16</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未经抵销的递延所得税资产" w:id="269"/>
      <w:bookmarkEnd w:id="269"/>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203"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3"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188"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33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18"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30,144,650.00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7,536,162.00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18,483,836.00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4,620,959.00</w:t>
            </w: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33,742,488.00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8,435,622.00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46,418,760.00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11,604,690.00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3,799,302.00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949,825.00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42,754,492.00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10,688,623.00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预提费用</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75,141,052.00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18,785,264.00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32,565,488.00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8,141,372.00</w:t>
            </w: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142,827,492.00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35,706,873.00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140,222,576.00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35,055,644.00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未经抵销的递延所得税负债" w:id="270"/>
      <w:bookmarkEnd w:id="270"/>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1" w:hRule="exact"/>
        </w:trPr>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3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3）以抵销后净额列示的递延所得税资产或负债" w:id="271"/>
      <w:bookmarkEnd w:id="271"/>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15"/>
        <w:gridCol w:w="1915"/>
        <w:gridCol w:w="1915"/>
        <w:gridCol w:w="1907"/>
      </w:tblGrid>
      <w:tr>
        <w:trPr>
          <w:trHeight w:val="158" w:hRule="exact"/>
        </w:trPr>
        <w:tc>
          <w:tcPr>
            <w:tcW w:w="1922" w:type="dxa"/>
            <w:tcBorders>
              <w:top w:val="single" w:sz="6" w:space="0" w:color="000000"/>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05" w:right="52"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323" w:right="44"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405" w:right="53" w:hanging="361"/>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45"/>
              <w:ind w:left="323" w:right="37" w:hanging="271"/>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5" w:hRule="exact"/>
        </w:trPr>
        <w:tc>
          <w:tcPr>
            <w:tcW w:w="192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vMerge/>
            <w:tcBorders>
              <w:left w:val="single" w:sz="6" w:space="0" w:color="000000"/>
              <w:right w:val="single" w:sz="6" w:space="0" w:color="000000"/>
            </w:tcBorders>
            <w:shd w:val="clear" w:color="auto" w:fill="D2D2D2"/>
          </w:tcPr>
          <w:p>
            <w:pPr/>
          </w:p>
        </w:tc>
        <w:tc>
          <w:tcPr>
            <w:tcW w:w="1915" w:type="dxa"/>
            <w:vMerge/>
            <w:tcBorders>
              <w:left w:val="single" w:sz="6" w:space="0" w:color="000000"/>
              <w:right w:val="single" w:sz="6" w:space="0" w:color="000000"/>
            </w:tcBorders>
            <w:shd w:val="clear" w:color="auto" w:fill="D2D2D2"/>
          </w:tcPr>
          <w:p>
            <w:pPr/>
          </w:p>
        </w:tc>
        <w:tc>
          <w:tcPr>
            <w:tcW w:w="1915" w:type="dxa"/>
            <w:vMerge/>
            <w:tcBorders>
              <w:left w:val="single" w:sz="6" w:space="0" w:color="000000"/>
              <w:right w:val="single" w:sz="6" w:space="0" w:color="000000"/>
            </w:tcBorders>
            <w:shd w:val="clear" w:color="auto" w:fill="D2D2D2"/>
          </w:tcPr>
          <w:p>
            <w:pPr/>
          </w:p>
        </w:tc>
        <w:tc>
          <w:tcPr>
            <w:tcW w:w="1907" w:type="dxa"/>
            <w:vMerge/>
            <w:tcBorders>
              <w:left w:val="single" w:sz="6" w:space="0" w:color="000000"/>
              <w:right w:val="single" w:sz="6" w:space="0" w:color="000000"/>
            </w:tcBorders>
            <w:shd w:val="clear" w:color="auto" w:fill="D2D2D2"/>
          </w:tcPr>
          <w:p>
            <w:pPr/>
          </w:p>
        </w:tc>
      </w:tr>
      <w:tr>
        <w:trPr>
          <w:trHeight w:val="158" w:hRule="exact"/>
        </w:trPr>
        <w:tc>
          <w:tcPr>
            <w:tcW w:w="1922"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5" w:type="dxa"/>
            <w:tcBorders>
              <w:top w:val="single" w:sz="6" w:space="0" w:color="000000"/>
              <w:left w:val="single" w:sz="12" w:space="0" w:color="D2D2D2"/>
              <w:bottom w:val="single" w:sz="6" w:space="0" w:color="000000"/>
              <w:right w:val="single" w:sz="6" w:space="0" w:color="000000"/>
            </w:tcBorders>
          </w:tcPr>
          <w:p>
            <w:pPr/>
          </w:p>
        </w:tc>
        <w:tc>
          <w:tcPr>
            <w:tcW w:w="19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49" w:right="0"/>
              <w:jc w:val="left"/>
              <w:rPr>
                <w:rFonts w:ascii="Times New Roman" w:hAnsi="Times New Roman" w:cs="Times New Roman" w:eastAsia="Times New Roman" w:hint="default"/>
                <w:sz w:val="18"/>
                <w:szCs w:val="18"/>
              </w:rPr>
            </w:pPr>
            <w:r>
              <w:rPr>
                <w:rFonts w:ascii="Times New Roman"/>
                <w:sz w:val="18"/>
              </w:rPr>
              <w:t>35,706,873.00</w:t>
            </w:r>
          </w:p>
        </w:tc>
        <w:tc>
          <w:tcPr>
            <w:tcW w:w="1915"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848" w:right="0"/>
              <w:jc w:val="left"/>
              <w:rPr>
                <w:rFonts w:ascii="Times New Roman" w:hAnsi="Times New Roman" w:cs="Times New Roman" w:eastAsia="Times New Roman" w:hint="default"/>
                <w:sz w:val="18"/>
                <w:szCs w:val="18"/>
              </w:rPr>
            </w:pPr>
            <w:r>
              <w:rPr>
                <w:rFonts w:ascii="Times New Roman"/>
                <w:sz w:val="18"/>
              </w:rPr>
              <w:t>35,055,644.00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4）未确认递延所得税资产明细" w:id="272"/>
      <w:bookmarkEnd w:id="272"/>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1,238,119,299.00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924,009,872.00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1,081,043,261.00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642,339,720.00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抵消内部交易未实现利润</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206,237,722.00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206,301,039.00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2,525,400,282.00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1,772,650,631.00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5）未确认递延所得税资产的可抵扣亏损将于以下年度到期" w:id="273"/>
      <w:bookmarkEnd w:id="273"/>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59,965,140.00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107,834,887.00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158,552,485.00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50,218,283.00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52,004,623.00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128,648,856.00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131,143,030.00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134,814,121.00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240,674,442.00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659,527,114.00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1,081,043,261.00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642,339,720.00</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2" w:lineRule="auto" w:before="44"/>
        <w:ind w:right="9849"/>
        <w:jc w:val="left"/>
      </w:pPr>
      <w:r>
        <w:rPr/>
        <w:t>其他说明： 无</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bookmarkStart w:name="17、其他非流动资产" w:id="274"/>
      <w:bookmarkEnd w:id="274"/>
      <w:r>
        <w:rPr>
          <w:b w:val="0"/>
          <w:bCs w:val="0"/>
        </w:rPr>
      </w:r>
      <w:r>
        <w:rPr>
          <w:rFonts w:ascii="Times New Roman" w:hAnsi="Times New Roman" w:cs="Times New Roman" w:eastAsia="Times New Roman" w:hint="default"/>
        </w:rPr>
        <w:t>17</w:t>
      </w:r>
      <w:r>
        <w:rPr/>
        <w:t>、其他非流动资产</w:t>
      </w:r>
      <w:r>
        <w:rPr>
          <w:b w:val="0"/>
          <w:bCs w:val="0"/>
        </w:rPr>
      </w:r>
    </w:p>
    <w:p>
      <w:pPr>
        <w:spacing w:line="240" w:lineRule="auto" w:before="11"/>
        <w:rPr>
          <w:rFonts w:ascii="宋体" w:hAnsi="宋体" w:cs="宋体" w:eastAsia="宋体" w:hint="default"/>
          <w:b/>
          <w:bCs/>
          <w:sz w:val="21"/>
          <w:szCs w:val="21"/>
        </w:rPr>
      </w:pPr>
    </w:p>
    <w:p>
      <w:pPr>
        <w:spacing w:after="0" w:line="240" w:lineRule="auto"/>
        <w:rPr>
          <w:rFonts w:ascii="宋体" w:hAnsi="宋体" w:cs="宋体" w:eastAsia="宋体" w:hint="default"/>
          <w:sz w:val="21"/>
          <w:szCs w:val="21"/>
        </w:rPr>
        <w:sectPr>
          <w:pgSz w:w="11910" w:h="16850"/>
          <w:pgMar w:header="731" w:footer="981" w:top="1040" w:bottom="1180" w:left="1000" w:right="0"/>
        </w:sectPr>
      </w:pPr>
    </w:p>
    <w:p>
      <w:pPr>
        <w:pStyle w:val="BodyText"/>
        <w:spacing w:line="240" w:lineRule="auto" w:before="44"/>
        <w:ind w:right="-20"/>
        <w:jc w:val="left"/>
      </w:pPr>
      <w:r>
        <w:rPr/>
        <w:t>是否已执行新收入准则</w:t>
      </w:r>
    </w:p>
    <w:p>
      <w:pPr>
        <w:pStyle w:val="BodyText"/>
        <w:spacing w:line="240" w:lineRule="auto" w:before="12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1942" w:space="6904"/>
            <w:col w:w="2064"/>
          </w:cols>
        </w:sectPr>
      </w:pP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博物馆藏品</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7,835,724.00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7,835,724.00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7,835,724.00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7,835,724.00</w:t>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1"/>
        <w:rPr>
          <w:rFonts w:ascii="宋体" w:hAnsi="宋体" w:cs="宋体" w:eastAsia="宋体" w:hint="default"/>
          <w:sz w:val="26"/>
          <w:szCs w:val="26"/>
        </w:rPr>
      </w:pPr>
    </w:p>
    <w:p>
      <w:pPr>
        <w:pStyle w:val="BodyText"/>
        <w:spacing w:line="352" w:lineRule="auto" w:before="44"/>
        <w:ind w:right="9849"/>
        <w:jc w:val="left"/>
      </w:pPr>
      <w:r>
        <w:rPr/>
        <w:t>其他说明： 无</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bookmarkStart w:name="18、短期借款" w:id="275"/>
      <w:bookmarkEnd w:id="275"/>
      <w:r>
        <w:rPr>
          <w:b w:val="0"/>
          <w:bCs w:val="0"/>
        </w:rPr>
      </w:r>
      <w:r>
        <w:rPr>
          <w:rFonts w:ascii="Times New Roman" w:hAnsi="Times New Roman" w:cs="Times New Roman" w:eastAsia="Times New Roman" w:hint="default"/>
        </w:rPr>
        <w:t>18</w:t>
      </w:r>
      <w:r>
        <w:rPr/>
        <w:t>、短期借款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短期借款分类" w:id="276"/>
      <w:bookmarkEnd w:id="276"/>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873,000,000.00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895,000,000.00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票据贴现借款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305,000,000.00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185,000,000.00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1,178,000,000.00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1,080,000,000.00</w:t>
            </w:r>
          </w:p>
        </w:tc>
      </w:tr>
    </w:tbl>
    <w:p>
      <w:pPr>
        <w:pStyle w:val="BodyText"/>
        <w:spacing w:line="240" w:lineRule="auto" w:before="44"/>
        <w:ind w:right="0"/>
        <w:jc w:val="left"/>
      </w:pPr>
      <w:r>
        <w:rPr/>
        <w:t>短期借款分类的说明：</w:t>
      </w:r>
    </w:p>
    <w:p>
      <w:pPr>
        <w:pStyle w:val="BodyText"/>
        <w:spacing w:line="304" w:lineRule="auto" w:before="125"/>
        <w:ind w:right="3909"/>
        <w:jc w:val="left"/>
      </w:pPr>
      <w:r>
        <w:rPr/>
        <w:t>本集团的抵押借款是以本集团所拥有的投资性房地产、房屋建筑物和土地使用权抵押。 本集团的票据贴现借款是以集团内应收票据贴现获取。</w:t>
      </w:r>
    </w:p>
    <w:p>
      <w:pPr>
        <w:spacing w:line="240" w:lineRule="auto" w:before="13"/>
        <w:rPr>
          <w:rFonts w:ascii="宋体" w:hAnsi="宋体" w:cs="宋体" w:eastAsia="宋体" w:hint="default"/>
          <w:sz w:val="24"/>
          <w:szCs w:val="24"/>
        </w:rPr>
      </w:pPr>
    </w:p>
    <w:p>
      <w:pPr>
        <w:pStyle w:val="Heading5"/>
        <w:spacing w:line="240" w:lineRule="auto"/>
        <w:ind w:right="0"/>
        <w:jc w:val="left"/>
        <w:rPr>
          <w:b w:val="0"/>
          <w:bCs w:val="0"/>
        </w:rPr>
      </w:pPr>
      <w:bookmarkStart w:name="（2）已逾期未偿还的短期借款情况" w:id="277"/>
      <w:bookmarkEnd w:id="277"/>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本期末已逾期未偿还的短期借款总额为</w:t>
      </w:r>
      <w:r>
        <w:rPr>
          <w:spacing w:val="-42"/>
        </w:rPr>
        <w:t> </w:t>
      </w:r>
      <w:r>
        <w:rPr>
          <w:rFonts w:ascii="Times New Roman" w:hAnsi="Times New Roman" w:cs="Times New Roman" w:eastAsia="Times New Roman" w:hint="default"/>
        </w:rPr>
        <w:t>0.00 </w:t>
      </w:r>
      <w:r>
        <w:rPr/>
        <w:t>元，其中重要的已逾期未偿还的短期借款情况如下：</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07"/>
        <w:gridCol w:w="1922"/>
        <w:gridCol w:w="1923"/>
        <w:gridCol w:w="1907"/>
        <w:gridCol w:w="1922"/>
      </w:tblGrid>
      <w:tr>
        <w:trPr>
          <w:trHeight w:val="390"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67" w:lineRule="auto" w:before="45"/>
        <w:ind w:right="9849"/>
        <w:jc w:val="left"/>
      </w:pPr>
      <w:r>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19、应付票据" w:id="278"/>
      <w:bookmarkEnd w:id="278"/>
      <w:r>
        <w:rPr>
          <w:b w:val="0"/>
          <w:bCs w:val="0"/>
        </w:rPr>
      </w:r>
      <w:r>
        <w:rPr>
          <w:rFonts w:ascii="Times New Roman" w:hAnsi="Times New Roman" w:cs="Times New Roman" w:eastAsia="Times New Roman" w:hint="default"/>
        </w:rPr>
        <w:t>19</w:t>
      </w:r>
      <w:r>
        <w:rPr/>
        <w:t>、应付票据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84"/>
        <w:gridCol w:w="3192"/>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478,818,514.00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422,508,015.00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503,975,435.00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525,372,021.00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982,793,949.00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947,880,036.00</w:t>
            </w:r>
          </w:p>
        </w:tc>
      </w:tr>
    </w:tbl>
    <w:p>
      <w:pPr>
        <w:pStyle w:val="BodyText"/>
        <w:spacing w:line="240" w:lineRule="auto" w:before="59"/>
        <w:ind w:right="0"/>
        <w:jc w:val="left"/>
      </w:pPr>
      <w:r>
        <w:rPr/>
        <w:t>本期末已到期未支付的应付票据总额为</w:t>
      </w:r>
      <w:r>
        <w:rPr>
          <w:spacing w:val="-42"/>
        </w:rPr>
        <w:t> </w:t>
      </w:r>
      <w:r>
        <w:rPr>
          <w:rFonts w:ascii="Times New Roman" w:hAnsi="Times New Roman" w:cs="Times New Roman" w:eastAsia="Times New Roman" w:hint="default"/>
        </w:rPr>
        <w:t>0.00 </w:t>
      </w:r>
      <w:r>
        <w:rPr/>
        <w:t>元。</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20、应付账款" w:id="279"/>
      <w:bookmarkEnd w:id="279"/>
      <w:r>
        <w:rPr>
          <w:b w:val="0"/>
          <w:bCs w:val="0"/>
        </w:rPr>
      </w:r>
      <w:r>
        <w:rPr>
          <w:rFonts w:ascii="Times New Roman" w:hAnsi="Times New Roman" w:cs="Times New Roman" w:eastAsia="Times New Roman" w:hint="default"/>
        </w:rPr>
        <w:t>20</w:t>
      </w:r>
      <w:r>
        <w:rPr/>
        <w:t>、应付账款</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0"/>
        <w:jc w:val="left"/>
        <w:rPr>
          <w:b w:val="0"/>
          <w:bCs w:val="0"/>
        </w:rPr>
      </w:pPr>
      <w:bookmarkStart w:name="（1）应付账款列示" w:id="280"/>
      <w:bookmarkEnd w:id="280"/>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成衣供应商</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07" w:right="0"/>
              <w:jc w:val="left"/>
              <w:rPr>
                <w:rFonts w:ascii="Times New Roman" w:hAnsi="Times New Roman" w:cs="Times New Roman" w:eastAsia="Times New Roman" w:hint="default"/>
                <w:sz w:val="18"/>
                <w:szCs w:val="18"/>
              </w:rPr>
            </w:pPr>
            <w:r>
              <w:rPr>
                <w:rFonts w:ascii="Times New Roman"/>
                <w:sz w:val="18"/>
              </w:rPr>
              <w:t>1,139,909,967.00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907" w:right="0"/>
              <w:jc w:val="left"/>
              <w:rPr>
                <w:rFonts w:ascii="Times New Roman" w:hAnsi="Times New Roman" w:cs="Times New Roman" w:eastAsia="Times New Roman" w:hint="default"/>
                <w:sz w:val="18"/>
                <w:szCs w:val="18"/>
              </w:rPr>
            </w:pPr>
            <w:r>
              <w:rPr>
                <w:rFonts w:ascii="Times New Roman"/>
                <w:sz w:val="18"/>
              </w:rPr>
              <w:t>1,200,529,702.00</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面辅料供应商</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15,751,727.00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86,735,483.00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93,047,908.00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106,168,836.00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1,248,709,602.00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1,393,434,021.00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应付账款" w:id="281"/>
      <w:bookmarkEnd w:id="281"/>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年的重要应付账款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67" w:lineRule="auto" w:before="45"/>
        <w:ind w:right="5889"/>
        <w:jc w:val="left"/>
      </w:pPr>
      <w:r>
        <w:rPr/>
        <w:t>其他说明：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日，本集团无账龄超过一年的大额应付账款。</w:t>
      </w:r>
    </w:p>
    <w:p>
      <w:pPr>
        <w:spacing w:line="240" w:lineRule="auto" w:before="6"/>
        <w:rPr>
          <w:rFonts w:ascii="宋体" w:hAnsi="宋体" w:cs="宋体" w:eastAsia="宋体" w:hint="default"/>
          <w:sz w:val="18"/>
          <w:szCs w:val="18"/>
        </w:rPr>
      </w:pPr>
    </w:p>
    <w:p>
      <w:pPr>
        <w:pStyle w:val="Heading5"/>
        <w:spacing w:line="240" w:lineRule="auto"/>
        <w:ind w:right="0"/>
        <w:jc w:val="left"/>
        <w:rPr>
          <w:b w:val="0"/>
          <w:bCs w:val="0"/>
        </w:rPr>
      </w:pPr>
      <w:bookmarkStart w:name="21、预收款项" w:id="282"/>
      <w:bookmarkEnd w:id="282"/>
      <w:r>
        <w:rPr>
          <w:b w:val="0"/>
          <w:bCs w:val="0"/>
        </w:rPr>
      </w:r>
      <w:r>
        <w:rPr>
          <w:rFonts w:ascii="Times New Roman" w:hAnsi="Times New Roman" w:cs="Times New Roman" w:eastAsia="Times New Roman" w:hint="default"/>
        </w:rPr>
        <w:t>21</w:t>
      </w:r>
      <w:r>
        <w:rPr/>
        <w:t>、预收款项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是否已执行新收入准则</w:t>
      </w:r>
    </w:p>
    <w:p>
      <w:pPr>
        <w:pStyle w:val="BodyText"/>
        <w:spacing w:line="240" w:lineRule="auto" w:before="12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1）预收款项列示" w:id="283"/>
      <w:bookmarkEnd w:id="283"/>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预收销货款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75,405,946.00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60,975,433.00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75,405,946.00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60,975,433.00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预收款项" w:id="284"/>
      <w:bookmarkEnd w:id="284"/>
      <w:r>
        <w:rPr>
          <w:b w:val="0"/>
          <w:bCs w:val="0"/>
        </w:rPr>
      </w:r>
      <w:r>
        <w:rPr/>
        <w:t>（</w:t>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年的重要预收款项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期末建造合同形成的已结算未完工项目情况" w:id="285"/>
      <w:bookmarkEnd w:id="285"/>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5"/>
        <w:spacing w:line="240" w:lineRule="auto" w:before="35"/>
        <w:ind w:right="0"/>
        <w:jc w:val="left"/>
        <w:rPr>
          <w:b w:val="0"/>
          <w:bCs w:val="0"/>
        </w:rPr>
      </w:pPr>
      <w:bookmarkStart w:name="22、应付职工薪酬" w:id="286"/>
      <w:bookmarkEnd w:id="286"/>
      <w:r>
        <w:rPr>
          <w:b w:val="0"/>
          <w:bCs w:val="0"/>
        </w:rPr>
      </w:r>
      <w:r>
        <w:rPr>
          <w:rFonts w:ascii="Times New Roman" w:hAnsi="Times New Roman" w:cs="Times New Roman" w:eastAsia="Times New Roman" w:hint="default"/>
        </w:rPr>
        <w:t>22</w:t>
      </w:r>
      <w:r>
        <w:rPr/>
        <w:t>、应付职工薪酬</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0"/>
        <w:jc w:val="left"/>
        <w:rPr>
          <w:b w:val="0"/>
          <w:bCs w:val="0"/>
        </w:rPr>
      </w:pPr>
      <w:bookmarkStart w:name="（1）应付职工薪酬列示" w:id="287"/>
      <w:bookmarkEnd w:id="28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105,741,081.00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743,942,385.00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767,832,129.00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81,851,337.00</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6"/>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2,706,917.00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70,325,721.00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71,249,331.00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1,783,307.00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8,291,026.00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5,882,487.00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2,408,539.00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108,447,998.00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822,559,132.00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844,963,947.00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86,043,183.00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短期薪酬列示" w:id="288"/>
      <w:bookmarkEnd w:id="28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3" w:lineRule="auto" w:before="60"/>
              <w:ind w:left="7" w:right="22"/>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补贴</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83,118,377.00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665,888,098.00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692,902,819.00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56,103,656.00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919,919.00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11,123,303.00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11,902,078.00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141,144.00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2,194,419.00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41,080,127.00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41,477,364.00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1,797,182.00</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67"/>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1,983,288.00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36,176,211.00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36,553,903.00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1,605,596.00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7"/>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29,203.00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1,405,541.00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1,386,085.00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48,659.00</w:t>
            </w:r>
          </w:p>
        </w:tc>
      </w:tr>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7"/>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181,928.00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3,498,375.00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3,537,376.00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142,927.00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591,902.00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19,343,379.00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19,410,947.00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524,334.00</w:t>
            </w:r>
          </w:p>
        </w:tc>
      </w:tr>
      <w:tr>
        <w:trPr>
          <w:trHeight w:val="72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76" w:lineRule="auto" w:before="59"/>
              <w:ind w:left="7" w:right="8"/>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经费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18,916,464.00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6,507,478.00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2,138,921.00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23,285,021.00</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105,741,081.00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743,942,385.00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767,832,129.00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81,851,337.00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设定提存计划列示" w:id="289"/>
      <w:bookmarkEnd w:id="28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391"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2,609,031.00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68,254,849.00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69,162,579.00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1,701,301.00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97,886.00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2,070,872.00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2,086,752.00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82,006.00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2,706,917.00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70,325,721.00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71,249,331.00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1,783,307.00</w:t>
            </w:r>
          </w:p>
        </w:tc>
      </w:tr>
    </w:tbl>
    <w:p>
      <w:pPr>
        <w:pStyle w:val="BodyText"/>
        <w:spacing w:line="352" w:lineRule="auto" w:before="45"/>
        <w:ind w:right="9849"/>
        <w:jc w:val="left"/>
      </w:pPr>
      <w:r>
        <w:rPr/>
        <w:t>其他说明： 无</w:t>
      </w:r>
    </w:p>
    <w:p>
      <w:pPr>
        <w:spacing w:after="0" w:line="352"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23、应交税费" w:id="290"/>
      <w:bookmarkEnd w:id="290"/>
      <w:r>
        <w:rPr>
          <w:b w:val="0"/>
          <w:bCs w:val="0"/>
        </w:rPr>
      </w:r>
      <w:r>
        <w:rPr>
          <w:rFonts w:ascii="Times New Roman" w:hAnsi="Times New Roman" w:cs="Times New Roman" w:eastAsia="Times New Roman" w:hint="default"/>
        </w:rPr>
        <w:t>23</w:t>
      </w:r>
      <w:r>
        <w:rPr/>
        <w:t>、应交税费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34,575,443.00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78,907,830.00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83,641,191.00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79,084,731.00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1,227,748.00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1,111,121.00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1,257,906.00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1,852,878.00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教育附加税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2,212,837.00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3,072,982.00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19,953,088.00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19,944,272.00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1,168,660.00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1,770,334.00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144,036,873.00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185,744,148.00</w:t>
            </w:r>
          </w:p>
        </w:tc>
      </w:tr>
    </w:tbl>
    <w:p>
      <w:pPr>
        <w:pStyle w:val="BodyText"/>
        <w:spacing w:line="352" w:lineRule="auto" w:before="44"/>
        <w:ind w:right="9849"/>
        <w:jc w:val="left"/>
      </w:pPr>
      <w:r>
        <w:rPr/>
        <w:t>其他说明： 无</w:t>
      </w:r>
    </w:p>
    <w:p>
      <w:pPr>
        <w:spacing w:line="240" w:lineRule="auto" w:before="3"/>
        <w:rPr>
          <w:rFonts w:ascii="宋体" w:hAnsi="宋体" w:cs="宋体" w:eastAsia="宋体" w:hint="default"/>
          <w:sz w:val="22"/>
          <w:szCs w:val="22"/>
        </w:rPr>
      </w:pPr>
    </w:p>
    <w:p>
      <w:pPr>
        <w:pStyle w:val="Heading5"/>
        <w:spacing w:line="240" w:lineRule="auto"/>
        <w:ind w:right="0"/>
        <w:jc w:val="left"/>
        <w:rPr>
          <w:b w:val="0"/>
          <w:bCs w:val="0"/>
        </w:rPr>
      </w:pPr>
      <w:bookmarkStart w:name="24、其他应付款" w:id="291"/>
      <w:bookmarkEnd w:id="291"/>
      <w:r>
        <w:rPr>
          <w:b w:val="0"/>
          <w:bCs w:val="0"/>
        </w:rPr>
      </w:r>
      <w:r>
        <w:rPr>
          <w:rFonts w:ascii="Times New Roman" w:hAnsi="Times New Roman" w:cs="Times New Roman" w:eastAsia="Times New Roman" w:hint="default"/>
        </w:rPr>
        <w:t>24</w:t>
      </w:r>
      <w:r>
        <w:rPr/>
        <w:t>、其他应付款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995,811.00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622,988,951.00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553,779,622.00</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622,988,951.00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554,775,433.00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1）应付利息" w:id="292"/>
      <w:bookmarkEnd w:id="29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7" w:type="dxa"/>
            <w:tcBorders>
              <w:top w:val="single" w:sz="6" w:space="0" w:color="000000"/>
              <w:left w:val="single" w:sz="12" w:space="0" w:color="D2D2D2"/>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995,811.00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995,811.00</w:t>
            </w:r>
          </w:p>
        </w:tc>
      </w:tr>
    </w:tbl>
    <w:p>
      <w:pPr>
        <w:pStyle w:val="BodyText"/>
        <w:spacing w:line="240" w:lineRule="auto" w:before="45"/>
        <w:ind w:right="0"/>
        <w:jc w:val="left"/>
      </w:pPr>
      <w:r>
        <w:rPr/>
        <w:t>重要的已逾期未支付的利息情况：</w:t>
      </w:r>
    </w:p>
    <w:p>
      <w:pPr>
        <w:pStyle w:val="BodyText"/>
        <w:spacing w:line="240" w:lineRule="auto" w:before="10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逾期原因</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0" w:lineRule="auto" w:before="45"/>
        <w:ind w:right="9849"/>
        <w:jc w:val="left"/>
      </w:pPr>
      <w:r>
        <w:rPr/>
        <w:t>其他说明： 无</w:t>
      </w:r>
    </w:p>
    <w:p>
      <w:pPr>
        <w:spacing w:after="0" w:line="35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2）应付股利" w:id="293"/>
      <w:bookmarkEnd w:id="293"/>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19" w:lineRule="auto" w:before="59"/>
        <w:ind w:right="4987"/>
        <w:jc w:val="left"/>
      </w:pPr>
      <w:r>
        <w:rPr/>
        <w:t>其他说明，包括重要的超过</w:t>
      </w:r>
      <w:r>
        <w:rPr>
          <w:spacing w:val="-43"/>
        </w:rPr>
        <w:t> </w:t>
      </w:r>
      <w:r>
        <w:rPr>
          <w:rFonts w:ascii="Times New Roman" w:hAnsi="Times New Roman" w:cs="Times New Roman" w:eastAsia="Times New Roman" w:hint="default"/>
        </w:rPr>
        <w:t>1 </w:t>
      </w:r>
      <w:r>
        <w:rPr/>
        <w:t>年未支付的应付股利，应披露未支付原因： 无</w:t>
      </w:r>
    </w:p>
    <w:p>
      <w:pPr>
        <w:spacing w:line="240" w:lineRule="auto" w:before="1"/>
        <w:rPr>
          <w:rFonts w:ascii="宋体" w:hAnsi="宋体" w:cs="宋体" w:eastAsia="宋体" w:hint="default"/>
          <w:sz w:val="24"/>
          <w:szCs w:val="24"/>
        </w:rPr>
      </w:pPr>
    </w:p>
    <w:p>
      <w:pPr>
        <w:pStyle w:val="Heading5"/>
        <w:spacing w:line="508" w:lineRule="auto"/>
        <w:ind w:right="7903"/>
        <w:jc w:val="left"/>
        <w:rPr>
          <w:b w:val="0"/>
          <w:bCs w:val="0"/>
        </w:rPr>
      </w:pPr>
      <w:bookmarkStart w:name="（3）其他应付款" w:id="294"/>
      <w:bookmarkEnd w:id="294"/>
      <w:r>
        <w:rPr>
          <w:b w:val="0"/>
          <w:bCs w:val="0"/>
        </w:rPr>
      </w:r>
      <w:r>
        <w:rPr/>
        <w:t>（</w:t>
      </w:r>
      <w:r>
        <w:rPr>
          <w:rFonts w:ascii="Times New Roman" w:hAnsi="Times New Roman" w:cs="Times New Roman" w:eastAsia="Times New Roman" w:hint="default"/>
        </w:rPr>
        <w:t>3</w:t>
      </w:r>
      <w:r>
        <w:rPr/>
        <w:t>）其他应付款</w:t>
      </w:r>
      <w:r>
        <w:rPr>
          <w:w w:val="99"/>
        </w:rPr>
        <w:t> </w:t>
      </w:r>
      <w:bookmarkStart w:name="1）按款项性质列示其他应付款" w:id="295"/>
      <w:bookmarkEnd w:id="295"/>
      <w:r>
        <w:rPr>
          <w:w w:val="99"/>
        </w:rPr>
      </w:r>
      <w:r>
        <w:rPr>
          <w:rFonts w:ascii="Times New Roman" w:hAnsi="Times New Roman" w:cs="Times New Roman" w:eastAsia="Times New Roman" w:hint="default"/>
        </w:rPr>
        <w:t>1</w:t>
      </w:r>
      <w:r>
        <w:rPr/>
        <w:t>）按款项性质列示其他应付款</w:t>
      </w:r>
      <w:r>
        <w:rPr>
          <w:b w:val="0"/>
          <w:bCs w:val="0"/>
        </w:rPr>
      </w:r>
    </w:p>
    <w:p>
      <w:pPr>
        <w:pStyle w:val="BodyText"/>
        <w:spacing w:line="240" w:lineRule="auto" w:before="69"/>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押金及质保金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267,539,508.00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263,234,599.00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预提水电、运输等费用</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131,375,707.00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134,482,382.00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预提租金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86,095,386.00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10,643,503.00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46,776,668.00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51,787,504.00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应付工程及设备款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23,600,188.00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44,754,988.00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67,601,494.00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48,876,646.00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622,988,951.00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553,779,622.00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账龄超过1年的重要其他应付款" w:id="296"/>
      <w:bookmarkEnd w:id="296"/>
      <w:r>
        <w:rPr>
          <w:b w:val="0"/>
          <w:bCs w:val="0"/>
        </w:rPr>
      </w:r>
      <w:r>
        <w:rPr>
          <w:rFonts w:ascii="Times New Roman" w:hAnsi="Times New Roman" w:cs="Times New Roman" w:eastAsia="Times New Roman" w:hint="default"/>
        </w:rPr>
        <w:t>2</w:t>
      </w:r>
      <w:r>
        <w:rPr/>
        <w:t>）账龄超过</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7"/>
        </w:rPr>
        <w:t> </w:t>
      </w:r>
      <w:r>
        <w:rPr/>
        <w:t>年的重要其他应付款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80"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67" w:lineRule="auto" w:before="44"/>
        <w:ind w:right="5799"/>
        <w:jc w:val="left"/>
      </w:pPr>
      <w:r>
        <w:rPr/>
        <w:t>其他说明 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日，本集团无账龄超过</w:t>
      </w:r>
      <w:r>
        <w:rPr>
          <w:rFonts w:ascii="Times New Roman" w:hAnsi="Times New Roman" w:cs="Times New Roman" w:eastAsia="Times New Roman" w:hint="default"/>
        </w:rPr>
        <w:t>1</w:t>
      </w:r>
      <w:r>
        <w:rPr/>
        <w:t>年的大额其他应付款。</w:t>
      </w:r>
    </w:p>
    <w:p>
      <w:pPr>
        <w:spacing w:line="240" w:lineRule="auto" w:before="5"/>
        <w:rPr>
          <w:rFonts w:ascii="宋体" w:hAnsi="宋体" w:cs="宋体" w:eastAsia="宋体" w:hint="default"/>
          <w:sz w:val="18"/>
          <w:szCs w:val="18"/>
        </w:rPr>
      </w:pPr>
    </w:p>
    <w:p>
      <w:pPr>
        <w:pStyle w:val="Heading5"/>
        <w:spacing w:line="240" w:lineRule="auto"/>
        <w:ind w:right="0"/>
        <w:jc w:val="left"/>
        <w:rPr>
          <w:b w:val="0"/>
          <w:bCs w:val="0"/>
        </w:rPr>
      </w:pPr>
      <w:bookmarkStart w:name="25、股本" w:id="297"/>
      <w:bookmarkEnd w:id="297"/>
      <w:r>
        <w:rPr>
          <w:b w:val="0"/>
          <w:bCs w:val="0"/>
        </w:rPr>
      </w:r>
      <w:r>
        <w:rPr>
          <w:rFonts w:ascii="Times New Roman" w:hAnsi="Times New Roman" w:cs="Times New Roman" w:eastAsia="Times New Roman" w:hint="default"/>
        </w:rPr>
        <w:t>25</w:t>
      </w:r>
      <w:r>
        <w:rPr/>
        <w:t>、股本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10"/>
        <w:jc w:val="right"/>
      </w:pPr>
      <w:r>
        <w:rPr/>
        <w:t>单位：元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194"/>
        <w:gridCol w:w="1187"/>
        <w:gridCol w:w="1201"/>
        <w:gridCol w:w="1202"/>
        <w:gridCol w:w="1201"/>
        <w:gridCol w:w="1186"/>
        <w:gridCol w:w="1202"/>
        <w:gridCol w:w="1201"/>
      </w:tblGrid>
      <w:tr>
        <w:trPr>
          <w:trHeight w:val="203"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87" w:type="dxa"/>
            <w:tcBorders>
              <w:top w:val="single" w:sz="6" w:space="0" w:color="000000"/>
              <w:left w:val="single" w:sz="6" w:space="0" w:color="000000"/>
              <w:bottom w:val="nil" w:sz="6" w:space="0" w:color="auto"/>
              <w:right w:val="single" w:sz="6" w:space="0" w:color="000000"/>
            </w:tcBorders>
            <w:shd w:val="clear" w:color="auto" w:fill="D2D2D2"/>
          </w:tcPr>
          <w:p>
            <w:pPr/>
          </w:p>
        </w:tc>
        <w:tc>
          <w:tcPr>
            <w:tcW w:w="5992" w:type="dxa"/>
            <w:gridSpan w:val="5"/>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0"/>
              <w:ind w:left="14"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203" w:hRule="exact"/>
        </w:trPr>
        <w:tc>
          <w:tcPr>
            <w:tcW w:w="1194" w:type="dxa"/>
            <w:vMerge w:val="restart"/>
            <w:tcBorders>
              <w:top w:val="nil" w:sz="6" w:space="0" w:color="auto"/>
              <w:left w:val="single" w:sz="6" w:space="0" w:color="000000"/>
              <w:right w:val="single" w:sz="6" w:space="0" w:color="000000"/>
            </w:tcBorders>
            <w:shd w:val="clear" w:color="auto" w:fill="D2D2D2"/>
          </w:tcPr>
          <w:p>
            <w:pPr/>
          </w:p>
        </w:tc>
        <w:tc>
          <w:tcPr>
            <w:tcW w:w="118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92" w:type="dxa"/>
            <w:gridSpan w:val="5"/>
            <w:vMerge/>
            <w:tcBorders>
              <w:left w:val="single" w:sz="6" w:space="0" w:color="000000"/>
              <w:bottom w:val="single" w:sz="6" w:space="0" w:color="000000"/>
              <w:right w:val="single" w:sz="6" w:space="0" w:color="000000"/>
            </w:tcBorders>
            <w:shd w:val="clear" w:color="auto" w:fill="D2D2D2"/>
          </w:tcPr>
          <w:p>
            <w:pPr/>
          </w:p>
        </w:tc>
        <w:tc>
          <w:tcPr>
            <w:tcW w:w="120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87" w:hRule="exact"/>
        </w:trPr>
        <w:tc>
          <w:tcPr>
            <w:tcW w:w="1194" w:type="dxa"/>
            <w:vMerge/>
            <w:tcBorders>
              <w:left w:val="single" w:sz="6" w:space="0" w:color="000000"/>
              <w:bottom w:val="nil" w:sz="6" w:space="0" w:color="auto"/>
              <w:right w:val="single" w:sz="6" w:space="0" w:color="000000"/>
            </w:tcBorders>
            <w:shd w:val="clear" w:color="auto" w:fill="D2D2D2"/>
          </w:tcPr>
          <w:p>
            <w:pPr/>
          </w:p>
        </w:tc>
        <w:tc>
          <w:tcPr>
            <w:tcW w:w="1187" w:type="dxa"/>
            <w:vMerge/>
            <w:tcBorders>
              <w:left w:val="single" w:sz="6" w:space="0" w:color="000000"/>
              <w:bottom w:val="nil" w:sz="6" w:space="0" w:color="auto"/>
              <w:right w:val="single" w:sz="6" w:space="0" w:color="000000"/>
            </w:tcBorders>
            <w:shd w:val="clear" w:color="auto" w:fill="D2D2D2"/>
          </w:tcPr>
          <w:p>
            <w:pP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24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20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8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1" w:type="dxa"/>
            <w:vMerge/>
            <w:tcBorders>
              <w:left w:val="single" w:sz="6" w:space="0" w:color="000000"/>
              <w:bottom w:val="nil" w:sz="6" w:space="0" w:color="auto"/>
              <w:right w:val="single" w:sz="6" w:space="0" w:color="000000"/>
            </w:tcBorders>
            <w:shd w:val="clear" w:color="auto" w:fill="D2D2D2"/>
          </w:tcPr>
          <w:p>
            <w:pPr/>
          </w:p>
        </w:tc>
      </w:tr>
      <w:tr>
        <w:trPr>
          <w:trHeight w:val="218"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87" w:type="dxa"/>
            <w:tcBorders>
              <w:top w:val="nil" w:sz="6" w:space="0" w:color="auto"/>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vMerge/>
            <w:tcBorders>
              <w:left w:val="single" w:sz="6" w:space="0" w:color="000000"/>
              <w:bottom w:val="single" w:sz="6" w:space="0" w:color="000000"/>
              <w:right w:val="single" w:sz="6" w:space="0" w:color="000000"/>
            </w:tcBorders>
            <w:shd w:val="clear" w:color="auto" w:fill="D2D2D2"/>
          </w:tcPr>
          <w:p>
            <w:pPr/>
          </w:p>
        </w:tc>
        <w:tc>
          <w:tcPr>
            <w:tcW w:w="1186" w:type="dxa"/>
            <w:vMerge/>
            <w:tcBorders>
              <w:left w:val="single" w:sz="6" w:space="0" w:color="000000"/>
              <w:bottom w:val="single" w:sz="6" w:space="0" w:color="000000"/>
              <w:right w:val="single" w:sz="6" w:space="0" w:color="000000"/>
            </w:tcBorders>
            <w:shd w:val="clear" w:color="auto" w:fill="D2D2D2"/>
          </w:tcPr>
          <w:p>
            <w:pPr/>
          </w:p>
        </w:tc>
        <w:tc>
          <w:tcPr>
            <w:tcW w:w="1202" w:type="dxa"/>
            <w:vMerge/>
            <w:tcBorders>
              <w:left w:val="single" w:sz="6" w:space="0" w:color="000000"/>
              <w:bottom w:val="single" w:sz="6" w:space="0" w:color="000000"/>
              <w:right w:val="single" w:sz="6" w:space="0" w:color="000000"/>
            </w:tcBorders>
            <w:shd w:val="clear" w:color="auto" w:fill="D2D2D2"/>
          </w:tcPr>
          <w:p>
            <w:pPr/>
          </w:p>
        </w:tc>
        <w:tc>
          <w:tcPr>
            <w:tcW w:w="1201"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157" w:hRule="exact"/>
        </w:trPr>
        <w:tc>
          <w:tcPr>
            <w:tcW w:w="1194" w:type="dxa"/>
            <w:tcBorders>
              <w:top w:val="single" w:sz="6" w:space="0" w:color="000000"/>
              <w:left w:val="single" w:sz="6" w:space="0" w:color="000000"/>
              <w:bottom w:val="nil" w:sz="6" w:space="0" w:color="auto"/>
              <w:right w:val="single" w:sz="6" w:space="0" w:color="000000"/>
            </w:tcBorders>
            <w:shd w:val="clear" w:color="auto" w:fill="D2D2D2"/>
          </w:tcPr>
          <w:p>
            <w:pPr/>
          </w:p>
        </w:tc>
        <w:tc>
          <w:tcPr>
            <w:tcW w:w="1187" w:type="dxa"/>
            <w:vMerge w:val="restart"/>
            <w:tcBorders>
              <w:top w:val="single" w:sz="6" w:space="0" w:color="000000"/>
              <w:left w:val="single" w:sz="18" w:space="0" w:color="D2D2D2"/>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2,512,500,000.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186"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2"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0.00</w:t>
            </w:r>
          </w:p>
        </w:tc>
        <w:tc>
          <w:tcPr>
            <w:tcW w:w="1201" w:type="dxa"/>
            <w:vMerge w:val="restart"/>
            <w:tcBorders>
              <w:top w:val="single" w:sz="6" w:space="0" w:color="000000"/>
              <w:left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2,512,500,000.</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r>
      <w:tr>
        <w:trPr>
          <w:trHeight w:val="390" w:hRule="exact"/>
        </w:trPr>
        <w:tc>
          <w:tcPr>
            <w:tcW w:w="119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87" w:type="dxa"/>
            <w:vMerge/>
            <w:tcBorders>
              <w:left w:val="single" w:sz="18" w:space="0" w:color="D2D2D2"/>
              <w:right w:val="single" w:sz="6" w:space="0" w:color="000000"/>
            </w:tcBorders>
          </w:tcPr>
          <w:p>
            <w:pPr/>
          </w:p>
        </w:tc>
        <w:tc>
          <w:tcPr>
            <w:tcW w:w="1201"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c>
          <w:tcPr>
            <w:tcW w:w="1186" w:type="dxa"/>
            <w:vMerge/>
            <w:tcBorders>
              <w:left w:val="single" w:sz="6" w:space="0" w:color="000000"/>
              <w:right w:val="single" w:sz="6" w:space="0" w:color="000000"/>
            </w:tcBorders>
          </w:tcPr>
          <w:p>
            <w:pPr/>
          </w:p>
        </w:tc>
        <w:tc>
          <w:tcPr>
            <w:tcW w:w="1202" w:type="dxa"/>
            <w:vMerge/>
            <w:tcBorders>
              <w:left w:val="single" w:sz="6" w:space="0" w:color="000000"/>
              <w:right w:val="single" w:sz="6" w:space="0" w:color="000000"/>
            </w:tcBorders>
          </w:tcPr>
          <w:p>
            <w:pPr/>
          </w:p>
        </w:tc>
        <w:tc>
          <w:tcPr>
            <w:tcW w:w="1201" w:type="dxa"/>
            <w:vMerge/>
            <w:tcBorders>
              <w:left w:val="single" w:sz="6" w:space="0" w:color="000000"/>
              <w:right w:val="single" w:sz="6" w:space="0" w:color="000000"/>
            </w:tcBorders>
          </w:tcPr>
          <w:p>
            <w:pPr/>
          </w:p>
        </w:tc>
      </w:tr>
      <w:tr>
        <w:trPr>
          <w:trHeight w:val="158" w:hRule="exact"/>
        </w:trPr>
        <w:tc>
          <w:tcPr>
            <w:tcW w:w="11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187" w:type="dxa"/>
            <w:vMerge/>
            <w:tcBorders>
              <w:left w:val="single" w:sz="18" w:space="0" w:color="D2D2D2"/>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c>
          <w:tcPr>
            <w:tcW w:w="1186" w:type="dxa"/>
            <w:vMerge/>
            <w:tcBorders>
              <w:left w:val="single" w:sz="6" w:space="0" w:color="000000"/>
              <w:bottom w:val="single" w:sz="6" w:space="0" w:color="000000"/>
              <w:right w:val="single" w:sz="6" w:space="0" w:color="000000"/>
            </w:tcBorders>
          </w:tcPr>
          <w:p>
            <w:pPr/>
          </w:p>
        </w:tc>
        <w:tc>
          <w:tcPr>
            <w:tcW w:w="1202" w:type="dxa"/>
            <w:vMerge/>
            <w:tcBorders>
              <w:left w:val="single" w:sz="6" w:space="0" w:color="000000"/>
              <w:bottom w:val="single" w:sz="6" w:space="0" w:color="000000"/>
              <w:right w:val="single" w:sz="6" w:space="0" w:color="000000"/>
            </w:tcBorders>
          </w:tcPr>
          <w:p>
            <w:pPr/>
          </w:p>
        </w:tc>
        <w:tc>
          <w:tcPr>
            <w:tcW w:w="1201" w:type="dxa"/>
            <w:vMerge/>
            <w:tcBorders>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7"/>
        <w:rPr>
          <w:rFonts w:ascii="宋体" w:hAnsi="宋体" w:cs="宋体" w:eastAsia="宋体" w:hint="default"/>
          <w:sz w:val="27"/>
          <w:szCs w:val="27"/>
        </w:rPr>
      </w:pPr>
    </w:p>
    <w:p>
      <w:pPr>
        <w:pStyle w:val="Heading5"/>
        <w:spacing w:line="240" w:lineRule="auto" w:before="35"/>
        <w:ind w:right="0"/>
        <w:jc w:val="left"/>
        <w:rPr>
          <w:b w:val="0"/>
          <w:bCs w:val="0"/>
        </w:rPr>
      </w:pPr>
      <w:bookmarkStart w:name="26、资本公积" w:id="298"/>
      <w:bookmarkEnd w:id="298"/>
      <w:r>
        <w:rPr>
          <w:b w:val="0"/>
          <w:bCs w:val="0"/>
        </w:rPr>
      </w:r>
      <w:r>
        <w:rPr>
          <w:rFonts w:ascii="Times New Roman" w:hAnsi="Times New Roman" w:cs="Times New Roman" w:eastAsia="Times New Roman" w:hint="default"/>
        </w:rPr>
        <w:t>26</w:t>
      </w:r>
      <w:r>
        <w:rPr/>
        <w:t>、资本公积</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31,712,190.00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31,712,190.00</w:t>
            </w:r>
          </w:p>
        </w:tc>
      </w:tr>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129,761,355.00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129,761,355.00</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161,473,545.00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161,473,545.00</w:t>
            </w:r>
          </w:p>
        </w:tc>
      </w:tr>
    </w:tbl>
    <w:p>
      <w:pPr>
        <w:pStyle w:val="BodyText"/>
        <w:spacing w:line="350" w:lineRule="auto" w:before="45"/>
        <w:ind w:right="6609"/>
        <w:jc w:val="left"/>
      </w:pPr>
      <w:r>
        <w:rPr/>
        <w:t>其他说明，包括本期增减变动情况、变动原因说明： 本年资本公积无变动。</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27、其他综合收益" w:id="299"/>
      <w:bookmarkEnd w:id="299"/>
      <w:r>
        <w:rPr>
          <w:b w:val="0"/>
          <w:bCs w:val="0"/>
        </w:rPr>
      </w:r>
      <w:r>
        <w:rPr>
          <w:rFonts w:ascii="Times New Roman" w:hAnsi="Times New Roman" w:cs="Times New Roman" w:eastAsia="Times New Roman" w:hint="default"/>
        </w:rPr>
        <w:t>27</w:t>
      </w:r>
      <w:r>
        <w:rPr/>
        <w:t>、其他综合收益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2546"/>
        <w:gridCol w:w="976"/>
        <w:gridCol w:w="856"/>
        <w:gridCol w:w="1051"/>
        <w:gridCol w:w="857"/>
        <w:gridCol w:w="856"/>
        <w:gridCol w:w="856"/>
        <w:gridCol w:w="841"/>
        <w:gridCol w:w="736"/>
      </w:tblGrid>
      <w:tr>
        <w:trPr>
          <w:trHeight w:val="383" w:hRule="exact"/>
        </w:trPr>
        <w:tc>
          <w:tcPr>
            <w:tcW w:w="2546" w:type="dxa"/>
            <w:vMerge w:val="restart"/>
            <w:tcBorders>
              <w:top w:val="single" w:sz="6" w:space="0" w:color="000000"/>
              <w:left w:val="single" w:sz="6" w:space="0" w:color="000000"/>
              <w:right w:val="single" w:sz="6" w:space="0" w:color="000000"/>
            </w:tcBorders>
            <w:shd w:val="clear" w:color="auto" w:fill="D2D2D2"/>
          </w:tcPr>
          <w:p>
            <w:pPr/>
          </w:p>
        </w:tc>
        <w:tc>
          <w:tcPr>
            <w:tcW w:w="976" w:type="dxa"/>
            <w:vMerge w:val="restart"/>
            <w:tcBorders>
              <w:top w:val="single" w:sz="6" w:space="0" w:color="000000"/>
              <w:left w:val="single" w:sz="6" w:space="0" w:color="000000"/>
              <w:right w:val="single" w:sz="6" w:space="0" w:color="000000"/>
            </w:tcBorders>
            <w:shd w:val="clear" w:color="auto" w:fill="D2D2D2"/>
          </w:tcPr>
          <w:p>
            <w:pPr/>
          </w:p>
        </w:tc>
        <w:tc>
          <w:tcPr>
            <w:tcW w:w="5317"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36" w:type="dxa"/>
            <w:vMerge w:val="restart"/>
            <w:tcBorders>
              <w:top w:val="single" w:sz="6" w:space="0" w:color="000000"/>
              <w:left w:val="single" w:sz="6" w:space="0" w:color="000000"/>
              <w:right w:val="single" w:sz="6" w:space="0" w:color="000000"/>
            </w:tcBorders>
            <w:shd w:val="clear" w:color="auto" w:fill="D2D2D2"/>
          </w:tcPr>
          <w:p>
            <w:pPr/>
          </w:p>
        </w:tc>
      </w:tr>
      <w:tr>
        <w:trPr>
          <w:trHeight w:val="165"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nil" w:sz="6" w:space="0" w:color="auto"/>
              <w:right w:val="single" w:sz="6" w:space="0" w:color="000000"/>
            </w:tcBorders>
            <w:shd w:val="clear" w:color="auto" w:fill="D2D2D2"/>
          </w:tcPr>
          <w:p>
            <w:pPr/>
          </w:p>
        </w:tc>
        <w:tc>
          <w:tcPr>
            <w:tcW w:w="857" w:type="dxa"/>
            <w:vMerge w:val="restart"/>
            <w:tcBorders>
              <w:top w:val="single" w:sz="6" w:space="0" w:color="000000"/>
              <w:left w:val="single" w:sz="6" w:space="0" w:color="000000"/>
              <w:right w:val="single" w:sz="6" w:space="0" w:color="000000"/>
            </w:tcBorders>
            <w:shd w:val="clear" w:color="auto" w:fill="D2D2D2"/>
          </w:tcPr>
          <w:p>
            <w:pPr>
              <w:pStyle w:val="TableParagraph"/>
              <w:spacing w:line="316" w:lineRule="auto" w:before="52"/>
              <w:ind w:left="60"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856" w:type="dxa"/>
            <w:vMerge w:val="restart"/>
            <w:tcBorders>
              <w:top w:val="single" w:sz="6" w:space="0" w:color="000000"/>
              <w:left w:val="single" w:sz="6" w:space="0" w:color="000000"/>
              <w:right w:val="single" w:sz="6" w:space="0" w:color="000000"/>
            </w:tcBorders>
            <w:shd w:val="clear" w:color="auto" w:fill="D2D2D2"/>
          </w:tcPr>
          <w:p>
            <w:pPr/>
          </w:p>
        </w:tc>
        <w:tc>
          <w:tcPr>
            <w:tcW w:w="841" w:type="dxa"/>
            <w:vMerge w:val="restart"/>
            <w:tcBorders>
              <w:top w:val="single" w:sz="6" w:space="0" w:color="000000"/>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54"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051" w:type="dxa"/>
            <w:vMerge w:val="restart"/>
            <w:tcBorders>
              <w:top w:val="nil" w:sz="6" w:space="0" w:color="auto"/>
              <w:left w:val="single" w:sz="6" w:space="0" w:color="000000"/>
              <w:right w:val="single" w:sz="6" w:space="0" w:color="000000"/>
            </w:tcBorders>
            <w:shd w:val="clear" w:color="auto" w:fill="D2D2D2"/>
          </w:tcPr>
          <w:p>
            <w:pPr>
              <w:pStyle w:val="TableParagraph"/>
              <w:spacing w:line="316" w:lineRule="auto" w:before="44"/>
              <w:ind w:left="30" w:right="15"/>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bottom w:val="single" w:sz="18" w:space="0" w:color="FFFFFF"/>
              <w:right w:val="single" w:sz="6" w:space="0" w:color="000000"/>
            </w:tcBorders>
            <w:shd w:val="clear" w:color="auto" w:fill="D2D2D2"/>
          </w:tcPr>
          <w:p>
            <w:pPr/>
          </w:p>
        </w:tc>
        <w:tc>
          <w:tcPr>
            <w:tcW w:w="736" w:type="dxa"/>
            <w:vMerge/>
            <w:tcBorders>
              <w:left w:val="single" w:sz="6" w:space="0" w:color="000000"/>
              <w:bottom w:val="single" w:sz="18" w:space="0" w:color="FFFFFF"/>
              <w:right w:val="single" w:sz="6" w:space="0" w:color="000000"/>
            </w:tcBorders>
            <w:shd w:val="clear" w:color="auto" w:fill="D2D2D2"/>
          </w:tcPr>
          <w:p>
            <w:pPr/>
          </w:p>
        </w:tc>
      </w:tr>
      <w:tr>
        <w:trPr>
          <w:trHeight w:val="139" w:hRule="exact"/>
        </w:trPr>
        <w:tc>
          <w:tcPr>
            <w:tcW w:w="2546" w:type="dxa"/>
            <w:vMerge/>
            <w:tcBorders>
              <w:left w:val="single" w:sz="6" w:space="0" w:color="000000"/>
              <w:bottom w:val="nil" w:sz="6" w:space="0" w:color="auto"/>
              <w:right w:val="single" w:sz="6" w:space="0" w:color="000000"/>
            </w:tcBorders>
            <w:shd w:val="clear" w:color="auto" w:fill="D2D2D2"/>
          </w:tcPr>
          <w:p>
            <w:pPr/>
          </w:p>
        </w:tc>
        <w:tc>
          <w:tcPr>
            <w:tcW w:w="976" w:type="dxa"/>
            <w:vMerge/>
            <w:tcBorders>
              <w:left w:val="single" w:sz="6" w:space="0" w:color="000000"/>
              <w:bottom w:val="nil" w:sz="6" w:space="0" w:color="auto"/>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14" w:lineRule="auto" w:before="56"/>
              <w:ind w:left="60" w:right="60"/>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1" w:type="dxa"/>
            <w:vMerge w:val="restart"/>
            <w:tcBorders>
              <w:top w:val="single" w:sz="18" w:space="0" w:color="FFFFFF"/>
              <w:left w:val="single" w:sz="6" w:space="0" w:color="000000"/>
              <w:right w:val="single" w:sz="6" w:space="0" w:color="000000"/>
            </w:tcBorders>
            <w:shd w:val="clear" w:color="auto" w:fill="D2D2D2"/>
          </w:tcPr>
          <w:p>
            <w:pPr>
              <w:pStyle w:val="TableParagraph"/>
              <w:spacing w:line="314" w:lineRule="auto" w:before="33"/>
              <w:ind w:left="45" w:right="60"/>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36" w:type="dxa"/>
            <w:vMerge w:val="restart"/>
            <w:tcBorders>
              <w:top w:val="single" w:sz="18" w:space="0" w:color="FFFFFF"/>
              <w:left w:val="single" w:sz="6" w:space="0" w:color="000000"/>
              <w:right w:val="single" w:sz="6" w:space="0" w:color="000000"/>
            </w:tcBorders>
            <w:shd w:val="clear" w:color="auto" w:fill="D2D2D2"/>
          </w:tcPr>
          <w:p>
            <w:pPr>
              <w:pStyle w:val="TableParagraph"/>
              <w:spacing w:line="224" w:lineRule="exact"/>
              <w:ind w:right="0"/>
              <w:jc w:val="center"/>
              <w:rPr>
                <w:rFonts w:ascii="宋体" w:hAnsi="宋体" w:cs="宋体" w:eastAsia="宋体" w:hint="default"/>
                <w:sz w:val="18"/>
                <w:szCs w:val="18"/>
              </w:rPr>
            </w:pPr>
            <w:r>
              <w:rPr>
                <w:rFonts w:ascii="宋体" w:hAnsi="宋体" w:cs="宋体" w:eastAsia="宋体" w:hint="default"/>
                <w:sz w:val="18"/>
                <w:szCs w:val="18"/>
              </w:rPr>
              <w:t>期末余</w:t>
            </w:r>
          </w:p>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368" w:hRule="exact"/>
        </w:trPr>
        <w:tc>
          <w:tcPr>
            <w:tcW w:w="254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right="1094"/>
              <w:jc w:val="right"/>
              <w:rPr>
                <w:rFonts w:ascii="宋体" w:hAnsi="宋体" w:cs="宋体" w:eastAsia="宋体" w:hint="default"/>
                <w:sz w:val="18"/>
                <w:szCs w:val="18"/>
              </w:rPr>
            </w:pPr>
            <w:r>
              <w:rPr>
                <w:rFonts w:ascii="宋体" w:hAnsi="宋体" w:cs="宋体" w:eastAsia="宋体" w:hint="default"/>
                <w:sz w:val="18"/>
                <w:szCs w:val="18"/>
              </w:rPr>
              <w:t>项目</w:t>
            </w:r>
          </w:p>
        </w:tc>
        <w:tc>
          <w:tcPr>
            <w:tcW w:w="97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22"/>
              <w:ind w:left="12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68"/>
              <w:ind w:left="135" w:right="73"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6"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68"/>
              <w:ind w:left="45" w:right="74"/>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4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65" w:hRule="exact"/>
        </w:trPr>
        <w:tc>
          <w:tcPr>
            <w:tcW w:w="2546" w:type="dxa"/>
            <w:vMerge w:val="restart"/>
            <w:tcBorders>
              <w:top w:val="nil" w:sz="6" w:space="0" w:color="auto"/>
              <w:left w:val="single" w:sz="6" w:space="0" w:color="000000"/>
              <w:right w:val="single" w:sz="6" w:space="0" w:color="000000"/>
            </w:tcBorders>
            <w:shd w:val="clear" w:color="auto" w:fill="D2D2D2"/>
          </w:tcPr>
          <w:p>
            <w:pPr/>
          </w:p>
        </w:tc>
        <w:tc>
          <w:tcPr>
            <w:tcW w:w="976" w:type="dxa"/>
            <w:vMerge w:val="restart"/>
            <w:tcBorders>
              <w:top w:val="nil" w:sz="6" w:space="0" w:color="auto"/>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736" w:type="dxa"/>
            <w:vMerge/>
            <w:tcBorders>
              <w:left w:val="single" w:sz="6" w:space="0" w:color="000000"/>
              <w:bottom w:val="nil" w:sz="6" w:space="0" w:color="auto"/>
              <w:right w:val="single" w:sz="6" w:space="0" w:color="000000"/>
            </w:tcBorders>
            <w:shd w:val="clear" w:color="auto" w:fill="D2D2D2"/>
          </w:tcPr>
          <w:p>
            <w:pPr/>
          </w:p>
        </w:tc>
      </w:tr>
      <w:tr>
        <w:trPr>
          <w:trHeight w:val="195"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841" w:type="dxa"/>
            <w:vMerge/>
            <w:tcBorders>
              <w:left w:val="single" w:sz="6" w:space="0" w:color="000000"/>
              <w:right w:val="single" w:sz="6" w:space="0" w:color="000000"/>
            </w:tcBorders>
            <w:shd w:val="clear" w:color="auto" w:fill="D2D2D2"/>
          </w:tcPr>
          <w:p>
            <w:pPr/>
          </w:p>
        </w:tc>
        <w:tc>
          <w:tcPr>
            <w:tcW w:w="736" w:type="dxa"/>
            <w:vMerge w:val="restart"/>
            <w:tcBorders>
              <w:top w:val="nil" w:sz="6" w:space="0" w:color="auto"/>
              <w:left w:val="single" w:sz="6" w:space="0" w:color="000000"/>
              <w:right w:val="single" w:sz="6" w:space="0" w:color="000000"/>
            </w:tcBorders>
            <w:shd w:val="clear" w:color="auto" w:fill="D2D2D2"/>
          </w:tcPr>
          <w:p>
            <w:pPr/>
          </w:p>
        </w:tc>
      </w:tr>
      <w:tr>
        <w:trPr>
          <w:trHeight w:val="165"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bottom w:val="nil" w:sz="6" w:space="0" w:color="auto"/>
              <w:right w:val="single" w:sz="6" w:space="0" w:color="000000"/>
            </w:tcBorders>
            <w:shd w:val="clear" w:color="auto" w:fill="D2D2D2"/>
          </w:tcPr>
          <w:p>
            <w:pPr/>
          </w:p>
        </w:tc>
        <w:tc>
          <w:tcPr>
            <w:tcW w:w="1051" w:type="dxa"/>
            <w:vMerge/>
            <w:tcBorders>
              <w:left w:val="single" w:sz="6" w:space="0" w:color="000000"/>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841" w:type="dxa"/>
            <w:vMerge/>
            <w:tcBorders>
              <w:left w:val="single" w:sz="6" w:space="0" w:color="000000"/>
              <w:bottom w:val="nil" w:sz="6" w:space="0" w:color="auto"/>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50" w:hRule="exact"/>
        </w:trPr>
        <w:tc>
          <w:tcPr>
            <w:tcW w:w="2546" w:type="dxa"/>
            <w:vMerge/>
            <w:tcBorders>
              <w:left w:val="single" w:sz="6" w:space="0" w:color="000000"/>
              <w:right w:val="single" w:sz="6" w:space="0" w:color="000000"/>
            </w:tcBorders>
            <w:shd w:val="clear" w:color="auto" w:fill="D2D2D2"/>
          </w:tcPr>
          <w:p>
            <w:pPr/>
          </w:p>
        </w:tc>
        <w:tc>
          <w:tcPr>
            <w:tcW w:w="976" w:type="dxa"/>
            <w:vMerge/>
            <w:tcBorders>
              <w:left w:val="single" w:sz="6" w:space="0" w:color="000000"/>
              <w:right w:val="single" w:sz="6" w:space="0" w:color="000000"/>
            </w:tcBorders>
            <w:shd w:val="clear" w:color="auto" w:fill="D2D2D2"/>
          </w:tcPr>
          <w:p>
            <w:pPr/>
          </w:p>
        </w:tc>
        <w:tc>
          <w:tcPr>
            <w:tcW w:w="856" w:type="dxa"/>
            <w:vMerge w:val="restart"/>
            <w:tcBorders>
              <w:top w:val="nil" w:sz="6" w:space="0" w:color="auto"/>
              <w:left w:val="single" w:sz="6" w:space="0" w:color="000000"/>
              <w:right w:val="single" w:sz="6" w:space="0" w:color="000000"/>
            </w:tcBorders>
            <w:shd w:val="clear" w:color="auto" w:fill="D2D2D2"/>
          </w:tcPr>
          <w:p>
            <w:pPr/>
          </w:p>
        </w:tc>
        <w:tc>
          <w:tcPr>
            <w:tcW w:w="1051" w:type="dxa"/>
            <w:vMerge/>
            <w:tcBorders>
              <w:left w:val="single" w:sz="6" w:space="0" w:color="000000"/>
              <w:bottom w:val="nil" w:sz="6" w:space="0" w:color="auto"/>
              <w:right w:val="single" w:sz="6" w:space="0" w:color="000000"/>
            </w:tcBorders>
            <w:shd w:val="clear" w:color="auto" w:fill="D2D2D2"/>
          </w:tcPr>
          <w:p>
            <w:pPr/>
          </w:p>
        </w:tc>
        <w:tc>
          <w:tcPr>
            <w:tcW w:w="857"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56" w:type="dxa"/>
            <w:vMerge/>
            <w:tcBorders>
              <w:left w:val="single" w:sz="6" w:space="0" w:color="000000"/>
              <w:right w:val="single" w:sz="6" w:space="0" w:color="000000"/>
            </w:tcBorders>
            <w:shd w:val="clear" w:color="auto" w:fill="D2D2D2"/>
          </w:tcPr>
          <w:p>
            <w:pPr/>
          </w:p>
        </w:tc>
        <w:tc>
          <w:tcPr>
            <w:tcW w:w="841" w:type="dxa"/>
            <w:vMerge w:val="restart"/>
            <w:tcBorders>
              <w:top w:val="nil" w:sz="6" w:space="0" w:color="auto"/>
              <w:left w:val="single" w:sz="6" w:space="0" w:color="000000"/>
              <w:right w:val="single" w:sz="6" w:space="0" w:color="000000"/>
            </w:tcBorders>
            <w:shd w:val="clear" w:color="auto" w:fill="D2D2D2"/>
          </w:tcPr>
          <w:p>
            <w:pPr/>
          </w:p>
        </w:tc>
        <w:tc>
          <w:tcPr>
            <w:tcW w:w="736" w:type="dxa"/>
            <w:vMerge/>
            <w:tcBorders>
              <w:left w:val="single" w:sz="6" w:space="0" w:color="000000"/>
              <w:right w:val="single" w:sz="6" w:space="0" w:color="000000"/>
            </w:tcBorders>
            <w:shd w:val="clear" w:color="auto" w:fill="D2D2D2"/>
          </w:tcPr>
          <w:p>
            <w:pPr/>
          </w:p>
        </w:tc>
      </w:tr>
      <w:tr>
        <w:trPr>
          <w:trHeight w:val="158" w:hRule="exact"/>
        </w:trPr>
        <w:tc>
          <w:tcPr>
            <w:tcW w:w="2546" w:type="dxa"/>
            <w:vMerge/>
            <w:tcBorders>
              <w:left w:val="single" w:sz="6" w:space="0" w:color="000000"/>
              <w:bottom w:val="single" w:sz="6" w:space="0" w:color="000000"/>
              <w:right w:val="single" w:sz="6" w:space="0" w:color="000000"/>
            </w:tcBorders>
            <w:shd w:val="clear" w:color="auto" w:fill="D2D2D2"/>
          </w:tcPr>
          <w:p>
            <w:pPr/>
          </w:p>
        </w:tc>
        <w:tc>
          <w:tcPr>
            <w:tcW w:w="976"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nil" w:sz="6" w:space="0" w:color="auto"/>
              <w:left w:val="single" w:sz="6" w:space="0" w:color="000000"/>
              <w:bottom w:val="single" w:sz="6" w:space="0" w:color="000000"/>
              <w:right w:val="single" w:sz="6" w:space="0" w:color="000000"/>
            </w:tcBorders>
            <w:shd w:val="clear" w:color="auto" w:fill="D2D2D2"/>
          </w:tcPr>
          <w:p>
            <w:pPr/>
          </w:p>
        </w:tc>
        <w:tc>
          <w:tcPr>
            <w:tcW w:w="857"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56" w:type="dxa"/>
            <w:vMerge/>
            <w:tcBorders>
              <w:left w:val="single" w:sz="6" w:space="0" w:color="000000"/>
              <w:bottom w:val="single" w:sz="6" w:space="0" w:color="000000"/>
              <w:right w:val="single" w:sz="6" w:space="0" w:color="000000"/>
            </w:tcBorders>
            <w:shd w:val="clear" w:color="auto" w:fill="D2D2D2"/>
          </w:tcPr>
          <w:p>
            <w:pPr/>
          </w:p>
        </w:tc>
        <w:tc>
          <w:tcPr>
            <w:tcW w:w="841" w:type="dxa"/>
            <w:vMerge/>
            <w:tcBorders>
              <w:left w:val="single" w:sz="6" w:space="0" w:color="000000"/>
              <w:bottom w:val="single" w:sz="6" w:space="0" w:color="000000"/>
              <w:right w:val="single" w:sz="6" w:space="0" w:color="000000"/>
            </w:tcBorders>
            <w:shd w:val="clear" w:color="auto" w:fill="D2D2D2"/>
          </w:tcPr>
          <w:p>
            <w:pPr/>
          </w:p>
        </w:tc>
        <w:tc>
          <w:tcPr>
            <w:tcW w:w="736"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6"/>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收益</w:t>
            </w:r>
          </w:p>
        </w:tc>
        <w:tc>
          <w:tcPr>
            <w:tcW w:w="9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184,510.00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246,428.0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246,428.0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430,938.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r>
      <w:tr>
        <w:trPr>
          <w:trHeight w:val="721" w:hRule="exact"/>
        </w:trPr>
        <w:tc>
          <w:tcPr>
            <w:tcW w:w="254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6"/>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其中：权益法下可转损益的其他</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综合收益</w:t>
            </w:r>
          </w:p>
        </w:tc>
        <w:tc>
          <w:tcPr>
            <w:tcW w:w="97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184,510.00</w:t>
            </w: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246,428.0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051" w:type="dxa"/>
            <w:tcBorders>
              <w:top w:val="single" w:sz="6" w:space="0" w:color="000000"/>
              <w:left w:val="single" w:sz="6" w:space="0" w:color="000000"/>
              <w:bottom w:val="single" w:sz="6" w:space="0" w:color="000000"/>
              <w:right w:val="single" w:sz="6" w:space="0" w:color="000000"/>
            </w:tcBorders>
          </w:tcPr>
          <w:p>
            <w:pPr/>
          </w:p>
        </w:tc>
        <w:tc>
          <w:tcPr>
            <w:tcW w:w="857"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
        </w:tc>
        <w:tc>
          <w:tcPr>
            <w:tcW w:w="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246,428.0</w:t>
            </w:r>
          </w:p>
          <w:p>
            <w:pPr>
              <w:pStyle w:val="TableParagraph"/>
              <w:spacing w:line="240" w:lineRule="auto" w:before="93"/>
              <w:ind w:right="29"/>
              <w:jc w:val="right"/>
              <w:rPr>
                <w:rFonts w:ascii="Times New Roman" w:hAnsi="Times New Roman" w:cs="Times New Roman" w:eastAsia="Times New Roman" w:hint="default"/>
                <w:sz w:val="18"/>
                <w:szCs w:val="18"/>
              </w:rPr>
            </w:pPr>
            <w:r>
              <w:rPr>
                <w:rFonts w:ascii="Times New Roman"/>
                <w:sz w:val="18"/>
              </w:rPr>
              <w:t>0</w:t>
            </w:r>
          </w:p>
        </w:tc>
        <w:tc>
          <w:tcPr>
            <w:tcW w:w="84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430,938.</w:t>
            </w:r>
          </w:p>
          <w:p>
            <w:pPr>
              <w:pStyle w:val="TableParagraph"/>
              <w:spacing w:line="240" w:lineRule="auto" w:before="93"/>
              <w:ind w:right="13"/>
              <w:jc w:val="right"/>
              <w:rPr>
                <w:rFonts w:ascii="Times New Roman" w:hAnsi="Times New Roman" w:cs="Times New Roman" w:eastAsia="Times New Roman" w:hint="default"/>
                <w:sz w:val="18"/>
                <w:szCs w:val="18"/>
              </w:rPr>
            </w:pPr>
            <w:r>
              <w:rPr>
                <w:rFonts w:ascii="Times New Roman"/>
                <w:sz w:val="18"/>
              </w:rPr>
              <w:t>00</w:t>
            </w:r>
          </w:p>
        </w:tc>
      </w:tr>
      <w:tr>
        <w:trPr>
          <w:trHeight w:val="157" w:hRule="exact"/>
        </w:trPr>
        <w:tc>
          <w:tcPr>
            <w:tcW w:w="2546" w:type="dxa"/>
            <w:tcBorders>
              <w:top w:val="single" w:sz="6" w:space="0" w:color="000000"/>
              <w:left w:val="single" w:sz="6" w:space="0" w:color="000000"/>
              <w:bottom w:val="nil" w:sz="6" w:space="0" w:color="auto"/>
              <w:right w:val="single" w:sz="6" w:space="0" w:color="000000"/>
            </w:tcBorders>
            <w:shd w:val="clear" w:color="auto" w:fill="D2D2D2"/>
          </w:tcPr>
          <w:p>
            <w:pPr/>
          </w:p>
        </w:tc>
        <w:tc>
          <w:tcPr>
            <w:tcW w:w="976" w:type="dxa"/>
            <w:vMerge w:val="restart"/>
            <w:tcBorders>
              <w:top w:val="single" w:sz="6" w:space="0" w:color="000000"/>
              <w:left w:val="single" w:sz="12" w:space="0" w:color="D2D2D2"/>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184,510.00</w:t>
            </w: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246,428.0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051" w:type="dxa"/>
            <w:vMerge w:val="restart"/>
            <w:tcBorders>
              <w:top w:val="single" w:sz="6" w:space="0" w:color="000000"/>
              <w:left w:val="single" w:sz="6" w:space="0" w:color="000000"/>
              <w:right w:val="single" w:sz="6" w:space="0" w:color="000000"/>
            </w:tcBorders>
          </w:tcPr>
          <w:p>
            <w:pPr/>
          </w:p>
        </w:tc>
        <w:tc>
          <w:tcPr>
            <w:tcW w:w="857"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
        </w:tc>
        <w:tc>
          <w:tcPr>
            <w:tcW w:w="856" w:type="dxa"/>
            <w:vMerge w:val="restart"/>
            <w:tcBorders>
              <w:top w:val="single" w:sz="6" w:space="0" w:color="000000"/>
              <w:left w:val="single" w:sz="6" w:space="0" w:color="000000"/>
              <w:right w:val="single" w:sz="6" w:space="0" w:color="000000"/>
            </w:tcBorders>
          </w:tcPr>
          <w:p>
            <w:pPr>
              <w:pStyle w:val="TableParagraph"/>
              <w:spacing w:line="240" w:lineRule="auto" w:before="86"/>
              <w:ind w:right="29"/>
              <w:jc w:val="right"/>
              <w:rPr>
                <w:rFonts w:ascii="Times New Roman" w:hAnsi="Times New Roman" w:cs="Times New Roman" w:eastAsia="Times New Roman" w:hint="default"/>
                <w:sz w:val="18"/>
                <w:szCs w:val="18"/>
              </w:rPr>
            </w:pPr>
            <w:r>
              <w:rPr>
                <w:rFonts w:ascii="Times New Roman"/>
                <w:sz w:val="18"/>
              </w:rPr>
              <w:t>246,428.0</w:t>
            </w:r>
          </w:p>
          <w:p>
            <w:pPr>
              <w:pStyle w:val="TableParagraph"/>
              <w:spacing w:line="240" w:lineRule="auto" w:before="108"/>
              <w:ind w:right="29"/>
              <w:jc w:val="right"/>
              <w:rPr>
                <w:rFonts w:ascii="Times New Roman" w:hAnsi="Times New Roman" w:cs="Times New Roman" w:eastAsia="Times New Roman" w:hint="default"/>
                <w:sz w:val="18"/>
                <w:szCs w:val="18"/>
              </w:rPr>
            </w:pPr>
            <w:r>
              <w:rPr>
                <w:rFonts w:ascii="Times New Roman"/>
                <w:sz w:val="18"/>
              </w:rPr>
              <w:t>0</w:t>
            </w:r>
          </w:p>
        </w:tc>
        <w:tc>
          <w:tcPr>
            <w:tcW w:w="841" w:type="dxa"/>
            <w:vMerge w:val="restart"/>
            <w:tcBorders>
              <w:top w:val="single" w:sz="6" w:space="0" w:color="000000"/>
              <w:left w:val="single" w:sz="6" w:space="0" w:color="000000"/>
              <w:right w:val="single" w:sz="6" w:space="0" w:color="000000"/>
            </w:tcBorders>
          </w:tcPr>
          <w:p>
            <w:pPr/>
          </w:p>
        </w:tc>
        <w:tc>
          <w:tcPr>
            <w:tcW w:w="736" w:type="dxa"/>
            <w:vMerge w:val="restart"/>
            <w:tcBorders>
              <w:top w:val="single" w:sz="6" w:space="0" w:color="000000"/>
              <w:left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430,938.</w:t>
            </w:r>
          </w:p>
          <w:p>
            <w:pPr>
              <w:pStyle w:val="TableParagraph"/>
              <w:spacing w:line="240" w:lineRule="auto" w:before="108"/>
              <w:ind w:right="13"/>
              <w:jc w:val="right"/>
              <w:rPr>
                <w:rFonts w:ascii="Times New Roman" w:hAnsi="Times New Roman" w:cs="Times New Roman" w:eastAsia="Times New Roman" w:hint="default"/>
                <w:sz w:val="18"/>
                <w:szCs w:val="18"/>
              </w:rPr>
            </w:pPr>
            <w:r>
              <w:rPr>
                <w:rFonts w:ascii="Times New Roman"/>
                <w:sz w:val="18"/>
              </w:rPr>
              <w:t>00</w:t>
            </w:r>
          </w:p>
        </w:tc>
      </w:tr>
      <w:tr>
        <w:trPr>
          <w:trHeight w:val="390" w:hRule="exact"/>
        </w:trPr>
        <w:tc>
          <w:tcPr>
            <w:tcW w:w="254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081"/>
              <w:jc w:val="righ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6" w:type="dxa"/>
            <w:vMerge/>
            <w:tcBorders>
              <w:left w:val="single" w:sz="12" w:space="0" w:color="D2D2D2"/>
              <w:right w:val="single" w:sz="6" w:space="0" w:color="000000"/>
            </w:tcBorders>
          </w:tcPr>
          <w:p>
            <w:pPr/>
          </w:p>
        </w:tc>
        <w:tc>
          <w:tcPr>
            <w:tcW w:w="856" w:type="dxa"/>
            <w:vMerge/>
            <w:tcBorders>
              <w:left w:val="single" w:sz="6" w:space="0" w:color="000000"/>
              <w:right w:val="single" w:sz="6" w:space="0" w:color="000000"/>
            </w:tcBorders>
          </w:tcPr>
          <w:p>
            <w:pPr/>
          </w:p>
        </w:tc>
        <w:tc>
          <w:tcPr>
            <w:tcW w:w="1051" w:type="dxa"/>
            <w:vMerge/>
            <w:tcBorders>
              <w:left w:val="single" w:sz="6" w:space="0" w:color="000000"/>
              <w:right w:val="single" w:sz="6" w:space="0" w:color="000000"/>
            </w:tcBorders>
          </w:tcPr>
          <w:p>
            <w:pPr/>
          </w:p>
        </w:tc>
        <w:tc>
          <w:tcPr>
            <w:tcW w:w="857"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56" w:type="dxa"/>
            <w:vMerge/>
            <w:tcBorders>
              <w:left w:val="single" w:sz="6" w:space="0" w:color="000000"/>
              <w:right w:val="single" w:sz="6" w:space="0" w:color="000000"/>
            </w:tcBorders>
          </w:tcPr>
          <w:p>
            <w:pPr/>
          </w:p>
        </w:tc>
        <w:tc>
          <w:tcPr>
            <w:tcW w:w="841" w:type="dxa"/>
            <w:vMerge/>
            <w:tcBorders>
              <w:left w:val="single" w:sz="6" w:space="0" w:color="000000"/>
              <w:right w:val="single" w:sz="6" w:space="0" w:color="000000"/>
            </w:tcBorders>
          </w:tcPr>
          <w:p>
            <w:pPr/>
          </w:p>
        </w:tc>
        <w:tc>
          <w:tcPr>
            <w:tcW w:w="736" w:type="dxa"/>
            <w:vMerge/>
            <w:tcBorders>
              <w:left w:val="single" w:sz="6" w:space="0" w:color="000000"/>
              <w:right w:val="single" w:sz="6" w:space="0" w:color="000000"/>
            </w:tcBorders>
          </w:tcPr>
          <w:p>
            <w:pPr/>
          </w:p>
        </w:tc>
      </w:tr>
      <w:tr>
        <w:trPr>
          <w:trHeight w:val="158" w:hRule="exact"/>
        </w:trPr>
        <w:tc>
          <w:tcPr>
            <w:tcW w:w="2546" w:type="dxa"/>
            <w:tcBorders>
              <w:top w:val="nil" w:sz="6" w:space="0" w:color="auto"/>
              <w:left w:val="single" w:sz="6" w:space="0" w:color="000000"/>
              <w:bottom w:val="single" w:sz="6" w:space="0" w:color="000000"/>
              <w:right w:val="single" w:sz="6" w:space="0" w:color="000000"/>
            </w:tcBorders>
            <w:shd w:val="clear" w:color="auto" w:fill="D2D2D2"/>
          </w:tcPr>
          <w:p>
            <w:pPr/>
          </w:p>
        </w:tc>
        <w:tc>
          <w:tcPr>
            <w:tcW w:w="976" w:type="dxa"/>
            <w:vMerge/>
            <w:tcBorders>
              <w:left w:val="single" w:sz="12" w:space="0" w:color="D2D2D2"/>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1051" w:type="dxa"/>
            <w:vMerge/>
            <w:tcBorders>
              <w:left w:val="single" w:sz="6" w:space="0" w:color="000000"/>
              <w:bottom w:val="single" w:sz="6" w:space="0" w:color="000000"/>
              <w:right w:val="single" w:sz="6" w:space="0" w:color="000000"/>
            </w:tcBorders>
          </w:tcPr>
          <w:p>
            <w:pPr/>
          </w:p>
        </w:tc>
        <w:tc>
          <w:tcPr>
            <w:tcW w:w="857"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56" w:type="dxa"/>
            <w:vMerge/>
            <w:tcBorders>
              <w:left w:val="single" w:sz="6" w:space="0" w:color="000000"/>
              <w:bottom w:val="single" w:sz="6" w:space="0" w:color="000000"/>
              <w:right w:val="single" w:sz="6" w:space="0" w:color="000000"/>
            </w:tcBorders>
          </w:tcPr>
          <w:p>
            <w:pPr/>
          </w:p>
        </w:tc>
        <w:tc>
          <w:tcPr>
            <w:tcW w:w="841" w:type="dxa"/>
            <w:vMerge/>
            <w:tcBorders>
              <w:left w:val="single" w:sz="6" w:space="0" w:color="000000"/>
              <w:bottom w:val="single" w:sz="6" w:space="0" w:color="000000"/>
              <w:right w:val="single" w:sz="6" w:space="0" w:color="000000"/>
            </w:tcBorders>
          </w:tcPr>
          <w:p>
            <w:pPr/>
          </w:p>
        </w:tc>
        <w:tc>
          <w:tcPr>
            <w:tcW w:w="736" w:type="dxa"/>
            <w:vMerge/>
            <w:tcBorders>
              <w:left w:val="single" w:sz="6" w:space="0" w:color="000000"/>
              <w:bottom w:val="single" w:sz="6" w:space="0" w:color="000000"/>
              <w:right w:val="single" w:sz="6" w:space="0" w:color="000000"/>
            </w:tcBorders>
          </w:tcPr>
          <w:p>
            <w:pPr/>
          </w:p>
        </w:tc>
      </w:tr>
    </w:tbl>
    <w:p>
      <w:pPr>
        <w:pStyle w:val="BodyText"/>
        <w:spacing w:line="352" w:lineRule="auto" w:before="44"/>
        <w:ind w:right="4089"/>
        <w:jc w:val="left"/>
      </w:pPr>
      <w:r>
        <w:rPr/>
        <w:t>其他说明，包括对现金流量套期损益的有效部分转为被套期项目初始确认金额调整： 无</w:t>
      </w:r>
    </w:p>
    <w:p>
      <w:pPr>
        <w:spacing w:line="240" w:lineRule="auto" w:before="3"/>
        <w:rPr>
          <w:rFonts w:ascii="宋体" w:hAnsi="宋体" w:cs="宋体" w:eastAsia="宋体" w:hint="default"/>
          <w:sz w:val="22"/>
          <w:szCs w:val="22"/>
        </w:rPr>
      </w:pPr>
    </w:p>
    <w:p>
      <w:pPr>
        <w:pStyle w:val="Heading5"/>
        <w:spacing w:line="240" w:lineRule="auto"/>
        <w:ind w:right="0"/>
        <w:jc w:val="left"/>
        <w:rPr>
          <w:b w:val="0"/>
          <w:bCs w:val="0"/>
        </w:rPr>
      </w:pPr>
      <w:bookmarkStart w:name="28、盈余公积" w:id="300"/>
      <w:bookmarkEnd w:id="300"/>
      <w:r>
        <w:rPr>
          <w:b w:val="0"/>
          <w:bCs w:val="0"/>
        </w:rPr>
      </w:r>
      <w:r>
        <w:rPr>
          <w:rFonts w:ascii="Times New Roman" w:hAnsi="Times New Roman" w:cs="Times New Roman" w:eastAsia="Times New Roman" w:hint="default"/>
        </w:rPr>
        <w:t>28</w:t>
      </w:r>
      <w:r>
        <w:rPr/>
        <w:t>、盈余公积</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892"/>
        <w:gridCol w:w="1930"/>
        <w:gridCol w:w="1923"/>
        <w:gridCol w:w="1907"/>
        <w:gridCol w:w="1922"/>
      </w:tblGrid>
      <w:tr>
        <w:trPr>
          <w:trHeight w:val="405"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3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523,409,142.00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523,409,142.00</w:t>
            </w:r>
          </w:p>
        </w:tc>
      </w:tr>
      <w:tr>
        <w:trPr>
          <w:trHeight w:val="390" w:hRule="exact"/>
        </w:trPr>
        <w:tc>
          <w:tcPr>
            <w:tcW w:w="18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30"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523,409,142.00</w:t>
            </w: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523,409,142.00</w:t>
            </w:r>
          </w:p>
        </w:tc>
      </w:tr>
    </w:tbl>
    <w:p>
      <w:pPr>
        <w:pStyle w:val="BodyText"/>
        <w:spacing w:line="240" w:lineRule="auto" w:before="44"/>
        <w:ind w:right="0"/>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29、未分配利润" w:id="301"/>
      <w:bookmarkEnd w:id="301"/>
      <w:r>
        <w:rPr>
          <w:b w:val="0"/>
          <w:bCs w:val="0"/>
        </w:rPr>
      </w:r>
      <w:r>
        <w:rPr>
          <w:rFonts w:ascii="Times New Roman" w:hAnsi="Times New Roman" w:cs="Times New Roman" w:eastAsia="Times New Roman" w:hint="default"/>
        </w:rPr>
        <w:t>29</w:t>
      </w:r>
      <w:r>
        <w:rPr/>
        <w:t>、未分配利润</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3710"/>
        <w:gridCol w:w="2936"/>
        <w:gridCol w:w="2929"/>
      </w:tblGrid>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-319,871,958.00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-341,846,190.00</w:t>
            </w:r>
            <w:r>
              <w:rPr>
                <w:rFonts w:ascii="Times New Roman"/>
                <w:sz w:val="18"/>
              </w:rPr>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-12,648,725.00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-332,520,683.00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-341,846,190.00</w:t>
            </w:r>
            <w:r>
              <w:rPr>
                <w:rFonts w:ascii="Times New Roman"/>
                <w:sz w:val="18"/>
              </w:rPr>
            </w:r>
          </w:p>
        </w:tc>
      </w:tr>
      <w:tr>
        <w:trPr>
          <w:trHeight w:val="406"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-825,472,850.00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40,361,571.00</w:t>
            </w:r>
          </w:p>
        </w:tc>
      </w:tr>
      <w:tr>
        <w:trPr>
          <w:trHeight w:val="405"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6" w:space="0" w:color="000000"/>
              <w:left w:val="single" w:sz="12" w:space="0" w:color="D2D2D2"/>
              <w:bottom w:val="single" w:sz="6" w:space="0" w:color="000000"/>
              <w:right w:val="single" w:sz="6" w:space="0" w:color="000000"/>
            </w:tcBorders>
          </w:tcPr>
          <w:p>
            <w:pP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18,387,339.00</w:t>
            </w:r>
          </w:p>
        </w:tc>
      </w:tr>
      <w:tr>
        <w:trPr>
          <w:trHeight w:val="390" w:hRule="exact"/>
        </w:trPr>
        <w:tc>
          <w:tcPr>
            <w:tcW w:w="371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-1,157,993,533.00</w:t>
            </w:r>
            <w:r>
              <w:rPr>
                <w:rFonts w:ascii="Times New Roman"/>
                <w:sz w:val="18"/>
              </w:rPr>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-319,871,958.00</w:t>
            </w:r>
            <w:r>
              <w:rPr>
                <w:rFonts w:ascii="Times New Roman"/>
                <w:sz w:val="18"/>
              </w:rPr>
            </w:r>
          </w:p>
        </w:tc>
      </w:tr>
    </w:tbl>
    <w:p>
      <w:pPr>
        <w:pStyle w:val="BodyText"/>
        <w:spacing w:line="240" w:lineRule="auto" w:before="44"/>
        <w:ind w:right="0"/>
        <w:jc w:val="left"/>
      </w:pPr>
      <w:r>
        <w:rPr/>
        <w:t>调整期初未分配利润明细：</w:t>
      </w:r>
    </w:p>
    <w:p>
      <w:pPr>
        <w:pStyle w:val="BodyText"/>
        <w:spacing w:line="240" w:lineRule="auto" w:before="125"/>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38"/>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11"/>
        <w:ind w:right="0"/>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-12,648,725.00</w:t>
      </w:r>
      <w:r>
        <w:rPr>
          <w:rFonts w:ascii="Times New Roman" w:hAnsi="Times New Roman" w:cs="Times New Roman" w:eastAsia="Times New Roman" w:hint="default"/>
          <w:spacing w:val="4"/>
        </w:rPr>
        <w:t> </w:t>
      </w:r>
      <w:r>
        <w:rPr/>
        <w:t>元。</w:t>
      </w:r>
    </w:p>
    <w:p>
      <w:pPr>
        <w:pStyle w:val="BodyText"/>
        <w:spacing w:line="240" w:lineRule="auto" w:before="96"/>
        <w:ind w:right="0"/>
        <w:jc w:val="left"/>
      </w:pPr>
      <w:r>
        <w:rPr>
          <w:rFonts w:ascii="Times New Roman" w:hAnsi="Times New Roman" w:cs="Times New Roman" w:eastAsia="Times New Roman" w:hint="default"/>
        </w:rPr>
        <w:t>3)</w:t>
      </w:r>
      <w:r>
        <w:rPr/>
        <w:t>、由于重大会计差错更正，影响期初未分配利润</w:t>
      </w:r>
      <w:r>
        <w:rPr>
          <w:spacing w:val="-41"/>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11"/>
        <w:ind w:right="0"/>
        <w:jc w:val="left"/>
      </w:pPr>
      <w:r>
        <w:rPr>
          <w:rFonts w:ascii="Times New Roman" w:hAnsi="Times New Roman" w:cs="Times New Roman" w:eastAsia="Times New Roman" w:hint="default"/>
        </w:rPr>
        <w:t>4)</w:t>
      </w:r>
      <w:r>
        <w:rPr/>
        <w:t>、由于同一控制导致的合并范围变更，影响期初未分配利润</w:t>
      </w:r>
      <w:r>
        <w:rPr>
          <w:spacing w:val="-39"/>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96"/>
        <w:ind w:right="0"/>
        <w:jc w:val="left"/>
      </w:pPr>
      <w:r>
        <w:rPr>
          <w:rFonts w:ascii="Times New Roman" w:hAnsi="Times New Roman" w:cs="Times New Roman" w:eastAsia="Times New Roman" w:hint="default"/>
        </w:rPr>
        <w:t>5)</w:t>
      </w:r>
      <w:r>
        <w:rPr/>
        <w:t>、其他调整合计影响期初未分配利润</w:t>
      </w:r>
      <w:r>
        <w:rPr>
          <w:spacing w:val="-42"/>
        </w:rPr>
        <w:t> </w:t>
      </w:r>
      <w:r>
        <w:rPr>
          <w:rFonts w:ascii="Times New Roman" w:hAnsi="Times New Roman" w:cs="Times New Roman" w:eastAsia="Times New Roman" w:hint="default"/>
        </w:rPr>
        <w:t>0.00 </w:t>
      </w:r>
      <w:r>
        <w:rPr/>
        <w:t>元。</w:t>
      </w:r>
    </w:p>
    <w:p>
      <w:pPr>
        <w:spacing w:line="240" w:lineRule="auto" w:before="0"/>
        <w:rPr>
          <w:rFonts w:ascii="宋体" w:hAnsi="宋体" w:cs="宋体" w:eastAsia="宋体" w:hint="default"/>
          <w:sz w:val="18"/>
          <w:szCs w:val="18"/>
        </w:rPr>
      </w:pPr>
    </w:p>
    <w:p>
      <w:pPr>
        <w:pStyle w:val="Heading5"/>
        <w:spacing w:line="240" w:lineRule="auto" w:before="125"/>
        <w:ind w:right="0"/>
        <w:jc w:val="left"/>
        <w:rPr>
          <w:b w:val="0"/>
          <w:bCs w:val="0"/>
        </w:rPr>
      </w:pPr>
      <w:bookmarkStart w:name="30、营业收入和营业成本" w:id="302"/>
      <w:bookmarkEnd w:id="302"/>
      <w:r>
        <w:rPr>
          <w:b w:val="0"/>
          <w:bCs w:val="0"/>
        </w:rPr>
      </w:r>
      <w:r>
        <w:rPr>
          <w:rFonts w:ascii="Times New Roman" w:hAnsi="Times New Roman" w:cs="Times New Roman" w:eastAsia="Times New Roman" w:hint="default"/>
        </w:rPr>
        <w:t>30</w:t>
      </w:r>
      <w:r>
        <w:rPr/>
        <w:t>、营业收入和营业成本</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7"/>
        <w:gridCol w:w="1915"/>
        <w:gridCol w:w="1923"/>
        <w:gridCol w:w="1907"/>
        <w:gridCol w:w="1922"/>
      </w:tblGrid>
      <w:tr>
        <w:trPr>
          <w:trHeight w:val="203" w:hRule="exact"/>
        </w:trPr>
        <w:tc>
          <w:tcPr>
            <w:tcW w:w="1907"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7"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203" w:hRule="exact"/>
        </w:trPr>
        <w:tc>
          <w:tcPr>
            <w:tcW w:w="1907"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837" w:type="dxa"/>
            <w:gridSpan w:val="2"/>
            <w:vMerge/>
            <w:tcBorders>
              <w:left w:val="single" w:sz="6" w:space="0" w:color="000000"/>
              <w:bottom w:val="single" w:sz="6" w:space="0" w:color="000000"/>
              <w:right w:val="single" w:sz="6" w:space="0" w:color="000000"/>
            </w:tcBorders>
            <w:shd w:val="clear" w:color="auto" w:fill="D2D2D2"/>
          </w:tcPr>
          <w:p>
            <w:pP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03" w:hRule="exact"/>
        </w:trPr>
        <w:tc>
          <w:tcPr>
            <w:tcW w:w="1907" w:type="dxa"/>
            <w:vMerge/>
            <w:tcBorders>
              <w:left w:val="single" w:sz="6" w:space="0" w:color="000000"/>
              <w:bottom w:val="nil" w:sz="6" w:space="0" w:color="auto"/>
              <w:right w:val="single" w:sz="6" w:space="0" w:color="000000"/>
            </w:tcBorders>
            <w:shd w:val="clear" w:color="auto" w:fill="D2D2D2"/>
          </w:tcPr>
          <w:p>
            <w:pPr/>
          </w:p>
        </w:tc>
        <w:tc>
          <w:tcPr>
            <w:tcW w:w="1915"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7"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3" w:hRule="exact"/>
        </w:trPr>
        <w:tc>
          <w:tcPr>
            <w:tcW w:w="1907" w:type="dxa"/>
            <w:tcBorders>
              <w:top w:val="nil" w:sz="6" w:space="0" w:color="auto"/>
              <w:left w:val="single" w:sz="6" w:space="0" w:color="000000"/>
              <w:bottom w:val="single" w:sz="6" w:space="0" w:color="000000"/>
              <w:right w:val="single" w:sz="6" w:space="0" w:color="000000"/>
            </w:tcBorders>
            <w:shd w:val="clear" w:color="auto" w:fill="D2D2D2"/>
          </w:tcPr>
          <w:p>
            <w:pPr/>
          </w:p>
        </w:tc>
        <w:tc>
          <w:tcPr>
            <w:tcW w:w="1915" w:type="dxa"/>
            <w:vMerge/>
            <w:tcBorders>
              <w:left w:val="single" w:sz="6" w:space="0" w:color="000000"/>
              <w:bottom w:val="single" w:sz="6" w:space="0" w:color="000000"/>
              <w:right w:val="single" w:sz="6" w:space="0" w:color="000000"/>
            </w:tcBorders>
            <w:shd w:val="clear" w:color="auto" w:fill="D2D2D2"/>
          </w:tcPr>
          <w:p>
            <w:pPr/>
          </w:p>
        </w:tc>
        <w:tc>
          <w:tcPr>
            <w:tcW w:w="1923" w:type="dxa"/>
            <w:vMerge/>
            <w:tcBorders>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5,409,769,553.00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3,328,669,603.00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7,619,281,049.00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4,203,709,373.00</w:t>
            </w:r>
          </w:p>
        </w:tc>
      </w:tr>
      <w:tr>
        <w:trPr>
          <w:trHeight w:val="405"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53,522,424.00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47,410,429.00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58,088,001.00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44,857,432.00</w:t>
            </w:r>
          </w:p>
        </w:tc>
      </w:tr>
      <w:tr>
        <w:trPr>
          <w:trHeight w:val="391" w:hRule="exact"/>
        </w:trPr>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5"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5,463,291,977.00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3,376,080,032.00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7,677,369,050.00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4,248,566,805.00</w:t>
            </w:r>
          </w:p>
        </w:tc>
      </w:tr>
    </w:tbl>
    <w:p>
      <w:pPr>
        <w:pStyle w:val="BodyText"/>
        <w:spacing w:line="240" w:lineRule="auto" w:before="44"/>
        <w:ind w:right="0"/>
        <w:jc w:val="left"/>
      </w:pPr>
      <w:r>
        <w:rPr/>
        <w:t>是否已执行新收入准则</w:t>
      </w:r>
    </w:p>
    <w:p>
      <w:pPr>
        <w:pStyle w:val="BodyText"/>
        <w:spacing w:line="333" w:lineRule="auto" w:before="125"/>
        <w:ind w:right="984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其他说明</w:t>
      </w:r>
    </w:p>
    <w:p>
      <w:pPr>
        <w:pStyle w:val="Heading3"/>
        <w:spacing w:line="313" w:lineRule="exact"/>
        <w:ind w:right="0"/>
        <w:jc w:val="left"/>
      </w:pPr>
      <w:r>
        <w:rPr/>
        <w:t>无</w:t>
      </w:r>
    </w:p>
    <w:p>
      <w:pPr>
        <w:spacing w:line="240" w:lineRule="auto" w:before="9"/>
        <w:rPr>
          <w:rFonts w:ascii="宋体" w:hAnsi="宋体" w:cs="宋体" w:eastAsia="宋体" w:hint="default"/>
          <w:sz w:val="25"/>
          <w:szCs w:val="25"/>
        </w:rPr>
      </w:pPr>
    </w:p>
    <w:p>
      <w:pPr>
        <w:pStyle w:val="Heading5"/>
        <w:spacing w:line="240" w:lineRule="auto"/>
        <w:ind w:right="0"/>
        <w:jc w:val="left"/>
        <w:rPr>
          <w:b w:val="0"/>
          <w:bCs w:val="0"/>
        </w:rPr>
      </w:pPr>
      <w:bookmarkStart w:name="31、税金及附加" w:id="303"/>
      <w:bookmarkEnd w:id="303"/>
      <w:r>
        <w:rPr>
          <w:b w:val="0"/>
          <w:bCs w:val="0"/>
        </w:rPr>
      </w:r>
      <w:r>
        <w:rPr>
          <w:rFonts w:ascii="Times New Roman" w:hAnsi="Times New Roman" w:cs="Times New Roman" w:eastAsia="Times New Roman" w:hint="default"/>
        </w:rPr>
        <w:t>31</w:t>
      </w:r>
      <w:r>
        <w:rPr/>
        <w:t>、税金及附加</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9,821,390.00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16,524,386.00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10,720,903.00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17,491,560.00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5,486,564.00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6,311,892.00</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506,859.00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730,651.00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447,038.00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1,055,571.00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1,680,873.00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1,259,048.00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77"/>
        <w:gridCol w:w="3207"/>
        <w:gridCol w:w="3199"/>
      </w:tblGrid>
      <w:tr>
        <w:trPr>
          <w:trHeight w:val="390" w:hRule="exact"/>
        </w:trPr>
        <w:tc>
          <w:tcPr>
            <w:tcW w:w="31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28,663,627.00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43,373,108.00</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54"/>
        <w:ind w:right="0"/>
        <w:jc w:val="left"/>
        <w:rPr>
          <w:b w:val="0"/>
          <w:bCs w:val="0"/>
        </w:rPr>
      </w:pPr>
      <w:bookmarkStart w:name="32、销售费用" w:id="304"/>
      <w:bookmarkEnd w:id="304"/>
      <w:r>
        <w:rPr>
          <w:b w:val="0"/>
          <w:bCs w:val="0"/>
        </w:rPr>
      </w:r>
      <w:r>
        <w:rPr>
          <w:rFonts w:ascii="Times New Roman" w:hAnsi="Times New Roman" w:cs="Times New Roman" w:eastAsia="Times New Roman" w:hint="default"/>
        </w:rPr>
        <w:t>32</w:t>
      </w:r>
      <w:r>
        <w:rPr/>
        <w:t>、销售费用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租金及物业管理费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707,787,716.00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936,102,687.00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员工工资及福利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674,212,646.00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921,088,184.00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151,493,088.00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176,709,173.00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125,337,235.00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159,689,646.00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115,967,003.00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95,030,291.00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78,027,690.00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61,428,758.00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61,753,197.00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77,387,860.00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49,452,985.00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74,103,485.00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折旧及无形资产摊销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45,751,156.00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43,658,446.00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27,032,853.00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35,565,502.00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28,448,863.00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34,803,625.00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3,375,436.00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9,012,446.00</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59,557,379.00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86,019,634.00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2,128,197,247.00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2,710,599,737.00</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3、管理费用" w:id="305"/>
      <w:bookmarkEnd w:id="305"/>
      <w:r>
        <w:rPr>
          <w:b w:val="0"/>
          <w:bCs w:val="0"/>
        </w:rPr>
      </w:r>
      <w:r>
        <w:rPr>
          <w:rFonts w:ascii="Times New Roman" w:hAnsi="Times New Roman" w:cs="Times New Roman" w:eastAsia="Times New Roman" w:hint="default"/>
        </w:rPr>
        <w:t>33</w:t>
      </w:r>
      <w:r>
        <w:rPr/>
        <w:t>、管理费用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员工工资及福利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76,764,348.00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83,589,313.00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折旧及无形资产摊销</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21,226,954.00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22,783,307.00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8,598,040.00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6,801,139.00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5,028,542.00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4,883,306.00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7,971,143.00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5,924,317.00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7,211,792.00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9,815,701.00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2,301,625.00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2,950,696.00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4,434,703.00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4,633,907.00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13,979,979.00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10,291,531.00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left="2027" w:right="0"/>
              <w:jc w:val="left"/>
              <w:rPr>
                <w:rFonts w:ascii="Times New Roman" w:hAnsi="Times New Roman" w:cs="Times New Roman" w:eastAsia="Times New Roman" w:hint="default"/>
                <w:sz w:val="18"/>
                <w:szCs w:val="18"/>
              </w:rPr>
            </w:pPr>
            <w:r>
              <w:rPr>
                <w:rFonts w:ascii="Times New Roman"/>
                <w:sz w:val="18"/>
              </w:rPr>
              <w:t>147,517,126.00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151,673,217.00</w:t>
            </w:r>
          </w:p>
        </w:tc>
      </w:tr>
    </w:tbl>
    <w:p>
      <w:pPr>
        <w:pStyle w:val="BodyText"/>
        <w:spacing w:line="240" w:lineRule="auto" w:before="45"/>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54"/>
        <w:ind w:right="0"/>
        <w:jc w:val="left"/>
        <w:rPr>
          <w:b w:val="0"/>
          <w:bCs w:val="0"/>
        </w:rPr>
      </w:pPr>
      <w:bookmarkStart w:name="34、研发费用" w:id="306"/>
      <w:bookmarkEnd w:id="306"/>
      <w:r>
        <w:rPr>
          <w:b w:val="0"/>
          <w:bCs w:val="0"/>
        </w:rPr>
      </w:r>
      <w:r>
        <w:rPr>
          <w:rFonts w:ascii="Times New Roman" w:hAnsi="Times New Roman" w:cs="Times New Roman" w:eastAsia="Times New Roman" w:hint="default"/>
        </w:rPr>
        <w:t>34</w:t>
      </w:r>
      <w:r>
        <w:rPr/>
        <w:t>、研发费用</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员工工资及福利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71,582,138.00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105,819,773.00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折旧及摊销费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16,635,097.00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16,719,956.00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1,933,772.00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3,229,108.00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8,677,874.00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11,909,904.00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7,345,930.00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13,453,704.00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2,738,506.00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4,419,949.00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108,913,317.00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155,552,394.00</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5、财务费用" w:id="307"/>
      <w:bookmarkEnd w:id="307"/>
      <w:r>
        <w:rPr>
          <w:b w:val="0"/>
          <w:bCs w:val="0"/>
        </w:rPr>
      </w:r>
      <w:r>
        <w:rPr>
          <w:rFonts w:ascii="Times New Roman" w:hAnsi="Times New Roman" w:cs="Times New Roman" w:eastAsia="Times New Roman" w:hint="default"/>
        </w:rPr>
        <w:t>35</w:t>
      </w:r>
      <w:r>
        <w:rPr/>
        <w:t>、财务费用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78,236,612.00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64,085,852.00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2,059,575.00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3,657,573.00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票据贴现利息支出</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12,492,363.00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18,292,133.00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银行手续费及其他</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1,398,294.00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1,814,660.00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90,067,694.00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80,535,072.00</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36、其他收益" w:id="308"/>
      <w:bookmarkEnd w:id="308"/>
      <w:r>
        <w:rPr>
          <w:b w:val="0"/>
          <w:bCs w:val="0"/>
        </w:rPr>
      </w:r>
      <w:r>
        <w:rPr>
          <w:rFonts w:ascii="Times New Roman" w:hAnsi="Times New Roman" w:cs="Times New Roman" w:eastAsia="Times New Roman" w:hint="default"/>
        </w:rPr>
        <w:t>36</w:t>
      </w:r>
      <w:r>
        <w:rPr/>
        <w:t>、其他收益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与日常经营活动相关的政府补助</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27,616,969.00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33,106,419.00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7、投资收益" w:id="309"/>
      <w:bookmarkEnd w:id="309"/>
      <w:r>
        <w:rPr>
          <w:b w:val="0"/>
          <w:bCs w:val="0"/>
        </w:rPr>
      </w:r>
      <w:r>
        <w:rPr>
          <w:rFonts w:ascii="Times New Roman" w:hAnsi="Times New Roman" w:cs="Times New Roman" w:eastAsia="Times New Roman" w:hint="default"/>
        </w:rPr>
        <w:t>37</w:t>
      </w:r>
      <w:r>
        <w:rPr/>
        <w:t>、投资收益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454"/>
        <w:gridCol w:w="3199"/>
        <w:gridCol w:w="2929"/>
      </w:tblGrid>
      <w:tr>
        <w:trPr>
          <w:trHeight w:val="405"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45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40,223,578.00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862" w:right="0"/>
              <w:jc w:val="left"/>
              <w:rPr>
                <w:rFonts w:ascii="Times New Roman" w:hAnsi="Times New Roman" w:cs="Times New Roman" w:eastAsia="Times New Roman" w:hint="default"/>
                <w:sz w:val="18"/>
                <w:szCs w:val="18"/>
              </w:rPr>
            </w:pPr>
            <w:r>
              <w:rPr>
                <w:rFonts w:ascii="Times New Roman"/>
                <w:sz w:val="18"/>
              </w:rPr>
              <w:t>48,327,961.00</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469"/>
        <w:gridCol w:w="3184"/>
        <w:gridCol w:w="2929"/>
      </w:tblGrid>
      <w:tr>
        <w:trPr>
          <w:trHeight w:val="405" w:hRule="exact"/>
        </w:trPr>
        <w:tc>
          <w:tcPr>
            <w:tcW w:w="3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处置子公司产生的投资收益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2,490,078.00</w:t>
            </w:r>
          </w:p>
        </w:tc>
        <w:tc>
          <w:tcPr>
            <w:tcW w:w="2929"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4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42,713,656.00</w:t>
            </w:r>
          </w:p>
        </w:tc>
        <w:tc>
          <w:tcPr>
            <w:tcW w:w="2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1862" w:right="0"/>
              <w:jc w:val="left"/>
              <w:rPr>
                <w:rFonts w:ascii="Times New Roman" w:hAnsi="Times New Roman" w:cs="Times New Roman" w:eastAsia="Times New Roman" w:hint="default"/>
                <w:sz w:val="18"/>
                <w:szCs w:val="18"/>
              </w:rPr>
            </w:pPr>
            <w:r>
              <w:rPr>
                <w:rFonts w:ascii="Times New Roman"/>
                <w:sz w:val="18"/>
              </w:rPr>
              <w:t>48,327,961.00</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38、信用减值损失" w:id="310"/>
      <w:bookmarkEnd w:id="310"/>
      <w:r>
        <w:rPr>
          <w:b w:val="0"/>
          <w:bCs w:val="0"/>
        </w:rPr>
      </w:r>
      <w:r>
        <w:rPr>
          <w:rFonts w:ascii="Times New Roman" w:hAnsi="Times New Roman" w:cs="Times New Roman" w:eastAsia="Times New Roman" w:hint="default"/>
        </w:rPr>
        <w:t>38</w:t>
      </w:r>
      <w:r>
        <w:rPr/>
        <w:t>、信用减值损失</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-4,663,524.00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长期应收款坏账损失</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-1,451,098.00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-107,396,965.00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一年内到期的非流动资产坏账损失</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-16,620,148.00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4"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-130,131,735.00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0" w:lineRule="auto" w:before="45"/>
        <w:ind w:right="9849"/>
        <w:jc w:val="left"/>
      </w:pPr>
      <w:r>
        <w:rPr/>
        <w:t>其他说明： 无</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39、资产减值损失" w:id="311"/>
      <w:bookmarkEnd w:id="311"/>
      <w:r>
        <w:rPr>
          <w:b w:val="0"/>
          <w:bCs w:val="0"/>
        </w:rPr>
      </w:r>
      <w:r>
        <w:rPr>
          <w:rFonts w:ascii="Times New Roman" w:hAnsi="Times New Roman" w:cs="Times New Roman" w:eastAsia="Times New Roman" w:hint="default"/>
        </w:rPr>
        <w:t>39</w:t>
      </w:r>
      <w:r>
        <w:rPr/>
        <w:t>、资产减值损失</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是否已执行新收入准则</w:t>
      </w:r>
    </w:p>
    <w:p>
      <w:pPr>
        <w:pStyle w:val="BodyText"/>
        <w:spacing w:line="240" w:lineRule="auto" w:before="1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w w:val="95"/>
                <w:sz w:val="18"/>
              </w:rPr>
              <w:t>-43,908,582.00</w:t>
            </w:r>
            <w:r>
              <w:rPr>
                <w:rFonts w:ascii="Times New Roman"/>
                <w:sz w:val="18"/>
              </w:rPr>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-223,280,604.00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-229,516,040.00</w:t>
            </w:r>
            <w:r>
              <w:rPr>
                <w:rFonts w:ascii="Times New Roman"/>
                <w:sz w:val="18"/>
              </w:rPr>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-30,857,285.00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w w:val="95"/>
                <w:sz w:val="18"/>
              </w:rPr>
              <w:t>-10,846,106.00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-49,271,970.00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-39,562,677.00</w:t>
            </w:r>
            <w:r>
              <w:rPr>
                <w:rFonts w:ascii="Times New Roman"/>
                <w:sz w:val="18"/>
              </w:rPr>
            </w:r>
          </w:p>
        </w:tc>
      </w:tr>
      <w:tr>
        <w:trPr>
          <w:trHeight w:val="391"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-314,255,965.00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-312,987,299.00</w:t>
            </w:r>
            <w:r>
              <w:rPr>
                <w:rFonts w:ascii="Times New Roman"/>
                <w:sz w:val="18"/>
              </w:rPr>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0、资产处置收益" w:id="312"/>
      <w:bookmarkEnd w:id="312"/>
      <w:r>
        <w:rPr>
          <w:b w:val="0"/>
          <w:bCs w:val="0"/>
        </w:rPr>
      </w:r>
      <w:r>
        <w:rPr>
          <w:rFonts w:ascii="Times New Roman" w:hAnsi="Times New Roman" w:cs="Times New Roman" w:eastAsia="Times New Roman" w:hint="default"/>
        </w:rPr>
        <w:t>40</w:t>
      </w:r>
      <w:r>
        <w:rPr/>
        <w:t>、资产处置收益</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66"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固定资产处置收益</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4,349,379.00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-727,185.00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41、营业外收入" w:id="313"/>
      <w:bookmarkEnd w:id="313"/>
      <w:r>
        <w:rPr>
          <w:b w:val="0"/>
          <w:bCs w:val="0"/>
        </w:rPr>
      </w:r>
      <w:r>
        <w:rPr>
          <w:rFonts w:ascii="Times New Roman" w:hAnsi="Times New Roman" w:cs="Times New Roman" w:eastAsia="Times New Roman" w:hint="default"/>
        </w:rPr>
        <w:t>41</w:t>
      </w:r>
      <w:r>
        <w:rPr/>
        <w:t>、营业外收入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违约金及罚没款收入</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3,421,445.00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6,397,004.00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3,421,445.00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4,090,122.00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2,112,808.00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4,090,122.00</w:t>
            </w:r>
          </w:p>
        </w:tc>
      </w:tr>
      <w:tr>
        <w:trPr>
          <w:trHeight w:val="39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7,511,566.00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8,509,812.00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7,511,567.00</w:t>
            </w:r>
          </w:p>
        </w:tc>
      </w:tr>
    </w:tbl>
    <w:p>
      <w:pPr>
        <w:pStyle w:val="BodyText"/>
        <w:spacing w:line="240" w:lineRule="auto" w:before="44"/>
        <w:ind w:right="0"/>
        <w:jc w:val="left"/>
      </w:pPr>
      <w:r>
        <w:rPr/>
        <w:t>计入当期损益的政府补助：</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66"/>
        <w:gridCol w:w="1067"/>
        <w:gridCol w:w="1066"/>
        <w:gridCol w:w="1051"/>
        <w:gridCol w:w="1067"/>
        <w:gridCol w:w="1081"/>
        <w:gridCol w:w="1051"/>
        <w:gridCol w:w="1066"/>
      </w:tblGrid>
      <w:tr>
        <w:trPr>
          <w:trHeight w:val="706" w:hRule="exact"/>
        </w:trPr>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9"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59" w:right="75"/>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35" w:right="74" w:hanging="361"/>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35" w:right="89" w:hanging="361"/>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29"/>
              <w:ind w:left="420" w:right="75" w:hanging="361"/>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90" w:lineRule="auto" w:before="44"/>
              <w:ind w:left="75" w:right="39" w:hanging="15"/>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bl>
    <w:p>
      <w:pPr>
        <w:pStyle w:val="BodyText"/>
        <w:spacing w:line="350" w:lineRule="auto" w:before="45"/>
        <w:ind w:right="9849"/>
        <w:jc w:val="left"/>
      </w:pPr>
      <w:r>
        <w:rPr/>
        <w:t>其他说明： 无</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42、营业外支出" w:id="314"/>
      <w:bookmarkEnd w:id="314"/>
      <w:r>
        <w:rPr>
          <w:b w:val="0"/>
          <w:bCs w:val="0"/>
        </w:rPr>
      </w:r>
      <w:r>
        <w:rPr>
          <w:rFonts w:ascii="Times New Roman" w:hAnsi="Times New Roman" w:cs="Times New Roman" w:eastAsia="Times New Roman" w:hint="default"/>
        </w:rPr>
        <w:t>42</w:t>
      </w:r>
      <w:r>
        <w:rPr/>
        <w:t>、营业外支出</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158" w:hRule="exact"/>
        </w:trPr>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1111" w:right="107"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0" w:hRule="exact"/>
        </w:trPr>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5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73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403" w:type="dxa"/>
            <w:vMerge/>
            <w:tcBorders>
              <w:left w:val="single" w:sz="6" w:space="0" w:color="000000"/>
              <w:right w:val="single" w:sz="6" w:space="0" w:color="000000"/>
            </w:tcBorders>
            <w:shd w:val="clear" w:color="auto" w:fill="D2D2D2"/>
          </w:tcPr>
          <w:p>
            <w:pPr/>
          </w:p>
        </w:tc>
      </w:tr>
      <w:tr>
        <w:trPr>
          <w:trHeight w:val="173" w:hRule="exact"/>
        </w:trPr>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900,000.00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931,737.00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900,000.00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违约金及罚没款支出</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300,362.00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236,562.00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300,362.00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店铺关闭损失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25,939,334.00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6,282,438.00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11,880,869.00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资产损毁等其他损失</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14,126,129.00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7,066,837.00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18,808,287.00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41,265,825.00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14,517,574.00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31,889,518.00</w:t>
            </w:r>
          </w:p>
        </w:tc>
      </w:tr>
    </w:tbl>
    <w:p>
      <w:pPr>
        <w:pStyle w:val="BodyText"/>
        <w:spacing w:line="367" w:lineRule="auto" w:before="45"/>
        <w:ind w:right="9849"/>
        <w:jc w:val="left"/>
      </w:pPr>
      <w:r>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43、所得税费用" w:id="315"/>
      <w:bookmarkEnd w:id="315"/>
      <w:r>
        <w:rPr>
          <w:b w:val="0"/>
          <w:bCs w:val="0"/>
        </w:rPr>
      </w:r>
      <w:r>
        <w:rPr>
          <w:rFonts w:ascii="Times New Roman" w:hAnsi="Times New Roman" w:cs="Times New Roman" w:eastAsia="Times New Roman" w:hint="default"/>
        </w:rPr>
        <w:t>43</w:t>
      </w:r>
      <w:r>
        <w:rPr/>
        <w:t>、所得税费用</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所得税费用表" w:id="316"/>
      <w:bookmarkEnd w:id="316"/>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169"/>
        <w:gridCol w:w="3207"/>
        <w:gridCol w:w="3199"/>
      </w:tblGrid>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2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6,515,058.00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3,561,411.00</w:t>
            </w:r>
          </w:p>
        </w:tc>
      </w:tr>
      <w:tr>
        <w:trPr>
          <w:trHeight w:val="406"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-651,229.00</w:t>
            </w:r>
            <w:r>
              <w:rPr>
                <w:rFonts w:ascii="Times New Roman"/>
                <w:sz w:val="18"/>
              </w:rPr>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4,857,869.00</w:t>
            </w:r>
          </w:p>
        </w:tc>
      </w:tr>
      <w:tr>
        <w:trPr>
          <w:trHeight w:val="390" w:hRule="exact"/>
        </w:trPr>
        <w:tc>
          <w:tcPr>
            <w:tcW w:w="316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7"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5,863,829.00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8,419,280.00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2）会计利润与所得税费用调整过程" w:id="317"/>
      <w:bookmarkEnd w:id="317"/>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776"/>
        <w:gridCol w:w="4806"/>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480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-819,609,021.00</w:t>
            </w:r>
            <w:r>
              <w:rPr>
                <w:rFonts w:ascii="Times New Roman"/>
                <w:sz w:val="18"/>
              </w:rPr>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5"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-204,902,255.00</w:t>
            </w:r>
            <w:r>
              <w:rPr>
                <w:rFonts w:ascii="Times New Roman"/>
                <w:sz w:val="18"/>
              </w:rPr>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-3,131,425.00</w:t>
            </w:r>
            <w:r>
              <w:rPr>
                <w:rFonts w:ascii="Times New Roman"/>
                <w:sz w:val="18"/>
              </w:rPr>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-3,874,128.00</w:t>
            </w:r>
            <w:r>
              <w:rPr>
                <w:rFonts w:ascii="Times New Roman"/>
                <w:sz w:val="18"/>
              </w:rPr>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1,803,698.00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-6,519,226.00</w:t>
            </w:r>
            <w:r>
              <w:rPr>
                <w:rFonts w:ascii="Times New Roman"/>
                <w:sz w:val="18"/>
              </w:rPr>
            </w:r>
          </w:p>
        </w:tc>
      </w:tr>
      <w:tr>
        <w:trPr>
          <w:trHeight w:val="721"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5" w:right="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232,543,060.00</w:t>
            </w:r>
          </w:p>
        </w:tc>
      </w:tr>
      <w:tr>
        <w:trPr>
          <w:trHeight w:val="391" w:hRule="exact"/>
        </w:trPr>
        <w:tc>
          <w:tcPr>
            <w:tcW w:w="4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归属于联营企业的损益</w:t>
            </w:r>
          </w:p>
        </w:tc>
        <w:tc>
          <w:tcPr>
            <w:tcW w:w="4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-10,055,895.00</w:t>
            </w:r>
            <w:r>
              <w:rPr>
                <w:rFonts w:ascii="Times New Roman"/>
                <w:sz w:val="18"/>
              </w:rPr>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6"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5,863,829.00</w:t>
            </w:r>
          </w:p>
        </w:tc>
      </w:tr>
    </w:tbl>
    <w:p>
      <w:pPr>
        <w:pStyle w:val="BodyText"/>
        <w:spacing w:line="240" w:lineRule="auto" w:before="44"/>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4、其他综合收益" w:id="318"/>
      <w:bookmarkEnd w:id="318"/>
      <w:r>
        <w:rPr>
          <w:b w:val="0"/>
          <w:bCs w:val="0"/>
        </w:rPr>
      </w:r>
      <w:r>
        <w:rPr>
          <w:rFonts w:ascii="Times New Roman" w:hAnsi="Times New Roman" w:cs="Times New Roman" w:eastAsia="Times New Roman" w:hint="default"/>
        </w:rPr>
        <w:t>44</w:t>
      </w:r>
      <w:r>
        <w:rPr/>
        <w:t>、其他综合收益</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详见附注</w:t>
      </w:r>
      <w:r>
        <w:rPr>
          <w:spacing w:val="-45"/>
        </w:rPr>
        <w:t> </w:t>
      </w:r>
      <w:r>
        <w:rPr>
          <w:rFonts w:ascii="Times New Roman" w:hAnsi="Times New Roman" w:cs="Times New Roman" w:eastAsia="Times New Roman" w:hint="default"/>
        </w:rPr>
        <w:t>27</w:t>
      </w:r>
      <w:r>
        <w:rPr/>
        <w:t>。</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45、现金流量表项目" w:id="319"/>
      <w:bookmarkEnd w:id="319"/>
      <w:r>
        <w:rPr>
          <w:b w:val="0"/>
          <w:bCs w:val="0"/>
        </w:rPr>
      </w:r>
      <w:r>
        <w:rPr>
          <w:rFonts w:ascii="Times New Roman" w:hAnsi="Times New Roman" w:cs="Times New Roman" w:eastAsia="Times New Roman" w:hint="default"/>
        </w:rPr>
        <w:t>45</w:t>
      </w:r>
      <w:r>
        <w:rPr/>
        <w:t>、现金流量表项目</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0"/>
        <w:jc w:val="left"/>
        <w:rPr>
          <w:b w:val="0"/>
          <w:bCs w:val="0"/>
        </w:rPr>
      </w:pPr>
      <w:bookmarkStart w:name="（1）收到的其他与经营活动有关的现金" w:id="320"/>
      <w:bookmarkEnd w:id="320"/>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2,059,575.00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3,657,573.00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27,616,969.00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23,054,032.00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押金及质保金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74,331,220.00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65,160,073.00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罚没收入及其他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23,216,793.00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10,921,316.00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127,224,557.00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102,792,994.00</w:t>
            </w:r>
          </w:p>
        </w:tc>
      </w:tr>
    </w:tbl>
    <w:p>
      <w:pPr>
        <w:pStyle w:val="BodyText"/>
        <w:spacing w:line="350" w:lineRule="auto" w:before="45"/>
        <w:ind w:right="7509"/>
        <w:jc w:val="left"/>
      </w:pPr>
      <w:r>
        <w:rPr/>
        <w:t>收到的其他与经营活动有关的现金说明： 无</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2）支付的其他与经营活动有关的现金" w:id="321"/>
      <w:bookmarkEnd w:id="321"/>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租金及租赁押金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737,888,254.00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1,079,989,736.00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92,390,173.00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72,276,715.00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装修道具费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79,781,706.00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73,927,199.00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57,874,213.00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83,297,765.00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31,184,427.00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41,745,306.00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外部服务费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127,451,243.00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115,285,133.00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16,899,336.00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25,805,657.00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13,941,364.00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18,047,334.00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18,567,973.00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19,055,167.00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133,900,727.00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165,691,907.00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特许使用权费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23,130,052.00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25,503,241.00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促销费</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22,188,610.00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35,247,507.00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24,416,838.00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11,257,303.00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1,379,614,916.00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1,767,129,970.00</w:t>
            </w:r>
          </w:p>
        </w:tc>
      </w:tr>
    </w:tbl>
    <w:p>
      <w:pPr>
        <w:pStyle w:val="BodyText"/>
        <w:spacing w:line="352" w:lineRule="auto" w:before="45"/>
        <w:ind w:right="7509"/>
        <w:jc w:val="left"/>
      </w:pPr>
      <w:r>
        <w:rPr/>
        <w:t>支付的其他与经营活动有关的现金说明： 无</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bookmarkStart w:name="（3）收到的其他与投资活动有关的现金" w:id="322"/>
      <w:bookmarkEnd w:id="322"/>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67" w:lineRule="auto" w:before="45"/>
        <w:ind w:right="7509"/>
        <w:jc w:val="left"/>
      </w:pPr>
      <w:r>
        <w:rPr/>
        <w:t>收到的其他与投资活动有关的现金说明：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4）支付的其他与投资活动有关的现金" w:id="323"/>
      <w:bookmarkEnd w:id="323"/>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0" w:lineRule="auto" w:before="45"/>
        <w:ind w:right="7509"/>
        <w:jc w:val="left"/>
      </w:pPr>
      <w:r>
        <w:rPr/>
        <w:t>支付的其他与投资活动有关的现金说明： 无</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5）收到的其他与筹资活动有关的现金" w:id="324"/>
      <w:bookmarkEnd w:id="324"/>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r>
        <w:rPr/>
        <w:pict>
          <v:group style="position:absolute;margin-left:223.779999pt;margin-top:669.974976pt;width:150.950pt;height:20.25pt;mso-position-horizontal-relative:page;mso-position-vertical-relative:page;z-index:-926104" coordorigin="4476,13399" coordsize="3019,405">
            <v:group style="position:absolute;left:4483;top:13407;width:2;height:390" coordorigin="4483,13407" coordsize="2,390">
              <v:shape style="position:absolute;left:4483;top:13407;width:2;height:390" coordorigin="4483,13407" coordsize="0,390" path="m4483,13407l4483,13797e" filled="false" stroked="true" strokeweight=".75pt" strokecolor="#ffffff">
                <v:path arrowok="t"/>
              </v:shape>
            </v:group>
            <v:group style="position:absolute;left:4491;top:13407;width:3004;height:390" coordorigin="4491,13407" coordsize="3004,390">
              <v:shape style="position:absolute;left:4491;top:13407;width:3004;height:390" coordorigin="4491,13407" coordsize="3004,390" path="m4491,13797l7495,13797,7495,13407,4491,13407,4491,13797xe" filled="true" fillcolor="#ffffff" stroked="false">
                <v:path arrowok="t"/>
                <v:fill type="solid"/>
              </v:shape>
            </v:group>
            <w10:wrap type="none"/>
          </v:group>
        </w:pict>
      </w: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收回综合授信额度保证金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1,181,740.00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77,843,371.00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1,181,740.00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77,843,371.00</w:t>
            </w:r>
          </w:p>
        </w:tc>
      </w:tr>
    </w:tbl>
    <w:p>
      <w:pPr>
        <w:pStyle w:val="BodyText"/>
        <w:spacing w:line="352" w:lineRule="auto" w:before="44"/>
        <w:ind w:right="7509"/>
        <w:jc w:val="left"/>
      </w:pPr>
      <w:r>
        <w:rPr/>
        <w:t>收到的其他与筹资活动有关的现金说明： 无</w:t>
      </w:r>
    </w:p>
    <w:p>
      <w:pPr>
        <w:spacing w:line="240" w:lineRule="auto" w:before="3"/>
        <w:rPr>
          <w:rFonts w:ascii="宋体" w:hAnsi="宋体" w:cs="宋体" w:eastAsia="宋体" w:hint="default"/>
          <w:sz w:val="22"/>
          <w:szCs w:val="22"/>
        </w:rPr>
      </w:pPr>
    </w:p>
    <w:p>
      <w:pPr>
        <w:pStyle w:val="Heading5"/>
        <w:spacing w:line="240" w:lineRule="auto"/>
        <w:ind w:right="0"/>
        <w:jc w:val="left"/>
        <w:rPr>
          <w:b w:val="0"/>
          <w:bCs w:val="0"/>
        </w:rPr>
      </w:pPr>
      <w:bookmarkStart w:name="（6）支付的其他与筹资活动有关的现金" w:id="325"/>
      <w:bookmarkEnd w:id="325"/>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支付综合授信额度保证金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85,070,461.00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85,070,461.00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2" w:lineRule="auto" w:before="44"/>
        <w:ind w:right="7509"/>
        <w:jc w:val="left"/>
      </w:pPr>
      <w:r>
        <w:rPr/>
        <w:t>支付的其他与筹资活动有关的现金说明： 无</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bookmarkStart w:name="46、现金流量表补充资料" w:id="326"/>
      <w:bookmarkEnd w:id="326"/>
      <w:r>
        <w:rPr>
          <w:b w:val="0"/>
          <w:bCs w:val="0"/>
        </w:rPr>
      </w:r>
      <w:r>
        <w:rPr>
          <w:rFonts w:ascii="Times New Roman" w:hAnsi="Times New Roman" w:cs="Times New Roman" w:eastAsia="Times New Roman" w:hint="default"/>
        </w:rPr>
        <w:t>46</w:t>
      </w:r>
      <w:r>
        <w:rPr/>
        <w:t>、现金流量表补充资料</w:t>
      </w:r>
      <w:r>
        <w:rPr>
          <w:b w:val="0"/>
          <w:bCs w:val="0"/>
        </w:rPr>
      </w:r>
    </w:p>
    <w:p>
      <w:pPr>
        <w:spacing w:line="240" w:lineRule="auto" w:before="9"/>
        <w:rPr>
          <w:rFonts w:ascii="宋体" w:hAnsi="宋体" w:cs="宋体" w:eastAsia="宋体" w:hint="default"/>
          <w:b/>
          <w:bCs/>
          <w:sz w:val="23"/>
          <w:szCs w:val="23"/>
        </w:rPr>
      </w:pPr>
    </w:p>
    <w:p>
      <w:pPr>
        <w:pStyle w:val="Heading5"/>
        <w:spacing w:line="240" w:lineRule="auto"/>
        <w:ind w:right="0"/>
        <w:jc w:val="left"/>
        <w:rPr>
          <w:b w:val="0"/>
          <w:bCs w:val="0"/>
        </w:rPr>
      </w:pPr>
      <w:bookmarkStart w:name="（1）现金流量表补充资料" w:id="327"/>
      <w:bookmarkEnd w:id="327"/>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12"/>
        <w:gridCol w:w="3079"/>
        <w:gridCol w:w="3184"/>
      </w:tblGrid>
      <w:tr>
        <w:trPr>
          <w:trHeight w:val="405"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6"/>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5"/>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391"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-825,472,850.00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40,361,571.00</w:t>
            </w:r>
          </w:p>
        </w:tc>
      </w:tr>
      <w:tr>
        <w:trPr>
          <w:trHeight w:val="406"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6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444,387,700.00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-45,123,124.00</w:t>
            </w:r>
            <w:r>
              <w:rPr>
                <w:rFonts w:ascii="Times New Roman"/>
                <w:sz w:val="18"/>
              </w:rPr>
            </w:r>
          </w:p>
        </w:tc>
      </w:tr>
      <w:tr>
        <w:trPr>
          <w:trHeight w:val="720"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46" w:firstLine="721"/>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70,186,314.00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70,335,043.00</w:t>
            </w:r>
          </w:p>
        </w:tc>
      </w:tr>
      <w:tr>
        <w:trPr>
          <w:trHeight w:val="391"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13,426,893.00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17,139,614.00</w:t>
            </w:r>
          </w:p>
        </w:tc>
      </w:tr>
      <w:tr>
        <w:trPr>
          <w:trHeight w:val="405"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1"/>
              <w:ind w:right="29"/>
              <w:jc w:val="right"/>
              <w:rPr>
                <w:rFonts w:ascii="Times New Roman" w:hAnsi="Times New Roman" w:cs="Times New Roman" w:eastAsia="Times New Roman" w:hint="default"/>
                <w:sz w:val="18"/>
                <w:szCs w:val="18"/>
              </w:rPr>
            </w:pPr>
            <w:r>
              <w:rPr>
                <w:rFonts w:ascii="Times New Roman"/>
                <w:sz w:val="18"/>
              </w:rPr>
              <w:t>232,092,257.00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181,872,485.00</w:t>
            </w:r>
          </w:p>
        </w:tc>
      </w:tr>
      <w:tr>
        <w:trPr>
          <w:trHeight w:val="721"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7" w:right="46" w:firstLine="721"/>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-4,349,379.00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648,851.00</w:t>
            </w:r>
          </w:p>
        </w:tc>
      </w:tr>
      <w:tr>
        <w:trPr>
          <w:trHeight w:val="405"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0"/>
              <w:jc w:val="righ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90,728,976.00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82,377,985.00</w:t>
            </w:r>
          </w:p>
        </w:tc>
      </w:tr>
      <w:tr>
        <w:trPr>
          <w:trHeight w:val="390"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60"/>
              <w:jc w:val="righ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-42,713,656.00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-48,327,961.00</w:t>
            </w:r>
            <w:r>
              <w:rPr>
                <w:rFonts w:ascii="Times New Roman"/>
                <w:sz w:val="18"/>
              </w:rPr>
            </w:r>
          </w:p>
        </w:tc>
      </w:tr>
      <w:tr>
        <w:trPr>
          <w:trHeight w:val="721"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28"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-651,229.00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4,857,869.00</w:t>
            </w:r>
          </w:p>
        </w:tc>
      </w:tr>
      <w:tr>
        <w:trPr>
          <w:trHeight w:val="405"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right="105"/>
              <w:jc w:val="right"/>
              <w:rPr>
                <w:rFonts w:ascii="宋体" w:hAnsi="宋体" w:cs="宋体" w:eastAsia="宋体" w:hint="default"/>
                <w:sz w:val="18"/>
                <w:szCs w:val="18"/>
              </w:rPr>
            </w:pPr>
            <w:r>
              <w:rPr>
                <w:rFonts w:ascii="宋体" w:hAnsi="宋体" w:cs="宋体" w:eastAsia="宋体" w:hint="default"/>
                <w:spacing w:val="-3"/>
                <w:sz w:val="18"/>
                <w:szCs w:val="18"/>
              </w:rPr>
              <w:t>存货的减少（增加以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tabs>
                <w:tab w:pos="1989" w:val="left" w:leader="none"/>
              </w:tabs>
              <w:spacing w:line="240" w:lineRule="auto" w:before="59"/>
              <w:ind w:left="-129" w:right="29"/>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72,993,852.00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344,451,360.00</w:t>
            </w:r>
          </w:p>
        </w:tc>
      </w:tr>
      <w:tr>
        <w:trPr>
          <w:trHeight w:val="706"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9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195,867,440.00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-968,349,961.00</w:t>
            </w:r>
            <w:r>
              <w:rPr>
                <w:rFonts w:ascii="Times New Roman"/>
                <w:sz w:val="18"/>
              </w:rPr>
            </w:r>
          </w:p>
        </w:tc>
      </w:tr>
      <w:tr>
        <w:trPr>
          <w:trHeight w:val="720" w:hRule="exact"/>
        </w:trPr>
        <w:tc>
          <w:tcPr>
            <w:tcW w:w="33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9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79"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-129,888,191.00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941,675,852.00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2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72" w:type="dxa"/>
            <w:tcBorders>
              <w:top w:val="single" w:sz="6" w:space="0" w:color="000000"/>
              <w:left w:val="single" w:sz="12"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28"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116,608,127.00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621,919,584.00</w:t>
            </w:r>
          </w:p>
        </w:tc>
      </w:tr>
      <w:tr>
        <w:trPr>
          <w:trHeight w:val="158" w:hRule="exact"/>
        </w:trPr>
        <w:tc>
          <w:tcPr>
            <w:tcW w:w="3319" w:type="dxa"/>
            <w:vMerge w:val="restart"/>
            <w:tcBorders>
              <w:top w:val="single" w:sz="6" w:space="0" w:color="000000"/>
              <w:left w:val="single" w:sz="6" w:space="0" w:color="000000"/>
              <w:right w:val="single" w:sz="6" w:space="0" w:color="000000"/>
            </w:tcBorders>
            <w:shd w:val="clear" w:color="auto" w:fill="D2D2D2"/>
          </w:tcPr>
          <w:p>
            <w:pPr>
              <w:pStyle w:val="TableParagraph"/>
              <w:spacing w:line="290" w:lineRule="auto" w:before="44"/>
              <w:ind w:left="7" w:right="14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72" w:type="dxa"/>
            <w:tcBorders>
              <w:top w:val="single" w:sz="6" w:space="0" w:color="000000"/>
              <w:left w:val="single" w:sz="6" w:space="0" w:color="000000"/>
              <w:bottom w:val="nil" w:sz="6" w:space="0" w:color="auto"/>
              <w:right w:val="single" w:sz="6" w:space="0" w:color="000000"/>
            </w:tcBorders>
            <w:shd w:val="clear" w:color="auto" w:fill="D2D2D2"/>
          </w:tcPr>
          <w:p>
            <w:pPr/>
          </w:p>
        </w:tc>
        <w:tc>
          <w:tcPr>
            <w:tcW w:w="3184"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3319" w:type="dxa"/>
            <w:vMerge/>
            <w:tcBorders>
              <w:left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158" w:hRule="exact"/>
        </w:trPr>
        <w:tc>
          <w:tcPr>
            <w:tcW w:w="3319" w:type="dxa"/>
            <w:vMerge/>
            <w:tcBorders>
              <w:left w:val="single" w:sz="6" w:space="0" w:color="000000"/>
              <w:bottom w:val="single" w:sz="6" w:space="0" w:color="000000"/>
              <w:right w:val="single" w:sz="6" w:space="0" w:color="000000"/>
            </w:tcBorders>
            <w:shd w:val="clear" w:color="auto" w:fill="D2D2D2"/>
          </w:tcPr>
          <w:p>
            <w:pPr/>
          </w:p>
        </w:tc>
        <w:tc>
          <w:tcPr>
            <w:tcW w:w="3072" w:type="dxa"/>
            <w:tcBorders>
              <w:top w:val="nil" w:sz="6" w:space="0" w:color="auto"/>
              <w:left w:val="single" w:sz="6" w:space="0" w:color="000000"/>
              <w:bottom w:val="single" w:sz="6" w:space="0" w:color="000000"/>
              <w:right w:val="single" w:sz="6" w:space="0" w:color="000000"/>
            </w:tcBorders>
            <w:shd w:val="clear" w:color="auto" w:fill="D2D2D2"/>
          </w:tcPr>
          <w:p>
            <w:pPr/>
          </w:p>
        </w:tc>
        <w:tc>
          <w:tcPr>
            <w:tcW w:w="3184"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64" w:right="0"/>
              <w:jc w:val="left"/>
              <w:rPr>
                <w:rFonts w:ascii="Times New Roman" w:hAnsi="Times New Roman" w:cs="Times New Roman" w:eastAsia="Times New Roman" w:hint="default"/>
                <w:sz w:val="18"/>
                <w:szCs w:val="18"/>
              </w:rPr>
            </w:pPr>
            <w:r>
              <w:rPr>
                <w:rFonts w:ascii="Times New Roman"/>
                <w:sz w:val="18"/>
              </w:rPr>
              <w:t>--</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12"/>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6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290,052,443.00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380,481,225.00</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6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380,481,225.00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394,342,084.00</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6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-90,428,782.00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-13,860,859.00</w:t>
            </w:r>
            <w:r>
              <w:rPr>
                <w:rFonts w:ascii="Times New Roman"/>
                <w:sz w:val="18"/>
              </w:rPr>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本期支付的取得子公司的现金净额" w:id="328"/>
      <w:bookmarkEnd w:id="328"/>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406"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0" w:lineRule="auto" w:before="45"/>
        <w:ind w:right="9849"/>
        <w:jc w:val="left"/>
      </w:pPr>
      <w:r>
        <w:rPr/>
        <w:t>其他说明： 无</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3）本期收到的处置子公司的现金净额" w:id="329"/>
      <w:bookmarkEnd w:id="329"/>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5001"/>
        <w:gridCol w:w="4581"/>
      </w:tblGrid>
      <w:tr>
        <w:trPr>
          <w:trHeight w:val="390"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5"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w:t>
            </w:r>
          </w:p>
        </w:tc>
      </w:tr>
      <w:tr>
        <w:trPr>
          <w:trHeight w:val="390" w:hRule="exact"/>
        </w:trPr>
        <w:tc>
          <w:tcPr>
            <w:tcW w:w="50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7" w:lineRule="auto" w:before="45"/>
        <w:ind w:right="9849"/>
        <w:jc w:val="left"/>
      </w:pPr>
      <w:r>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4）现金和现金等价物的构成" w:id="330"/>
      <w:bookmarkEnd w:id="330"/>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3319"/>
        <w:gridCol w:w="3072"/>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6"/>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290,052,443.00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380,481,225.00</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1,352,642.00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1,957,560.00</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47"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288,699,801.00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378,523,665.00</w:t>
            </w: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7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290,052,443.00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380,481,225.00</w:t>
            </w:r>
          </w:p>
        </w:tc>
      </w:tr>
    </w:tbl>
    <w:p>
      <w:pPr>
        <w:pStyle w:val="BodyText"/>
        <w:spacing w:line="240" w:lineRule="auto" w:before="45"/>
        <w:ind w:right="0"/>
        <w:jc w:val="left"/>
      </w:pPr>
      <w:r>
        <w:rPr/>
        <w:t>其他说明：</w:t>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240" w:lineRule="auto" w:before="44"/>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7、所有者权益变动表项目注释" w:id="331"/>
      <w:bookmarkEnd w:id="331"/>
      <w:r>
        <w:rPr>
          <w:b w:val="0"/>
          <w:bCs w:val="0"/>
        </w:rPr>
      </w:r>
      <w:r>
        <w:rPr>
          <w:rFonts w:ascii="Times New Roman" w:hAnsi="Times New Roman" w:cs="Times New Roman" w:eastAsia="Times New Roman" w:hint="default"/>
        </w:rPr>
        <w:t>47</w:t>
      </w:r>
      <w:r>
        <w:rPr/>
        <w:t>、所有者权益变动表项目注释</w:t>
      </w:r>
      <w:r>
        <w:rPr>
          <w:b w:val="0"/>
          <w:bCs w:val="0"/>
        </w:rPr>
      </w:r>
    </w:p>
    <w:p>
      <w:pPr>
        <w:spacing w:line="240" w:lineRule="auto" w:before="5"/>
        <w:rPr>
          <w:rFonts w:ascii="宋体" w:hAnsi="宋体" w:cs="宋体" w:eastAsia="宋体" w:hint="default"/>
          <w:b/>
          <w:bCs/>
          <w:sz w:val="26"/>
          <w:szCs w:val="26"/>
        </w:rPr>
      </w:pPr>
    </w:p>
    <w:p>
      <w:pPr>
        <w:pStyle w:val="BodyText"/>
        <w:spacing w:line="319" w:lineRule="auto"/>
        <w:ind w:right="5369"/>
        <w:jc w:val="left"/>
      </w:pPr>
      <w:r>
        <w:rPr/>
        <w:t>说明对上年期末余额进行调整的</w:t>
      </w:r>
      <w:r>
        <w:rPr>
          <w:rFonts w:ascii="Times New Roman" w:hAnsi="Times New Roman" w:cs="Times New Roman" w:eastAsia="Times New Roman" w:hint="default"/>
        </w:rPr>
        <w:t>“</w:t>
      </w:r>
      <w:r>
        <w:rPr/>
        <w:t>其他</w:t>
      </w:r>
      <w:r>
        <w:rPr>
          <w:rFonts w:ascii="Times New Roman" w:hAnsi="Times New Roman" w:cs="Times New Roman" w:eastAsia="Times New Roman" w:hint="default"/>
        </w:rPr>
        <w:t>”</w:t>
      </w:r>
      <w:r>
        <w:rPr/>
        <w:t>项目名称及调整金额等事项：</w:t>
      </w:r>
      <w:r>
        <w:rPr>
          <w:spacing w:val="-82"/>
        </w:rPr>
        <w:t> </w:t>
      </w:r>
      <w:r>
        <w:rPr/>
        <w:t>无</w:t>
      </w:r>
    </w:p>
    <w:p>
      <w:pPr>
        <w:spacing w:line="240" w:lineRule="auto" w:before="1"/>
        <w:rPr>
          <w:rFonts w:ascii="宋体" w:hAnsi="宋体" w:cs="宋体" w:eastAsia="宋体" w:hint="default"/>
          <w:sz w:val="24"/>
          <w:szCs w:val="24"/>
        </w:rPr>
      </w:pPr>
    </w:p>
    <w:p>
      <w:pPr>
        <w:pStyle w:val="Heading5"/>
        <w:spacing w:line="240" w:lineRule="auto"/>
        <w:ind w:right="0"/>
        <w:jc w:val="left"/>
        <w:rPr>
          <w:b w:val="0"/>
          <w:bCs w:val="0"/>
        </w:rPr>
      </w:pPr>
      <w:bookmarkStart w:name="48、所有权或使用权受到限制的资产" w:id="332"/>
      <w:bookmarkEnd w:id="332"/>
      <w:r>
        <w:rPr>
          <w:b w:val="0"/>
          <w:bCs w:val="0"/>
        </w:rPr>
      </w:r>
      <w:r>
        <w:rPr>
          <w:rFonts w:ascii="Times New Roman" w:hAnsi="Times New Roman" w:cs="Times New Roman" w:eastAsia="Times New Roman" w:hint="default"/>
        </w:rPr>
        <w:t>48</w:t>
      </w:r>
      <w:r>
        <w:rPr/>
        <w:t>、所有权或使用权受到限制的资产</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34"/>
        <w:gridCol w:w="3064"/>
        <w:gridCol w:w="3184"/>
      </w:tblGrid>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97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85,070,461.00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用于信用证授信额度保证金</w:t>
            </w:r>
          </w:p>
        </w:tc>
      </w:tr>
      <w:tr>
        <w:trPr>
          <w:trHeight w:val="721"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957,221,978.00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1"/>
              <w:jc w:val="left"/>
              <w:rPr>
                <w:rFonts w:ascii="宋体" w:hAnsi="宋体" w:cs="宋体" w:eastAsia="宋体" w:hint="default"/>
                <w:sz w:val="18"/>
                <w:szCs w:val="18"/>
              </w:rPr>
            </w:pPr>
            <w:r>
              <w:rPr>
                <w:rFonts w:ascii="宋体" w:hAnsi="宋体" w:cs="宋体" w:eastAsia="宋体" w:hint="default"/>
                <w:sz w:val="18"/>
                <w:szCs w:val="18"/>
              </w:rPr>
              <w:t>用于取得银行短期借款抵押及银行承兑 汇票</w:t>
            </w:r>
          </w:p>
        </w:tc>
      </w:tr>
      <w:tr>
        <w:trPr>
          <w:trHeight w:val="7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064"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15,976,676.00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91"/>
              <w:jc w:val="left"/>
              <w:rPr>
                <w:rFonts w:ascii="宋体" w:hAnsi="宋体" w:cs="宋体" w:eastAsia="宋体" w:hint="default"/>
                <w:sz w:val="18"/>
                <w:szCs w:val="18"/>
              </w:rPr>
            </w:pPr>
            <w:r>
              <w:rPr>
                <w:rFonts w:ascii="宋体" w:hAnsi="宋体" w:cs="宋体" w:eastAsia="宋体" w:hint="default"/>
                <w:sz w:val="18"/>
                <w:szCs w:val="18"/>
              </w:rPr>
              <w:t>用于取得银行短期借款抵押及银行承兑 汇票</w:t>
            </w:r>
          </w:p>
        </w:tc>
      </w:tr>
      <w:tr>
        <w:trPr>
          <w:trHeight w:val="721"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236,085,893.00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91"/>
              <w:jc w:val="left"/>
              <w:rPr>
                <w:rFonts w:ascii="宋体" w:hAnsi="宋体" w:cs="宋体" w:eastAsia="宋体" w:hint="default"/>
                <w:sz w:val="18"/>
                <w:szCs w:val="18"/>
              </w:rPr>
            </w:pPr>
            <w:r>
              <w:rPr>
                <w:rFonts w:ascii="宋体" w:hAnsi="宋体" w:cs="宋体" w:eastAsia="宋体" w:hint="default"/>
                <w:sz w:val="18"/>
                <w:szCs w:val="18"/>
              </w:rPr>
              <w:t>用于取得银行短期借款抵押及银行承兑 汇票</w:t>
            </w:r>
          </w:p>
        </w:tc>
      </w:tr>
      <w:tr>
        <w:trPr>
          <w:trHeight w:val="390"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1,294,355,008.00</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2" w:lineRule="auto" w:before="44"/>
        <w:ind w:right="9849"/>
        <w:jc w:val="left"/>
      </w:pPr>
      <w:r>
        <w:rPr/>
        <w:t>其他说明： 无</w:t>
      </w:r>
    </w:p>
    <w:p>
      <w:pPr>
        <w:spacing w:line="240" w:lineRule="auto" w:before="3"/>
        <w:rPr>
          <w:rFonts w:ascii="宋体" w:hAnsi="宋体" w:cs="宋体" w:eastAsia="宋体" w:hint="default"/>
          <w:sz w:val="22"/>
          <w:szCs w:val="22"/>
        </w:rPr>
      </w:pPr>
    </w:p>
    <w:p>
      <w:pPr>
        <w:pStyle w:val="Heading5"/>
        <w:spacing w:line="240" w:lineRule="auto"/>
        <w:ind w:right="0"/>
        <w:jc w:val="left"/>
        <w:rPr>
          <w:b w:val="0"/>
          <w:bCs w:val="0"/>
        </w:rPr>
      </w:pPr>
      <w:bookmarkStart w:name="49、政府补助" w:id="333"/>
      <w:bookmarkEnd w:id="333"/>
      <w:r>
        <w:rPr>
          <w:b w:val="0"/>
          <w:bCs w:val="0"/>
        </w:rPr>
      </w:r>
      <w:r>
        <w:rPr>
          <w:rFonts w:ascii="Times New Roman" w:hAnsi="Times New Roman" w:cs="Times New Roman" w:eastAsia="Times New Roman" w:hint="default"/>
        </w:rPr>
        <w:t>49</w:t>
      </w:r>
      <w:r>
        <w:rPr/>
        <w:t>、政府补助</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政府补助基本情况" w:id="334"/>
      <w:bookmarkEnd w:id="334"/>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9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15,450,000.00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15,450,000.00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税收返还</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10,764,265.00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10,764,265.00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517,347.00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517,347.00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生育津贴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8,038.00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8,038.00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877,319.00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877,319.00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27,616,969.00</w:t>
            </w: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政府补助退回情况" w:id="335"/>
      <w:bookmarkEnd w:id="335"/>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3"/>
        <w:rPr>
          <w:rFonts w:ascii="宋体" w:hAnsi="宋体" w:cs="宋体" w:eastAsia="宋体" w:hint="default"/>
          <w:b/>
          <w:bCs/>
          <w:sz w:val="25"/>
          <w:szCs w:val="25"/>
        </w:rPr>
      </w:pPr>
    </w:p>
    <w:p>
      <w:pPr>
        <w:pStyle w:val="BodyText"/>
        <w:spacing w:line="331" w:lineRule="auto"/>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其他说明：</w:t>
      </w:r>
    </w:p>
    <w:p>
      <w:pPr>
        <w:pStyle w:val="BodyText"/>
        <w:spacing w:line="240" w:lineRule="auto" w:before="41"/>
        <w:ind w:right="0"/>
        <w:jc w:val="left"/>
      </w:pPr>
      <w:r>
        <w:rPr/>
        <w:t>无</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50、其他" w:id="336"/>
      <w:bookmarkEnd w:id="336"/>
      <w:r>
        <w:rPr>
          <w:b w:val="0"/>
          <w:bCs w:val="0"/>
        </w:rPr>
      </w:r>
      <w:r>
        <w:rPr>
          <w:rFonts w:ascii="Times New Roman" w:hAnsi="Times New Roman" w:cs="Times New Roman" w:eastAsia="Times New Roman" w:hint="default"/>
        </w:rPr>
        <w:t>50</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337"/>
      <w:bookmarkEnd w:id="337"/>
      <w:r>
        <w:rPr>
          <w:b w:val="0"/>
          <w:bCs w:val="0"/>
        </w:rPr>
      </w:r>
      <w:r>
        <w:rPr/>
        <w:t>八、合并范围的变更</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处置子公司" w:id="338"/>
      <w:bookmarkEnd w:id="338"/>
      <w:r>
        <w:rPr>
          <w:b w:val="0"/>
          <w:bCs w:val="0"/>
        </w:rPr>
      </w:r>
      <w:r>
        <w:rPr>
          <w:rFonts w:ascii="Times New Roman" w:hAnsi="Times New Roman" w:cs="Times New Roman" w:eastAsia="Times New Roman" w:hint="default"/>
        </w:rPr>
        <w:t>1</w:t>
      </w:r>
      <w:r>
        <w:rPr/>
        <w:t>、处置子公司</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是否存在单次处置对子公司投资即丧失控制权的情形</w:t>
      </w:r>
    </w:p>
    <w:p>
      <w:pPr>
        <w:pStyle w:val="BodyText"/>
        <w:spacing w:line="316" w:lineRule="auto" w:before="140"/>
        <w:ind w:right="4989"/>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是否存在通过多次交易分步处置对子公司投资且在本期丧失控制权的情形</w:t>
      </w:r>
    </w:p>
    <w:p>
      <w:pPr>
        <w:pStyle w:val="BodyText"/>
        <w:spacing w:line="240" w:lineRule="auto" w:before="8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否</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2、其他原因的合并范围变动" w:id="339"/>
      <w:bookmarkEnd w:id="339"/>
      <w:r>
        <w:rPr>
          <w:b w:val="0"/>
          <w:bCs w:val="0"/>
        </w:rPr>
      </w:r>
      <w:r>
        <w:rPr>
          <w:rFonts w:ascii="Times New Roman" w:hAnsi="Times New Roman" w:cs="Times New Roman" w:eastAsia="Times New Roman" w:hint="default"/>
        </w:rPr>
        <w:t>2</w:t>
      </w:r>
      <w:r>
        <w:rPr/>
        <w:t>、其他原因的合并范围变动</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说明其他原因导致的合并范围变动（如，新设子公司、清算子公司等）及其相关情况：</w:t>
      </w:r>
    </w:p>
    <w:p>
      <w:pPr>
        <w:pStyle w:val="BodyText"/>
        <w:spacing w:line="292" w:lineRule="auto" w:before="125"/>
        <w:ind w:right="1066"/>
        <w:jc w:val="left"/>
      </w:pP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26</w:t>
      </w:r>
      <w:r>
        <w:rPr/>
        <w:t>日</w:t>
      </w:r>
      <w:r>
        <w:rPr>
          <w:spacing w:val="-44"/>
        </w:rPr>
        <w:t> </w:t>
      </w:r>
      <w:r>
        <w:rPr/>
        <w:t>注销子公司法人独资有限责任公司上海潮范智能科技有限公司，注册资本为人民币</w:t>
      </w:r>
      <w:r>
        <w:rPr>
          <w:rFonts w:ascii="Times New Roman" w:hAnsi="Times New Roman" w:cs="Times New Roman" w:eastAsia="Times New Roman" w:hint="default"/>
        </w:rPr>
        <w:t>1,000</w:t>
      </w:r>
      <w:r>
        <w:rPr/>
        <w:t>万元。</w:t>
      </w:r>
      <w:r>
        <w:rPr>
          <w:spacing w:val="-83"/>
        </w:rPr>
        <w:t> </w:t>
      </w:r>
      <w:r>
        <w:rPr/>
        <w:t>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w:t>
      </w:r>
      <w:r>
        <w:rPr>
          <w:spacing w:val="-37"/>
        </w:rPr>
        <w:t> </w:t>
      </w:r>
      <w:r>
        <w:rPr/>
        <w:t>注销子公司法人独资有限责任公司石家庄美特斯邦威服饰有限公司，注册资本为人民币</w:t>
      </w:r>
      <w:r>
        <w:rPr>
          <w:rFonts w:ascii="Times New Roman" w:hAnsi="Times New Roman" w:cs="Times New Roman" w:eastAsia="Times New Roman" w:hint="default"/>
        </w:rPr>
        <w:t>1000</w:t>
      </w:r>
      <w:r>
        <w:rPr/>
        <w:t>万元。 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w:t>
      </w:r>
      <w:r>
        <w:rPr>
          <w:spacing w:val="-43"/>
        </w:rPr>
        <w:t> </w:t>
      </w:r>
      <w:r>
        <w:rPr/>
        <w:t>注销子公司法人独资有限责任公司内蒙古美特斯邦威服饰有限公司，注册资本为人民币</w:t>
      </w:r>
      <w:r>
        <w:rPr>
          <w:rFonts w:ascii="Times New Roman" w:hAnsi="Times New Roman" w:cs="Times New Roman" w:eastAsia="Times New Roman" w:hint="default"/>
        </w:rPr>
        <w:t>500</w:t>
      </w:r>
      <w:r>
        <w:rPr/>
        <w:t>万元。</w:t>
      </w:r>
      <w:r>
        <w:rPr>
          <w:spacing w:val="-84"/>
        </w:rPr>
        <w:t> </w:t>
      </w:r>
      <w:r>
        <w:rPr/>
        <w:t>除以上事项之外，合并财务报表范围与上年度一致。</w:t>
      </w:r>
    </w:p>
    <w:p>
      <w:pPr>
        <w:spacing w:line="240" w:lineRule="auto" w:before="8"/>
        <w:rPr>
          <w:rFonts w:ascii="宋体" w:hAnsi="宋体" w:cs="宋体" w:eastAsia="宋体" w:hint="default"/>
          <w:sz w:val="25"/>
          <w:szCs w:val="25"/>
        </w:rPr>
      </w:pPr>
    </w:p>
    <w:p>
      <w:pPr>
        <w:pStyle w:val="Heading5"/>
        <w:spacing w:line="240" w:lineRule="auto"/>
        <w:ind w:right="0"/>
        <w:jc w:val="left"/>
        <w:rPr>
          <w:b w:val="0"/>
          <w:bCs w:val="0"/>
        </w:rPr>
      </w:pPr>
      <w:bookmarkStart w:name="3、其他" w:id="340"/>
      <w:bookmarkEnd w:id="340"/>
      <w:r>
        <w:rPr>
          <w:b w:val="0"/>
          <w:bCs w:val="0"/>
        </w:rPr>
      </w:r>
      <w:r>
        <w:rPr>
          <w:rFonts w:ascii="Times New Roman" w:hAnsi="Times New Roman" w:cs="Times New Roman" w:eastAsia="Times New Roman" w:hint="default"/>
        </w:rPr>
        <w:t>3</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九、在其他主体中的权益" w:id="341"/>
      <w:bookmarkEnd w:id="341"/>
      <w:r>
        <w:rPr>
          <w:b w:val="0"/>
          <w:bCs w:val="0"/>
        </w:rPr>
      </w:r>
      <w:r>
        <w:rPr/>
        <w:t>九、在其他主体中的权益</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在子公司中的权益" w:id="342"/>
      <w:bookmarkEnd w:id="342"/>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企业集团的构成" w:id="343"/>
      <w:bookmarkEnd w:id="343"/>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390"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b/>
                <w:bCs/>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6"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上海美特斯邦威 服饰博物馆</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6"/>
              <w:jc w:val="left"/>
              <w:rPr>
                <w:rFonts w:ascii="宋体" w:hAnsi="宋体" w:cs="宋体" w:eastAsia="宋体" w:hint="default"/>
                <w:sz w:val="18"/>
                <w:szCs w:val="18"/>
              </w:rPr>
            </w:pPr>
            <w:r>
              <w:rPr>
                <w:rFonts w:ascii="宋体" w:hAnsi="宋体" w:cs="宋体" w:eastAsia="宋体" w:hint="default"/>
                <w:sz w:val="18"/>
                <w:szCs w:val="18"/>
              </w:rPr>
              <w:t>批发零售业非营 利性组织</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哈尔滨美特斯邦 威服饰有限公司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温州美特斯邦威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温州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武汉美特斯邦威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武汉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广西美特斯邦威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通过设立或投资</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36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服饰有限公司</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取得</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长春美特斯邦威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both"/>
              <w:rPr>
                <w:rFonts w:ascii="宋体" w:hAnsi="宋体" w:cs="宋体" w:eastAsia="宋体" w:hint="default"/>
                <w:sz w:val="18"/>
                <w:szCs w:val="18"/>
              </w:rPr>
            </w:pPr>
            <w:r>
              <w:rPr>
                <w:rFonts w:ascii="宋体" w:hAnsi="宋体" w:cs="宋体" w:eastAsia="宋体" w:hint="default"/>
                <w:sz w:val="18"/>
                <w:szCs w:val="18"/>
              </w:rPr>
              <w:t>兰州美特斯邦威 服饰有限责任公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兰州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深圳美特斯邦威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上海米安斯迪服 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苏州美特斯邦威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苏州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上海邦购信息科 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合肥美特斯邦威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杭州美特斯邦威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上海霓尚服饰有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5"/>
              <w:ind w:left="15" w:right="74"/>
              <w:jc w:val="both"/>
              <w:rPr>
                <w:rFonts w:ascii="宋体" w:hAnsi="宋体" w:cs="宋体" w:eastAsia="宋体" w:hint="default"/>
                <w:sz w:val="18"/>
                <w:szCs w:val="18"/>
              </w:rPr>
            </w:pPr>
            <w:r>
              <w:rPr>
                <w:rFonts w:ascii="宋体" w:hAnsi="宋体" w:cs="宋体" w:eastAsia="宋体" w:hint="default"/>
                <w:sz w:val="18"/>
                <w:szCs w:val="18"/>
              </w:rPr>
              <w:t>乌鲁木齐美特斯 邦威服饰有限公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乌鲁木齐</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上海华邦科创信 息科技有限公司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上海祺格服饰有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上海邦彤实业有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10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西宁美特斯邦威 服饰有限责任公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西宁</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贵阳美特斯邦威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贵阳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上海美邦邦购网 络科技有限公司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上海潮范电子商 务有限公司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上海美潮国际贸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通过设立或投资</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36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易有限公司</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取得</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有范网络科技有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郑州美特斯邦威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上海库升服饰有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上海模共实业有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丹东市贸邦商贸 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丹东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丹东</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沈阳贸邦服饰商 贸有限公司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太原美特斯邦威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通过设立或投资 取得</w:t>
            </w:r>
          </w:p>
        </w:tc>
      </w:tr>
      <w:tr>
        <w:trPr>
          <w:trHeight w:val="103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上海美特斯邦威 服饰销售有限公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21" w:lineRule="auto"/>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both"/>
              <w:rPr>
                <w:rFonts w:ascii="宋体" w:hAnsi="宋体" w:cs="宋体" w:eastAsia="宋体" w:hint="default"/>
                <w:sz w:val="18"/>
                <w:szCs w:val="18"/>
              </w:rPr>
            </w:pPr>
            <w:r>
              <w:rPr>
                <w:rFonts w:ascii="宋体" w:hAnsi="宋体" w:cs="宋体" w:eastAsia="宋体" w:hint="default"/>
                <w:sz w:val="18"/>
                <w:szCs w:val="18"/>
              </w:rPr>
              <w:t>成都美特斯邦威 服饰有限责任公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沈阳美特斯邦威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天津美特斯邦威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济南美特斯邦威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福州美特斯邦威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昆明美特斯邦威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昆明</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29"/>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南昌美特斯邦威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南昌</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both"/>
              <w:rPr>
                <w:rFonts w:ascii="宋体" w:hAnsi="宋体" w:cs="宋体" w:eastAsia="宋体" w:hint="default"/>
                <w:sz w:val="18"/>
                <w:szCs w:val="18"/>
              </w:rPr>
            </w:pPr>
            <w:r>
              <w:rPr>
                <w:rFonts w:ascii="宋体" w:hAnsi="宋体" w:cs="宋体" w:eastAsia="宋体" w:hint="default"/>
                <w:sz w:val="18"/>
                <w:szCs w:val="18"/>
              </w:rPr>
              <w:t>西安美特斯邦威 服饰有限责任公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杭州邦威服饰有 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5"/>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北京美特斯邦威</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同一控制下企业</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3"/>
          <w:szCs w:val="13"/>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67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4" w:lineRule="auto"/>
              <w:ind w:left="15" w:right="74"/>
              <w:jc w:val="left"/>
              <w:rPr>
                <w:rFonts w:ascii="宋体" w:hAnsi="宋体" w:cs="宋体" w:eastAsia="宋体" w:hint="default"/>
                <w:sz w:val="18"/>
                <w:szCs w:val="18"/>
              </w:rPr>
            </w:pPr>
            <w:r>
              <w:rPr>
                <w:rFonts w:ascii="宋体" w:hAnsi="宋体" w:cs="宋体" w:eastAsia="宋体" w:hint="default"/>
                <w:sz w:val="18"/>
                <w:szCs w:val="18"/>
              </w:rPr>
              <w:t>服饰有限责任公 司</w:t>
            </w:r>
          </w:p>
        </w:tc>
        <w:tc>
          <w:tcPr>
            <w:tcW w:w="1382"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合并取得</w:t>
            </w:r>
          </w:p>
        </w:tc>
      </w:tr>
      <w:tr>
        <w:trPr>
          <w:trHeight w:val="10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44"/>
              <w:ind w:left="15" w:right="74"/>
              <w:jc w:val="both"/>
              <w:rPr>
                <w:rFonts w:ascii="宋体" w:hAnsi="宋体" w:cs="宋体" w:eastAsia="宋体" w:hint="default"/>
                <w:sz w:val="18"/>
                <w:szCs w:val="18"/>
              </w:rPr>
            </w:pPr>
            <w:r>
              <w:rPr>
                <w:rFonts w:ascii="宋体" w:hAnsi="宋体" w:cs="宋体" w:eastAsia="宋体" w:hint="default"/>
                <w:sz w:val="18"/>
                <w:szCs w:val="18"/>
              </w:rPr>
              <w:t>重庆美特斯邦威 服饰有限责任公 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30"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重庆</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307" w:lineRule="auto"/>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2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广州美特斯邦威 服装有限公司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21"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宁波美特斯邦威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宁波</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r>
        <w:trPr>
          <w:trHeight w:val="705"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南京美特斯邦威 服饰有限公司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南京</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批发零售业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74"/>
              <w:jc w:val="left"/>
              <w:rPr>
                <w:rFonts w:ascii="宋体" w:hAnsi="宋体" w:cs="宋体" w:eastAsia="宋体" w:hint="default"/>
                <w:sz w:val="18"/>
                <w:szCs w:val="18"/>
              </w:rPr>
            </w:pPr>
            <w:r>
              <w:rPr>
                <w:rFonts w:ascii="宋体" w:hAnsi="宋体" w:cs="宋体" w:eastAsia="宋体" w:hint="default"/>
                <w:sz w:val="18"/>
                <w:szCs w:val="18"/>
              </w:rPr>
              <w:t>同一控制下企业 合并取得</w:t>
            </w:r>
          </w:p>
        </w:tc>
      </w:tr>
    </w:tbl>
    <w:p>
      <w:pPr>
        <w:pStyle w:val="BodyText"/>
        <w:spacing w:line="350" w:lineRule="auto" w:before="45"/>
        <w:ind w:right="6969"/>
        <w:jc w:val="left"/>
      </w:pPr>
      <w:r>
        <w:rPr/>
        <w:t>在子公司的持股比例不同于表决权比例的说明： 无</w:t>
      </w:r>
    </w:p>
    <w:p>
      <w:pPr>
        <w:pStyle w:val="BodyText"/>
        <w:spacing w:line="352" w:lineRule="auto" w:before="42"/>
        <w:ind w:right="2829"/>
        <w:jc w:val="left"/>
      </w:pPr>
      <w:r>
        <w:rPr/>
        <w:t>持有半数或以下表决权但仍控制被投资单位、以及持有半数以上表决权但不控制被投资单位的依据： 无</w:t>
      </w:r>
    </w:p>
    <w:p>
      <w:pPr>
        <w:pStyle w:val="BodyText"/>
        <w:spacing w:line="352" w:lineRule="auto" w:before="40"/>
        <w:ind w:right="6429"/>
        <w:jc w:val="left"/>
      </w:pPr>
      <w:r>
        <w:rPr/>
        <w:t>对于纳入合并范围的重要的结构化主体，控制的依据： 无</w:t>
      </w:r>
    </w:p>
    <w:p>
      <w:pPr>
        <w:pStyle w:val="BodyText"/>
        <w:spacing w:line="352" w:lineRule="auto" w:before="40"/>
        <w:ind w:right="7689"/>
        <w:jc w:val="left"/>
      </w:pPr>
      <w:r>
        <w:rPr/>
        <w:t>确定公司是代理人还是委托人的依据： 无</w:t>
      </w:r>
    </w:p>
    <w:p>
      <w:pPr>
        <w:pStyle w:val="BodyText"/>
        <w:spacing w:line="350" w:lineRule="auto" w:before="40"/>
        <w:ind w:right="9849"/>
        <w:jc w:val="left"/>
      </w:pPr>
      <w:r>
        <w:rPr/>
        <w:t>其他说明： 无</w:t>
      </w:r>
    </w:p>
    <w:p>
      <w:pPr>
        <w:spacing w:line="240" w:lineRule="auto" w:before="2"/>
        <w:rPr>
          <w:rFonts w:ascii="宋体" w:hAnsi="宋体" w:cs="宋体" w:eastAsia="宋体" w:hint="default"/>
          <w:sz w:val="21"/>
          <w:szCs w:val="21"/>
        </w:rPr>
      </w:pPr>
    </w:p>
    <w:p>
      <w:pPr>
        <w:pStyle w:val="Heading5"/>
        <w:spacing w:line="240" w:lineRule="auto"/>
        <w:ind w:right="0"/>
        <w:jc w:val="left"/>
        <w:rPr>
          <w:b w:val="0"/>
          <w:bCs w:val="0"/>
        </w:rPr>
      </w:pPr>
      <w:bookmarkStart w:name="（2）重要的非全资子公司" w:id="344"/>
      <w:bookmarkEnd w:id="344"/>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766"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49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781" w:right="46" w:hanging="721"/>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59"/>
              <w:ind w:left="586" w:right="45" w:hanging="542"/>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2" w:lineRule="auto" w:before="44"/>
        <w:ind w:right="6429"/>
        <w:jc w:val="left"/>
      </w:pPr>
      <w:r>
        <w:rPr/>
        <w:t>子公司少数股东的持股比例不同于表决权比例的说明： 无</w:t>
      </w:r>
    </w:p>
    <w:p>
      <w:pPr>
        <w:pStyle w:val="BodyText"/>
        <w:spacing w:line="350" w:lineRule="auto" w:before="40"/>
        <w:ind w:right="9849"/>
        <w:jc w:val="left"/>
      </w:pPr>
      <w:r>
        <w:rPr/>
        <w:t>其他说明： 无</w:t>
      </w:r>
    </w:p>
    <w:p>
      <w:pPr>
        <w:spacing w:line="240" w:lineRule="auto" w:before="4"/>
        <w:rPr>
          <w:rFonts w:ascii="宋体" w:hAnsi="宋体" w:cs="宋体" w:eastAsia="宋体" w:hint="default"/>
          <w:sz w:val="22"/>
          <w:szCs w:val="22"/>
        </w:rPr>
      </w:pPr>
    </w:p>
    <w:p>
      <w:pPr>
        <w:pStyle w:val="Heading5"/>
        <w:spacing w:line="240" w:lineRule="auto"/>
        <w:ind w:right="0"/>
        <w:jc w:val="left"/>
        <w:rPr>
          <w:b w:val="0"/>
          <w:bCs w:val="0"/>
        </w:rPr>
      </w:pPr>
      <w:bookmarkStart w:name="（3）重要非全资子公司的主要财务信息" w:id="345"/>
      <w:bookmarkEnd w:id="345"/>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405" w:hRule="exact"/>
        </w:trPr>
        <w:tc>
          <w:tcPr>
            <w:tcW w:w="73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307" w:lineRule="auto"/>
              <w:ind w:left="165" w:right="105"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6"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30" w:type="dxa"/>
            <w:gridSpan w:val="6"/>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21" w:hRule="exact"/>
        </w:trPr>
        <w:tc>
          <w:tcPr>
            <w:tcW w:w="736" w:type="dxa"/>
            <w:vMerge/>
            <w:tcBorders>
              <w:left w:val="single" w:sz="6" w:space="0" w:color="000000"/>
              <w:bottom w:val="single" w:sz="6" w:space="0" w:color="000000"/>
              <w:right w:val="single" w:sz="6" w:space="0" w:color="000000"/>
            </w:tcBorders>
            <w:shd w:val="clear" w:color="auto" w:fill="D2D2D2"/>
          </w:tcPr>
          <w:p>
            <w:pP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69" w:right="88"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90"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80"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90" w:hanging="181"/>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80" w:right="88"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88"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70" w:right="89" w:hanging="181"/>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180" w:right="105" w:hanging="91"/>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255" w:right="103" w:hanging="181"/>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spacing w:after="0" w:line="304"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736"/>
        <w:gridCol w:w="736"/>
        <w:gridCol w:w="736"/>
        <w:gridCol w:w="736"/>
        <w:gridCol w:w="736"/>
        <w:gridCol w:w="736"/>
        <w:gridCol w:w="736"/>
        <w:gridCol w:w="736"/>
        <w:gridCol w:w="736"/>
        <w:gridCol w:w="736"/>
        <w:gridCol w:w="736"/>
        <w:gridCol w:w="751"/>
        <w:gridCol w:w="736"/>
      </w:tblGrid>
      <w:tr>
        <w:trPr>
          <w:trHeight w:val="390" w:hRule="exact"/>
        </w:trPr>
        <w:tc>
          <w:tcPr>
            <w:tcW w:w="7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c>
          <w:tcPr>
            <w:tcW w:w="751" w:type="dxa"/>
            <w:tcBorders>
              <w:top w:val="single" w:sz="6" w:space="0" w:color="000000"/>
              <w:left w:val="single" w:sz="6" w:space="0" w:color="000000"/>
              <w:bottom w:val="single" w:sz="6" w:space="0" w:color="000000"/>
              <w:right w:val="single" w:sz="6" w:space="0" w:color="000000"/>
            </w:tcBorders>
          </w:tcPr>
          <w:p>
            <w:pPr/>
          </w:p>
        </w:tc>
        <w:tc>
          <w:tcPr>
            <w:tcW w:w="73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066"/>
        <w:gridCol w:w="1051"/>
        <w:gridCol w:w="1067"/>
        <w:gridCol w:w="1066"/>
        <w:gridCol w:w="1066"/>
        <w:gridCol w:w="1067"/>
        <w:gridCol w:w="1066"/>
        <w:gridCol w:w="1067"/>
        <w:gridCol w:w="1066"/>
      </w:tblGrid>
      <w:tr>
        <w:trPr>
          <w:trHeight w:val="390" w:hRule="exact"/>
        </w:trPr>
        <w:tc>
          <w:tcPr>
            <w:tcW w:w="106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left="6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0"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65"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21" w:hRule="exact"/>
        </w:trPr>
        <w:tc>
          <w:tcPr>
            <w:tcW w:w="1066" w:type="dxa"/>
            <w:vMerge/>
            <w:tcBorders>
              <w:left w:val="single" w:sz="6" w:space="0" w:color="000000"/>
              <w:bottom w:val="single" w:sz="6" w:space="0" w:color="000000"/>
              <w:right w:val="single" w:sz="6" w:space="0" w:color="000000"/>
            </w:tcBorders>
            <w:shd w:val="clear" w:color="auto" w:fill="D2D2D2"/>
          </w:tcPr>
          <w:p>
            <w:pPr/>
          </w:p>
        </w:tc>
        <w:tc>
          <w:tcPr>
            <w:tcW w:w="10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435" w:right="74"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255"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421" w:right="90"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240" w:right="89" w:hanging="181"/>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390" w:hRule="exact"/>
        </w:trPr>
        <w:tc>
          <w:tcPr>
            <w:tcW w:w="1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051"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c>
          <w:tcPr>
            <w:tcW w:w="1067" w:type="dxa"/>
            <w:tcBorders>
              <w:top w:val="single" w:sz="6" w:space="0" w:color="000000"/>
              <w:left w:val="single" w:sz="6" w:space="0" w:color="000000"/>
              <w:bottom w:val="single" w:sz="6" w:space="0" w:color="000000"/>
              <w:right w:val="single" w:sz="6" w:space="0" w:color="000000"/>
            </w:tcBorders>
          </w:tcPr>
          <w:p>
            <w:pPr/>
          </w:p>
        </w:tc>
        <w:tc>
          <w:tcPr>
            <w:tcW w:w="1066"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67" w:lineRule="auto" w:before="44"/>
        <w:ind w:right="9849"/>
        <w:jc w:val="left"/>
      </w:pPr>
      <w:r>
        <w:rPr/>
        <w:t>其他说明： 无</w:t>
      </w:r>
    </w:p>
    <w:p>
      <w:pPr>
        <w:spacing w:line="240" w:lineRule="auto" w:before="3"/>
        <w:rPr>
          <w:rFonts w:ascii="宋体" w:hAnsi="宋体" w:cs="宋体" w:eastAsia="宋体" w:hint="default"/>
          <w:sz w:val="20"/>
          <w:szCs w:val="20"/>
        </w:rPr>
      </w:pPr>
    </w:p>
    <w:p>
      <w:pPr>
        <w:pStyle w:val="Heading5"/>
        <w:spacing w:line="240" w:lineRule="auto"/>
        <w:ind w:right="0"/>
        <w:jc w:val="left"/>
        <w:rPr>
          <w:b w:val="0"/>
          <w:bCs w:val="0"/>
        </w:rPr>
      </w:pPr>
      <w:bookmarkStart w:name="（4）使用企业集团资产和清偿企业集团债务的重大限制" w:id="346"/>
      <w:bookmarkEnd w:id="346"/>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5）向纳入合并财务报表范围的结构化主体提供的财务支持或其他支持" w:id="347"/>
      <w:bookmarkEnd w:id="347"/>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3"/>
        <w:rPr>
          <w:rFonts w:ascii="宋体" w:hAnsi="宋体" w:cs="宋体" w:eastAsia="宋体" w:hint="default"/>
          <w:b/>
          <w:bCs/>
          <w:sz w:val="25"/>
          <w:szCs w:val="25"/>
        </w:rPr>
      </w:pPr>
    </w:p>
    <w:p>
      <w:pPr>
        <w:pStyle w:val="BodyText"/>
        <w:spacing w:line="360" w:lineRule="auto"/>
        <w:ind w:right="9849"/>
        <w:jc w:val="left"/>
      </w:pPr>
      <w:r>
        <w:rPr/>
        <w:t>不适用 其他说明： 无</w:t>
      </w:r>
    </w:p>
    <w:p>
      <w:pPr>
        <w:spacing w:line="240" w:lineRule="auto" w:before="10"/>
        <w:rPr>
          <w:rFonts w:ascii="宋体" w:hAnsi="宋体" w:cs="宋体" w:eastAsia="宋体" w:hint="default"/>
          <w:sz w:val="21"/>
          <w:szCs w:val="21"/>
        </w:rPr>
      </w:pPr>
    </w:p>
    <w:p>
      <w:pPr>
        <w:pStyle w:val="Heading5"/>
        <w:spacing w:line="240" w:lineRule="auto"/>
        <w:ind w:right="0"/>
        <w:jc w:val="left"/>
        <w:rPr>
          <w:b w:val="0"/>
          <w:bCs w:val="0"/>
        </w:rPr>
      </w:pPr>
      <w:bookmarkStart w:name="2、在合营安排或联营企业中的权益" w:id="348"/>
      <w:bookmarkEnd w:id="348"/>
      <w:r>
        <w:rPr>
          <w:b w:val="0"/>
          <w:bCs w:val="0"/>
        </w:rPr>
      </w:r>
      <w:r>
        <w:rPr>
          <w:rFonts w:ascii="Times New Roman" w:hAnsi="Times New Roman" w:cs="Times New Roman" w:eastAsia="Times New Roman" w:hint="default"/>
        </w:rPr>
        <w:t>2</w:t>
      </w:r>
      <w:r>
        <w:rPr/>
        <w:t>、在合营安排或联营企业中的权益</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重要的合营企业或联营企业" w:id="349"/>
      <w:bookmarkEnd w:id="349"/>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1367"/>
        <w:gridCol w:w="1382"/>
        <w:gridCol w:w="1367"/>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304" w:lineRule="auto"/>
              <w:ind w:left="315" w:right="43" w:hanging="271"/>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8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225"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9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4"/>
              <w:ind w:left="30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3"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5"/>
              <w:ind w:left="29" w:right="59"/>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30"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9"/>
              <w:ind w:right="28"/>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49"/>
              <w:ind w:right="28"/>
              <w:jc w:val="center"/>
              <w:rPr>
                <w:rFonts w:ascii="宋体" w:hAnsi="宋体" w:cs="宋体" w:eastAsia="宋体" w:hint="default"/>
                <w:sz w:val="18"/>
                <w:szCs w:val="18"/>
              </w:rPr>
            </w:pPr>
            <w:r>
              <w:rPr>
                <w:rFonts w:ascii="宋体" w:hAnsi="宋体" w:cs="宋体" w:eastAsia="宋体" w:hint="default"/>
                <w:sz w:val="18"/>
                <w:szCs w:val="18"/>
              </w:rPr>
              <w:t>间接</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706"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74"/>
              <w:jc w:val="left"/>
              <w:rPr>
                <w:rFonts w:ascii="宋体" w:hAnsi="宋体" w:cs="宋体" w:eastAsia="宋体" w:hint="default"/>
                <w:sz w:val="18"/>
                <w:szCs w:val="18"/>
              </w:rPr>
            </w:pPr>
            <w:r>
              <w:rPr>
                <w:rFonts w:ascii="宋体" w:hAnsi="宋体" w:cs="宋体" w:eastAsia="宋体" w:hint="default"/>
                <w:sz w:val="18"/>
                <w:szCs w:val="18"/>
              </w:rPr>
              <w:t>上海华瑞银行股 份有限公司</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金融银行业</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765" w:right="0"/>
              <w:jc w:val="left"/>
              <w:rPr>
                <w:rFonts w:ascii="Times New Roman" w:hAnsi="Times New Roman" w:cs="Times New Roman" w:eastAsia="Times New Roman" w:hint="default"/>
                <w:sz w:val="18"/>
                <w:szCs w:val="18"/>
              </w:rPr>
            </w:pPr>
            <w:r>
              <w:rPr>
                <w:rFonts w:ascii="Times New Roman"/>
                <w:sz w:val="18"/>
              </w:rPr>
              <w:t>15.00%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856" w:right="0"/>
              <w:jc w:val="lef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0" w:lineRule="auto" w:before="45"/>
        <w:ind w:right="5889"/>
        <w:jc w:val="left"/>
      </w:pPr>
      <w:r>
        <w:rPr/>
        <w:t>在合营企业或联营企业的持股比例不同于表决权比例的说明： 无</w:t>
      </w:r>
    </w:p>
    <w:p>
      <w:pPr>
        <w:pStyle w:val="BodyText"/>
        <w:spacing w:line="314" w:lineRule="auto" w:before="57"/>
        <w:ind w:right="1089"/>
        <w:jc w:val="left"/>
      </w:pPr>
      <w:r>
        <w:rPr/>
        <w:t>持有</w:t>
      </w:r>
      <w:r>
        <w:rPr>
          <w:spacing w:val="-45"/>
        </w:rPr>
        <w:t> </w:t>
      </w:r>
      <w:r>
        <w:rPr>
          <w:rFonts w:ascii="Times New Roman" w:hAnsi="Times New Roman" w:cs="Times New Roman" w:eastAsia="Times New Roman" w:hint="default"/>
        </w:rPr>
        <w:t>20%</w:t>
      </w:r>
      <w:r>
        <w:rPr/>
        <w:t>以下表决权但具有重大影响，或者持有</w:t>
      </w:r>
      <w:r>
        <w:rPr>
          <w:spacing w:val="-42"/>
        </w:rPr>
        <w:t> </w:t>
      </w:r>
      <w:r>
        <w:rPr>
          <w:rFonts w:ascii="Times New Roman" w:hAnsi="Times New Roman" w:cs="Times New Roman" w:eastAsia="Times New Roman" w:hint="default"/>
        </w:rPr>
        <w:t>20%</w:t>
      </w:r>
      <w:r>
        <w:rPr/>
        <w:t>或以上表决权但不具有重大影响的依据： 本公司持有上海华瑞银行股份有限公司</w:t>
      </w:r>
      <w:r>
        <w:rPr>
          <w:rFonts w:ascii="Times New Roman" w:hAnsi="Times New Roman" w:cs="Times New Roman" w:eastAsia="Times New Roman" w:hint="default"/>
        </w:rPr>
        <w:t>(</w:t>
      </w:r>
      <w:r>
        <w:rPr/>
        <w:t>简称</w:t>
      </w:r>
      <w:r>
        <w:rPr>
          <w:rFonts w:ascii="Times New Roman" w:hAnsi="Times New Roman" w:cs="Times New Roman" w:eastAsia="Times New Roman" w:hint="default"/>
        </w:rPr>
        <w:t>“</w:t>
      </w:r>
      <w:r>
        <w:rPr/>
        <w:t>该银行</w:t>
      </w:r>
      <w:r>
        <w:rPr>
          <w:rFonts w:ascii="Times New Roman" w:hAnsi="Times New Roman" w:cs="Times New Roman" w:eastAsia="Times New Roman" w:hint="default"/>
        </w:rPr>
        <w:t>”)15%</w:t>
      </w:r>
      <w:r>
        <w:rPr/>
        <w:t>的股份，本公司是该银行的第二大股东，并且除第一和第三大股</w:t>
      </w:r>
      <w:r>
        <w:rPr>
          <w:spacing w:val="-82"/>
        </w:rPr>
        <w:t> </w:t>
      </w:r>
      <w:r>
        <w:rPr/>
        <w:t>东的持股比例分别占</w:t>
      </w:r>
      <w:r>
        <w:rPr>
          <w:rFonts w:ascii="Times New Roman" w:hAnsi="Times New Roman" w:cs="Times New Roman" w:eastAsia="Times New Roman" w:hint="default"/>
        </w:rPr>
        <w:t>30%</w:t>
      </w:r>
      <w:r>
        <w:rPr/>
        <w:t>和</w:t>
      </w:r>
      <w:r>
        <w:rPr>
          <w:rFonts w:ascii="Times New Roman" w:hAnsi="Times New Roman" w:cs="Times New Roman" w:eastAsia="Times New Roman" w:hint="default"/>
        </w:rPr>
        <w:t>9%</w:t>
      </w:r>
      <w:r>
        <w:rPr/>
        <w:t>外，其余股东持股比例都在</w:t>
      </w:r>
      <w:r>
        <w:rPr>
          <w:rFonts w:ascii="Times New Roman" w:hAnsi="Times New Roman" w:cs="Times New Roman" w:eastAsia="Times New Roman" w:hint="default"/>
        </w:rPr>
        <w:t>10%</w:t>
      </w:r>
      <w:r>
        <w:rPr/>
        <w:t>以下。</w:t>
      </w:r>
      <w:r>
        <w:rPr>
          <w:spacing w:val="-87"/>
        </w:rPr>
        <w:t> </w:t>
      </w:r>
      <w:r>
        <w:rPr/>
        <w:t>另外，本公司的</w:t>
      </w:r>
      <w:r>
        <w:rPr>
          <w:rFonts w:ascii="Times New Roman" w:hAnsi="Times New Roman" w:cs="Times New Roman" w:eastAsia="Times New Roman" w:hint="default"/>
        </w:rPr>
        <w:t>1</w:t>
      </w:r>
      <w:r>
        <w:rPr/>
        <w:t>位高管人员是该银行的董事会</w:t>
      </w:r>
      <w:r>
        <w:rPr>
          <w:rFonts w:ascii="Times New Roman" w:hAnsi="Times New Roman" w:cs="Times New Roman" w:eastAsia="Times New Roman" w:hint="default"/>
        </w:rPr>
        <w:t>14</w:t>
      </w:r>
      <w:r>
        <w:rPr/>
        <w:t>名成员</w:t>
      </w:r>
      <w:r>
        <w:rPr>
          <w:rFonts w:ascii="Times New Roman" w:hAnsi="Times New Roman" w:cs="Times New Roman" w:eastAsia="Times New Roman" w:hint="default"/>
        </w:rPr>
        <w:t>(</w:t>
      </w:r>
      <w:r>
        <w:rPr/>
        <w:t>其中</w:t>
      </w:r>
      <w:r>
        <w:rPr>
          <w:rFonts w:ascii="Times New Roman" w:hAnsi="Times New Roman" w:cs="Times New Roman" w:eastAsia="Times New Roman" w:hint="default"/>
        </w:rPr>
        <w:t>3</w:t>
      </w:r>
      <w:r>
        <w:rPr/>
        <w:t>名为独立董事</w:t>
      </w:r>
      <w:r>
        <w:rPr>
          <w:rFonts w:ascii="Times New Roman" w:hAnsi="Times New Roman" w:cs="Times New Roman" w:eastAsia="Times New Roman" w:hint="default"/>
        </w:rPr>
        <w:t>)</w:t>
      </w:r>
      <w:r>
        <w:rPr/>
        <w:t>中的一员，且提名两位董事，本公司在华瑞银</w:t>
      </w:r>
    </w:p>
    <w:p>
      <w:pPr>
        <w:pStyle w:val="BodyText"/>
        <w:spacing w:line="276" w:lineRule="auto" w:before="4"/>
        <w:ind w:right="0"/>
        <w:jc w:val="left"/>
      </w:pPr>
      <w:r>
        <w:rPr/>
        <w:t>行股东大会的表决权比例为</w:t>
      </w:r>
      <w:r>
        <w:rPr>
          <w:rFonts w:ascii="Times New Roman" w:hAnsi="Times New Roman" w:cs="Times New Roman" w:eastAsia="Times New Roman" w:hint="default"/>
        </w:rPr>
        <w:t>15%</w:t>
      </w:r>
      <w:r>
        <w:rPr/>
        <w:t>，该银行第一大股东在董事会委派</w:t>
      </w:r>
      <w:r>
        <w:rPr>
          <w:rFonts w:ascii="Times New Roman" w:hAnsi="Times New Roman" w:cs="Times New Roman" w:eastAsia="Times New Roman" w:hint="default"/>
        </w:rPr>
        <w:t>2</w:t>
      </w:r>
      <w:r>
        <w:rPr/>
        <w:t>名董事，在股东大会的表决权比例为</w:t>
      </w:r>
      <w:r>
        <w:rPr>
          <w:rFonts w:ascii="Times New Roman" w:hAnsi="Times New Roman" w:cs="Times New Roman" w:eastAsia="Times New Roman" w:hint="default"/>
        </w:rPr>
        <w:t>30%</w:t>
      </w:r>
      <w:r>
        <w:rPr/>
        <w:t>。根据华瑞银</w:t>
      </w:r>
      <w:r>
        <w:rPr>
          <w:spacing w:val="-83"/>
        </w:rPr>
        <w:t> </w:t>
      </w:r>
      <w:r>
        <w:rPr>
          <w:spacing w:val="-2"/>
        </w:rPr>
        <w:t>行章程的规定，股东以其所持有股份行使表决权，每一股份享有一票表决权。股东大会和董事会对于公司决议表决需要达到</w:t>
      </w:r>
    </w:p>
    <w:p>
      <w:pPr>
        <w:pStyle w:val="BodyText"/>
        <w:spacing w:line="290" w:lineRule="auto" w:before="67"/>
        <w:ind w:right="0"/>
        <w:jc w:val="left"/>
      </w:pPr>
      <w:r>
        <w:rPr>
          <w:rFonts w:ascii="Times New Roman" w:hAnsi="Times New Roman" w:cs="Times New Roman" w:eastAsia="Times New Roman" w:hint="default"/>
          <w:spacing w:val="-1"/>
        </w:rPr>
        <w:t>50%</w:t>
      </w:r>
      <w:r>
        <w:rPr>
          <w:spacing w:val="-1"/>
        </w:rPr>
        <w:t>以上，重大决议表决需要达到</w:t>
      </w:r>
      <w:r>
        <w:rPr>
          <w:rFonts w:ascii="Times New Roman" w:hAnsi="Times New Roman" w:cs="Times New Roman" w:eastAsia="Times New Roman" w:hint="default"/>
          <w:spacing w:val="-1"/>
        </w:rPr>
        <w:t>2/3</w:t>
      </w:r>
      <w:r>
        <w:rPr>
          <w:spacing w:val="-1"/>
        </w:rPr>
        <w:t>以上，各股东在董事会拥有席位不超过</w:t>
      </w:r>
      <w:r>
        <w:rPr>
          <w:rFonts w:ascii="Times New Roman" w:hAnsi="Times New Roman" w:cs="Times New Roman" w:eastAsia="Times New Roman" w:hint="default"/>
          <w:spacing w:val="-1"/>
        </w:rPr>
        <w:t>1/3</w:t>
      </w:r>
      <w:r>
        <w:rPr>
          <w:spacing w:val="-1"/>
        </w:rPr>
        <w:t>。综上，本公司认为能够对该银行的运营实</w:t>
      </w:r>
      <w:r>
        <w:rPr>
          <w:spacing w:val="-36"/>
        </w:rPr>
        <w:t> </w:t>
      </w:r>
      <w:r>
        <w:rPr/>
        <w:t>施重大影响，故而本公司将对该银行的投资作为对联营企业的长期股权投资来确认和计量。</w:t>
      </w:r>
    </w:p>
    <w:p>
      <w:pPr>
        <w:spacing w:line="240" w:lineRule="auto" w:before="10"/>
        <w:rPr>
          <w:rFonts w:ascii="宋体" w:hAnsi="宋体" w:cs="宋体" w:eastAsia="宋体" w:hint="default"/>
          <w:sz w:val="25"/>
          <w:szCs w:val="25"/>
        </w:rPr>
      </w:pPr>
    </w:p>
    <w:p>
      <w:pPr>
        <w:pStyle w:val="Heading5"/>
        <w:spacing w:line="240" w:lineRule="auto"/>
        <w:ind w:right="0"/>
        <w:jc w:val="left"/>
        <w:rPr>
          <w:b w:val="0"/>
          <w:bCs w:val="0"/>
        </w:rPr>
      </w:pPr>
      <w:bookmarkStart w:name="（2）重要联营企业的主要财务信息" w:id="350"/>
      <w:bookmarkEnd w:id="350"/>
      <w:r>
        <w:rPr>
          <w:b w:val="0"/>
          <w:bCs w:val="0"/>
        </w:rPr>
      </w:r>
      <w:r>
        <w:rPr/>
        <w:t>（</w:t>
      </w:r>
      <w:r>
        <w:rPr>
          <w:rFonts w:ascii="Times New Roman" w:hAnsi="Times New Roman" w:cs="Times New Roman" w:eastAsia="Times New Roman" w:hint="default"/>
        </w:rPr>
        <w:t>2</w:t>
      </w:r>
      <w:r>
        <w:rPr/>
        <w:t>）重要联营企业的主要财务信息</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66"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6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6"/>
              <w:jc w:val="right"/>
              <w:rPr>
                <w:rFonts w:ascii="Times New Roman" w:hAnsi="Times New Roman" w:cs="Times New Roman" w:eastAsia="Times New Roman" w:hint="default"/>
                <w:sz w:val="18"/>
                <w:szCs w:val="18"/>
              </w:rPr>
            </w:pPr>
            <w:r>
              <w:rPr>
                <w:rFonts w:ascii="Times New Roman"/>
                <w:sz w:val="18"/>
              </w:rPr>
              <w:t>39,627,260,863.00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36,260,942,771.00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35,638,715,866.00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32,542,197,811.00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3,988,544,997.00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3,718,744,960.00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按持股比例计算的净资产份额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598,281,750.00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557,811,744.00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598,281,750.00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557,811,744.00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992,989,902.00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1,093,354,006.00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268,157,189.00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326,828,964.00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1,642,848.00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-161,790.00</w:t>
            </w:r>
            <w:r>
              <w:rPr>
                <w:rFonts w:ascii="Times New Roman"/>
                <w:sz w:val="18"/>
              </w:rPr>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269,800,037.00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326,667,174.00</w:t>
            </w:r>
          </w:p>
        </w:tc>
      </w:tr>
      <w:tr>
        <w:trPr>
          <w:trHeight w:val="391"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本年度收到的来自联营企业的股利</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52" w:lineRule="auto" w:before="44"/>
        <w:ind w:right="10029"/>
        <w:jc w:val="left"/>
      </w:pPr>
      <w:r>
        <w:rPr/>
        <w:t>其他说明 无</w:t>
      </w:r>
    </w:p>
    <w:p>
      <w:pPr>
        <w:spacing w:line="240" w:lineRule="auto" w:before="3"/>
        <w:rPr>
          <w:rFonts w:ascii="宋体" w:hAnsi="宋体" w:cs="宋体" w:eastAsia="宋体" w:hint="default"/>
          <w:sz w:val="22"/>
          <w:szCs w:val="22"/>
        </w:rPr>
      </w:pPr>
    </w:p>
    <w:p>
      <w:pPr>
        <w:pStyle w:val="Heading5"/>
        <w:spacing w:line="240" w:lineRule="auto"/>
        <w:ind w:right="0"/>
        <w:jc w:val="left"/>
        <w:rPr>
          <w:b w:val="0"/>
          <w:bCs w:val="0"/>
        </w:rPr>
      </w:pPr>
      <w:bookmarkStart w:name="3、其他" w:id="351"/>
      <w:bookmarkEnd w:id="351"/>
      <w:r>
        <w:rPr>
          <w:b w:val="0"/>
          <w:bCs w:val="0"/>
        </w:rPr>
      </w:r>
      <w:r>
        <w:rPr>
          <w:rFonts w:ascii="Times New Roman" w:hAnsi="Times New Roman" w:cs="Times New Roman" w:eastAsia="Times New Roman" w:hint="default"/>
        </w:rPr>
        <w:t>3</w:t>
      </w:r>
      <w:r>
        <w:rPr/>
        <w:t>、其他</w:t>
      </w:r>
      <w:r>
        <w:rPr>
          <w:b w:val="0"/>
          <w:bCs w:val="0"/>
        </w:rPr>
      </w:r>
    </w:p>
    <w:p>
      <w:pPr>
        <w:spacing w:line="240" w:lineRule="auto" w:before="2"/>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352"/>
      <w:bookmarkEnd w:id="352"/>
      <w:r>
        <w:rPr>
          <w:b w:val="0"/>
          <w:bCs w:val="0"/>
        </w:rPr>
      </w:r>
      <w:r>
        <w:rPr/>
        <w:t>十、与金融工具相关的风险</w:t>
      </w:r>
      <w:r>
        <w:rPr>
          <w:b w:val="0"/>
          <w:bCs w:val="0"/>
        </w:rPr>
      </w:r>
    </w:p>
    <w:p>
      <w:pPr>
        <w:spacing w:line="240" w:lineRule="auto" w:before="1"/>
        <w:rPr>
          <w:rFonts w:ascii="宋体" w:hAnsi="宋体" w:cs="宋体" w:eastAsia="宋体" w:hint="default"/>
          <w:b/>
          <w:bCs/>
          <w:sz w:val="26"/>
          <w:szCs w:val="26"/>
        </w:rPr>
      </w:pPr>
    </w:p>
    <w:p>
      <w:pPr>
        <w:spacing w:line="643" w:lineRule="auto" w:before="0"/>
        <w:ind w:left="141" w:right="6969" w:firstLine="0"/>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9"/>
          <w:sz w:val="18"/>
          <w:szCs w:val="18"/>
        </w:rPr>
        <w:t> </w:t>
      </w:r>
      <w:r>
        <w:rPr>
          <w:rFonts w:ascii="宋体" w:hAnsi="宋体" w:cs="宋体" w:eastAsia="宋体" w:hint="default"/>
          <w:b/>
          <w:bCs/>
          <w:sz w:val="18"/>
          <w:szCs w:val="18"/>
        </w:rPr>
        <w:t>金融工具分类</w:t>
      </w:r>
      <w:r>
        <w:rPr>
          <w:rFonts w:ascii="宋体" w:hAnsi="宋体" w:cs="宋体" w:eastAsia="宋体" w:hint="default"/>
          <w:b/>
          <w:bCs/>
          <w:w w:val="99"/>
          <w:sz w:val="18"/>
          <w:szCs w:val="18"/>
        </w:rPr>
        <w:t> </w:t>
      </w:r>
      <w:r>
        <w:rPr>
          <w:rFonts w:ascii="宋体" w:hAnsi="宋体" w:cs="宋体" w:eastAsia="宋体" w:hint="default"/>
          <w:sz w:val="18"/>
          <w:szCs w:val="18"/>
        </w:rPr>
        <w:t>资产负债表日的各类金融工具的账面价值如下：</w:t>
      </w:r>
    </w:p>
    <w:p>
      <w:pPr>
        <w:pStyle w:val="BodyText"/>
        <w:spacing w:line="240" w:lineRule="auto" w:before="78"/>
        <w:ind w:right="0"/>
        <w:jc w:val="left"/>
      </w:pPr>
      <w:r>
        <w:rPr/>
        <w:t>金融资产</w:t>
      </w:r>
    </w:p>
    <w:p>
      <w:pPr>
        <w:pStyle w:val="BodyText"/>
        <w:spacing w:line="240" w:lineRule="auto" w:before="79"/>
        <w:ind w:left="0" w:right="1110"/>
        <w:jc w:val="right"/>
      </w:pPr>
      <w:r>
        <w:rPr/>
        <w:t>单位：元</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382"/>
        <w:gridCol w:w="992"/>
        <w:gridCol w:w="1006"/>
        <w:gridCol w:w="1727"/>
        <w:gridCol w:w="976"/>
        <w:gridCol w:w="976"/>
        <w:gridCol w:w="1472"/>
      </w:tblGrid>
      <w:tr>
        <w:trPr>
          <w:trHeight w:val="976" w:hRule="exact"/>
        </w:trPr>
        <w:tc>
          <w:tcPr>
            <w:tcW w:w="1382" w:type="dxa"/>
            <w:vMerge w:val="restart"/>
            <w:tcBorders>
              <w:top w:val="single" w:sz="6" w:space="0" w:color="000000"/>
              <w:left w:val="single" w:sz="6" w:space="0" w:color="000000"/>
              <w:right w:val="single" w:sz="6" w:space="0" w:color="000000"/>
            </w:tcBorders>
          </w:tcPr>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类别</w:t>
            </w:r>
          </w:p>
        </w:tc>
        <w:tc>
          <w:tcPr>
            <w:tcW w:w="1998"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90" w:right="91"/>
              <w:jc w:val="center"/>
              <w:rPr>
                <w:rFonts w:ascii="宋体" w:hAnsi="宋体" w:cs="宋体" w:eastAsia="宋体" w:hint="default"/>
                <w:sz w:val="18"/>
                <w:szCs w:val="18"/>
              </w:rPr>
            </w:pPr>
            <w:r>
              <w:rPr>
                <w:rFonts w:ascii="宋体" w:hAnsi="宋体" w:cs="宋体" w:eastAsia="宋体" w:hint="default"/>
                <w:sz w:val="18"/>
                <w:szCs w:val="18"/>
              </w:rPr>
              <w:t>以公允价值计量且其变 动计入当期损益的金融 资产</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586" w:right="45" w:hanging="542"/>
              <w:jc w:val="left"/>
              <w:rPr>
                <w:rFonts w:ascii="宋体" w:hAnsi="宋体" w:cs="宋体" w:eastAsia="宋体" w:hint="default"/>
                <w:sz w:val="18"/>
                <w:szCs w:val="18"/>
              </w:rPr>
            </w:pPr>
            <w:r>
              <w:rPr>
                <w:rFonts w:ascii="宋体" w:hAnsi="宋体" w:cs="宋体" w:eastAsia="宋体" w:hint="default"/>
                <w:sz w:val="18"/>
                <w:szCs w:val="18"/>
              </w:rPr>
              <w:t>以摊余成本计量的金 融资产</w:t>
            </w:r>
          </w:p>
        </w:tc>
        <w:tc>
          <w:tcPr>
            <w:tcW w:w="1952" w:type="dxa"/>
            <w:gridSpan w:val="2"/>
            <w:tcBorders>
              <w:top w:val="single" w:sz="6" w:space="0" w:color="000000"/>
              <w:left w:val="single" w:sz="6" w:space="0" w:color="000000"/>
              <w:bottom w:val="single" w:sz="6" w:space="0" w:color="000000"/>
              <w:right w:val="single" w:sz="6" w:space="0" w:color="000000"/>
            </w:tcBorders>
          </w:tcPr>
          <w:p>
            <w:pPr>
              <w:pStyle w:val="TableParagraph"/>
              <w:spacing w:line="321" w:lineRule="auto"/>
              <w:ind w:left="75" w:right="61"/>
              <w:jc w:val="center"/>
              <w:rPr>
                <w:rFonts w:ascii="宋体" w:hAnsi="宋体" w:cs="宋体" w:eastAsia="宋体" w:hint="default"/>
                <w:sz w:val="18"/>
                <w:szCs w:val="18"/>
              </w:rPr>
            </w:pPr>
            <w:r>
              <w:rPr>
                <w:rFonts w:ascii="宋体" w:hAnsi="宋体" w:cs="宋体" w:eastAsia="宋体" w:hint="default"/>
                <w:sz w:val="18"/>
                <w:szCs w:val="18"/>
              </w:rPr>
              <w:t>以公允价值计量且其变 动计入其他综合收益的 金融资产</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346" w:hRule="exact"/>
        </w:trPr>
        <w:tc>
          <w:tcPr>
            <w:tcW w:w="1382" w:type="dxa"/>
            <w:vMerge/>
            <w:tcBorders>
              <w:left w:val="single" w:sz="6" w:space="0" w:color="000000"/>
              <w:bottom w:val="single" w:sz="6" w:space="0" w:color="000000"/>
              <w:right w:val="single" w:sz="6" w:space="0" w:color="000000"/>
            </w:tcBorders>
          </w:tcPr>
          <w:p>
            <w:pP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35" w:right="0"/>
              <w:jc w:val="left"/>
              <w:rPr>
                <w:rFonts w:ascii="宋体" w:hAnsi="宋体" w:cs="宋体" w:eastAsia="宋体" w:hint="default"/>
                <w:sz w:val="18"/>
                <w:szCs w:val="18"/>
              </w:rPr>
            </w:pPr>
            <w:r>
              <w:rPr>
                <w:rFonts w:ascii="宋体" w:hAnsi="宋体" w:cs="宋体" w:eastAsia="宋体" w:hint="default"/>
                <w:sz w:val="18"/>
                <w:szCs w:val="18"/>
              </w:rPr>
              <w:t>准则要求</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315" w:right="0"/>
              <w:jc w:val="left"/>
              <w:rPr>
                <w:rFonts w:ascii="宋体" w:hAnsi="宋体" w:cs="宋体" w:eastAsia="宋体" w:hint="default"/>
                <w:sz w:val="18"/>
                <w:szCs w:val="18"/>
              </w:rPr>
            </w:pPr>
            <w:r>
              <w:rPr>
                <w:rFonts w:ascii="宋体" w:hAnsi="宋体" w:cs="宋体" w:eastAsia="宋体" w:hint="default"/>
                <w:sz w:val="18"/>
                <w:szCs w:val="18"/>
              </w:rPr>
              <w:t>指定</w:t>
            </w:r>
          </w:p>
        </w:tc>
        <w:tc>
          <w:tcPr>
            <w:tcW w:w="1727" w:type="dxa"/>
            <w:tcBorders>
              <w:top w:val="single" w:sz="6" w:space="0" w:color="000000"/>
              <w:left w:val="single" w:sz="6" w:space="0" w:color="000000"/>
              <w:bottom w:val="single" w:sz="6" w:space="0" w:color="000000"/>
              <w:right w:val="single" w:sz="6" w:space="0" w:color="000000"/>
            </w:tcBorders>
          </w:tcPr>
          <w:p>
            <w:pP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120" w:right="0"/>
              <w:jc w:val="left"/>
              <w:rPr>
                <w:rFonts w:ascii="宋体" w:hAnsi="宋体" w:cs="宋体" w:eastAsia="宋体" w:hint="default"/>
                <w:sz w:val="18"/>
                <w:szCs w:val="18"/>
              </w:rPr>
            </w:pPr>
            <w:r>
              <w:rPr>
                <w:rFonts w:ascii="宋体" w:hAnsi="宋体" w:cs="宋体" w:eastAsia="宋体" w:hint="default"/>
                <w:sz w:val="18"/>
                <w:szCs w:val="18"/>
              </w:rPr>
              <w:t>准则要求</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left="285" w:right="0"/>
              <w:jc w:val="left"/>
              <w:rPr>
                <w:rFonts w:ascii="宋体" w:hAnsi="宋体" w:cs="宋体" w:eastAsia="宋体" w:hint="default"/>
                <w:sz w:val="18"/>
                <w:szCs w:val="18"/>
              </w:rPr>
            </w:pPr>
            <w:r>
              <w:rPr>
                <w:rFonts w:ascii="宋体" w:hAnsi="宋体" w:cs="宋体" w:eastAsia="宋体" w:hint="default"/>
                <w:sz w:val="18"/>
                <w:szCs w:val="18"/>
              </w:rPr>
              <w:t>指定</w:t>
            </w:r>
          </w:p>
        </w:tc>
        <w:tc>
          <w:tcPr>
            <w:tcW w:w="1472"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0.00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375,122,904.00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0.00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0.00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375,122,904.00</w:t>
            </w:r>
          </w:p>
        </w:tc>
      </w:tr>
      <w:tr>
        <w:trPr>
          <w:trHeight w:val="345"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5"/>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0.00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932,682,022.00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0.00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0.00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932,682,022.00</w:t>
            </w:r>
          </w:p>
        </w:tc>
      </w:tr>
      <w:tr>
        <w:trPr>
          <w:trHeight w:val="345"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166,797,914.00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0.00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218,901,962.00</w:t>
            </w:r>
          </w:p>
        </w:tc>
      </w:tr>
      <w:tr>
        <w:trPr>
          <w:trHeight w:val="661"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15"/>
              <w:ind w:right="1"/>
              <w:jc w:val="left"/>
              <w:rPr>
                <w:rFonts w:ascii="宋体" w:hAnsi="宋体" w:cs="宋体" w:eastAsia="宋体" w:hint="default"/>
                <w:sz w:val="18"/>
                <w:szCs w:val="18"/>
              </w:rPr>
            </w:pPr>
            <w:r>
              <w:rPr>
                <w:rFonts w:ascii="宋体" w:hAnsi="宋体" w:cs="宋体" w:eastAsia="宋体" w:hint="default"/>
                <w:spacing w:val="15"/>
                <w:sz w:val="18"/>
                <w:szCs w:val="18"/>
              </w:rPr>
              <w:t>一年内到期的非 </w:t>
            </w:r>
            <w:r>
              <w:rPr>
                <w:rFonts w:ascii="宋体" w:hAnsi="宋体" w:cs="宋体" w:eastAsia="宋体" w:hint="default"/>
                <w:sz w:val="18"/>
                <w:szCs w:val="18"/>
              </w:rPr>
              <w:t>流动资产</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208,279,318.00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0.00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312,419,862.00</w:t>
            </w:r>
          </w:p>
        </w:tc>
      </w:tr>
      <w:tr>
        <w:trPr>
          <w:trHeight w:val="345"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156,244,592.00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0.00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312,419,862.00</w:t>
            </w:r>
          </w:p>
        </w:tc>
      </w:tr>
      <w:tr>
        <w:trPr>
          <w:trHeight w:val="345" w:hRule="exact"/>
        </w:trPr>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5"/>
              <w:jc w:val="right"/>
              <w:rPr>
                <w:rFonts w:ascii="Times New Roman" w:hAnsi="Times New Roman" w:cs="Times New Roman" w:eastAsia="Times New Roman" w:hint="default"/>
                <w:sz w:val="18"/>
                <w:szCs w:val="18"/>
              </w:rPr>
            </w:pPr>
            <w:r>
              <w:rPr>
                <w:rFonts w:ascii="Times New Roman"/>
                <w:sz w:val="18"/>
              </w:rPr>
              <w:t>0.00</w:t>
            </w:r>
          </w:p>
        </w:tc>
        <w:tc>
          <w:tcPr>
            <w:tcW w:w="1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1,839,126,750.00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0.00</w:t>
            </w:r>
          </w:p>
        </w:tc>
        <w:tc>
          <w:tcPr>
            <w:tcW w:w="14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1,839,126,750.00</w:t>
            </w:r>
          </w:p>
        </w:tc>
      </w:tr>
    </w:tbl>
    <w:p>
      <w:pPr>
        <w:spacing w:line="240" w:lineRule="auto" w:before="9"/>
        <w:rPr>
          <w:rFonts w:ascii="宋体" w:hAnsi="宋体" w:cs="宋体" w:eastAsia="宋体" w:hint="default"/>
          <w:sz w:val="20"/>
          <w:szCs w:val="20"/>
        </w:rPr>
      </w:pPr>
    </w:p>
    <w:p>
      <w:pPr>
        <w:pStyle w:val="BodyText"/>
        <w:spacing w:line="240" w:lineRule="auto" w:before="44"/>
        <w:ind w:right="0"/>
        <w:jc w:val="left"/>
      </w:pPr>
      <w:r>
        <w:rPr/>
        <w:t>金融负债</w:t>
      </w:r>
    </w:p>
    <w:p>
      <w:pPr>
        <w:pStyle w:val="BodyText"/>
        <w:spacing w:line="240" w:lineRule="auto" w:before="79"/>
        <w:ind w:left="0" w:right="1110"/>
        <w:jc w:val="right"/>
      </w:pPr>
      <w:r>
        <w:rPr/>
        <w:t>单位：元</w:t>
      </w:r>
    </w:p>
    <w:p>
      <w:pPr>
        <w:spacing w:after="0" w:line="240" w:lineRule="auto"/>
        <w:jc w:val="right"/>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47"/>
        <w:gridCol w:w="931"/>
        <w:gridCol w:w="1337"/>
        <w:gridCol w:w="2418"/>
        <w:gridCol w:w="2598"/>
      </w:tblGrid>
      <w:tr>
        <w:trPr>
          <w:trHeight w:val="660" w:hRule="exact"/>
        </w:trPr>
        <w:tc>
          <w:tcPr>
            <w:tcW w:w="1247" w:type="dxa"/>
            <w:vMerge w:val="restart"/>
            <w:tcBorders>
              <w:top w:val="single" w:sz="6" w:space="0" w:color="000000"/>
              <w:left w:val="single" w:sz="6" w:space="0" w:color="000000"/>
              <w:right w:val="single" w:sz="6" w:space="0" w:color="000000"/>
            </w:tcBorders>
          </w:tcPr>
          <w:p>
            <w:pPr>
              <w:pStyle w:val="TableParagraph"/>
              <w:spacing w:line="240" w:lineRule="auto" w:before="14"/>
              <w:ind w:right="28"/>
              <w:jc w:val="center"/>
              <w:rPr>
                <w:rFonts w:ascii="宋体" w:hAnsi="宋体" w:cs="宋体" w:eastAsia="宋体" w:hint="default"/>
                <w:sz w:val="18"/>
                <w:szCs w:val="18"/>
              </w:rPr>
            </w:pPr>
            <w:r>
              <w:rPr>
                <w:rFonts w:ascii="宋体" w:hAnsi="宋体" w:cs="宋体" w:eastAsia="宋体" w:hint="default"/>
                <w:sz w:val="18"/>
                <w:szCs w:val="18"/>
              </w:rPr>
              <w:t>类别</w:t>
            </w:r>
          </w:p>
        </w:tc>
        <w:tc>
          <w:tcPr>
            <w:tcW w:w="2268" w:type="dxa"/>
            <w:gridSpan w:val="2"/>
            <w:tcBorders>
              <w:top w:val="single" w:sz="6" w:space="0" w:color="000000"/>
              <w:left w:val="single" w:sz="6" w:space="0" w:color="000000"/>
              <w:bottom w:val="single" w:sz="6" w:space="0" w:color="000000"/>
              <w:right w:val="single" w:sz="6" w:space="0" w:color="000000"/>
            </w:tcBorders>
          </w:tcPr>
          <w:p>
            <w:pPr>
              <w:pStyle w:val="TableParagraph"/>
              <w:spacing w:line="304" w:lineRule="auto" w:before="14"/>
              <w:ind w:left="135" w:right="137"/>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计入当期损益的金融负债</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105" w:right="0"/>
              <w:jc w:val="left"/>
              <w:rPr>
                <w:rFonts w:ascii="宋体" w:hAnsi="宋体" w:cs="宋体" w:eastAsia="宋体" w:hint="default"/>
                <w:sz w:val="18"/>
                <w:szCs w:val="18"/>
              </w:rPr>
            </w:pPr>
            <w:r>
              <w:rPr>
                <w:rFonts w:ascii="宋体" w:hAnsi="宋体" w:cs="宋体" w:eastAsia="宋体" w:hint="default"/>
                <w:sz w:val="18"/>
                <w:szCs w:val="18"/>
              </w:rPr>
              <w:t>以摊余成本计量的金融负债</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r>
      <w:tr>
        <w:trPr>
          <w:trHeight w:val="345" w:hRule="exact"/>
        </w:trPr>
        <w:tc>
          <w:tcPr>
            <w:tcW w:w="1247" w:type="dxa"/>
            <w:vMerge/>
            <w:tcBorders>
              <w:left w:val="single" w:sz="6" w:space="0" w:color="000000"/>
              <w:bottom w:val="single" w:sz="6" w:space="0" w:color="000000"/>
              <w:right w:val="single" w:sz="6" w:space="0" w:color="000000"/>
            </w:tcBorders>
          </w:tcPr>
          <w:p>
            <w:pP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left="90" w:right="0"/>
              <w:jc w:val="left"/>
              <w:rPr>
                <w:rFonts w:ascii="宋体" w:hAnsi="宋体" w:cs="宋体" w:eastAsia="宋体" w:hint="default"/>
                <w:sz w:val="18"/>
                <w:szCs w:val="18"/>
              </w:rPr>
            </w:pPr>
            <w:r>
              <w:rPr>
                <w:rFonts w:ascii="宋体" w:hAnsi="宋体" w:cs="宋体" w:eastAsia="宋体" w:hint="default"/>
                <w:sz w:val="18"/>
                <w:szCs w:val="18"/>
              </w:rPr>
              <w:t>准则要求</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center"/>
              <w:rPr>
                <w:rFonts w:ascii="宋体" w:hAnsi="宋体" w:cs="宋体" w:eastAsia="宋体" w:hint="default"/>
                <w:sz w:val="18"/>
                <w:szCs w:val="18"/>
              </w:rPr>
            </w:pPr>
            <w:r>
              <w:rPr>
                <w:rFonts w:ascii="宋体" w:hAnsi="宋体" w:cs="宋体" w:eastAsia="宋体" w:hint="default"/>
                <w:sz w:val="18"/>
                <w:szCs w:val="18"/>
              </w:rPr>
              <w:t>指定</w:t>
            </w:r>
          </w:p>
        </w:tc>
        <w:tc>
          <w:tcPr>
            <w:tcW w:w="2418" w:type="dxa"/>
            <w:tcBorders>
              <w:top w:val="single" w:sz="6" w:space="0" w:color="000000"/>
              <w:left w:val="single" w:sz="6" w:space="0" w:color="000000"/>
              <w:bottom w:val="single" w:sz="6" w:space="0" w:color="000000"/>
              <w:right w:val="single" w:sz="6" w:space="0" w:color="000000"/>
            </w:tcBorders>
          </w:tcPr>
          <w:p>
            <w:pPr/>
          </w:p>
        </w:tc>
        <w:tc>
          <w:tcPr>
            <w:tcW w:w="2598" w:type="dxa"/>
            <w:tcBorders>
              <w:top w:val="single" w:sz="6" w:space="0" w:color="000000"/>
              <w:left w:val="single" w:sz="6" w:space="0" w:color="000000"/>
              <w:bottom w:val="single" w:sz="6" w:space="0" w:color="000000"/>
              <w:right w:val="single" w:sz="6" w:space="0" w:color="000000"/>
            </w:tcBorders>
          </w:tcPr>
          <w:p>
            <w:pPr/>
          </w:p>
        </w:tc>
      </w:tr>
      <w:tr>
        <w:trPr>
          <w:trHeight w:val="34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1,178,000,000.00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1,178,000,000.00</w:t>
            </w:r>
          </w:p>
        </w:tc>
      </w:tr>
      <w:tr>
        <w:trPr>
          <w:trHeight w:val="34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6"/>
              <w:jc w:val="right"/>
              <w:rPr>
                <w:rFonts w:ascii="Times New Roman" w:hAnsi="Times New Roman" w:cs="Times New Roman" w:eastAsia="Times New Roman" w:hint="default"/>
                <w:sz w:val="18"/>
                <w:szCs w:val="18"/>
              </w:rPr>
            </w:pPr>
            <w:r>
              <w:rPr>
                <w:rFonts w:ascii="Times New Roman"/>
                <w:sz w:val="18"/>
              </w:rPr>
              <w:t>1,248,709,602.00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1,248,709,602.00</w:t>
            </w:r>
          </w:p>
        </w:tc>
      </w:tr>
      <w:tr>
        <w:trPr>
          <w:trHeight w:val="34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982,793,949.00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982,793,949.00</w:t>
            </w:r>
          </w:p>
        </w:tc>
      </w:tr>
      <w:tr>
        <w:trPr>
          <w:trHeight w:val="36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0"/>
              <w:jc w:val="right"/>
              <w:rPr>
                <w:rFonts w:ascii="Times New Roman" w:hAnsi="Times New Roman" w:cs="Times New Roman" w:eastAsia="Times New Roman" w:hint="default"/>
                <w:sz w:val="18"/>
                <w:szCs w:val="18"/>
              </w:rPr>
            </w:pPr>
            <w:r>
              <w:rPr>
                <w:rFonts w:ascii="Times New Roman"/>
                <w:sz w:val="18"/>
              </w:rPr>
              <w:t>0.00</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4"/>
              <w:jc w:val="right"/>
              <w:rPr>
                <w:rFonts w:ascii="Times New Roman" w:hAnsi="Times New Roman" w:cs="Times New Roman" w:eastAsia="Times New Roman" w:hint="default"/>
                <w:sz w:val="18"/>
                <w:szCs w:val="18"/>
              </w:rPr>
            </w:pPr>
            <w:r>
              <w:rPr>
                <w:rFonts w:ascii="Times New Roman"/>
                <w:sz w:val="18"/>
              </w:rPr>
              <w:t>576,212,283.00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2"/>
              <w:ind w:right="1"/>
              <w:jc w:val="right"/>
              <w:rPr>
                <w:rFonts w:ascii="Times New Roman" w:hAnsi="Times New Roman" w:cs="Times New Roman" w:eastAsia="Times New Roman" w:hint="default"/>
                <w:sz w:val="18"/>
                <w:szCs w:val="18"/>
              </w:rPr>
            </w:pPr>
            <w:r>
              <w:rPr>
                <w:rFonts w:ascii="Times New Roman"/>
                <w:sz w:val="18"/>
              </w:rPr>
              <w:t>576,212,283.00</w:t>
            </w:r>
          </w:p>
        </w:tc>
      </w:tr>
      <w:tr>
        <w:trPr>
          <w:trHeight w:val="34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0.00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0"/>
              <w:jc w:val="right"/>
              <w:rPr>
                <w:rFonts w:ascii="Times New Roman" w:hAnsi="Times New Roman" w:cs="Times New Roman" w:eastAsia="Times New Roman" w:hint="default"/>
                <w:sz w:val="18"/>
                <w:szCs w:val="18"/>
              </w:rPr>
            </w:pPr>
            <w:r>
              <w:rPr>
                <w:rFonts w:ascii="Times New Roman"/>
                <w:sz w:val="18"/>
              </w:rPr>
              <w:t>0.00</w:t>
            </w:r>
          </w:p>
        </w:tc>
        <w:tc>
          <w:tcPr>
            <w:tcW w:w="2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6"/>
              <w:jc w:val="right"/>
              <w:rPr>
                <w:rFonts w:ascii="Times New Roman" w:hAnsi="Times New Roman" w:cs="Times New Roman" w:eastAsia="Times New Roman" w:hint="default"/>
                <w:sz w:val="18"/>
                <w:szCs w:val="18"/>
              </w:rPr>
            </w:pPr>
            <w:r>
              <w:rPr>
                <w:rFonts w:ascii="Times New Roman"/>
                <w:sz w:val="18"/>
              </w:rPr>
              <w:t>3,985,715,834.00</w:t>
            </w:r>
          </w:p>
        </w:tc>
        <w:tc>
          <w:tcPr>
            <w:tcW w:w="2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
              <w:jc w:val="right"/>
              <w:rPr>
                <w:rFonts w:ascii="Times New Roman" w:hAnsi="Times New Roman" w:cs="Times New Roman" w:eastAsia="Times New Roman" w:hint="default"/>
                <w:sz w:val="18"/>
                <w:szCs w:val="18"/>
              </w:rPr>
            </w:pPr>
            <w:r>
              <w:rPr>
                <w:rFonts w:ascii="Times New Roman"/>
                <w:sz w:val="18"/>
              </w:rPr>
              <w:t>3,985,715,834.00</w:t>
            </w:r>
          </w:p>
        </w:tc>
      </w:tr>
    </w:tbl>
    <w:p>
      <w:pPr>
        <w:spacing w:line="240" w:lineRule="auto" w:before="9"/>
        <w:rPr>
          <w:rFonts w:ascii="宋体" w:hAnsi="宋体" w:cs="宋体" w:eastAsia="宋体" w:hint="default"/>
          <w:sz w:val="20"/>
          <w:szCs w:val="20"/>
        </w:rPr>
      </w:pPr>
    </w:p>
    <w:p>
      <w:pPr>
        <w:spacing w:line="626" w:lineRule="auto" w:before="44"/>
        <w:ind w:left="501" w:right="7509" w:hanging="361"/>
        <w:jc w:val="left"/>
        <w:rPr>
          <w:rFonts w:ascii="宋体" w:hAnsi="宋体" w:cs="宋体" w:eastAsia="宋体" w:hint="default"/>
          <w:sz w:val="18"/>
          <w:szCs w:val="18"/>
        </w:rPr>
      </w:pPr>
      <w:r>
        <w:rPr>
          <w:rFonts w:ascii="宋体" w:hAnsi="宋体" w:cs="宋体" w:eastAsia="宋体" w:hint="default"/>
          <w:b/>
          <w:bCs/>
          <w:sz w:val="18"/>
          <w:szCs w:val="18"/>
        </w:rPr>
        <w:t>1.</w:t>
      </w:r>
      <w:r>
        <w:rPr>
          <w:rFonts w:ascii="宋体" w:hAnsi="宋体" w:cs="宋体" w:eastAsia="宋体" w:hint="default"/>
          <w:b/>
          <w:bCs/>
          <w:spacing w:val="89"/>
          <w:sz w:val="18"/>
          <w:szCs w:val="18"/>
        </w:rPr>
        <w:t> </w:t>
      </w:r>
      <w:r>
        <w:rPr>
          <w:rFonts w:ascii="宋体" w:hAnsi="宋体" w:cs="宋体" w:eastAsia="宋体" w:hint="default"/>
          <w:b/>
          <w:bCs/>
          <w:sz w:val="18"/>
          <w:szCs w:val="18"/>
        </w:rPr>
        <w:t>金融资产转移</w:t>
      </w:r>
      <w:r>
        <w:rPr>
          <w:rFonts w:ascii="宋体" w:hAnsi="宋体" w:cs="宋体" w:eastAsia="宋体" w:hint="default"/>
          <w:b/>
          <w:bCs/>
          <w:w w:val="99"/>
          <w:sz w:val="18"/>
          <w:szCs w:val="18"/>
        </w:rPr>
        <w:t> </w:t>
      </w:r>
      <w:r>
        <w:rPr>
          <w:rFonts w:ascii="宋体" w:hAnsi="宋体" w:cs="宋体" w:eastAsia="宋体" w:hint="default"/>
          <w:sz w:val="18"/>
          <w:szCs w:val="18"/>
        </w:rPr>
      </w:r>
      <w:r>
        <w:rPr>
          <w:rFonts w:ascii="宋体" w:hAnsi="宋体" w:cs="宋体" w:eastAsia="宋体" w:hint="default"/>
          <w:sz w:val="18"/>
          <w:szCs w:val="18"/>
          <w:u w:val="single" w:color="000000"/>
        </w:rPr>
        <w:t>已转移但未整体终止确认的金融资产</w:t>
      </w:r>
      <w:r>
        <w:rPr>
          <w:rFonts w:ascii="宋体" w:hAnsi="宋体" w:cs="宋体" w:eastAsia="宋体" w:hint="default"/>
          <w:sz w:val="18"/>
          <w:szCs w:val="18"/>
        </w:rPr>
      </w:r>
    </w:p>
    <w:p>
      <w:pPr>
        <w:pStyle w:val="BodyText"/>
        <w:spacing w:line="288" w:lineRule="auto" w:before="121"/>
        <w:ind w:right="1106" w:firstLine="360"/>
        <w:jc w:val="both"/>
      </w:pP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日，本集团已贴现给银行的商业承兑汇票的账面价值为人民币</w:t>
      </w:r>
      <w:r>
        <w:rPr>
          <w:rFonts w:ascii="Times New Roman" w:hAnsi="Times New Roman" w:cs="Times New Roman" w:eastAsia="Times New Roman" w:hint="default"/>
        </w:rPr>
        <w:t>305,000,000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日：人民币 </w:t>
      </w:r>
      <w:r>
        <w:rPr>
          <w:rFonts w:ascii="Times New Roman" w:hAnsi="Times New Roman" w:cs="Times New Roman" w:eastAsia="Times New Roman" w:hint="default"/>
        </w:rPr>
        <w:t>185,000,000</w:t>
      </w:r>
      <w:r>
        <w:rPr/>
        <w:t>元</w:t>
      </w:r>
      <w:r>
        <w:rPr>
          <w:rFonts w:ascii="Times New Roman" w:hAnsi="Times New Roman" w:cs="Times New Roman" w:eastAsia="Times New Roman" w:hint="default"/>
        </w:rPr>
        <w:t>)</w:t>
      </w:r>
      <w:r>
        <w:rPr/>
        <w:t>。本集团认为，本集团保留了其几乎所有的风险和报酬，包括与其相关的违约风险，因此，继续全额确认与 </w:t>
      </w:r>
      <w:r>
        <w:rPr>
          <w:spacing w:val="-2"/>
        </w:rPr>
        <w:t>之相关的银行借款。贴现后，本集团不再保留使用该等已贴现的票据的权利，包括将其出售、转让或质押给其他第三方的权</w:t>
      </w:r>
    </w:p>
    <w:p>
      <w:pPr>
        <w:pStyle w:val="BodyText"/>
        <w:spacing w:line="304" w:lineRule="auto" w:before="58"/>
        <w:ind w:right="1156"/>
        <w:jc w:val="both"/>
      </w:pPr>
      <w:r>
        <w:rPr/>
        <w:t>利。于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日，本集团因该等票据贴现获取的银行借款账面价值总计为人民币</w:t>
      </w:r>
      <w:r>
        <w:rPr>
          <w:rFonts w:ascii="Times New Roman" w:hAnsi="Times New Roman" w:cs="Times New Roman" w:eastAsia="Times New Roman" w:hint="default"/>
        </w:rPr>
        <w:t>305,000,000</w:t>
      </w:r>
      <w:r>
        <w:rPr/>
        <w:t>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日：人</w:t>
      </w:r>
      <w:r>
        <w:rPr>
          <w:spacing w:val="-83"/>
        </w:rPr>
        <w:t> </w:t>
      </w:r>
      <w:r>
        <w:rPr/>
        <w:t>民币</w:t>
      </w:r>
      <w:r>
        <w:rPr>
          <w:rFonts w:ascii="Times New Roman" w:hAnsi="Times New Roman" w:cs="Times New Roman" w:eastAsia="Times New Roman" w:hint="default"/>
        </w:rPr>
        <w:t>185,000,000</w:t>
      </w:r>
      <w:r>
        <w:rPr/>
        <w:t>元</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3"/>
          <w:szCs w:val="23"/>
        </w:rPr>
      </w:pPr>
    </w:p>
    <w:p>
      <w:pPr>
        <w:pStyle w:val="BodyText"/>
        <w:spacing w:line="240" w:lineRule="auto"/>
        <w:ind w:left="501" w:right="0"/>
        <w:jc w:val="left"/>
      </w:pPr>
      <w:r>
        <w:rPr/>
        <w:t>本集团无已整体终止确认但继续涉入的已转移金融资产。</w:t>
      </w:r>
    </w:p>
    <w:p>
      <w:pPr>
        <w:spacing w:line="240" w:lineRule="auto" w:before="0"/>
        <w:rPr>
          <w:rFonts w:ascii="宋体" w:hAnsi="宋体" w:cs="宋体" w:eastAsia="宋体" w:hint="default"/>
          <w:sz w:val="18"/>
          <w:szCs w:val="18"/>
        </w:rPr>
      </w:pPr>
    </w:p>
    <w:p>
      <w:pPr>
        <w:pStyle w:val="Heading8"/>
        <w:spacing w:line="240" w:lineRule="auto" w:before="159"/>
        <w:ind w:right="0"/>
        <w:jc w:val="both"/>
        <w:rPr>
          <w:b w:val="0"/>
          <w:bCs w:val="0"/>
        </w:rPr>
      </w:pPr>
      <w:r>
        <w:rPr>
          <w:rFonts w:ascii="Times New Roman" w:hAnsi="Times New Roman" w:cs="Times New Roman" w:eastAsia="Times New Roman" w:hint="default"/>
        </w:rPr>
        <w:t>3.     </w:t>
      </w:r>
      <w:r>
        <w:rPr>
          <w:rFonts w:ascii="Times New Roman" w:hAnsi="Times New Roman" w:cs="Times New Roman" w:eastAsia="Times New Roman" w:hint="default"/>
          <w:spacing w:val="10"/>
        </w:rPr>
        <w:t> </w:t>
      </w:r>
      <w:r>
        <w:rPr/>
        <w:t>金融工具风险</w:t>
      </w:r>
      <w:r>
        <w:rPr>
          <w:b w:val="0"/>
          <w:bCs w:val="0"/>
        </w:rPr>
      </w:r>
    </w:p>
    <w:p>
      <w:pPr>
        <w:spacing w:line="240" w:lineRule="auto" w:before="0"/>
        <w:rPr>
          <w:rFonts w:ascii="宋体" w:hAnsi="宋体" w:cs="宋体" w:eastAsia="宋体" w:hint="default"/>
          <w:b/>
          <w:bCs/>
          <w:sz w:val="18"/>
          <w:szCs w:val="18"/>
        </w:rPr>
      </w:pPr>
    </w:p>
    <w:p>
      <w:pPr>
        <w:pStyle w:val="BodyText"/>
        <w:spacing w:line="314" w:lineRule="auto" w:before="131"/>
        <w:ind w:right="1121"/>
        <w:jc w:val="both"/>
      </w:pPr>
      <w:r>
        <w:rPr>
          <w:spacing w:val="-2"/>
        </w:rPr>
        <w:t>本集团在日常活动中面临各种金融工具的风险，主要包括信用风险和流动性风险。本集团的主要金融工具包括货币资金、借</w:t>
      </w:r>
      <w:r>
        <w:rPr>
          <w:spacing w:val="-75"/>
        </w:rPr>
        <w:t> </w:t>
      </w:r>
      <w:r>
        <w:rPr>
          <w:spacing w:val="-75"/>
        </w:rPr>
      </w:r>
      <w:r>
        <w:rPr>
          <w:spacing w:val="-2"/>
        </w:rPr>
        <w:t>款、应收账款、应付票据、应付账款等。与这些金融工具相关的风险，以及本集团为降低这些风险所采取的风险管理策略如</w:t>
      </w:r>
      <w:r>
        <w:rPr>
          <w:spacing w:val="-57"/>
        </w:rPr>
        <w:t> </w:t>
      </w:r>
      <w:r>
        <w:rPr>
          <w:spacing w:val="-57"/>
        </w:rPr>
      </w:r>
      <w:r>
        <w:rPr/>
        <w:t>下所述。</w:t>
      </w:r>
    </w:p>
    <w:p>
      <w:pPr>
        <w:spacing w:line="240" w:lineRule="auto" w:before="12"/>
        <w:rPr>
          <w:rFonts w:ascii="宋体" w:hAnsi="宋体" w:cs="宋体" w:eastAsia="宋体" w:hint="default"/>
          <w:sz w:val="25"/>
          <w:szCs w:val="25"/>
        </w:rPr>
      </w:pPr>
    </w:p>
    <w:p>
      <w:pPr>
        <w:pStyle w:val="BodyText"/>
        <w:spacing w:line="319" w:lineRule="auto"/>
        <w:ind w:right="1121"/>
        <w:jc w:val="both"/>
      </w:pPr>
      <w:r>
        <w:rPr>
          <w:spacing w:val="-2"/>
        </w:rPr>
        <w:t>董事会负责规划并建立本集团的风险管理架构，制定本集团的风险管理政策和相关指引并监督风险管理措施的执行情况。本</w:t>
      </w:r>
      <w:r>
        <w:rPr>
          <w:spacing w:val="-72"/>
        </w:rPr>
        <w:t> </w:t>
      </w:r>
      <w:r>
        <w:rPr>
          <w:spacing w:val="-72"/>
        </w:rPr>
      </w:r>
      <w:r>
        <w:rPr>
          <w:spacing w:val="-2"/>
        </w:rPr>
        <w:t>集团已制定风险管理政策以识别和分析本集团所面临的风险，这些风险管理政策对特定风险进行了明确规定，涵盖了信用风</w:t>
      </w:r>
      <w:r>
        <w:rPr>
          <w:spacing w:val="-71"/>
        </w:rPr>
        <w:t> </w:t>
      </w:r>
      <w:r>
        <w:rPr>
          <w:spacing w:val="-71"/>
        </w:rPr>
      </w:r>
      <w:r>
        <w:rPr>
          <w:spacing w:val="-2"/>
        </w:rPr>
        <w:t>险和流动性风险管理等诸多方面。本集团定期评估市场环境及本集团经营活动的变化以决定是否对风险管理政策及系统进行</w:t>
      </w:r>
      <w:r>
        <w:rPr>
          <w:spacing w:val="-58"/>
        </w:rPr>
        <w:t> </w:t>
      </w:r>
      <w:r>
        <w:rPr>
          <w:spacing w:val="-58"/>
        </w:rPr>
      </w:r>
      <w:r>
        <w:rPr>
          <w:spacing w:val="-2"/>
        </w:rPr>
        <w:t>更新。本集团的风险管理由风险管理委员会按照董事会批准的政策开展。风险管理委员会通过与本集团其他业务部门的紧密</w:t>
      </w:r>
      <w:r>
        <w:rPr>
          <w:spacing w:val="-72"/>
        </w:rPr>
        <w:t> </w:t>
      </w:r>
      <w:r>
        <w:rPr>
          <w:spacing w:val="-72"/>
        </w:rPr>
      </w:r>
      <w:r>
        <w:rPr>
          <w:spacing w:val="-2"/>
        </w:rPr>
        <w:t>合作来识别、评价和规避相关风险。本集团内部审计部门就风险管理控制及程序进行定期的审核，并将审核结果上报本集团</w:t>
      </w:r>
      <w:r>
        <w:rPr>
          <w:spacing w:val="-75"/>
        </w:rPr>
        <w:t> </w:t>
      </w:r>
      <w:r>
        <w:rPr>
          <w:spacing w:val="-75"/>
        </w:rPr>
      </w:r>
      <w:r>
        <w:rPr/>
        <w:t>的审计委员会。</w:t>
      </w:r>
    </w:p>
    <w:p>
      <w:pPr>
        <w:spacing w:line="240" w:lineRule="auto" w:before="10"/>
        <w:rPr>
          <w:rFonts w:ascii="宋体" w:hAnsi="宋体" w:cs="宋体" w:eastAsia="宋体" w:hint="default"/>
          <w:sz w:val="26"/>
          <w:szCs w:val="26"/>
        </w:rPr>
      </w:pPr>
    </w:p>
    <w:p>
      <w:pPr>
        <w:pStyle w:val="Heading8"/>
        <w:spacing w:line="240" w:lineRule="auto"/>
        <w:ind w:right="0"/>
        <w:jc w:val="both"/>
        <w:rPr>
          <w:b w:val="0"/>
          <w:bCs w:val="0"/>
        </w:rPr>
      </w:pPr>
      <w:r>
        <w:rPr>
          <w:rFonts w:ascii="Times New Roman" w:hAnsi="Times New Roman" w:cs="Times New Roman" w:eastAsia="Times New Roman" w:hint="default"/>
        </w:rPr>
        <w:t>(1) </w:t>
      </w:r>
      <w:r>
        <w:rPr>
          <w:rFonts w:ascii="Times New Roman" w:hAnsi="Times New Roman" w:cs="Times New Roman" w:eastAsia="Times New Roman" w:hint="default"/>
          <w:spacing w:val="12"/>
        </w:rPr>
        <w:t> </w:t>
      </w:r>
      <w:r>
        <w:rPr/>
        <w:t>信用风险</w:t>
      </w:r>
      <w:r>
        <w:rPr>
          <w:b w:val="0"/>
          <w:bCs w:val="0"/>
        </w:rPr>
      </w:r>
    </w:p>
    <w:p>
      <w:pPr>
        <w:pStyle w:val="BodyText"/>
        <w:spacing w:line="321" w:lineRule="auto" w:before="36"/>
        <w:ind w:right="1106" w:firstLine="420"/>
        <w:jc w:val="both"/>
      </w:pPr>
      <w:r>
        <w:rPr/>
        <w:t>本集团仅与经认可的、信誉良好的第三方进行交易。按照本集团的政策，需对所有要求采用信用方式进行交易的客户 </w:t>
      </w:r>
      <w:r>
        <w:rPr>
          <w:spacing w:val="-2"/>
        </w:rPr>
        <w:t>进行信用审核。另外，本集团对应收账款余额进行持续监控，以确保本集团不致面临重大坏账风险。对于未采用相关经营单</w:t>
      </w:r>
      <w:r>
        <w:rPr>
          <w:spacing w:val="-42"/>
        </w:rPr>
        <w:t> </w:t>
      </w:r>
      <w:r>
        <w:rPr>
          <w:spacing w:val="-42"/>
        </w:rPr>
      </w:r>
      <w:r>
        <w:rPr/>
        <w:t>位的记账本位币结算的交易，除非本集团信用控制部门特别批准，否则本集团不提供信用交易条件。</w:t>
      </w:r>
    </w:p>
    <w:p>
      <w:pPr>
        <w:pStyle w:val="BodyText"/>
        <w:spacing w:line="321" w:lineRule="auto" w:before="18"/>
        <w:ind w:left="501" w:right="1133"/>
        <w:jc w:val="left"/>
      </w:pPr>
      <w:r>
        <w:rPr/>
        <w:t>由于货币资金的交易对手是声誉良好并拥有较高信用评级的银行，这些金融工具信用风险较低。 </w:t>
      </w:r>
      <w:r>
        <w:rPr>
          <w:spacing w:val="-2"/>
        </w:rPr>
        <w:t>本集团其他金融资产包括应收账款、其他应收款和长期应收款，这些金融资产的信用风险源自交易对手违约，最大风险</w:t>
      </w:r>
    </w:p>
    <w:p>
      <w:pPr>
        <w:pStyle w:val="BodyText"/>
        <w:spacing w:line="336" w:lineRule="auto" w:before="3"/>
        <w:ind w:left="501" w:right="0" w:hanging="361"/>
        <w:jc w:val="left"/>
      </w:pPr>
      <w:r>
        <w:rPr/>
        <w:t>敞口等于这些工具的账面金额。本集团通过选择信誉良好的第三方进行交易来控制此项风险。</w:t>
      </w:r>
      <w:r>
        <w:rPr>
          <w:spacing w:val="-82"/>
        </w:rPr>
        <w:t> </w:t>
      </w:r>
      <w:r>
        <w:rPr>
          <w:spacing w:val="-82"/>
        </w:rPr>
      </w:r>
      <w:r>
        <w:rPr>
          <w:spacing w:val="-1"/>
        </w:rPr>
        <w:t>由于本集团仅与经认可的且信誉良好的第三方进行交易，所以无需担保物。信用风险集中按照客户</w:t>
      </w:r>
      <w:r>
        <w:rPr>
          <w:rFonts w:ascii="Times New Roman" w:hAnsi="Times New Roman" w:cs="Times New Roman" w:eastAsia="Times New Roman" w:hint="default"/>
          <w:spacing w:val="-1"/>
        </w:rPr>
        <w:t>/</w:t>
      </w:r>
      <w:r>
        <w:rPr>
          <w:spacing w:val="-1"/>
        </w:rPr>
        <w:t>交易对手进行管理。</w:t>
      </w:r>
    </w:p>
    <w:p>
      <w:pPr>
        <w:pStyle w:val="BodyText"/>
        <w:spacing w:line="207" w:lineRule="exact"/>
        <w:ind w:right="0"/>
        <w:jc w:val="both"/>
      </w:pPr>
      <w:r>
        <w:rPr/>
        <w:t>本集团的交易对手均属于零售行业，存在行业集中度风险。本集团对应收账款余额未持有任何担保物或其他信用增级。</w:t>
      </w:r>
    </w:p>
    <w:p>
      <w:pPr>
        <w:spacing w:after="0" w:line="207" w:lineRule="exact"/>
        <w:jc w:val="both"/>
        <w:sectPr>
          <w:pgSz w:w="11910" w:h="16850"/>
          <w:pgMar w:header="731" w:footer="981" w:top="1040" w:bottom="1180" w:left="1000" w:right="0"/>
        </w:sectPr>
      </w:pPr>
    </w:p>
    <w:p>
      <w:pPr>
        <w:spacing w:line="240" w:lineRule="auto" w:before="1"/>
        <w:rPr>
          <w:rFonts w:ascii="宋体" w:hAnsi="宋体" w:cs="宋体" w:eastAsia="宋体" w:hint="default"/>
          <w:sz w:val="26"/>
          <w:szCs w:val="26"/>
        </w:rPr>
      </w:pPr>
    </w:p>
    <w:p>
      <w:pPr>
        <w:pStyle w:val="BodyText"/>
        <w:spacing w:line="321" w:lineRule="auto" w:before="44"/>
        <w:ind w:left="862" w:right="0" w:hanging="361"/>
        <w:jc w:val="left"/>
      </w:pPr>
      <w:r>
        <w:rPr/>
        <w:pict>
          <v:group style="position:absolute;margin-left:93.125pt;margin-top:14.586701pt;width:108.15pt;height:.1pt;mso-position-horizontal-relative:page;mso-position-vertical-relative:paragraph;z-index:-926080" coordorigin="1863,292" coordsize="2163,2">
            <v:shape style="position:absolute;left:1863;top:292;width:2163;height:2" coordorigin="1863,292" coordsize="2163,0" path="m1863,292l4025,292e" filled="false" stroked="true" strokeweight=".75pt" strokecolor="#000000">
              <v:path arrowok="t"/>
            </v:shape>
            <w10:wrap type="none"/>
          </v:group>
        </w:pict>
      </w:r>
      <w:r>
        <w:rPr>
          <w:rFonts w:ascii="宋体" w:hAnsi="宋体" w:cs="宋体" w:eastAsia="宋体" w:hint="default"/>
        </w:rPr>
        <w:t>a. </w:t>
      </w:r>
      <w:r>
        <w:rPr/>
        <w:t>信用风险显著增加判断标准 </w:t>
      </w:r>
      <w:r>
        <w:rPr>
          <w:spacing w:val="-2"/>
        </w:rPr>
        <w:t>本集团在每个资产负债表日评估相关金融工具的信用风险自初始确认后是否已显著增加。在确定信用风险自初始确</w:t>
      </w:r>
    </w:p>
    <w:p>
      <w:pPr>
        <w:pStyle w:val="BodyText"/>
        <w:spacing w:line="316" w:lineRule="auto" w:before="18"/>
        <w:ind w:left="501" w:right="1130"/>
        <w:jc w:val="both"/>
      </w:pPr>
      <w:r>
        <w:rPr>
          <w:spacing w:val="-2"/>
        </w:rPr>
        <w:t>认后是否显著增加时，本集团考虑在无须付出不必要的额外成本或努力即可获得合理且有依据的信息，包括基于本集团</w:t>
      </w:r>
      <w:r>
        <w:rPr>
          <w:spacing w:val="-76"/>
        </w:rPr>
        <w:t> </w:t>
      </w:r>
      <w:r>
        <w:rPr>
          <w:spacing w:val="-76"/>
        </w:rPr>
      </w:r>
      <w:r>
        <w:rPr>
          <w:spacing w:val="-2"/>
        </w:rPr>
        <w:t>历史数据的定性和定量分析、外部信用风险评级以及前瞻性信息。本集团以单项金融工具或者具有相似信用风险特征的</w:t>
      </w:r>
      <w:r>
        <w:rPr>
          <w:spacing w:val="-71"/>
        </w:rPr>
        <w:t> </w:t>
      </w:r>
      <w:r>
        <w:rPr>
          <w:spacing w:val="-71"/>
        </w:rPr>
      </w:r>
      <w:r>
        <w:rPr>
          <w:spacing w:val="-2"/>
        </w:rPr>
        <w:t>金融工具组合为基础，通过比较金融工具在资产负债表日发生违约的风险与在初始确认日发生违约的风险，以确定金融</w:t>
      </w:r>
      <w:r>
        <w:rPr>
          <w:spacing w:val="-76"/>
        </w:rPr>
        <w:t> </w:t>
      </w:r>
      <w:r>
        <w:rPr>
          <w:spacing w:val="-76"/>
        </w:rPr>
      </w:r>
      <w:r>
        <w:rPr/>
        <w:t>工具预计存续期内发生违约风险的变化情况。</w:t>
      </w:r>
    </w:p>
    <w:p>
      <w:pPr>
        <w:spacing w:line="240" w:lineRule="auto" w:before="10"/>
        <w:rPr>
          <w:rFonts w:ascii="宋体" w:hAnsi="宋体" w:cs="宋体" w:eastAsia="宋体" w:hint="default"/>
          <w:sz w:val="25"/>
          <w:szCs w:val="25"/>
        </w:rPr>
      </w:pPr>
    </w:p>
    <w:p>
      <w:pPr>
        <w:pStyle w:val="BodyText"/>
        <w:spacing w:line="240" w:lineRule="auto"/>
        <w:ind w:left="501" w:right="0"/>
        <w:jc w:val="left"/>
      </w:pPr>
      <w:r>
        <w:rPr/>
        <w:t>当触发以下一个或多个定量、定性标准时，本集团认为金融工具的信用风险已发生显著增加：</w:t>
      </w:r>
    </w:p>
    <w:p>
      <w:pPr>
        <w:pStyle w:val="BodyText"/>
        <w:spacing w:line="240" w:lineRule="auto" w:before="79"/>
        <w:ind w:left="74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定量标准主要为报告日剩余存续期违约概率较初始确认时上升超过一定比例；</w:t>
      </w:r>
    </w:p>
    <w:p>
      <w:pPr>
        <w:pStyle w:val="BodyText"/>
        <w:spacing w:line="240" w:lineRule="auto" w:before="66"/>
        <w:ind w:left="74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定性标准主要为债务人经营或财务情况出现重大不利变化、预警客户清单等；</w:t>
      </w:r>
    </w:p>
    <w:p>
      <w:pPr>
        <w:spacing w:line="240" w:lineRule="auto" w:before="0"/>
        <w:rPr>
          <w:rFonts w:ascii="宋体" w:hAnsi="宋体" w:cs="宋体" w:eastAsia="宋体" w:hint="default"/>
          <w:sz w:val="18"/>
          <w:szCs w:val="18"/>
        </w:rPr>
      </w:pPr>
    </w:p>
    <w:p>
      <w:pPr>
        <w:pStyle w:val="BodyText"/>
        <w:spacing w:line="321" w:lineRule="auto" w:before="130"/>
        <w:ind w:left="862" w:right="1128" w:hanging="361"/>
        <w:jc w:val="left"/>
      </w:pPr>
      <w:r>
        <w:rPr>
          <w:rFonts w:ascii="宋体" w:hAnsi="宋体" w:cs="宋体" w:eastAsia="宋体" w:hint="default"/>
        </w:rPr>
        <w:t>a. </w:t>
      </w:r>
      <w:r>
        <w:rPr/>
      </w:r>
      <w:r>
        <w:rPr>
          <w:u w:val="single" w:color="000000"/>
        </w:rPr>
        <w:t>已发生信用减值资产的定义</w:t>
      </w:r>
      <w:r>
        <w:rPr/>
      </w:r>
      <w:r>
        <w:rPr/>
        <w:t> </w:t>
      </w:r>
      <w:r>
        <w:rPr>
          <w:spacing w:val="-2"/>
        </w:rPr>
        <w:t>为确定是否发生信用减值，本集团所采用的界定标准，与内部针对相关金融工具的信用风险管理目标保持一致，同</w:t>
      </w:r>
    </w:p>
    <w:p>
      <w:pPr>
        <w:pStyle w:val="BodyText"/>
        <w:spacing w:line="240" w:lineRule="auto" w:before="3"/>
        <w:ind w:left="501" w:right="0"/>
        <w:jc w:val="left"/>
      </w:pPr>
      <w:r>
        <w:rPr/>
        <w:t>时考虑定量、定性指标。本集团评估债务人是否发生信用减值时，主要考虑以下因素：</w:t>
      </w:r>
    </w:p>
    <w:p>
      <w:pPr>
        <w:pStyle w:val="BodyText"/>
        <w:spacing w:line="240" w:lineRule="auto" w:before="95"/>
        <w:ind w:left="741"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发行方或债务人发生重大财务困难；</w:t>
      </w:r>
    </w:p>
    <w:p>
      <w:pPr>
        <w:pStyle w:val="BodyText"/>
        <w:spacing w:line="240" w:lineRule="auto" w:before="66"/>
        <w:ind w:left="741"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6"/>
        </w:rPr>
        <w:t> </w:t>
      </w:r>
      <w:r>
        <w:rPr/>
        <w:t>债务人违反合同，如偿付利息或本金违约或逾期等；</w:t>
      </w:r>
    </w:p>
    <w:p>
      <w:pPr>
        <w:pStyle w:val="BodyText"/>
        <w:spacing w:line="240" w:lineRule="auto" w:before="66"/>
        <w:ind w:left="741"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16"/>
        </w:rPr>
        <w:t> </w:t>
      </w:r>
      <w:r>
        <w:rPr/>
        <w:t>债权人出于与债务人财务困难有关的经济或合同考虑，给予债务人在任何其他情况下都不会做出的让步；</w:t>
      </w:r>
    </w:p>
    <w:p>
      <w:pPr>
        <w:pStyle w:val="BodyText"/>
        <w:spacing w:line="240" w:lineRule="auto" w:before="66"/>
        <w:ind w:left="741"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16"/>
        </w:rPr>
        <w:t> </w:t>
      </w:r>
      <w:r>
        <w:rPr/>
        <w:t>债务人很可能破产或进行其他财务重组；</w:t>
      </w:r>
    </w:p>
    <w:p>
      <w:pPr>
        <w:pStyle w:val="BodyText"/>
        <w:spacing w:line="240" w:lineRule="auto" w:before="51"/>
        <w:ind w:left="741"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16"/>
        </w:rPr>
        <w:t> </w:t>
      </w:r>
      <w:r>
        <w:rPr/>
        <w:t>发行方或债务人财务困难导致该金融资产的活跃市场消失；</w:t>
      </w:r>
    </w:p>
    <w:p>
      <w:pPr>
        <w:pStyle w:val="BodyText"/>
        <w:spacing w:line="290" w:lineRule="auto" w:before="66"/>
        <w:ind w:left="741" w:right="2769"/>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15"/>
        </w:rPr>
        <w:t> </w:t>
      </w:r>
      <w:r>
        <w:rPr/>
        <w:t>以大幅折扣购买或源生一项金融资产，该折扣反映了发生信用损失的事实。</w:t>
      </w:r>
      <w:r>
        <w:rPr>
          <w:spacing w:val="-86"/>
        </w:rPr>
        <w:t> </w:t>
      </w:r>
      <w:r>
        <w:rPr>
          <w:spacing w:val="-86"/>
        </w:rPr>
      </w:r>
      <w:r>
        <w:rPr/>
        <w:t>金融资产发生信用减值，有可能是多个事件的共同作用所致，未必是可单独识别的事件所致。</w:t>
      </w:r>
    </w:p>
    <w:p>
      <w:pPr>
        <w:spacing w:line="240" w:lineRule="auto" w:before="0"/>
        <w:rPr>
          <w:rFonts w:ascii="宋体" w:hAnsi="宋体" w:cs="宋体" w:eastAsia="宋体" w:hint="default"/>
          <w:sz w:val="18"/>
          <w:szCs w:val="18"/>
        </w:rPr>
      </w:pPr>
    </w:p>
    <w:p>
      <w:pPr>
        <w:pStyle w:val="BodyText"/>
        <w:spacing w:line="321" w:lineRule="auto" w:before="121"/>
        <w:ind w:left="862" w:right="0" w:hanging="601"/>
        <w:jc w:val="left"/>
      </w:pPr>
      <w:r>
        <w:rPr>
          <w:rFonts w:ascii="宋体" w:hAnsi="宋体" w:cs="宋体" w:eastAsia="宋体" w:hint="default"/>
        </w:rPr>
        <w:t>a. </w:t>
      </w:r>
      <w:r>
        <w:rPr/>
      </w:r>
      <w:r>
        <w:rPr>
          <w:u w:val="single" w:color="000000"/>
        </w:rPr>
        <w:t>预期信用损失计量的参数</w:t>
      </w:r>
      <w:r>
        <w:rPr/>
      </w:r>
      <w:r>
        <w:rPr/>
        <w:t> </w:t>
      </w:r>
      <w:r>
        <w:rPr>
          <w:spacing w:val="-2"/>
        </w:rPr>
        <w:t>根据信用风险是否发生显著增加以及是否已发生信用减值，本集团对不同的资产分别以</w:t>
      </w:r>
      <w:r>
        <w:rPr>
          <w:rFonts w:ascii="Times New Roman" w:hAnsi="Times New Roman" w:cs="Times New Roman" w:eastAsia="Times New Roman" w:hint="default"/>
          <w:spacing w:val="-2"/>
        </w:rPr>
        <w:t>12</w:t>
      </w:r>
      <w:r>
        <w:rPr>
          <w:spacing w:val="-2"/>
        </w:rPr>
        <w:t>个月或整个存续期的预期</w:t>
      </w:r>
    </w:p>
    <w:p>
      <w:pPr>
        <w:pStyle w:val="BodyText"/>
        <w:spacing w:line="219" w:lineRule="exact"/>
        <w:ind w:left="501" w:right="0"/>
        <w:jc w:val="left"/>
      </w:pPr>
      <w:r>
        <w:rPr/>
        <w:t>信用损失计量减值准备。预期信用损失计量的关键参数包括违约概率、违约损失率和违约风险敞口。本集团考虑历史统</w:t>
      </w:r>
    </w:p>
    <w:p>
      <w:pPr>
        <w:pStyle w:val="BodyText"/>
        <w:spacing w:line="240" w:lineRule="auto" w:before="80"/>
        <w:ind w:left="501" w:right="0"/>
        <w:jc w:val="left"/>
      </w:pPr>
      <w:r>
        <w:rPr/>
        <w:t>计数据（如还款方式等）的定量分析及前瞻性信息，建立违约概率、违约损失率及违约风险敞口模型。</w:t>
      </w:r>
    </w:p>
    <w:p>
      <w:pPr>
        <w:spacing w:line="240" w:lineRule="auto" w:before="0"/>
        <w:rPr>
          <w:rFonts w:ascii="宋体" w:hAnsi="宋体" w:cs="宋体" w:eastAsia="宋体" w:hint="default"/>
          <w:sz w:val="18"/>
          <w:szCs w:val="18"/>
        </w:rPr>
      </w:pPr>
    </w:p>
    <w:p>
      <w:pPr>
        <w:pStyle w:val="BodyText"/>
        <w:spacing w:line="240" w:lineRule="auto" w:before="159"/>
        <w:ind w:left="501" w:right="0"/>
        <w:jc w:val="left"/>
      </w:pPr>
      <w:r>
        <w:rPr/>
        <w:t>相关定义如下：</w:t>
      </w:r>
    </w:p>
    <w:p>
      <w:pPr>
        <w:pStyle w:val="BodyText"/>
        <w:spacing w:line="290" w:lineRule="auto" w:before="79"/>
        <w:ind w:left="501" w:right="1114" w:firstLine="18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0"/>
        </w:rPr>
        <w:t> </w:t>
      </w:r>
      <w:r>
        <w:rPr/>
        <w:t>违约概率是指债务人在未来</w:t>
      </w:r>
      <w:r>
        <w:rPr>
          <w:rFonts w:ascii="Times New Roman" w:hAnsi="Times New Roman" w:cs="Times New Roman" w:eastAsia="Times New Roman" w:hint="default"/>
        </w:rPr>
        <w:t>12</w:t>
      </w:r>
      <w:r>
        <w:rPr/>
        <w:t>个月或在整个剩余存续期，无法履行其偿付义务的可能性。本集团的违约概率以信</w:t>
      </w:r>
      <w:r>
        <w:rPr>
          <w:w w:val="99"/>
        </w:rPr>
        <w:t> </w:t>
      </w:r>
      <w:r>
        <w:rPr/>
        <w:t>贷损失模型结果为基础进行调整，加入前瞻性信息，以反映当前宏观经济环境下债务人违约概率；</w:t>
      </w:r>
    </w:p>
    <w:p>
      <w:pPr>
        <w:pStyle w:val="BodyText"/>
        <w:spacing w:line="297" w:lineRule="auto" w:before="56"/>
        <w:ind w:left="501" w:right="1105" w:firstLine="18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4"/>
        </w:rPr>
        <w:t> </w:t>
      </w:r>
      <w:r>
        <w:rPr/>
        <w:t>违约损失率是指本集团对违约风险暴露发生损失程度作出的预期。根据交易对手的类型、追索的方式和优先级，</w:t>
      </w:r>
      <w:r>
        <w:rPr>
          <w:w w:val="99"/>
        </w:rPr>
        <w:t> </w:t>
      </w:r>
      <w:r>
        <w:rPr>
          <w:spacing w:val="-2"/>
        </w:rPr>
        <w:t>违约损失率也有所不同。违约损失率为违约发生时风险敞口损失的百分比，以未来</w:t>
      </w:r>
      <w:r>
        <w:rPr>
          <w:rFonts w:ascii="Times New Roman" w:hAnsi="Times New Roman" w:cs="Times New Roman" w:eastAsia="Times New Roman" w:hint="default"/>
          <w:spacing w:val="-2"/>
        </w:rPr>
        <w:t>12</w:t>
      </w:r>
      <w:r>
        <w:rPr>
          <w:spacing w:val="-2"/>
        </w:rPr>
        <w:t>个月内或整个存续期为基准进行计</w:t>
      </w:r>
      <w:r>
        <w:rPr>
          <w:spacing w:val="-67"/>
        </w:rPr>
        <w:t> </w:t>
      </w:r>
      <w:r>
        <w:rPr/>
        <w:t>算；</w:t>
      </w:r>
    </w:p>
    <w:p>
      <w:pPr>
        <w:pStyle w:val="BodyText"/>
        <w:spacing w:line="290" w:lineRule="auto" w:before="36"/>
        <w:ind w:left="862" w:right="0" w:hanging="181"/>
        <w:jc w:val="left"/>
      </w:pPr>
      <w:r>
        <w:rPr>
          <w:rFonts w:ascii="Times New Roman" w:hAnsi="Times New Roman" w:cs="Times New Roman" w:eastAsia="Times New Roman" w:hint="default"/>
        </w:rPr>
        <w:t>(3) </w:t>
      </w:r>
      <w:r>
        <w:rPr/>
        <w:t>违约风险敞口是指，在未来</w:t>
      </w:r>
      <w:r>
        <w:rPr>
          <w:rFonts w:ascii="Times New Roman" w:hAnsi="Times New Roman" w:cs="Times New Roman" w:eastAsia="Times New Roman" w:hint="default"/>
        </w:rPr>
        <w:t>12</w:t>
      </w:r>
      <w:r>
        <w:rPr/>
        <w:t>个月或在整个剩余存续期中，在违约发生时，本集团应被偿付的金额。</w:t>
      </w:r>
      <w:r>
        <w:rPr>
          <w:w w:val="99"/>
        </w:rPr>
        <w:t> </w:t>
      </w:r>
      <w:r>
        <w:rPr>
          <w:spacing w:val="-2"/>
        </w:rPr>
        <w:t>信用风险显著增加的评估及预期信用损失的计算均涉及前瞻性信息。本集团通过进行历史数据分析，识别出影响各</w:t>
      </w:r>
    </w:p>
    <w:p>
      <w:pPr>
        <w:pStyle w:val="BodyText"/>
        <w:spacing w:line="321" w:lineRule="auto" w:before="41"/>
        <w:ind w:left="862" w:right="0" w:hanging="361"/>
        <w:jc w:val="left"/>
      </w:pPr>
      <w:r>
        <w:rPr/>
        <w:t>业务类型信用风险及预期信用损失的关键经济指标。 </w:t>
      </w:r>
      <w:r>
        <w:rPr>
          <w:spacing w:val="-4"/>
        </w:rPr>
        <w:t>这些经济指标对违约概率和违约损失率的影响，对不同的业务类型有所不同。本集团在此过程中参考了权威预测值，</w:t>
      </w:r>
    </w:p>
    <w:p>
      <w:pPr>
        <w:pStyle w:val="BodyText"/>
        <w:spacing w:line="240" w:lineRule="auto" w:before="18"/>
        <w:ind w:left="501" w:right="0"/>
        <w:jc w:val="left"/>
      </w:pPr>
      <w:r>
        <w:rPr/>
        <w:t>根据其结果，对这些经济指标进行预测，并确定这些经济指标对违约概率和违约损失率的影响。</w:t>
      </w:r>
    </w:p>
    <w:p>
      <w:pPr>
        <w:spacing w:line="240" w:lineRule="auto" w:before="0"/>
        <w:rPr>
          <w:rFonts w:ascii="宋体" w:hAnsi="宋体" w:cs="宋体" w:eastAsia="宋体" w:hint="default"/>
          <w:sz w:val="18"/>
          <w:szCs w:val="18"/>
        </w:rPr>
      </w:pPr>
    </w:p>
    <w:p>
      <w:pPr>
        <w:pStyle w:val="BodyText"/>
        <w:spacing w:line="240" w:lineRule="auto" w:before="144"/>
        <w:ind w:right="0"/>
        <w:jc w:val="left"/>
      </w:pPr>
      <w:r>
        <w:rPr>
          <w:rFonts w:ascii="宋体" w:hAnsi="宋体" w:cs="宋体" w:eastAsia="宋体" w:hint="default"/>
        </w:rPr>
        <w:t>a.  </w:t>
      </w:r>
      <w:r>
        <w:rPr/>
      </w:r>
      <w:r>
        <w:rPr>
          <w:u w:val="single" w:color="000000"/>
        </w:rPr>
        <w:t>信用风险敞口</w:t>
      </w:r>
      <w:r>
        <w:rPr/>
      </w:r>
    </w:p>
    <w:p>
      <w:pPr>
        <w:pStyle w:val="BodyText"/>
        <w:spacing w:line="304" w:lineRule="auto" w:before="95"/>
        <w:ind w:left="381" w:right="1239" w:firstLine="360"/>
        <w:jc w:val="left"/>
      </w:pPr>
      <w:r>
        <w:rPr/>
        <w:t>本集团应收账款、其他应收款、一年内到期的非流动资产及长期应收款的年末风险矩阵模型参见附注七、</w:t>
      </w:r>
      <w:r>
        <w:rPr>
          <w:rFonts w:ascii="Times New Roman" w:hAnsi="Times New Roman" w:cs="Times New Roman" w:eastAsia="Times New Roman" w:hint="default"/>
        </w:rPr>
        <w:t>2</w:t>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6 </w:t>
      </w:r>
      <w:r>
        <w:rPr/>
        <w:t>及</w:t>
      </w:r>
      <w:r>
        <w:rPr>
          <w:rFonts w:ascii="Times New Roman" w:hAnsi="Times New Roman" w:cs="Times New Roman" w:eastAsia="Times New Roman" w:hint="default"/>
        </w:rPr>
        <w:t>8</w:t>
      </w:r>
      <w:r>
        <w:rPr/>
        <w:t>。</w:t>
      </w:r>
    </w:p>
    <w:p>
      <w:pPr>
        <w:spacing w:line="240" w:lineRule="auto" w:before="12"/>
        <w:rPr>
          <w:rFonts w:ascii="宋体" w:hAnsi="宋体" w:cs="宋体" w:eastAsia="宋体" w:hint="default"/>
          <w:sz w:val="23"/>
          <w:szCs w:val="23"/>
        </w:rPr>
      </w:pPr>
    </w:p>
    <w:p>
      <w:pPr>
        <w:pStyle w:val="Heading8"/>
        <w:spacing w:line="240" w:lineRule="auto"/>
        <w:ind w:left="741" w:right="0"/>
        <w:jc w:val="left"/>
        <w:rPr>
          <w:b w:val="0"/>
          <w:bCs w:val="0"/>
        </w:rPr>
      </w:pPr>
      <w:r>
        <w:rPr>
          <w:rFonts w:ascii="Times New Roman" w:hAnsi="Times New Roman" w:cs="Times New Roman" w:eastAsia="Times New Roman" w:hint="default"/>
        </w:rPr>
        <w:t>(2)</w:t>
      </w:r>
      <w:r>
        <w:rPr>
          <w:rFonts w:ascii="Times New Roman" w:hAnsi="Times New Roman" w:cs="Times New Roman" w:eastAsia="Times New Roman" w:hint="default"/>
          <w:spacing w:val="26"/>
        </w:rPr>
        <w:t> </w:t>
      </w:r>
      <w:r>
        <w:rPr/>
        <w:t>流动性风险</w:t>
      </w:r>
      <w:r>
        <w:rPr>
          <w:b w:val="0"/>
          <w:bCs w:val="0"/>
        </w:rPr>
      </w:r>
    </w:p>
    <w:p>
      <w:pPr>
        <w:spacing w:after="0" w:line="240" w:lineRule="auto"/>
        <w:jc w:val="left"/>
        <w:sectPr>
          <w:pgSz w:w="11910" w:h="16850"/>
          <w:pgMar w:header="731" w:footer="981" w:top="1040" w:bottom="1180" w:left="1000" w:right="0"/>
        </w:sectPr>
      </w:pPr>
    </w:p>
    <w:p>
      <w:pPr>
        <w:spacing w:line="240" w:lineRule="auto" w:before="1"/>
        <w:rPr>
          <w:rFonts w:ascii="宋体" w:hAnsi="宋体" w:cs="宋体" w:eastAsia="宋体" w:hint="default"/>
          <w:b/>
          <w:bCs/>
          <w:sz w:val="26"/>
          <w:szCs w:val="26"/>
        </w:rPr>
      </w:pPr>
    </w:p>
    <w:p>
      <w:pPr>
        <w:pStyle w:val="BodyText"/>
        <w:spacing w:line="321" w:lineRule="auto" w:before="44"/>
        <w:ind w:left="381" w:right="1149" w:firstLine="360"/>
        <w:jc w:val="left"/>
      </w:pPr>
      <w:r>
        <w:rPr/>
        <w:t>本集团采用循环流动性计划工具管理资金短缺风险。该工具既考虑其金融工具的到期日，也考虑本集团运营产生的 预计现金流量。</w:t>
      </w:r>
    </w:p>
    <w:p>
      <w:pPr>
        <w:pStyle w:val="BodyText"/>
        <w:spacing w:line="290" w:lineRule="auto" w:before="33"/>
        <w:ind w:left="381" w:right="0" w:firstLine="360"/>
        <w:jc w:val="left"/>
      </w:pPr>
      <w:r>
        <w:rPr>
          <w:spacing w:val="-1"/>
        </w:rPr>
        <w:t>本集团的目标是运用银行借款和票据贴现等多种融资手段以保持融资的持续性与灵活性的平衡。于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t> 本集团</w:t>
      </w:r>
      <w:r>
        <w:rPr>
          <w:rFonts w:ascii="Times New Roman" w:hAnsi="Times New Roman" w:cs="Times New Roman" w:eastAsia="Times New Roman" w:hint="default"/>
        </w:rPr>
        <w:t>100%(2018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100%)</w:t>
      </w:r>
      <w:r>
        <w:rPr/>
        <w:t>的债务在不足</w:t>
      </w:r>
      <w:r>
        <w:rPr>
          <w:rFonts w:ascii="Times New Roman" w:hAnsi="Times New Roman" w:cs="Times New Roman" w:eastAsia="Times New Roman" w:hint="default"/>
        </w:rPr>
        <w:t>1</w:t>
      </w:r>
      <w:r>
        <w:rPr/>
        <w:t>年内到期。</w:t>
      </w:r>
    </w:p>
    <w:p>
      <w:pPr>
        <w:pStyle w:val="BodyText"/>
        <w:spacing w:line="240" w:lineRule="auto" w:before="9"/>
        <w:ind w:left="741" w:right="0"/>
        <w:jc w:val="left"/>
      </w:pPr>
      <w:r>
        <w:rPr/>
        <w:t>下表概括了金融负债按未折现的合同现金流量所作的到期期限分析：</w:t>
      </w:r>
    </w:p>
    <w:p>
      <w:pPr>
        <w:spacing w:line="240" w:lineRule="auto" w:before="1"/>
        <w:rPr>
          <w:rFonts w:ascii="宋体" w:hAnsi="宋体" w:cs="宋体" w:eastAsia="宋体" w:hint="default"/>
          <w:sz w:val="6"/>
          <w:szCs w:val="6"/>
        </w:rPr>
      </w:pPr>
    </w:p>
    <w:tbl>
      <w:tblPr>
        <w:tblW w:w="0" w:type="auto"/>
        <w:jc w:val="left"/>
        <w:tblInd w:w="126" w:type="dxa"/>
        <w:tblLayout w:type="fixed"/>
        <w:tblCellMar>
          <w:top w:w="0" w:type="dxa"/>
          <w:left w:w="0" w:type="dxa"/>
          <w:bottom w:w="0" w:type="dxa"/>
          <w:right w:w="0" w:type="dxa"/>
        </w:tblCellMar>
        <w:tblLook w:val="01E0"/>
      </w:tblPr>
      <w:tblGrid>
        <w:gridCol w:w="1247"/>
        <w:gridCol w:w="1697"/>
        <w:gridCol w:w="1998"/>
        <w:gridCol w:w="1547"/>
        <w:gridCol w:w="2042"/>
      </w:tblGrid>
      <w:tr>
        <w:trPr>
          <w:trHeight w:val="346" w:hRule="exact"/>
        </w:trPr>
        <w:tc>
          <w:tcPr>
            <w:tcW w:w="124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4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个月以内</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个月以上至</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2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年以上至</w:t>
            </w:r>
            <w:r>
              <w:rPr>
                <w:rFonts w:ascii="Times New Roman" w:hAnsi="Times New Roman" w:cs="Times New Roman" w:eastAsia="Times New Roman" w:hint="default"/>
                <w:sz w:val="18"/>
                <w:szCs w:val="18"/>
              </w:rPr>
              <w:t>5</w:t>
            </w:r>
            <w:r>
              <w:rPr>
                <w:rFonts w:ascii="宋体" w:hAnsi="宋体" w:cs="宋体" w:eastAsia="宋体" w:hint="default"/>
                <w:sz w:val="18"/>
                <w:szCs w:val="18"/>
              </w:rPr>
              <w:t>年</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35"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875,873,572.00</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327,602,515.00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1,203,476,087.00</w:t>
            </w:r>
          </w:p>
        </w:tc>
      </w:tr>
      <w:tr>
        <w:trPr>
          <w:trHeight w:val="42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35" w:lineRule="exact"/>
              <w:ind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522,749,984.00</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725,959,718.00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1,248,709,602.00</w:t>
            </w:r>
          </w:p>
        </w:tc>
      </w:tr>
      <w:tr>
        <w:trPr>
          <w:trHeight w:val="436"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
              <w:ind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665,616,300.00</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323,979,533.00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989,595,833.00</w:t>
            </w:r>
          </w:p>
        </w:tc>
      </w:tr>
      <w:tr>
        <w:trPr>
          <w:trHeight w:val="42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273,779,654.00</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267,539,508.00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34,893,121.00</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576,212,283.00</w:t>
            </w:r>
          </w:p>
        </w:tc>
      </w:tr>
      <w:tr>
        <w:trPr>
          <w:trHeight w:val="421"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
              <w:ind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2,338,019,510.00</w:t>
            </w:r>
          </w:p>
        </w:tc>
        <w:tc>
          <w:tcPr>
            <w:tcW w:w="19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1,645,081,274.00</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4"/>
              <w:jc w:val="right"/>
              <w:rPr>
                <w:rFonts w:ascii="Times New Roman" w:hAnsi="Times New Roman" w:cs="Times New Roman" w:eastAsia="Times New Roman" w:hint="default"/>
                <w:sz w:val="18"/>
                <w:szCs w:val="18"/>
              </w:rPr>
            </w:pPr>
            <w:r>
              <w:rPr>
                <w:rFonts w:ascii="Times New Roman"/>
                <w:sz w:val="18"/>
              </w:rPr>
              <w:t>34,893,121.00</w:t>
            </w:r>
          </w:p>
        </w:tc>
        <w:tc>
          <w:tcPr>
            <w:tcW w:w="20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right="1"/>
              <w:jc w:val="right"/>
              <w:rPr>
                <w:rFonts w:ascii="Times New Roman" w:hAnsi="Times New Roman" w:cs="Times New Roman" w:eastAsia="Times New Roman" w:hint="default"/>
                <w:sz w:val="18"/>
                <w:szCs w:val="18"/>
              </w:rPr>
            </w:pPr>
            <w:r>
              <w:rPr>
                <w:rFonts w:ascii="Times New Roman"/>
                <w:sz w:val="18"/>
              </w:rPr>
              <w:t>4,017,993,805.00</w:t>
            </w:r>
          </w:p>
        </w:tc>
      </w:tr>
    </w:tbl>
    <w:p>
      <w:pPr>
        <w:spacing w:line="240" w:lineRule="auto" w:before="11"/>
        <w:rPr>
          <w:rFonts w:ascii="宋体" w:hAnsi="宋体" w:cs="宋体" w:eastAsia="宋体" w:hint="default"/>
          <w:sz w:val="21"/>
          <w:szCs w:val="21"/>
        </w:rPr>
      </w:pPr>
    </w:p>
    <w:p>
      <w:pPr>
        <w:pStyle w:val="BodyText"/>
        <w:tabs>
          <w:tab w:pos="561" w:val="left" w:leader="none"/>
        </w:tabs>
        <w:spacing w:line="288" w:lineRule="auto" w:before="44"/>
        <w:ind w:left="741" w:right="1160" w:hanging="601"/>
        <w:jc w:val="left"/>
      </w:pPr>
      <w:r>
        <w:rPr>
          <w:rFonts w:ascii="Times New Roman" w:hAnsi="Times New Roman" w:cs="Times New Roman" w:eastAsia="Times New Roman" w:hint="default"/>
          <w:b/>
          <w:bCs/>
        </w:rPr>
        <w:t>4.</w:t>
        <w:tab/>
      </w:r>
      <w:r>
        <w:rPr>
          <w:rFonts w:ascii="宋体" w:hAnsi="宋体" w:cs="宋体" w:eastAsia="宋体" w:hint="default"/>
          <w:b/>
          <w:bCs/>
        </w:rPr>
        <w:t>资本管理</w:t>
      </w:r>
      <w:r>
        <w:rPr>
          <w:rFonts w:ascii="宋体" w:hAnsi="宋体" w:cs="宋体" w:eastAsia="宋体" w:hint="default"/>
          <w:b/>
          <w:bCs/>
          <w:w w:val="99"/>
        </w:rPr>
        <w:t> </w:t>
      </w:r>
      <w:r>
        <w:rPr/>
        <w:t>本集团资本管理的主要目标是确保本集团持续经营的能力，并保持健康的资本比率，以支持业务发展并使股东价值</w:t>
      </w:r>
    </w:p>
    <w:p>
      <w:pPr>
        <w:pStyle w:val="BodyText"/>
        <w:spacing w:line="240" w:lineRule="auto" w:before="44"/>
        <w:ind w:left="381" w:right="0"/>
        <w:jc w:val="left"/>
      </w:pPr>
      <w:r>
        <w:rPr/>
        <w:t>最大化。</w:t>
      </w:r>
    </w:p>
    <w:p>
      <w:pPr>
        <w:pStyle w:val="BodyText"/>
        <w:spacing w:line="304" w:lineRule="auto" w:before="79"/>
        <w:ind w:left="381" w:right="1156" w:firstLine="360"/>
        <w:jc w:val="both"/>
      </w:pPr>
      <w:r>
        <w:rPr/>
        <w:t>本集团根据经济形势以及相关资产的风险特征的变化管理资本结构并对其进行调整。为维持或调整资本结构，本集 团可以调整对股东的利润分配、向股东归还资本或发行新股。本集团不受外部强制性资本要求约束。</w:t>
      </w:r>
      <w:r>
        <w:rPr>
          <w:rFonts w:ascii="Times New Roman" w:hAnsi="Times New Roman" w:cs="Times New Roman" w:eastAsia="Times New Roman" w:hint="default"/>
        </w:rPr>
        <w:t>2019</w:t>
      </w:r>
      <w:r>
        <w:rPr/>
        <w:t>年度和</w:t>
      </w:r>
      <w:r>
        <w:rPr>
          <w:rFonts w:ascii="Times New Roman" w:hAnsi="Times New Roman" w:cs="Times New Roman" w:eastAsia="Times New Roman" w:hint="default"/>
        </w:rPr>
        <w:t>2018</w:t>
      </w:r>
      <w:r>
        <w:rPr/>
        <w:t>年</w:t>
      </w:r>
      <w:r>
        <w:rPr>
          <w:spacing w:val="-79"/>
        </w:rPr>
        <w:t> </w:t>
      </w:r>
      <w:r>
        <w:rPr/>
        <w:t>度，资本管理目标、政策或程序未发生变化。</w:t>
      </w:r>
    </w:p>
    <w:p>
      <w:pPr>
        <w:pStyle w:val="BodyText"/>
        <w:spacing w:line="643" w:lineRule="auto" w:before="31"/>
        <w:ind w:left="741" w:right="4209"/>
        <w:jc w:val="left"/>
      </w:pPr>
      <w:r>
        <w:rPr/>
        <w:t>本集团采用资产负债比率来管理资本，此比率按照总负债除以总资产计算。 本集团于资产负债表日的资产负债比率如下：</w:t>
      </w:r>
    </w:p>
    <w:p>
      <w:pPr>
        <w:spacing w:line="240" w:lineRule="auto" w:before="6"/>
        <w:rPr>
          <w:rFonts w:ascii="宋体" w:hAnsi="宋体" w:cs="宋体" w:eastAsia="宋体" w:hint="default"/>
          <w:sz w:val="12"/>
          <w:szCs w:val="12"/>
        </w:rPr>
      </w:pPr>
    </w:p>
    <w:tbl>
      <w:tblPr>
        <w:tblW w:w="0" w:type="auto"/>
        <w:jc w:val="left"/>
        <w:tblInd w:w="186" w:type="dxa"/>
        <w:tblLayout w:type="fixed"/>
        <w:tblCellMar>
          <w:top w:w="0" w:type="dxa"/>
          <w:left w:w="0" w:type="dxa"/>
          <w:bottom w:w="0" w:type="dxa"/>
          <w:right w:w="0" w:type="dxa"/>
        </w:tblCellMar>
        <w:tblLook w:val="01E0"/>
      </w:tblPr>
      <w:tblGrid>
        <w:gridCol w:w="3559"/>
        <w:gridCol w:w="3568"/>
        <w:gridCol w:w="1344"/>
      </w:tblGrid>
      <w:tr>
        <w:trPr>
          <w:trHeight w:val="252" w:hRule="exact"/>
        </w:trPr>
        <w:tc>
          <w:tcPr>
            <w:tcW w:w="3559" w:type="dxa"/>
            <w:tcBorders>
              <w:top w:val="nil" w:sz="6" w:space="0" w:color="auto"/>
              <w:left w:val="nil" w:sz="6" w:space="0" w:color="auto"/>
              <w:bottom w:val="single" w:sz="6" w:space="0" w:color="000000"/>
              <w:right w:val="nil" w:sz="6" w:space="0" w:color="auto"/>
            </w:tcBorders>
          </w:tcPr>
          <w:p>
            <w:pPr/>
          </w:p>
        </w:tc>
        <w:tc>
          <w:tcPr>
            <w:tcW w:w="3568" w:type="dxa"/>
            <w:tcBorders>
              <w:top w:val="nil" w:sz="6" w:space="0" w:color="auto"/>
              <w:left w:val="nil" w:sz="6" w:space="0" w:color="auto"/>
              <w:bottom w:val="single" w:sz="6" w:space="0" w:color="000000"/>
              <w:right w:val="nil" w:sz="6" w:space="0" w:color="auto"/>
            </w:tcBorders>
          </w:tcPr>
          <w:p>
            <w:pPr>
              <w:pStyle w:val="TableParagraph"/>
              <w:spacing w:line="194" w:lineRule="exact"/>
              <w:ind w:right="771"/>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p>
        </w:tc>
        <w:tc>
          <w:tcPr>
            <w:tcW w:w="1344" w:type="dxa"/>
            <w:tcBorders>
              <w:top w:val="nil" w:sz="6" w:space="0" w:color="auto"/>
              <w:left w:val="nil" w:sz="6" w:space="0" w:color="auto"/>
              <w:bottom w:val="single" w:sz="6" w:space="0" w:color="000000"/>
              <w:right w:val="nil" w:sz="6" w:space="0" w:color="auto"/>
            </w:tcBorders>
          </w:tcPr>
          <w:p>
            <w:pPr>
              <w:pStyle w:val="TableParagraph"/>
              <w:spacing w:line="194" w:lineRule="exact"/>
              <w:ind w:right="29"/>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p>
        </w:tc>
      </w:tr>
      <w:tr>
        <w:trPr>
          <w:trHeight w:val="361" w:hRule="exact"/>
        </w:trPr>
        <w:tc>
          <w:tcPr>
            <w:tcW w:w="3559" w:type="dxa"/>
            <w:tcBorders>
              <w:top w:val="single" w:sz="6" w:space="0" w:color="000000"/>
              <w:left w:val="nil" w:sz="6" w:space="0" w:color="auto"/>
              <w:bottom w:val="single" w:sz="6" w:space="0" w:color="000000"/>
              <w:right w:val="nil" w:sz="6" w:space="0" w:color="auto"/>
            </w:tcBorders>
          </w:tcPr>
          <w:p>
            <w:pPr>
              <w:pStyle w:val="TableParagraph"/>
              <w:spacing w:line="240" w:lineRule="auto" w:before="15"/>
              <w:ind w:left="15" w:right="0"/>
              <w:jc w:val="left"/>
              <w:rPr>
                <w:rFonts w:ascii="宋体" w:hAnsi="宋体" w:cs="宋体" w:eastAsia="宋体" w:hint="default"/>
                <w:sz w:val="18"/>
                <w:szCs w:val="18"/>
              </w:rPr>
            </w:pPr>
            <w:r>
              <w:rPr>
                <w:rFonts w:ascii="宋体" w:hAnsi="宋体" w:cs="宋体" w:eastAsia="宋体" w:hint="default"/>
                <w:sz w:val="18"/>
                <w:szCs w:val="18"/>
              </w:rPr>
              <w:t>资产负债比率</w:t>
            </w:r>
          </w:p>
        </w:tc>
        <w:tc>
          <w:tcPr>
            <w:tcW w:w="3568" w:type="dxa"/>
            <w:tcBorders>
              <w:top w:val="single" w:sz="6" w:space="0" w:color="000000"/>
              <w:left w:val="nil" w:sz="6" w:space="0" w:color="auto"/>
              <w:bottom w:val="single" w:sz="6" w:space="0" w:color="000000"/>
              <w:right w:val="nil" w:sz="6" w:space="0" w:color="auto"/>
            </w:tcBorders>
          </w:tcPr>
          <w:p>
            <w:pPr>
              <w:pStyle w:val="TableParagraph"/>
              <w:spacing w:line="240" w:lineRule="auto" w:before="72"/>
              <w:ind w:right="771"/>
              <w:jc w:val="right"/>
              <w:rPr>
                <w:rFonts w:ascii="Times New Roman" w:hAnsi="Times New Roman" w:cs="Times New Roman" w:eastAsia="Times New Roman" w:hint="default"/>
                <w:sz w:val="18"/>
                <w:szCs w:val="18"/>
              </w:rPr>
            </w:pPr>
            <w:r>
              <w:rPr>
                <w:rFonts w:ascii="Times New Roman"/>
                <w:sz w:val="18"/>
              </w:rPr>
              <w:t>68%</w:t>
            </w:r>
          </w:p>
        </w:tc>
        <w:tc>
          <w:tcPr>
            <w:tcW w:w="1344" w:type="dxa"/>
            <w:tcBorders>
              <w:top w:val="single" w:sz="6" w:space="0" w:color="000000"/>
              <w:left w:val="nil" w:sz="6" w:space="0" w:color="auto"/>
              <w:bottom w:val="single" w:sz="6" w:space="0" w:color="000000"/>
              <w:right w:val="nil" w:sz="6" w:space="0" w:color="auto"/>
            </w:tcBorders>
          </w:tcPr>
          <w:p>
            <w:pPr>
              <w:pStyle w:val="TableParagraph"/>
              <w:spacing w:line="240" w:lineRule="auto" w:before="72"/>
              <w:ind w:right="28"/>
              <w:jc w:val="right"/>
              <w:rPr>
                <w:rFonts w:ascii="Times New Roman" w:hAnsi="Times New Roman" w:cs="Times New Roman" w:eastAsia="Times New Roman" w:hint="default"/>
                <w:sz w:val="18"/>
                <w:szCs w:val="18"/>
              </w:rPr>
            </w:pPr>
            <w:r>
              <w:rPr>
                <w:rFonts w:ascii="Times New Roman"/>
                <w:sz w:val="18"/>
              </w:rPr>
              <w:t>60%</w:t>
            </w:r>
          </w:p>
        </w:tc>
      </w:tr>
    </w:tbl>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2"/>
        <w:spacing w:line="240" w:lineRule="auto" w:before="26"/>
        <w:ind w:right="0"/>
        <w:jc w:val="left"/>
        <w:rPr>
          <w:b w:val="0"/>
          <w:bCs w:val="0"/>
        </w:rPr>
      </w:pPr>
      <w:bookmarkStart w:name="十一、公允价值的披露" w:id="353"/>
      <w:bookmarkEnd w:id="353"/>
      <w:r>
        <w:rPr>
          <w:b w:val="0"/>
          <w:bCs w:val="0"/>
        </w:rPr>
      </w:r>
      <w:r>
        <w:rPr/>
        <w:t>十一、公允价值的披露</w:t>
      </w:r>
      <w:r>
        <w:rPr>
          <w:b w:val="0"/>
          <w:bCs w:val="0"/>
        </w:rPr>
      </w:r>
    </w:p>
    <w:p>
      <w:pPr>
        <w:spacing w:line="240" w:lineRule="auto" w:before="10"/>
        <w:rPr>
          <w:rFonts w:ascii="宋体" w:hAnsi="宋体" w:cs="宋体" w:eastAsia="宋体" w:hint="default"/>
          <w:b/>
          <w:bCs/>
          <w:sz w:val="25"/>
          <w:szCs w:val="25"/>
        </w:rPr>
      </w:pPr>
    </w:p>
    <w:p>
      <w:pPr>
        <w:pStyle w:val="Heading5"/>
        <w:spacing w:line="240" w:lineRule="auto"/>
        <w:ind w:right="0"/>
        <w:jc w:val="left"/>
        <w:rPr>
          <w:b w:val="0"/>
          <w:bCs w:val="0"/>
        </w:rPr>
      </w:pPr>
      <w:bookmarkStart w:name="1、其他" w:id="354"/>
      <w:bookmarkEnd w:id="354"/>
      <w:r>
        <w:rPr>
          <w:b w:val="0"/>
          <w:bCs w:val="0"/>
        </w:rPr>
      </w:r>
      <w:r>
        <w:rPr>
          <w:rFonts w:ascii="Times New Roman" w:hAnsi="Times New Roman" w:cs="Times New Roman" w:eastAsia="Times New Roman" w:hint="default"/>
        </w:rPr>
        <w:t>1</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321" w:lineRule="auto"/>
        <w:ind w:right="1118"/>
        <w:jc w:val="left"/>
      </w:pPr>
      <w:r>
        <w:rPr>
          <w:spacing w:val="-2"/>
        </w:rPr>
        <w:t>货币资金、应收账款、其他应收款和短期借款、应付账款、应付票据、其他应付款等，因剩余期限不长，公允价值与账面价</w:t>
      </w:r>
      <w:r>
        <w:rPr>
          <w:spacing w:val="-73"/>
        </w:rPr>
        <w:t> </w:t>
      </w:r>
      <w:r>
        <w:rPr>
          <w:spacing w:val="-73"/>
        </w:rPr>
      </w:r>
      <w:r>
        <w:rPr/>
        <w:t>值相若。 </w:t>
      </w:r>
      <w:r>
        <w:rPr>
          <w:spacing w:val="-2"/>
        </w:rPr>
        <w:t>长期应收款，采用未来现金流量折现法确定公允价值，以合同条款和特征在实质上相同的其他金融工具的市场收益率作为折</w:t>
      </w:r>
      <w:r>
        <w:rPr>
          <w:spacing w:val="-72"/>
        </w:rPr>
        <w:t> </w:t>
      </w:r>
      <w:r>
        <w:rPr>
          <w:spacing w:val="-72"/>
        </w:rPr>
      </w:r>
      <w:r>
        <w:rPr/>
        <w:t>现率，公允价值与账面价值相若。</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6"/>
          <w:szCs w:val="26"/>
        </w:rPr>
      </w:pPr>
    </w:p>
    <w:p>
      <w:pPr>
        <w:pStyle w:val="Heading2"/>
        <w:spacing w:line="240" w:lineRule="auto"/>
        <w:ind w:right="0"/>
        <w:jc w:val="left"/>
        <w:rPr>
          <w:b w:val="0"/>
          <w:bCs w:val="0"/>
        </w:rPr>
      </w:pPr>
      <w:bookmarkStart w:name="十二、关联方及关联交易" w:id="355"/>
      <w:bookmarkEnd w:id="355"/>
      <w:r>
        <w:rPr>
          <w:b w:val="0"/>
          <w:bCs w:val="0"/>
        </w:rPr>
      </w:r>
      <w:r>
        <w:rPr/>
        <w:t>十二、关联方及关联交易</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本企业的母公司情况" w:id="356"/>
      <w:bookmarkEnd w:id="356"/>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705" w:hRule="exact"/>
        </w:trPr>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435" w:right="61" w:hanging="361"/>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345" w:right="74" w:hanging="271"/>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bl>
    <w:p>
      <w:pPr>
        <w:spacing w:after="0" w:line="307"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b/>
          <w:bCs/>
          <w:sz w:val="29"/>
          <w:szCs w:val="29"/>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133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20"/>
                <w:szCs w:val="20"/>
              </w:rPr>
            </w:pPr>
          </w:p>
          <w:p>
            <w:pPr>
              <w:pStyle w:val="TableParagraph"/>
              <w:spacing w:line="240" w:lineRule="auto"/>
              <w:ind w:left="30" w:right="0"/>
              <w:jc w:val="left"/>
              <w:rPr>
                <w:rFonts w:ascii="宋体" w:hAnsi="宋体" w:cs="宋体" w:eastAsia="宋体" w:hint="default"/>
                <w:sz w:val="18"/>
                <w:szCs w:val="18"/>
              </w:rPr>
            </w:pPr>
            <w:r>
              <w:rPr>
                <w:rFonts w:ascii="宋体" w:hAnsi="宋体" w:cs="宋体" w:eastAsia="宋体" w:hint="default"/>
                <w:sz w:val="18"/>
                <w:szCs w:val="18"/>
              </w:rPr>
              <w:t>中国上海</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44"/>
              <w:ind w:left="14" w:right="15"/>
              <w:jc w:val="left"/>
              <w:rPr>
                <w:rFonts w:ascii="宋体" w:hAnsi="宋体" w:cs="宋体" w:eastAsia="宋体" w:hint="default"/>
                <w:sz w:val="18"/>
                <w:szCs w:val="18"/>
              </w:rPr>
            </w:pPr>
            <w:r>
              <w:rPr>
                <w:rFonts w:ascii="宋体" w:hAnsi="宋体" w:cs="宋体" w:eastAsia="宋体" w:hint="default"/>
                <w:sz w:val="18"/>
                <w:szCs w:val="18"/>
              </w:rPr>
              <w:t>实业投资、投资管 </w:t>
            </w:r>
            <w:r>
              <w:rPr>
                <w:rFonts w:ascii="宋体" w:hAnsi="宋体" w:cs="宋体" w:eastAsia="宋体" w:hint="default"/>
                <w:spacing w:val="-10"/>
                <w:sz w:val="18"/>
                <w:szCs w:val="18"/>
              </w:rPr>
              <w:t>理、企业管理、咨询</w:t>
            </w:r>
            <w:r>
              <w:rPr>
                <w:rFonts w:ascii="宋体" w:hAnsi="宋体" w:cs="宋体" w:eastAsia="宋体" w:hint="default"/>
                <w:sz w:val="18"/>
                <w:szCs w:val="18"/>
              </w:rPr>
              <w:t> </w:t>
            </w:r>
            <w:r>
              <w:rPr>
                <w:rFonts w:ascii="宋体" w:hAnsi="宋体" w:cs="宋体" w:eastAsia="宋体" w:hint="default"/>
                <w:spacing w:val="-9"/>
                <w:sz w:val="18"/>
                <w:szCs w:val="18"/>
              </w:rPr>
              <w:t>投资、信息咨询企业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策划、景观设计</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5" w:right="0"/>
              <w:jc w:val="left"/>
              <w:rPr>
                <w:rFonts w:ascii="Times New Roman" w:hAnsi="Times New Roman" w:cs="Times New Roman" w:eastAsia="Times New Roman" w:hint="default"/>
                <w:sz w:val="18"/>
                <w:szCs w:val="18"/>
              </w:rPr>
            </w:pPr>
            <w:r>
              <w:rPr>
                <w:rFonts w:ascii="Times New Roman"/>
                <w:sz w:val="18"/>
              </w:rPr>
              <w:t>335,285,714</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020" w:right="0"/>
              <w:jc w:val="left"/>
              <w:rPr>
                <w:rFonts w:ascii="Times New Roman" w:hAnsi="Times New Roman" w:cs="Times New Roman" w:eastAsia="Times New Roman" w:hint="default"/>
                <w:sz w:val="18"/>
                <w:szCs w:val="18"/>
              </w:rPr>
            </w:pPr>
            <w:r>
              <w:rPr>
                <w:rFonts w:ascii="Times New Roman"/>
                <w:sz w:val="18"/>
              </w:rPr>
              <w:t>50.65%</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left="1021" w:right="0"/>
              <w:jc w:val="left"/>
              <w:rPr>
                <w:rFonts w:ascii="Times New Roman" w:hAnsi="Times New Roman" w:cs="Times New Roman" w:eastAsia="Times New Roman" w:hint="default"/>
                <w:sz w:val="18"/>
                <w:szCs w:val="18"/>
              </w:rPr>
            </w:pPr>
            <w:r>
              <w:rPr>
                <w:rFonts w:ascii="Times New Roman"/>
                <w:sz w:val="18"/>
              </w:rPr>
              <w:t>50.65%</w:t>
            </w:r>
          </w:p>
        </w:tc>
      </w:tr>
    </w:tbl>
    <w:p>
      <w:pPr>
        <w:pStyle w:val="BodyText"/>
        <w:spacing w:line="350" w:lineRule="auto" w:before="44"/>
        <w:ind w:right="5739"/>
        <w:jc w:val="left"/>
      </w:pPr>
      <w:r>
        <w:rPr/>
        <w:t>本企业的母公司情况的说明 周成建先生持有华服投资</w:t>
      </w:r>
      <w:r>
        <w:rPr>
          <w:rFonts w:ascii="Times New Roman" w:hAnsi="Times New Roman" w:cs="Times New Roman" w:eastAsia="Times New Roman" w:hint="default"/>
        </w:rPr>
        <w:t>70%</w:t>
      </w:r>
      <w:r>
        <w:rPr/>
        <w:t>的股权，是本公司的实际控制人。 本企业最终控制方是周成建。</w:t>
      </w:r>
    </w:p>
    <w:p>
      <w:pPr>
        <w:pStyle w:val="BodyText"/>
        <w:spacing w:line="352" w:lineRule="auto" w:before="26"/>
        <w:ind w:right="9849"/>
        <w:jc w:val="left"/>
      </w:pPr>
      <w:r>
        <w:rPr/>
        <w:t>其他说明： 无</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bookmarkStart w:name="2、本企业的子公司情况" w:id="357"/>
      <w:bookmarkEnd w:id="357"/>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本企业子公司的情况详见附注九、</w:t>
      </w:r>
      <w:r>
        <w:rPr>
          <w:rFonts w:ascii="Times New Roman" w:hAnsi="Times New Roman" w:cs="Times New Roman" w:eastAsia="Times New Roman" w:hint="default"/>
        </w:rPr>
        <w:t>1</w:t>
      </w:r>
      <w:r>
        <w:rPr/>
        <w:t>。</w:t>
      </w:r>
    </w:p>
    <w:p>
      <w:pPr>
        <w:spacing w:line="240" w:lineRule="auto" w:before="0"/>
        <w:rPr>
          <w:rFonts w:ascii="宋体" w:hAnsi="宋体" w:cs="宋体" w:eastAsia="宋体" w:hint="default"/>
          <w:sz w:val="18"/>
          <w:szCs w:val="18"/>
        </w:rPr>
      </w:pPr>
    </w:p>
    <w:p>
      <w:pPr>
        <w:pStyle w:val="Heading5"/>
        <w:spacing w:line="240" w:lineRule="auto" w:before="126"/>
        <w:ind w:right="0"/>
        <w:jc w:val="left"/>
        <w:rPr>
          <w:b w:val="0"/>
          <w:bCs w:val="0"/>
        </w:rPr>
      </w:pPr>
      <w:bookmarkStart w:name="3、本企业合营和联营企业情况" w:id="358"/>
      <w:bookmarkEnd w:id="358"/>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3"/>
        <w:rPr>
          <w:rFonts w:ascii="宋体" w:hAnsi="宋体" w:cs="宋体" w:eastAsia="宋体" w:hint="default"/>
          <w:b/>
          <w:bCs/>
          <w:sz w:val="25"/>
          <w:szCs w:val="25"/>
        </w:rPr>
      </w:pPr>
    </w:p>
    <w:p>
      <w:pPr>
        <w:pStyle w:val="BodyText"/>
        <w:spacing w:line="319" w:lineRule="auto"/>
        <w:ind w:right="2289"/>
        <w:jc w:val="left"/>
      </w:pPr>
      <w:r>
        <w:rPr/>
        <w:t>本企业重要的合营或联营企业详见附注九、</w:t>
      </w:r>
      <w:r>
        <w:rPr>
          <w:rFonts w:ascii="Times New Roman" w:hAnsi="Times New Roman" w:cs="Times New Roman" w:eastAsia="Times New Roman" w:hint="default"/>
        </w:rPr>
        <w:t>2</w:t>
      </w:r>
      <w:r>
        <w:rPr/>
        <w:t>。</w:t>
      </w:r>
      <w:r>
        <w:rPr>
          <w:spacing w:val="-87"/>
        </w:rPr>
        <w:t> </w:t>
      </w:r>
      <w:r>
        <w:rPr/>
        <w:t>本期与本公司发生关联方交易，或前期与本公司发生关联方交易形成余额的其他合营或联营企业情况如下：</w:t>
      </w:r>
    </w:p>
    <w:p>
      <w:pPr>
        <w:spacing w:line="240" w:lineRule="auto" w:before="13"/>
        <w:rPr>
          <w:rFonts w:ascii="宋体" w:hAnsi="宋体" w:cs="宋体" w:eastAsia="宋体" w:hint="default"/>
          <w:sz w:val="4"/>
          <w:szCs w:val="4"/>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62"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479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352" w:lineRule="auto" w:before="45"/>
        <w:ind w:right="10029"/>
        <w:jc w:val="left"/>
      </w:pPr>
      <w:r>
        <w:rPr/>
        <w:t>其他说明 无</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bookmarkStart w:name="4、其他关联方情况" w:id="359"/>
      <w:bookmarkEnd w:id="359"/>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3"/>
        <w:rPr>
          <w:rFonts w:ascii="宋体" w:hAnsi="宋体" w:cs="宋体" w:eastAsia="宋体" w:hint="default"/>
          <w:b/>
          <w:bCs/>
          <w:sz w:val="25"/>
          <w:szCs w:val="25"/>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405"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8"/>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81"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391"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美特斯邦威集团有限公司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「美邦集团」</w:t>
            </w:r>
            <w:r>
              <w:rPr>
                <w:rFonts w:ascii="Times New Roman" w:hAnsi="Times New Roman" w:cs="Times New Roman" w:eastAsia="Times New Roman" w:hint="default"/>
                <w:sz w:val="18"/>
                <w:szCs w:val="18"/>
              </w:rPr>
              <w:t>)</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与本公司受同一最终控股股东控制的公司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上海祺格实业有限公司</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与本公司受同一最终控股股东控制的公司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上海康桥实业发展</w:t>
            </w:r>
            <w:r>
              <w:rPr>
                <w:rFonts w:ascii="Times New Roman" w:hAnsi="Times New Roman" w:cs="Times New Roman" w:eastAsia="Times New Roman" w:hint="default"/>
                <w:sz w:val="18"/>
                <w:szCs w:val="18"/>
              </w:rPr>
              <w:t>(</w:t>
            </w:r>
            <w:r>
              <w:rPr>
                <w:rFonts w:ascii="宋体" w:hAnsi="宋体" w:cs="宋体" w:eastAsia="宋体" w:hint="default"/>
                <w:sz w:val="18"/>
                <w:szCs w:val="18"/>
              </w:rPr>
              <w:t>集团</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「康桥实业」</w:t>
            </w:r>
            <w:r>
              <w:rPr>
                <w:rFonts w:ascii="Times New Roman" w:hAnsi="Times New Roman" w:cs="Times New Roman" w:eastAsia="Times New Roman" w:hint="default"/>
                <w:sz w:val="18"/>
                <w:szCs w:val="18"/>
              </w:rPr>
              <w:t>) (</w:t>
            </w:r>
            <w:r>
              <w:rPr>
                <w:rFonts w:ascii="宋体" w:hAnsi="宋体" w:cs="宋体" w:eastAsia="宋体" w:hint="default"/>
                <w:sz w:val="18"/>
                <w:szCs w:val="18"/>
              </w:rPr>
              <w:t>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本公司母公司的联营公司</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上海美特斯邦威企业发展有限公司 </w:t>
            </w:r>
            <w:r>
              <w:rPr>
                <w:rFonts w:ascii="Times New Roman" w:hAnsi="Times New Roman" w:cs="Times New Roman" w:eastAsia="Times New Roman" w:hint="default"/>
                <w:sz w:val="18"/>
                <w:szCs w:val="18"/>
              </w:rPr>
              <w:t>(</w:t>
            </w:r>
            <w:r>
              <w:rPr>
                <w:rFonts w:ascii="宋体" w:hAnsi="宋体" w:cs="宋体" w:eastAsia="宋体" w:hint="default"/>
                <w:sz w:val="18"/>
                <w:szCs w:val="18"/>
              </w:rPr>
              <w:t>「上海企发」</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本公司母公司的联营公司控制的公司</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周献妹</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本公司最终控股股东的姐姐</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周建花</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本公司最终控股股东的妹妹</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黄岑期</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本公司最终控股股东的妹夫</w:t>
            </w:r>
          </w:p>
        </w:tc>
      </w:tr>
      <w:tr>
        <w:trPr>
          <w:trHeight w:val="405"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胡佳佳</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本公司最终控股股东的女儿</w:t>
            </w:r>
          </w:p>
        </w:tc>
      </w:tr>
      <w:tr>
        <w:trPr>
          <w:trHeight w:val="390"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本集团的关键高级管理人员</w:t>
            </w:r>
          </w:p>
        </w:tc>
      </w:tr>
    </w:tbl>
    <w:p>
      <w:pPr>
        <w:pStyle w:val="BodyText"/>
        <w:spacing w:line="240" w:lineRule="auto" w:before="45"/>
        <w:ind w:right="0"/>
        <w:jc w:val="left"/>
      </w:pPr>
      <w:r>
        <w:rPr/>
        <w:t>其他说明</w:t>
      </w:r>
    </w:p>
    <w:p>
      <w:pPr>
        <w:pStyle w:val="BodyText"/>
        <w:tabs>
          <w:tab w:pos="681" w:val="left" w:leader="none"/>
        </w:tabs>
        <w:spacing w:line="297" w:lineRule="auto" w:before="139"/>
        <w:ind w:right="2666"/>
        <w:jc w:val="left"/>
      </w:pPr>
      <w:r>
        <w:rPr/>
        <w:t>注</w:t>
      </w:r>
      <w:r>
        <w:rPr>
          <w:rFonts w:ascii="Times New Roman" w:hAnsi="Times New Roman" w:cs="Times New Roman" w:eastAsia="Times New Roman" w:hint="default"/>
        </w:rPr>
        <w:t>1:</w:t>
        <w:tab/>
        <w:t>2018</w:t>
      </w:r>
      <w:r>
        <w:rPr/>
        <w:t>年</w:t>
      </w:r>
      <w:r>
        <w:rPr>
          <w:rFonts w:ascii="Times New Roman" w:hAnsi="Times New Roman" w:cs="Times New Roman" w:eastAsia="Times New Roman" w:hint="default"/>
        </w:rPr>
        <w:t>11</w:t>
      </w:r>
      <w:r>
        <w:rPr/>
        <w:t>月华服投资处置了康桥实业，康桥实业及其子公司上海企发自处置日起不再是关联方。 注</w:t>
      </w:r>
      <w:r>
        <w:rPr>
          <w:rFonts w:ascii="Times New Roman" w:hAnsi="Times New Roman" w:cs="Times New Roman" w:eastAsia="Times New Roman" w:hint="default"/>
        </w:rPr>
        <w:t>2</w:t>
      </w:r>
      <w:r>
        <w:rPr/>
        <w:t>：周献妹，周建花与黄岑期系本集团加盟商。 注</w:t>
      </w:r>
      <w:r>
        <w:rPr>
          <w:rFonts w:ascii="Times New Roman" w:hAnsi="Times New Roman" w:cs="Times New Roman" w:eastAsia="Times New Roman" w:hint="default"/>
        </w:rPr>
        <w:t>3</w:t>
      </w:r>
      <w:r>
        <w:rPr/>
        <w:t>：胡佳佳系持有本公司</w:t>
      </w:r>
      <w:r>
        <w:rPr>
          <w:rFonts w:ascii="Times New Roman" w:hAnsi="Times New Roman" w:cs="Times New Roman" w:eastAsia="Times New Roman" w:hint="default"/>
        </w:rPr>
        <w:t>5%</w:t>
      </w:r>
      <w:r>
        <w:rPr/>
        <w:t>以上表决权股份的股东及本公司的董事长。</w:t>
      </w:r>
    </w:p>
    <w:p>
      <w:pPr>
        <w:spacing w:after="0" w:line="297"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5、关联交易情况" w:id="360"/>
      <w:bookmarkEnd w:id="360"/>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购销商品、提供和接受劳务的关联交易" w:id="361"/>
      <w:bookmarkEnd w:id="361"/>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47"/>
        <w:gridCol w:w="1456"/>
        <w:gridCol w:w="1457"/>
        <w:gridCol w:w="1697"/>
        <w:gridCol w:w="1712"/>
        <w:gridCol w:w="1712"/>
      </w:tblGrid>
      <w:tr>
        <w:trPr>
          <w:trHeight w:val="405" w:hRule="exact"/>
        </w:trPr>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8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6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5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5"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1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40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0" w:hRule="exact"/>
        </w:trPr>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456"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single" w:sz="6" w:space="0" w:color="000000"/>
            </w:tcBorders>
          </w:tcPr>
          <w:p>
            <w:pPr/>
          </w:p>
        </w:tc>
        <w:tc>
          <w:tcPr>
            <w:tcW w:w="1697"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c>
          <w:tcPr>
            <w:tcW w:w="171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60"/>
        <w:ind w:right="0"/>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81"/>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403"/>
        <w:gridCol w:w="2252"/>
        <w:gridCol w:w="2268"/>
        <w:gridCol w:w="2658"/>
      </w:tblGrid>
      <w:tr>
        <w:trPr>
          <w:trHeight w:val="390" w:hRule="exact"/>
        </w:trPr>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4"/>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70"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7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85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31,077,929.00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46,813,840.00</w:t>
            </w:r>
          </w:p>
        </w:tc>
      </w:tr>
      <w:tr>
        <w:trPr>
          <w:trHeight w:val="406"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14,171,396.00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12,009,401.00</w:t>
            </w:r>
          </w:p>
        </w:tc>
      </w:tr>
      <w:tr>
        <w:trPr>
          <w:trHeight w:val="390" w:hRule="exact"/>
        </w:trPr>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22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3,932,377.00</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7,798,555.00</w:t>
            </w:r>
          </w:p>
        </w:tc>
      </w:tr>
    </w:tbl>
    <w:p>
      <w:pPr>
        <w:pStyle w:val="BodyText"/>
        <w:spacing w:line="240" w:lineRule="auto" w:before="44"/>
        <w:ind w:right="0"/>
        <w:jc w:val="left"/>
      </w:pPr>
      <w:r>
        <w:rPr/>
        <w:t>购销商品、提供和接受劳务的关联交易说明</w:t>
      </w:r>
    </w:p>
    <w:p>
      <w:pPr>
        <w:pStyle w:val="Heading3"/>
        <w:spacing w:line="223" w:lineRule="auto" w:before="104"/>
        <w:ind w:right="0"/>
        <w:jc w:val="left"/>
      </w:pPr>
      <w:r>
        <w:rPr/>
        <w:t>本年度，本集团向关联方黄岑期、周献妹及周建花销售服装人民币</w:t>
      </w:r>
      <w:r>
        <w:rPr>
          <w:rFonts w:ascii="Times New Roman" w:hAnsi="Times New Roman" w:cs="Times New Roman" w:eastAsia="Times New Roman" w:hint="default"/>
        </w:rPr>
        <w:t>48,010,359</w:t>
      </w:r>
      <w:r>
        <w:rPr/>
        <w:t>元</w:t>
      </w:r>
      <w:r>
        <w:rPr>
          <w:rFonts w:ascii="Times New Roman" w:hAnsi="Times New Roman" w:cs="Times New Roman" w:eastAsia="Times New Roman" w:hint="default"/>
        </w:rPr>
        <w:t>(2018</w:t>
      </w:r>
      <w:r>
        <w:rPr/>
        <w:t>年：人</w:t>
      </w:r>
      <w:r>
        <w:rPr>
          <w:spacing w:val="-57"/>
        </w:rPr>
        <w:t> </w:t>
      </w:r>
      <w:r>
        <w:rPr/>
        <w:t>民币</w:t>
      </w:r>
      <w:r>
        <w:rPr>
          <w:rFonts w:ascii="Times New Roman" w:hAnsi="Times New Roman" w:cs="Times New Roman" w:eastAsia="Times New Roman" w:hint="default"/>
        </w:rPr>
        <w:t>65,435,983</w:t>
      </w:r>
      <w:r>
        <w:rPr/>
        <w:t>元</w:t>
      </w:r>
      <w:r>
        <w:rPr>
          <w:rFonts w:ascii="Times New Roman" w:hAnsi="Times New Roman" w:cs="Times New Roman" w:eastAsia="Times New Roman" w:hint="default"/>
        </w:rPr>
        <w:t>)</w:t>
      </w:r>
      <w:r>
        <w:rPr/>
        <w:t>及销售辅料人民币</w:t>
      </w:r>
      <w:r>
        <w:rPr>
          <w:rFonts w:ascii="Times New Roman" w:hAnsi="Times New Roman" w:cs="Times New Roman" w:eastAsia="Times New Roman" w:hint="default"/>
        </w:rPr>
        <w:t>1,171,343</w:t>
      </w:r>
      <w:r>
        <w:rPr/>
        <w:t>元</w:t>
      </w:r>
      <w:r>
        <w:rPr>
          <w:rFonts w:ascii="Times New Roman" w:hAnsi="Times New Roman" w:cs="Times New Roman" w:eastAsia="Times New Roman" w:hint="default"/>
        </w:rPr>
        <w:t>(2018</w:t>
      </w:r>
      <w:r>
        <w:rPr/>
        <w:t>年：人民币</w:t>
      </w:r>
      <w:r>
        <w:rPr>
          <w:rFonts w:ascii="Times New Roman" w:hAnsi="Times New Roman" w:cs="Times New Roman" w:eastAsia="Times New Roman" w:hint="default"/>
        </w:rPr>
        <w:t>1,185,813</w:t>
      </w:r>
      <w:r>
        <w:rPr/>
        <w:t>元</w:t>
      </w:r>
      <w:r>
        <w:rPr>
          <w:rFonts w:ascii="Times New Roman" w:hAnsi="Times New Roman" w:cs="Times New Roman" w:eastAsia="Times New Roman" w:hint="default"/>
        </w:rPr>
        <w:t>)</w:t>
      </w:r>
      <w:r>
        <w:rPr/>
        <w:t>。 上述销售价格与本集团销售给第三方加盟商的价格制定基础一致。</w:t>
      </w:r>
    </w:p>
    <w:p>
      <w:pPr>
        <w:spacing w:line="240" w:lineRule="auto" w:before="12"/>
        <w:rPr>
          <w:rFonts w:ascii="宋体" w:hAnsi="宋体" w:cs="宋体" w:eastAsia="宋体" w:hint="default"/>
          <w:sz w:val="25"/>
          <w:szCs w:val="25"/>
        </w:rPr>
      </w:pPr>
    </w:p>
    <w:p>
      <w:pPr>
        <w:pStyle w:val="Heading5"/>
        <w:spacing w:line="240" w:lineRule="auto"/>
        <w:ind w:right="0"/>
        <w:jc w:val="left"/>
        <w:rPr>
          <w:b w:val="0"/>
          <w:bCs w:val="0"/>
        </w:rPr>
      </w:pPr>
      <w:bookmarkStart w:name="（2）关联租赁情况" w:id="362"/>
      <w:bookmarkEnd w:id="362"/>
      <w:r>
        <w:rPr>
          <w:b w:val="0"/>
          <w:bCs w:val="0"/>
        </w:rPr>
      </w:r>
      <w:r>
        <w:rPr/>
        <w:t>（</w:t>
      </w:r>
      <w:r>
        <w:rPr>
          <w:rFonts w:ascii="Times New Roman" w:hAnsi="Times New Roman" w:cs="Times New Roman" w:eastAsia="Times New Roman" w:hint="default"/>
        </w:rPr>
        <w:t>2</w:t>
      </w:r>
      <w:r>
        <w:rPr/>
        <w:t>）关联租赁情况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right="0"/>
        <w:jc w:val="left"/>
      </w:pPr>
      <w:r>
        <w:rPr/>
        <w:t>本公司作为出租方：</w:t>
      </w:r>
    </w:p>
    <w:p>
      <w:pPr>
        <w:pStyle w:val="BodyText"/>
        <w:spacing w:line="240" w:lineRule="auto" w:before="109"/>
        <w:ind w:left="0" w:right="1109"/>
        <w:jc w:val="right"/>
      </w:pPr>
      <w:r>
        <w:rPr/>
        <w:t>单位： 元</w:t>
      </w:r>
    </w:p>
    <w:p>
      <w:pPr>
        <w:spacing w:line="240" w:lineRule="auto" w:before="8"/>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21"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75"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90"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5"/>
        <w:ind w:right="0"/>
        <w:jc w:val="left"/>
      </w:pPr>
      <w:r>
        <w:rPr/>
        <w:t>本公司作为承租方：</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36"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66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65"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48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美邦集团</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13,730,000.00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13,730,000.00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上海企发</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房产</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68,319,094.00</w:t>
            </w:r>
          </w:p>
        </w:tc>
      </w:tr>
    </w:tbl>
    <w:p>
      <w:pPr>
        <w:pStyle w:val="BodyText"/>
        <w:spacing w:line="240" w:lineRule="auto" w:before="44"/>
        <w:ind w:right="0"/>
        <w:jc w:val="left"/>
      </w:pPr>
      <w:r>
        <w:rPr/>
        <w:t>关联租赁情况说明</w:t>
      </w:r>
    </w:p>
    <w:p>
      <w:pPr>
        <w:pStyle w:val="BodyText"/>
        <w:spacing w:line="288" w:lineRule="auto" w:before="125"/>
        <w:ind w:right="1089"/>
        <w:jc w:val="left"/>
      </w:pPr>
      <w:r>
        <w:rPr/>
        <w:t>本年度，本集团向美邦集团租入五处房产，根据租赁合同发生租赁费用人民币</w:t>
      </w:r>
      <w:r>
        <w:rPr>
          <w:rFonts w:ascii="Times New Roman" w:hAnsi="Times New Roman" w:cs="Times New Roman" w:eastAsia="Times New Roman" w:hint="default"/>
        </w:rPr>
        <w:t>13,730,000</w:t>
      </w:r>
      <w:r>
        <w:rPr/>
        <w:t>元</w:t>
      </w:r>
      <w:r>
        <w:rPr>
          <w:rFonts w:ascii="Times New Roman" w:hAnsi="Times New Roman" w:cs="Times New Roman" w:eastAsia="Times New Roman" w:hint="default"/>
        </w:rPr>
        <w:t>(2018</w:t>
      </w:r>
      <w:r>
        <w:rPr/>
        <w:t>年：人民币</w:t>
      </w:r>
      <w:r>
        <w:rPr>
          <w:rFonts w:ascii="Times New Roman" w:hAnsi="Times New Roman" w:cs="Times New Roman" w:eastAsia="Times New Roman" w:hint="default"/>
        </w:rPr>
        <w:t>82,049,094</w:t>
      </w:r>
      <w:r>
        <w:rPr/>
        <w:t>元</w:t>
      </w:r>
      <w:r>
        <w:rPr>
          <w:rFonts w:ascii="Times New Roman" w:hAnsi="Times New Roman" w:cs="Times New Roman" w:eastAsia="Times New Roman" w:hint="default"/>
        </w:rPr>
        <w:t>)</w:t>
      </w:r>
      <w:r>
        <w:rPr/>
        <w:t>。</w:t>
      </w:r>
      <w:r>
        <w:rPr>
          <w:spacing w:val="-80"/>
        </w:rPr>
        <w:t> </w:t>
      </w:r>
      <w:r>
        <w:rPr/>
        <w:t>上述租赁价格由双方参考市场价格商谈及协商决定。</w:t>
      </w:r>
    </w:p>
    <w:p>
      <w:pPr>
        <w:spacing w:line="240" w:lineRule="auto" w:before="10"/>
        <w:rPr>
          <w:rFonts w:ascii="宋体" w:hAnsi="宋体" w:cs="宋体" w:eastAsia="宋体" w:hint="default"/>
          <w:sz w:val="24"/>
          <w:szCs w:val="24"/>
        </w:rPr>
      </w:pPr>
    </w:p>
    <w:p>
      <w:pPr>
        <w:pStyle w:val="Heading5"/>
        <w:spacing w:line="240" w:lineRule="auto"/>
        <w:ind w:right="0"/>
        <w:jc w:val="left"/>
        <w:rPr>
          <w:b w:val="0"/>
          <w:bCs w:val="0"/>
        </w:rPr>
      </w:pPr>
      <w:bookmarkStart w:name="（3）关联方资金拆借" w:id="363"/>
      <w:bookmarkEnd w:id="363"/>
      <w:r>
        <w:rPr>
          <w:b w:val="0"/>
          <w:bCs w:val="0"/>
        </w:rPr>
      </w:r>
      <w:r>
        <w:rPr/>
        <w:t>（</w:t>
      </w:r>
      <w:r>
        <w:rPr>
          <w:rFonts w:ascii="Times New Roman" w:hAnsi="Times New Roman" w:cs="Times New Roman" w:eastAsia="Times New Roman" w:hint="default"/>
        </w:rPr>
        <w:t>3</w:t>
      </w:r>
      <w:r>
        <w:rPr/>
        <w:t>）关联方资金拆借</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3"/>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58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390"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拆入</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40,000,000.00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4.35%</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15,000,000.00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4.35%</w:t>
            </w:r>
          </w:p>
        </w:tc>
      </w:tr>
      <w:tr>
        <w:trPr>
          <w:trHeight w:val="390"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华服投资</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25,000,000.00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4.35%</w:t>
            </w:r>
          </w:p>
        </w:tc>
      </w:tr>
      <w:tr>
        <w:trPr>
          <w:trHeight w:val="405" w:hRule="exact"/>
        </w:trPr>
        <w:tc>
          <w:tcPr>
            <w:tcW w:w="9582"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拆出</w:t>
            </w:r>
          </w:p>
        </w:tc>
      </w:tr>
      <w:tr>
        <w:trPr>
          <w:trHeight w:val="406"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4）关键管理人员报酬" w:id="364"/>
      <w:bookmarkEnd w:id="364"/>
      <w:r>
        <w:rPr>
          <w:b w:val="0"/>
          <w:bCs w:val="0"/>
        </w:rPr>
      </w:r>
      <w:r>
        <w:rPr/>
        <w:t>（</w:t>
      </w:r>
      <w:r>
        <w:rPr>
          <w:rFonts w:ascii="Times New Roman" w:hAnsi="Times New Roman" w:cs="Times New Roman" w:eastAsia="Times New Roman" w:hint="default"/>
        </w:rPr>
        <w:t>4</w:t>
      </w:r>
      <w:r>
        <w:rPr/>
        <w:t>）关键管理人员报酬</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99"/>
        <w:gridCol w:w="3184"/>
        <w:gridCol w:w="3199"/>
      </w:tblGrid>
      <w:tr>
        <w:trPr>
          <w:trHeight w:val="405" w:hRule="exact"/>
        </w:trPr>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91" w:hRule="exact"/>
        </w:trPr>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9,646,314.00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9,153,979.00</w:t>
            </w:r>
          </w:p>
        </w:tc>
      </w:tr>
    </w:tbl>
    <w:p>
      <w:pPr>
        <w:spacing w:line="240" w:lineRule="auto" w:before="11"/>
        <w:rPr>
          <w:rFonts w:ascii="宋体" w:hAnsi="宋体" w:cs="宋体" w:eastAsia="宋体" w:hint="default"/>
          <w:sz w:val="19"/>
          <w:szCs w:val="19"/>
        </w:rPr>
      </w:pPr>
    </w:p>
    <w:p>
      <w:pPr>
        <w:spacing w:line="547" w:lineRule="auto" w:before="35"/>
        <w:ind w:left="141" w:right="1509" w:firstLine="0"/>
        <w:jc w:val="left"/>
        <w:rPr>
          <w:rFonts w:ascii="宋体" w:hAnsi="宋体" w:cs="宋体" w:eastAsia="宋体" w:hint="default"/>
          <w:sz w:val="21"/>
          <w:szCs w:val="21"/>
        </w:rPr>
      </w:pPr>
      <w:bookmarkStart w:name="（5）其他关联交易" w:id="365"/>
      <w:bookmarkEnd w:id="36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）其他关联交易</w:t>
      </w:r>
      <w:r>
        <w:rPr>
          <w:rFonts w:ascii="宋体" w:hAnsi="宋体" w:cs="宋体" w:eastAsia="宋体" w:hint="default"/>
          <w:b/>
          <w:bCs/>
          <w:w w:val="99"/>
          <w:sz w:val="21"/>
          <w:szCs w:val="21"/>
        </w:rPr>
        <w:t> </w:t>
      </w:r>
      <w:r>
        <w:rPr>
          <w:rFonts w:ascii="宋体" w:hAnsi="宋体" w:cs="宋体" w:eastAsia="宋体" w:hint="default"/>
          <w:sz w:val="18"/>
          <w:szCs w:val="18"/>
        </w:rPr>
        <w:t>于</w:t>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日，本公司在联营企业华瑞银行办理存款业务形成的货币资金余额为</w:t>
      </w:r>
      <w:r>
        <w:rPr>
          <w:rFonts w:ascii="Times New Roman" w:hAnsi="Times New Roman" w:cs="Times New Roman" w:eastAsia="Times New Roman" w:hint="default"/>
          <w:sz w:val="19"/>
          <w:szCs w:val="19"/>
        </w:rPr>
        <w:t>47,513</w:t>
      </w:r>
      <w:r>
        <w:rPr>
          <w:rFonts w:ascii="Times New Roman" w:hAnsi="Times New Roman" w:cs="Times New Roman" w:eastAsia="Times New Roman" w:hint="default"/>
          <w:sz w:val="18"/>
          <w:szCs w:val="18"/>
        </w:rPr>
        <w:t>.00</w:t>
      </w:r>
      <w:r>
        <w:rPr>
          <w:rFonts w:ascii="MS Gothic" w:hAnsi="MS Gothic" w:cs="MS Gothic" w:eastAsia="MS Gothic" w:hint="default"/>
          <w:sz w:val="18"/>
          <w:szCs w:val="18"/>
        </w:rPr>
        <w:t>ﾔ｣ﾊﾈｴｿﾀﾏ</w:t>
      </w:r>
      <w:r>
        <w:rPr>
          <w:rFonts w:ascii="Times New Roman" w:hAnsi="Times New Roman" w:cs="Times New Roman" w:eastAsia="Times New Roman" w:hint="default"/>
          <w:sz w:val="18"/>
          <w:szCs w:val="18"/>
        </w:rPr>
        <w:t>488</w:t>
      </w:r>
      <w:r>
        <w:rPr>
          <w:rFonts w:ascii="MS Gothic" w:hAnsi="MS Gothic" w:cs="MS Gothic" w:eastAsia="MS Gothic" w:hint="default"/>
          <w:sz w:val="18"/>
          <w:szCs w:val="18"/>
        </w:rPr>
        <w:t>ﾔ｡</w:t>
      </w:r>
      <w:r>
        <w:rPr>
          <w:rFonts w:ascii="MS Gothic" w:hAnsi="MS Gothic" w:cs="MS Gothic" w:eastAsia="MS Gothic" w:hint="default"/>
          <w:spacing w:val="-68"/>
          <w:sz w:val="18"/>
          <w:szCs w:val="18"/>
        </w:rPr>
        <w:t> </w:t>
      </w:r>
      <w:bookmarkStart w:name="6、关联方应收应付款项" w:id="366"/>
      <w:bookmarkEnd w:id="366"/>
      <w:r>
        <w:rPr>
          <w:rFonts w:ascii="MS Gothic" w:hAnsi="MS Gothic" w:cs="MS Gothic" w:eastAsia="MS Gothic" w:hint="default"/>
          <w:spacing w:val="-68"/>
          <w:sz w:val="18"/>
          <w:szCs w:val="18"/>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、关联方应收应付款项</w:t>
      </w:r>
      <w:r>
        <w:rPr>
          <w:rFonts w:ascii="宋体" w:hAnsi="宋体" w:cs="宋体" w:eastAsia="宋体" w:hint="default"/>
          <w:sz w:val="21"/>
          <w:szCs w:val="21"/>
        </w:rPr>
      </w:r>
    </w:p>
    <w:p>
      <w:pPr>
        <w:pStyle w:val="Heading5"/>
        <w:spacing w:line="240" w:lineRule="auto" w:before="27"/>
        <w:ind w:right="0"/>
        <w:jc w:val="left"/>
        <w:rPr>
          <w:b w:val="0"/>
          <w:bCs w:val="0"/>
        </w:rPr>
      </w:pPr>
      <w:bookmarkStart w:name="（1）应收项目" w:id="367"/>
      <w:bookmarkEnd w:id="367"/>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592"/>
        <w:gridCol w:w="1607"/>
        <w:gridCol w:w="1592"/>
        <w:gridCol w:w="1592"/>
        <w:gridCol w:w="1592"/>
        <w:gridCol w:w="1607"/>
      </w:tblGrid>
      <w:tr>
        <w:trPr>
          <w:trHeight w:val="406" w:hRule="exact"/>
        </w:trPr>
        <w:tc>
          <w:tcPr>
            <w:tcW w:w="159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525"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4"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592" w:type="dxa"/>
            <w:vMerge/>
            <w:tcBorders>
              <w:left w:val="single" w:sz="6" w:space="0" w:color="000000"/>
              <w:bottom w:val="single" w:sz="6" w:space="0" w:color="000000"/>
              <w:right w:val="single" w:sz="6" w:space="0" w:color="000000"/>
            </w:tcBorders>
            <w:shd w:val="clear" w:color="auto" w:fill="D2D2D2"/>
          </w:tcPr>
          <w:p>
            <w:pPr/>
          </w:p>
        </w:tc>
        <w:tc>
          <w:tcPr>
            <w:tcW w:w="1607" w:type="dxa"/>
            <w:vMerge/>
            <w:tcBorders>
              <w:left w:val="single" w:sz="6" w:space="0" w:color="000000"/>
              <w:bottom w:val="single" w:sz="6" w:space="0" w:color="000000"/>
              <w:right w:val="single" w:sz="6" w:space="0" w:color="000000"/>
            </w:tcBorders>
            <w:shd w:val="clear" w:color="auto" w:fill="D2D2D2"/>
          </w:tcPr>
          <w:p>
            <w:pP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2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4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5"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黄岑期</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36,037,954.00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
              <w:jc w:val="right"/>
              <w:rPr>
                <w:rFonts w:ascii="Times New Roman" w:hAnsi="Times New Roman" w:cs="Times New Roman" w:eastAsia="Times New Roman" w:hint="default"/>
                <w:sz w:val="18"/>
                <w:szCs w:val="18"/>
              </w:rPr>
            </w:pPr>
            <w:r>
              <w:rPr>
                <w:rFonts w:ascii="Times New Roman"/>
                <w:sz w:val="18"/>
              </w:rPr>
              <w:t>37,784,309.00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30" w:right="0"/>
              <w:jc w:val="left"/>
              <w:rPr>
                <w:rFonts w:ascii="宋体" w:hAnsi="宋体" w:cs="宋体" w:eastAsia="宋体" w:hint="default"/>
                <w:sz w:val="18"/>
                <w:szCs w:val="18"/>
              </w:rPr>
            </w:pPr>
            <w:r>
              <w:rPr>
                <w:rFonts w:ascii="宋体" w:hAnsi="宋体" w:cs="宋体" w:eastAsia="宋体" w:hint="default"/>
                <w:sz w:val="18"/>
                <w:szCs w:val="18"/>
              </w:rPr>
              <w:t>周献妹</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6,785,133.00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
              <w:jc w:val="right"/>
              <w:rPr>
                <w:rFonts w:ascii="Times New Roman" w:hAnsi="Times New Roman" w:cs="Times New Roman" w:eastAsia="Times New Roman" w:hint="default"/>
                <w:sz w:val="18"/>
                <w:szCs w:val="18"/>
              </w:rPr>
            </w:pPr>
            <w:r>
              <w:rPr>
                <w:rFonts w:ascii="Times New Roman"/>
                <w:sz w:val="18"/>
              </w:rPr>
              <w:t>6,884,842.00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周建花</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2,976,978.00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z w:val="18"/>
              </w:rPr>
              <w:t>3,914,845.00</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应付项目" w:id="368"/>
      <w:bookmarkEnd w:id="368"/>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45"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6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关键管理人员</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47" w:right="0"/>
              <w:jc w:val="left"/>
              <w:rPr>
                <w:rFonts w:ascii="Times New Roman" w:hAnsi="Times New Roman" w:cs="Times New Roman" w:eastAsia="Times New Roman" w:hint="default"/>
                <w:sz w:val="18"/>
                <w:szCs w:val="18"/>
              </w:rPr>
            </w:pPr>
            <w:r>
              <w:rPr>
                <w:rFonts w:ascii="Times New Roman"/>
                <w:sz w:val="18"/>
              </w:rPr>
              <w:t>781,053.00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562" w:right="0"/>
              <w:jc w:val="left"/>
              <w:rPr>
                <w:rFonts w:ascii="Times New Roman" w:hAnsi="Times New Roman" w:cs="Times New Roman" w:eastAsia="Times New Roman" w:hint="default"/>
                <w:sz w:val="18"/>
                <w:szCs w:val="18"/>
              </w:rPr>
            </w:pPr>
            <w:r>
              <w:rPr>
                <w:rFonts w:ascii="Times New Roman"/>
                <w:sz w:val="18"/>
              </w:rPr>
              <w:t>776,861.00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7、关联方承诺" w:id="369"/>
      <w:bookmarkEnd w:id="369"/>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8、其他" w:id="370"/>
      <w:bookmarkEnd w:id="370"/>
      <w:r>
        <w:rPr>
          <w:b w:val="0"/>
          <w:bCs w:val="0"/>
        </w:rPr>
      </w:r>
      <w:r>
        <w:rPr>
          <w:rFonts w:ascii="Times New Roman" w:hAnsi="Times New Roman" w:cs="Times New Roman" w:eastAsia="Times New Roman" w:hint="default"/>
        </w:rPr>
        <w:t>8</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4"/>
          <w:szCs w:val="24"/>
        </w:rPr>
      </w:pPr>
    </w:p>
    <w:p>
      <w:pPr>
        <w:pStyle w:val="Heading2"/>
        <w:spacing w:line="240" w:lineRule="auto" w:before="26"/>
        <w:ind w:right="0"/>
        <w:jc w:val="left"/>
        <w:rPr>
          <w:b w:val="0"/>
          <w:bCs w:val="0"/>
        </w:rPr>
      </w:pPr>
      <w:bookmarkStart w:name="十三、承诺及或有事项" w:id="371"/>
      <w:bookmarkEnd w:id="371"/>
      <w:r>
        <w:rPr>
          <w:b w:val="0"/>
          <w:bCs w:val="0"/>
        </w:rPr>
      </w:r>
      <w:r>
        <w:rPr/>
        <w:t>十三、承诺及或有事项</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重要承诺事项" w:id="372"/>
      <w:bookmarkEnd w:id="372"/>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3"/>
        <w:rPr>
          <w:rFonts w:ascii="宋体" w:hAnsi="宋体" w:cs="宋体" w:eastAsia="宋体" w:hint="default"/>
          <w:b/>
          <w:bCs/>
          <w:sz w:val="25"/>
          <w:szCs w:val="25"/>
        </w:rPr>
      </w:pPr>
    </w:p>
    <w:p>
      <w:pPr>
        <w:pStyle w:val="BodyText"/>
        <w:spacing w:line="352" w:lineRule="auto"/>
        <w:ind w:right="6249"/>
        <w:jc w:val="left"/>
      </w:pPr>
      <w:r>
        <w:rPr/>
        <w:t>资产负债表日存在的重要承诺 截至资产负债表日本集团并无需作披露的主要承诺事项。</w:t>
      </w:r>
    </w:p>
    <w:p>
      <w:pPr>
        <w:spacing w:line="240" w:lineRule="auto" w:before="2"/>
        <w:rPr>
          <w:rFonts w:ascii="宋体" w:hAnsi="宋体" w:cs="宋体" w:eastAsia="宋体" w:hint="default"/>
          <w:sz w:val="22"/>
          <w:szCs w:val="22"/>
        </w:rPr>
      </w:pPr>
    </w:p>
    <w:p>
      <w:pPr>
        <w:pStyle w:val="Heading5"/>
        <w:spacing w:line="240" w:lineRule="auto"/>
        <w:ind w:right="0"/>
        <w:jc w:val="left"/>
        <w:rPr>
          <w:b w:val="0"/>
          <w:bCs w:val="0"/>
        </w:rPr>
      </w:pPr>
      <w:bookmarkStart w:name="2、或有事项" w:id="373"/>
      <w:bookmarkEnd w:id="373"/>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资产负债表日存在的重要或有事项" w:id="374"/>
      <w:bookmarkEnd w:id="374"/>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截至资产负债表日，本集团并无需作披露的或有事项。</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2）公司没有需要披露的重要或有事项，也应予以说明" w:id="375"/>
      <w:bookmarkEnd w:id="375"/>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公司不存在需要披露的重要或有事项。</w:t>
      </w:r>
    </w:p>
    <w:p>
      <w:pPr>
        <w:spacing w:line="240" w:lineRule="auto" w:before="0"/>
        <w:rPr>
          <w:rFonts w:ascii="宋体" w:hAnsi="宋体" w:cs="宋体" w:eastAsia="宋体" w:hint="default"/>
          <w:sz w:val="18"/>
          <w:szCs w:val="18"/>
        </w:rPr>
      </w:pPr>
    </w:p>
    <w:p>
      <w:pPr>
        <w:pStyle w:val="Heading5"/>
        <w:spacing w:line="240" w:lineRule="auto" w:before="154"/>
        <w:ind w:right="0"/>
        <w:jc w:val="left"/>
        <w:rPr>
          <w:b w:val="0"/>
          <w:bCs w:val="0"/>
        </w:rPr>
      </w:pPr>
      <w:bookmarkStart w:name="3、其他" w:id="376"/>
      <w:bookmarkEnd w:id="376"/>
      <w:r>
        <w:rPr>
          <w:b w:val="0"/>
          <w:bCs w:val="0"/>
        </w:rPr>
      </w:r>
      <w:r>
        <w:rPr>
          <w:rFonts w:ascii="Times New Roman" w:hAnsi="Times New Roman" w:cs="Times New Roman" w:eastAsia="Times New Roman" w:hint="default"/>
        </w:rPr>
        <w:t>3</w:t>
      </w:r>
      <w:r>
        <w:rPr/>
        <w:t>、其他</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四、资产负债表日后事项" w:id="377"/>
      <w:bookmarkEnd w:id="377"/>
      <w:r>
        <w:rPr>
          <w:b w:val="0"/>
          <w:bCs w:val="0"/>
        </w:rPr>
      </w:r>
      <w:r>
        <w:rPr/>
        <w:t>十四、资产负债表日后事项</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重要的非调整事项" w:id="378"/>
      <w:bookmarkEnd w:id="378"/>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2478"/>
        <w:gridCol w:w="2306"/>
        <w:gridCol w:w="2403"/>
        <w:gridCol w:w="2388"/>
      </w:tblGrid>
      <w:tr>
        <w:trPr>
          <w:trHeight w:val="157" w:hRule="exact"/>
        </w:trPr>
        <w:tc>
          <w:tcPr>
            <w:tcW w:w="2478" w:type="dxa"/>
            <w:tcBorders>
              <w:top w:val="single" w:sz="6" w:space="0" w:color="000000"/>
              <w:left w:val="single" w:sz="6" w:space="0" w:color="000000"/>
              <w:bottom w:val="nil" w:sz="6" w:space="0" w:color="auto"/>
              <w:right w:val="single" w:sz="6" w:space="0" w:color="000000"/>
            </w:tcBorders>
            <w:shd w:val="clear" w:color="auto" w:fill="D2D2D2"/>
          </w:tcPr>
          <w:p>
            <w:pPr/>
          </w:p>
        </w:tc>
        <w:tc>
          <w:tcPr>
            <w:tcW w:w="2306" w:type="dxa"/>
            <w:tcBorders>
              <w:top w:val="single" w:sz="6" w:space="0" w:color="000000"/>
              <w:left w:val="single" w:sz="6" w:space="0" w:color="000000"/>
              <w:bottom w:val="nil" w:sz="6" w:space="0" w:color="auto"/>
              <w:right w:val="single" w:sz="6" w:space="0" w:color="000000"/>
            </w:tcBorders>
            <w:shd w:val="clear" w:color="auto" w:fill="D2D2D2"/>
          </w:tcPr>
          <w:p>
            <w:pPr/>
          </w:p>
        </w:tc>
        <w:tc>
          <w:tcPr>
            <w:tcW w:w="2403"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1020" w:right="105"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8"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2478"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2306"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6"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403" w:type="dxa"/>
            <w:vMerge/>
            <w:tcBorders>
              <w:left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4"/>
              <w:ind w:left="285"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173" w:hRule="exact"/>
        </w:trPr>
        <w:tc>
          <w:tcPr>
            <w:tcW w:w="2478" w:type="dxa"/>
            <w:vMerge/>
            <w:tcBorders>
              <w:left w:val="single" w:sz="6" w:space="0" w:color="000000"/>
              <w:bottom w:val="single" w:sz="6" w:space="0" w:color="000000"/>
              <w:right w:val="single" w:sz="6" w:space="0" w:color="000000"/>
            </w:tcBorders>
            <w:shd w:val="clear" w:color="auto" w:fill="D2D2D2"/>
          </w:tcPr>
          <w:p>
            <w:pPr/>
          </w:p>
        </w:tc>
        <w:tc>
          <w:tcPr>
            <w:tcW w:w="2306" w:type="dxa"/>
            <w:tcBorders>
              <w:top w:val="nil" w:sz="6" w:space="0" w:color="auto"/>
              <w:left w:val="single" w:sz="6" w:space="0" w:color="000000"/>
              <w:bottom w:val="single" w:sz="6" w:space="0" w:color="000000"/>
              <w:right w:val="single" w:sz="6" w:space="0" w:color="000000"/>
            </w:tcBorders>
            <w:shd w:val="clear" w:color="auto" w:fill="D2D2D2"/>
          </w:tcPr>
          <w:p>
            <w:pPr/>
          </w:p>
        </w:tc>
        <w:tc>
          <w:tcPr>
            <w:tcW w:w="2403" w:type="dxa"/>
            <w:vMerge/>
            <w:tcBorders>
              <w:left w:val="single" w:sz="6" w:space="0" w:color="000000"/>
              <w:bottom w:val="single" w:sz="6" w:space="0" w:color="000000"/>
              <w:right w:val="single" w:sz="6" w:space="0" w:color="000000"/>
            </w:tcBorders>
            <w:shd w:val="clear" w:color="auto" w:fill="D2D2D2"/>
          </w:tcPr>
          <w:p>
            <w:pPr/>
          </w:p>
        </w:tc>
        <w:tc>
          <w:tcPr>
            <w:tcW w:w="2388" w:type="dxa"/>
            <w:tcBorders>
              <w:top w:val="nil" w:sz="6" w:space="0" w:color="auto"/>
              <w:left w:val="single" w:sz="6" w:space="0" w:color="000000"/>
              <w:bottom w:val="single" w:sz="6" w:space="0" w:color="000000"/>
              <w:right w:val="single" w:sz="6" w:space="0" w:color="000000"/>
            </w:tcBorders>
            <w:shd w:val="clear" w:color="auto" w:fill="D2D2D2"/>
          </w:tcPr>
          <w:p>
            <w:pPr/>
          </w:p>
        </w:tc>
      </w:tr>
      <w:tr>
        <w:trPr>
          <w:trHeight w:val="406" w:hRule="exact"/>
        </w:trPr>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股票和债券的发行</w:t>
            </w:r>
          </w:p>
        </w:tc>
        <w:tc>
          <w:tcPr>
            <w:tcW w:w="2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重要的对外投资</w:t>
            </w:r>
          </w:p>
        </w:tc>
        <w:tc>
          <w:tcPr>
            <w:tcW w:w="2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重要的债务重组</w:t>
            </w:r>
          </w:p>
        </w:tc>
        <w:tc>
          <w:tcPr>
            <w:tcW w:w="2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自然灾害</w:t>
            </w:r>
          </w:p>
        </w:tc>
        <w:tc>
          <w:tcPr>
            <w:tcW w:w="2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47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外汇汇率重要变动</w:t>
            </w:r>
          </w:p>
        </w:tc>
        <w:tc>
          <w:tcPr>
            <w:tcW w:w="230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利润分配情况" w:id="379"/>
      <w:bookmarkEnd w:id="379"/>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979"/>
        <w:gridCol w:w="4603"/>
      </w:tblGrid>
      <w:tr>
        <w:trPr>
          <w:trHeight w:val="405"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49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6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both"/>
        <w:rPr>
          <w:b w:val="0"/>
          <w:bCs w:val="0"/>
        </w:rPr>
      </w:pPr>
      <w:bookmarkStart w:name="3、销售退回" w:id="380"/>
      <w:bookmarkEnd w:id="380"/>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both"/>
      </w:pPr>
      <w:r>
        <w:rPr/>
        <w:t>无</w:t>
      </w:r>
    </w:p>
    <w:p>
      <w:pPr>
        <w:spacing w:line="240" w:lineRule="auto" w:before="0"/>
        <w:rPr>
          <w:rFonts w:ascii="宋体" w:hAnsi="宋体" w:cs="宋体" w:eastAsia="宋体" w:hint="default"/>
          <w:sz w:val="18"/>
          <w:szCs w:val="18"/>
        </w:rPr>
      </w:pPr>
    </w:p>
    <w:p>
      <w:pPr>
        <w:spacing w:line="571" w:lineRule="auto" w:before="139"/>
        <w:ind w:left="141" w:right="7692" w:firstLine="0"/>
        <w:jc w:val="left"/>
        <w:rPr>
          <w:rFonts w:ascii="宋体" w:hAnsi="宋体" w:cs="宋体" w:eastAsia="宋体" w:hint="default"/>
          <w:sz w:val="21"/>
          <w:szCs w:val="21"/>
        </w:rPr>
      </w:pPr>
      <w:bookmarkStart w:name="4、其他资产负债表日后事项说明" w:id="381"/>
      <w:bookmarkEnd w:id="381"/>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、其他资产负债表日后事项说明</w:t>
      </w:r>
      <w:r>
        <w:rPr>
          <w:rFonts w:ascii="宋体" w:hAnsi="宋体" w:cs="宋体" w:eastAsia="宋体" w:hint="default"/>
          <w:b/>
          <w:bCs/>
          <w:spacing w:val="-103"/>
          <w:sz w:val="21"/>
          <w:szCs w:val="21"/>
        </w:rPr>
        <w:t> </w:t>
      </w:r>
      <w:r>
        <w:rPr>
          <w:rFonts w:ascii="宋体" w:hAnsi="宋体" w:cs="宋体" w:eastAsia="宋体" w:hint="default"/>
          <w:b/>
          <w:bCs/>
          <w:spacing w:val="-103"/>
          <w:sz w:val="21"/>
          <w:szCs w:val="21"/>
        </w:rPr>
      </w:r>
      <w:r>
        <w:rPr>
          <w:rFonts w:ascii="宋体" w:hAnsi="宋体" w:cs="宋体" w:eastAsia="宋体" w:hint="default"/>
          <w:sz w:val="21"/>
          <w:szCs w:val="21"/>
        </w:rPr>
        <w:t>对新型冠状病毒疫情的影响评估</w:t>
      </w:r>
    </w:p>
    <w:p>
      <w:pPr>
        <w:spacing w:line="240" w:lineRule="auto" w:before="13"/>
        <w:rPr>
          <w:rFonts w:ascii="宋体" w:hAnsi="宋体" w:cs="宋体" w:eastAsia="宋体" w:hint="default"/>
          <w:sz w:val="27"/>
          <w:szCs w:val="27"/>
        </w:rPr>
      </w:pPr>
    </w:p>
    <w:p>
      <w:pPr>
        <w:pStyle w:val="Heading6"/>
        <w:spacing w:line="405" w:lineRule="auto"/>
        <w:ind w:left="141" w:right="1083"/>
        <w:jc w:val="both"/>
      </w:pPr>
      <w:r>
        <w:rPr>
          <w:spacing w:val="-3"/>
        </w:rPr>
        <w:t>自新型冠状病毒的传染疫情（</w:t>
      </w:r>
      <w:r>
        <w:rPr>
          <w:rFonts w:ascii="Times New Roman" w:hAnsi="Times New Roman" w:cs="Times New Roman" w:eastAsia="Times New Roman" w:hint="default"/>
          <w:spacing w:val="-3"/>
        </w:rPr>
        <w:t>“</w:t>
      </w:r>
      <w:r>
        <w:rPr>
          <w:spacing w:val="-3"/>
        </w:rPr>
        <w:t>新冠疫情</w:t>
      </w:r>
      <w:r>
        <w:rPr>
          <w:rFonts w:ascii="Times New Roman" w:hAnsi="Times New Roman" w:cs="Times New Roman" w:eastAsia="Times New Roman" w:hint="default"/>
          <w:spacing w:val="-3"/>
        </w:rPr>
        <w:t>”</w:t>
      </w:r>
      <w:r>
        <w:rPr>
          <w:spacing w:val="-3"/>
        </w:rPr>
        <w:t>）从</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月起在全国爆发以来，对肺炎疫情的防控工作正在全</w:t>
      </w:r>
      <w:r>
        <w:rPr>
          <w:spacing w:val="-57"/>
        </w:rPr>
        <w:t> </w:t>
      </w:r>
      <w:r>
        <w:rPr>
          <w:spacing w:val="-57"/>
        </w:rPr>
      </w:r>
      <w:r>
        <w:rPr/>
        <w:t>国范围内持续进行。本集团预计此次新冠疫情及防控措施将对本集团的经营造成一定的暂时性影响，影响</w:t>
      </w:r>
      <w:r>
        <w:rPr/>
        <w:t> 程度取决于疫情防控的进展情况、持续时间以及各地防控政策的实施情况，但不会影响本集团的长期持续 经营。本集团将继续密切关注肺炎疫情发展情况，评估和积极应对其对本集团财务状况、经营成果等方面 的影响。截至本财务报表批准报出日，该评估工作尚在进行当中。预计肺炎疫情对本集团的持续经营无重 大影响。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2"/>
        <w:spacing w:line="240" w:lineRule="auto"/>
        <w:ind w:right="0"/>
        <w:jc w:val="both"/>
        <w:rPr>
          <w:b w:val="0"/>
          <w:bCs w:val="0"/>
        </w:rPr>
      </w:pPr>
      <w:bookmarkStart w:name="十五、其他重要事项" w:id="382"/>
      <w:bookmarkEnd w:id="382"/>
      <w:r>
        <w:rPr>
          <w:b w:val="0"/>
          <w:bCs w:val="0"/>
        </w:rPr>
      </w:r>
      <w:r>
        <w:rPr/>
        <w:t>十五、其他重要事项</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both"/>
        <w:rPr>
          <w:b w:val="0"/>
          <w:bCs w:val="0"/>
        </w:rPr>
      </w:pPr>
      <w:bookmarkStart w:name="1、前期会计差错更正" w:id="383"/>
      <w:bookmarkEnd w:id="383"/>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both"/>
        <w:rPr>
          <w:b w:val="0"/>
          <w:bCs w:val="0"/>
        </w:rPr>
      </w:pPr>
      <w:bookmarkStart w:name="（1）追溯重述法" w:id="384"/>
      <w:bookmarkEnd w:id="384"/>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493"/>
        <w:gridCol w:w="2298"/>
        <w:gridCol w:w="2403"/>
        <w:gridCol w:w="2388"/>
      </w:tblGrid>
      <w:tr>
        <w:trPr>
          <w:trHeight w:val="721" w:hRule="exact"/>
        </w:trPr>
        <w:tc>
          <w:tcPr>
            <w:tcW w:w="249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4"/>
              <w:ind w:left="840" w:right="105" w:hanging="721"/>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736"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405" w:hRule="exact"/>
        </w:trPr>
        <w:tc>
          <w:tcPr>
            <w:tcW w:w="24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298" w:type="dxa"/>
            <w:tcBorders>
              <w:top w:val="single" w:sz="6" w:space="0" w:color="000000"/>
              <w:left w:val="single" w:sz="6" w:space="0" w:color="000000"/>
              <w:bottom w:val="single" w:sz="6" w:space="0" w:color="000000"/>
              <w:right w:val="single" w:sz="6" w:space="0" w:color="000000"/>
            </w:tcBorders>
          </w:tcPr>
          <w:p>
            <w:pPr/>
          </w:p>
        </w:tc>
        <w:tc>
          <w:tcPr>
            <w:tcW w:w="2403" w:type="dxa"/>
            <w:tcBorders>
              <w:top w:val="single" w:sz="6" w:space="0" w:color="000000"/>
              <w:left w:val="single" w:sz="6" w:space="0" w:color="000000"/>
              <w:bottom w:val="single" w:sz="6" w:space="0" w:color="000000"/>
              <w:right w:val="single" w:sz="6" w:space="0" w:color="000000"/>
            </w:tcBorders>
          </w:tcPr>
          <w:p>
            <w:pPr/>
          </w:p>
        </w:tc>
        <w:tc>
          <w:tcPr>
            <w:tcW w:w="238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未来适用法" w:id="385"/>
      <w:bookmarkEnd w:id="385"/>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1"/>
        <w:rPr>
          <w:rFonts w:ascii="宋体" w:hAnsi="宋体" w:cs="宋体" w:eastAsia="宋体" w:hint="default"/>
          <w:b/>
          <w:bCs/>
          <w:sz w:val="24"/>
          <w:szCs w:val="24"/>
        </w:rPr>
      </w:pPr>
    </w:p>
    <w:tbl>
      <w:tblPr>
        <w:tblW w:w="0" w:type="auto"/>
        <w:jc w:val="left"/>
        <w:tblInd w:w="126" w:type="dxa"/>
        <w:tblLayout w:type="fixed"/>
        <w:tblCellMar>
          <w:top w:w="0" w:type="dxa"/>
          <w:left w:w="0" w:type="dxa"/>
          <w:bottom w:w="0" w:type="dxa"/>
          <w:right w:w="0" w:type="dxa"/>
        </w:tblCellMar>
        <w:tblLook w:val="01E0"/>
      </w:tblPr>
      <w:tblGrid>
        <w:gridCol w:w="3334"/>
        <w:gridCol w:w="3064"/>
        <w:gridCol w:w="3184"/>
      </w:tblGrid>
      <w:tr>
        <w:trPr>
          <w:trHeight w:val="405" w:hRule="exact"/>
        </w:trPr>
        <w:tc>
          <w:tcPr>
            <w:tcW w:w="333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841"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5"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r>
        <w:trPr>
          <w:trHeight w:val="406" w:hRule="exact"/>
        </w:trPr>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64" w:type="dxa"/>
            <w:tcBorders>
              <w:top w:val="single" w:sz="6" w:space="0" w:color="000000"/>
              <w:left w:val="single" w:sz="6" w:space="0" w:color="000000"/>
              <w:bottom w:val="single" w:sz="6" w:space="0" w:color="000000"/>
              <w:right w:val="single" w:sz="6" w:space="0" w:color="000000"/>
            </w:tcBorders>
          </w:tcPr>
          <w:p>
            <w:pPr/>
          </w:p>
        </w:tc>
        <w:tc>
          <w:tcPr>
            <w:tcW w:w="318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b/>
          <w:bCs/>
          <w:sz w:val="19"/>
          <w:szCs w:val="19"/>
        </w:rPr>
      </w:pPr>
    </w:p>
    <w:p>
      <w:pPr>
        <w:pStyle w:val="Heading5"/>
        <w:spacing w:line="240" w:lineRule="auto" w:before="35"/>
        <w:ind w:right="0"/>
        <w:jc w:val="left"/>
        <w:rPr>
          <w:b w:val="0"/>
          <w:bCs w:val="0"/>
        </w:rPr>
      </w:pPr>
      <w:bookmarkStart w:name="2、债务重组" w:id="386"/>
      <w:bookmarkEnd w:id="386"/>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after="0" w:line="240" w:lineRule="auto"/>
        <w:jc w:val="left"/>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3、资产置换" w:id="387"/>
      <w:bookmarkEnd w:id="387"/>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非货币性资产交换" w:id="388"/>
      <w:bookmarkEnd w:id="388"/>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2）其他资产置换" w:id="389"/>
      <w:bookmarkEnd w:id="389"/>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年金计划" w:id="390"/>
      <w:bookmarkEnd w:id="390"/>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40"/>
        <w:ind w:right="0"/>
        <w:jc w:val="left"/>
        <w:rPr>
          <w:b w:val="0"/>
          <w:bCs w:val="0"/>
        </w:rPr>
      </w:pPr>
      <w:bookmarkStart w:name="5、终止经营" w:id="391"/>
      <w:bookmarkEnd w:id="391"/>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1036"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13"/>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0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9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29" w:right="59"/>
              <w:jc w:val="center"/>
              <w:rPr>
                <w:rFonts w:ascii="宋体" w:hAnsi="宋体" w:cs="宋体" w:eastAsia="宋体" w:hint="default"/>
                <w:sz w:val="18"/>
                <w:szCs w:val="18"/>
              </w:rPr>
            </w:pPr>
            <w:r>
              <w:rPr>
                <w:rFonts w:ascii="宋体" w:hAnsi="宋体" w:cs="宋体" w:eastAsia="宋体" w:hint="default"/>
                <w:sz w:val="18"/>
                <w:szCs w:val="18"/>
              </w:rPr>
              <w:t>归属于母公司所 有者的终止经营 利润</w:t>
            </w:r>
          </w:p>
        </w:tc>
      </w:tr>
      <w:tr>
        <w:trPr>
          <w:trHeight w:val="390" w:hRule="exact"/>
        </w:trPr>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注销子公司</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90" w:right="0"/>
              <w:jc w:val="left"/>
              <w:rPr>
                <w:rFonts w:ascii="Times New Roman" w:hAnsi="Times New Roman" w:cs="Times New Roman" w:eastAsia="Times New Roman" w:hint="default"/>
                <w:sz w:val="18"/>
                <w:szCs w:val="18"/>
              </w:rPr>
            </w:pPr>
            <w:r>
              <w:rPr>
                <w:rFonts w:ascii="Times New Roman"/>
                <w:sz w:val="18"/>
              </w:rPr>
              <w:t>1,167,333.00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5" w:right="0"/>
              <w:jc w:val="left"/>
              <w:rPr>
                <w:rFonts w:ascii="Times New Roman" w:hAnsi="Times New Roman" w:cs="Times New Roman" w:eastAsia="Times New Roman" w:hint="default"/>
                <w:sz w:val="18"/>
                <w:szCs w:val="18"/>
              </w:rPr>
            </w:pPr>
            <w:r>
              <w:rPr>
                <w:rFonts w:ascii="Times New Roman"/>
                <w:sz w:val="18"/>
              </w:rPr>
              <w:t>-1,167,333.00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5" w:right="0"/>
              <w:jc w:val="left"/>
              <w:rPr>
                <w:rFonts w:ascii="Times New Roman" w:hAnsi="Times New Roman" w:cs="Times New Roman" w:eastAsia="Times New Roman" w:hint="default"/>
                <w:sz w:val="18"/>
                <w:szCs w:val="18"/>
              </w:rPr>
            </w:pPr>
            <w:r>
              <w:rPr>
                <w:rFonts w:ascii="Times New Roman"/>
                <w:sz w:val="18"/>
              </w:rPr>
              <w:t>-1,167,333.00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15" w:right="0"/>
              <w:jc w:val="left"/>
              <w:rPr>
                <w:rFonts w:ascii="Times New Roman" w:hAnsi="Times New Roman" w:cs="Times New Roman" w:eastAsia="Times New Roman" w:hint="default"/>
                <w:sz w:val="18"/>
                <w:szCs w:val="18"/>
              </w:rPr>
            </w:pPr>
            <w:r>
              <w:rPr>
                <w:rFonts w:ascii="Times New Roman"/>
                <w:sz w:val="18"/>
              </w:rPr>
              <w:t>-3,090,078.00</w:t>
            </w:r>
          </w:p>
        </w:tc>
      </w:tr>
    </w:tbl>
    <w:p>
      <w:pPr>
        <w:pStyle w:val="BodyText"/>
        <w:spacing w:line="367" w:lineRule="auto" w:before="45"/>
        <w:ind w:right="1299"/>
        <w:jc w:val="left"/>
      </w:pPr>
      <w:r>
        <w:rPr/>
        <w:t>其他说明 本公司子公司法人独资有限责任公司石家庄美特斯邦威服饰有限公司，于</w:t>
      </w:r>
      <w:r>
        <w:rPr>
          <w:rFonts w:ascii="Times New Roman" w:hAnsi="Times New Roman" w:cs="Times New Roman" w:eastAsia="Times New Roman" w:hint="default"/>
        </w:rPr>
        <w:t>2019</w:t>
      </w:r>
      <w:r>
        <w:rPr/>
        <w:t>年终止经营活动，于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日注销。</w:t>
      </w:r>
    </w:p>
    <w:p>
      <w:pPr>
        <w:spacing w:line="240" w:lineRule="auto" w:before="6"/>
        <w:rPr>
          <w:rFonts w:ascii="宋体" w:hAnsi="宋体" w:cs="宋体" w:eastAsia="宋体" w:hint="default"/>
          <w:sz w:val="18"/>
          <w:szCs w:val="18"/>
        </w:rPr>
      </w:pPr>
    </w:p>
    <w:p>
      <w:pPr>
        <w:pStyle w:val="Heading5"/>
        <w:spacing w:line="240" w:lineRule="auto"/>
        <w:ind w:right="0"/>
        <w:jc w:val="both"/>
        <w:rPr>
          <w:b w:val="0"/>
          <w:bCs w:val="0"/>
        </w:rPr>
      </w:pPr>
      <w:bookmarkStart w:name="6、分部信息" w:id="392"/>
      <w:bookmarkEnd w:id="392"/>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both"/>
        <w:rPr>
          <w:b w:val="0"/>
          <w:bCs w:val="0"/>
        </w:rPr>
      </w:pPr>
      <w:bookmarkStart w:name="（1）报告分部的确定依据与会计政策" w:id="393"/>
      <w:bookmarkEnd w:id="393"/>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2"/>
        <w:rPr>
          <w:rFonts w:ascii="宋体" w:hAnsi="宋体" w:cs="宋体" w:eastAsia="宋体" w:hint="default"/>
          <w:b/>
          <w:bCs/>
          <w:sz w:val="22"/>
          <w:szCs w:val="22"/>
        </w:rPr>
      </w:pPr>
    </w:p>
    <w:p>
      <w:pPr>
        <w:pStyle w:val="Heading2"/>
        <w:spacing w:line="240" w:lineRule="auto"/>
        <w:ind w:right="0"/>
        <w:jc w:val="both"/>
        <w:rPr>
          <w:b w:val="0"/>
          <w:bCs w:val="0"/>
        </w:rPr>
      </w:pPr>
      <w:r>
        <w:rPr/>
        <w:t>经营分部</w:t>
      </w:r>
      <w:r>
        <w:rPr>
          <w:b w:val="0"/>
          <w:bCs w:val="0"/>
        </w:rPr>
      </w:r>
    </w:p>
    <w:p>
      <w:pPr>
        <w:spacing w:line="240" w:lineRule="auto" w:before="1"/>
        <w:rPr>
          <w:rFonts w:ascii="宋体" w:hAnsi="宋体" w:cs="宋体" w:eastAsia="宋体" w:hint="default"/>
          <w:b/>
          <w:bCs/>
          <w:sz w:val="23"/>
          <w:szCs w:val="23"/>
        </w:rPr>
      </w:pPr>
    </w:p>
    <w:p>
      <w:pPr>
        <w:pStyle w:val="Heading3"/>
        <w:spacing w:line="240" w:lineRule="auto"/>
        <w:ind w:right="1146"/>
        <w:jc w:val="both"/>
      </w:pPr>
      <w:r>
        <w:rPr/>
        <w:t>本集团的经营业务根据业务的性质以及所提供的产品和劳务的方式分开组织和管理。本集团 的每个业务分部提供面临不同于其他业务分部的风险并取得不同于其他业务分部的报酬的产 品和服务。以下是对业务分部详细信息的概括：</w:t>
      </w:r>
    </w:p>
    <w:p>
      <w:pPr>
        <w:spacing w:line="240" w:lineRule="auto" w:before="3"/>
        <w:rPr>
          <w:rFonts w:ascii="宋体" w:hAnsi="宋体" w:cs="宋体" w:eastAsia="宋体" w:hint="default"/>
          <w:sz w:val="27"/>
          <w:szCs w:val="27"/>
        </w:rPr>
      </w:pPr>
    </w:p>
    <w:p>
      <w:pPr>
        <w:pStyle w:val="Heading3"/>
        <w:spacing w:line="300" w:lineRule="exact"/>
        <w:ind w:right="4069"/>
        <w:jc w:val="left"/>
      </w:pPr>
      <w:r>
        <w:rPr>
          <w:rFonts w:ascii="Times New Roman" w:hAnsi="Times New Roman" w:cs="Times New Roman" w:eastAsia="Times New Roman" w:hint="default"/>
        </w:rPr>
        <w:t>a)</w:t>
      </w:r>
      <w:r>
        <w:rPr/>
        <w:t>批发业务为主要向加盟商销售服饰产品；</w:t>
      </w:r>
      <w:r>
        <w:rPr>
          <w:w w:val="99"/>
        </w:rPr>
        <w:t> </w:t>
      </w:r>
      <w:r>
        <w:rPr>
          <w:rFonts w:ascii="Times New Roman" w:hAnsi="Times New Roman" w:cs="Times New Roman" w:eastAsia="Times New Roman" w:hint="default"/>
        </w:rPr>
        <w:t>b)</w:t>
      </w:r>
      <w:r>
        <w:rPr/>
        <w:t>零售业务为主要通过直营店、专柜和电商平台销售服饰产品。</w:t>
      </w:r>
    </w:p>
    <w:p>
      <w:pPr>
        <w:spacing w:line="240" w:lineRule="auto" w:before="2"/>
        <w:rPr>
          <w:rFonts w:ascii="宋体" w:hAnsi="宋体" w:cs="宋体" w:eastAsia="宋体" w:hint="default"/>
          <w:sz w:val="22"/>
          <w:szCs w:val="22"/>
        </w:rPr>
      </w:pPr>
    </w:p>
    <w:p>
      <w:pPr>
        <w:pStyle w:val="Heading3"/>
        <w:spacing w:line="240" w:lineRule="auto"/>
        <w:ind w:right="0"/>
        <w:jc w:val="both"/>
      </w:pPr>
      <w:r>
        <w:rPr/>
        <w:t>分部间交易的价格为成本加成。</w:t>
      </w:r>
    </w:p>
    <w:p>
      <w:pPr>
        <w:spacing w:line="240" w:lineRule="auto" w:before="5"/>
        <w:rPr>
          <w:rFonts w:ascii="宋体" w:hAnsi="宋体" w:cs="宋体" w:eastAsia="宋体" w:hint="default"/>
          <w:sz w:val="24"/>
          <w:szCs w:val="24"/>
        </w:rPr>
      </w:pPr>
    </w:p>
    <w:p>
      <w:pPr>
        <w:pStyle w:val="Heading3"/>
        <w:spacing w:line="237" w:lineRule="auto"/>
        <w:ind w:right="1146"/>
        <w:jc w:val="both"/>
      </w:pPr>
      <w:r>
        <w:rPr/>
        <w:t>零售业务系直营渠道的销售交易；批发业务系除直营渠道外的销售交易，包括加盟渠道及集 团合并范围内公司之间的销售交易，其中合并范围内各公司间的销售交易、资产及负债已全 额抵消。销售费用与管理费用扣除直接归属于直营渠道的费用后的金额按收入比重在分部间 分配，财务费用、营业外收支等不进行分配。</w:t>
      </w:r>
    </w:p>
    <w:p>
      <w:pPr>
        <w:spacing w:after="0" w:line="237" w:lineRule="auto"/>
        <w:jc w:val="both"/>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2）报告分部的财务信息" w:id="394"/>
      <w:bookmarkEnd w:id="394"/>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0"/>
        <w:gridCol w:w="1922"/>
        <w:gridCol w:w="1923"/>
        <w:gridCol w:w="1907"/>
        <w:gridCol w:w="1922"/>
      </w:tblGrid>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7"/>
              <w:jc w:val="center"/>
              <w:rPr>
                <w:rFonts w:ascii="宋体" w:hAnsi="宋体" w:cs="宋体" w:eastAsia="宋体" w:hint="default"/>
                <w:sz w:val="18"/>
                <w:szCs w:val="18"/>
              </w:rPr>
            </w:pPr>
            <w:r>
              <w:rPr>
                <w:rFonts w:ascii="宋体" w:hAnsi="宋体" w:cs="宋体" w:eastAsia="宋体" w:hint="default"/>
                <w:sz w:val="18"/>
                <w:szCs w:val="18"/>
              </w:rPr>
              <w:t>项目</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批发业务</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零售业务</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95"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对外交易收入</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2,074,125,341.00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3,335,644,211.00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53,522,424.00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5,463,291,977.00</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经营成果</w:t>
            </w:r>
            <w:r>
              <w:rPr>
                <w:rFonts w:ascii="Times New Roman" w:hAnsi="Times New Roman" w:cs="Times New Roman" w:eastAsia="Times New Roman" w:hint="default"/>
                <w:sz w:val="18"/>
                <w:szCs w:val="18"/>
              </w:rPr>
              <w:t>:</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分部利润</w:t>
            </w:r>
            <w:r>
              <w:rPr>
                <w:rFonts w:ascii="Times New Roman" w:hAnsi="Times New Roman" w:cs="Times New Roman" w:eastAsia="Times New Roman" w:hint="default"/>
                <w:sz w:val="18"/>
                <w:szCs w:val="18"/>
              </w:rPr>
              <w:t>/(</w:t>
            </w:r>
            <w:r>
              <w:rPr>
                <w:rFonts w:ascii="宋体" w:hAnsi="宋体" w:cs="宋体" w:eastAsia="宋体" w:hint="default"/>
                <w:sz w:val="18"/>
                <w:szCs w:val="18"/>
              </w:rPr>
              <w:t>亏损</w:t>
            </w:r>
            <w:r>
              <w:rPr>
                <w:rFonts w:ascii="Times New Roman" w:hAnsi="Times New Roman" w:cs="Times New Roman" w:eastAsia="Times New Roman" w:hint="default"/>
                <w:sz w:val="18"/>
                <w:szCs w:val="18"/>
              </w:rPr>
              <w:t>)</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w w:val="95"/>
                <w:sz w:val="18"/>
              </w:rPr>
              <w:t>-210,610,732.00</w:t>
            </w:r>
            <w:r>
              <w:rPr>
                <w:rFonts w:ascii="Times New Roman"/>
                <w:sz w:val="18"/>
              </w:rPr>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-581,356,025.00</w:t>
            </w:r>
            <w:r>
              <w:rPr>
                <w:rFonts w:ascii="Times New Roman"/>
                <w:sz w:val="18"/>
              </w:rPr>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z w:val="18"/>
              </w:rPr>
              <w:t>6,111,995.00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w w:val="95"/>
                <w:sz w:val="18"/>
              </w:rPr>
              <w:t>-785,854,762.00</w:t>
            </w:r>
            <w:r>
              <w:rPr>
                <w:rFonts w:ascii="Times New Roman"/>
                <w:sz w:val="18"/>
              </w:rPr>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其他披露</w:t>
            </w:r>
            <w:r>
              <w:rPr>
                <w:rFonts w:ascii="Times New Roman" w:hAnsi="Times New Roman" w:cs="Times New Roman" w:eastAsia="Times New Roman" w:hint="default"/>
                <w:sz w:val="18"/>
                <w:szCs w:val="18"/>
              </w:rPr>
              <w:t>:</w:t>
            </w:r>
          </w:p>
        </w:tc>
        <w:tc>
          <w:tcPr>
            <w:tcW w:w="1922" w:type="dxa"/>
            <w:tcBorders>
              <w:top w:val="single" w:sz="6" w:space="0" w:color="000000"/>
              <w:left w:val="single" w:sz="18" w:space="0" w:color="D2D2D2"/>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资本性支出</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53,060,536.00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85,332,872.00</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138,393,408.00</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折旧和摊销费用</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121,042,621.00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194,662,843.00</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315,705,464.00</w:t>
            </w: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120,544,353.00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9,587,382.00</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130,131,735.00</w:t>
            </w:r>
          </w:p>
        </w:tc>
      </w:tr>
      <w:tr>
        <w:trPr>
          <w:trHeight w:val="391"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22"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120,486,881.00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193,769,084.00</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314,255,965.00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其他说明" w:id="395"/>
      <w:bookmarkEnd w:id="395"/>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7、其他对投资者决策有影响的重要交易和事项" w:id="396"/>
      <w:bookmarkEnd w:id="396"/>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8、其他" w:id="397"/>
      <w:bookmarkEnd w:id="397"/>
      <w:r>
        <w:rPr>
          <w:b w:val="0"/>
          <w:bCs w:val="0"/>
        </w:rPr>
      </w:r>
      <w:r>
        <w:rPr>
          <w:rFonts w:ascii="Times New Roman" w:hAnsi="Times New Roman" w:cs="Times New Roman" w:eastAsia="Times New Roman" w:hint="default"/>
        </w:rPr>
        <w:t>8</w:t>
      </w:r>
      <w:r>
        <w:rPr/>
        <w:t>、其他</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无</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六、母公司财务报表主要项目注释" w:id="398"/>
      <w:bookmarkEnd w:id="398"/>
      <w:r>
        <w:rPr>
          <w:b w:val="0"/>
          <w:bCs w:val="0"/>
        </w:rPr>
      </w:r>
      <w:r>
        <w:rPr/>
        <w:t>十六、母公司财务报表主要项目注释</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应收账款" w:id="399"/>
      <w:bookmarkEnd w:id="399"/>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1）应收账款分类披露" w:id="400"/>
      <w:bookmarkEnd w:id="400"/>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405" w:hRule="exact"/>
        </w:trPr>
        <w:tc>
          <w:tcPr>
            <w:tcW w:w="163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29"/>
              <w:jc w:val="center"/>
              <w:rPr>
                <w:rFonts w:ascii="宋体" w:hAnsi="宋体" w:cs="宋体" w:eastAsia="宋体" w:hint="default"/>
                <w:sz w:val="18"/>
                <w:szCs w:val="18"/>
              </w:rPr>
            </w:pPr>
            <w:r>
              <w:rPr>
                <w:rFonts w:ascii="宋体" w:hAnsi="宋体" w:cs="宋体" w:eastAsia="宋体" w:hint="default"/>
                <w:sz w:val="18"/>
                <w:szCs w:val="18"/>
              </w:rPr>
              <w:t>类别</w:t>
            </w:r>
          </w:p>
        </w:tc>
        <w:tc>
          <w:tcPr>
            <w:tcW w:w="3845"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5"/>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7" w:type="dxa"/>
            <w:vMerge/>
            <w:tcBorders>
              <w:left w:val="single" w:sz="6" w:space="0" w:color="000000"/>
              <w:right w:val="single" w:sz="6" w:space="0" w:color="000000"/>
            </w:tcBorders>
            <w:shd w:val="clear" w:color="auto" w:fill="D2D2D2"/>
          </w:tcPr>
          <w:p>
            <w:pPr/>
          </w:p>
        </w:tc>
        <w:tc>
          <w:tcPr>
            <w:tcW w:w="153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3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1577"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0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2"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42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58" w:hRule="exact"/>
        </w:trPr>
        <w:tc>
          <w:tcPr>
            <w:tcW w:w="1637" w:type="dxa"/>
            <w:vMerge/>
            <w:tcBorders>
              <w:left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tcBorders>
              <w:top w:val="single" w:sz="6" w:space="0" w:color="000000"/>
              <w:left w:val="single" w:sz="6" w:space="0" w:color="000000"/>
              <w:bottom w:val="nil" w:sz="6" w:space="0" w:color="auto"/>
              <w:right w:val="single" w:sz="6" w:space="0" w:color="000000"/>
            </w:tcBorders>
            <w:shd w:val="clear" w:color="auto" w:fill="D2D2D2"/>
          </w:tcPr>
          <w:p>
            <w:pPr/>
          </w:p>
        </w:tc>
        <w:tc>
          <w:tcPr>
            <w:tcW w:w="751" w:type="dxa"/>
            <w:tcBorders>
              <w:top w:val="single" w:sz="6" w:space="0" w:color="000000"/>
              <w:left w:val="single" w:sz="6" w:space="0" w:color="000000"/>
              <w:bottom w:val="nil" w:sz="6" w:space="0" w:color="auto"/>
              <w:right w:val="single" w:sz="6" w:space="0" w:color="000000"/>
            </w:tcBorders>
            <w:shd w:val="clear" w:color="auto" w:fill="D2D2D2"/>
          </w:tcPr>
          <w:p>
            <w:pPr/>
          </w:p>
        </w:tc>
        <w:tc>
          <w:tcPr>
            <w:tcW w:w="766" w:type="dxa"/>
            <w:vMerge w:val="restart"/>
            <w:tcBorders>
              <w:top w:val="single" w:sz="6" w:space="0" w:color="000000"/>
              <w:left w:val="single" w:sz="6" w:space="0" w:color="000000"/>
              <w:right w:val="single" w:sz="6" w:space="0" w:color="000000"/>
            </w:tcBorders>
            <w:shd w:val="clear" w:color="auto" w:fill="D2D2D2"/>
          </w:tcPr>
          <w:p>
            <w:pPr>
              <w:pStyle w:val="TableParagraph"/>
              <w:spacing w:line="307" w:lineRule="auto" w:before="44"/>
              <w:ind w:left="284" w:right="105"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7"/>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81"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796" w:type="dxa"/>
            <w:tcBorders>
              <w:top w:val="single" w:sz="6" w:space="0" w:color="000000"/>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8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78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6"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6" w:space="0" w:color="000000"/>
              <w:right w:val="single" w:sz="6" w:space="0" w:color="000000"/>
            </w:tcBorders>
            <w:shd w:val="clear" w:color="auto" w:fill="D2D2D2"/>
          </w:tcPr>
          <w:p>
            <w:pPr/>
          </w:p>
        </w:tc>
      </w:tr>
      <w:tr>
        <w:trPr>
          <w:trHeight w:val="195" w:hRule="exact"/>
        </w:trPr>
        <w:tc>
          <w:tcPr>
            <w:tcW w:w="1637" w:type="dxa"/>
            <w:vMerge/>
            <w:tcBorders>
              <w:left w:val="single" w:sz="6" w:space="0" w:color="000000"/>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66" w:type="dxa"/>
            <w:vMerge/>
            <w:tcBorders>
              <w:left w:val="single" w:sz="6" w:space="0" w:color="000000"/>
              <w:bottom w:val="nil" w:sz="6" w:space="0" w:color="auto"/>
              <w:right w:val="single" w:sz="6" w:space="0" w:color="000000"/>
            </w:tcBorders>
            <w:shd w:val="clear" w:color="auto" w:fill="D2D2D2"/>
          </w:tcPr>
          <w:p>
            <w:pPr/>
          </w:p>
        </w:tc>
        <w:tc>
          <w:tcPr>
            <w:tcW w:w="751" w:type="dxa"/>
            <w:vMerge/>
            <w:tcBorders>
              <w:left w:val="single" w:sz="6" w:space="0" w:color="000000"/>
              <w:bottom w:val="nil" w:sz="6" w:space="0" w:color="auto"/>
              <w:right w:val="single" w:sz="6" w:space="0" w:color="000000"/>
            </w:tcBorders>
            <w:shd w:val="clear" w:color="auto" w:fill="D2D2D2"/>
          </w:tcPr>
          <w:p>
            <w:pPr/>
          </w:p>
        </w:tc>
        <w:tc>
          <w:tcPr>
            <w:tcW w:w="766" w:type="dxa"/>
            <w:vMerge/>
            <w:tcBorders>
              <w:left w:val="single" w:sz="6" w:space="0" w:color="000000"/>
              <w:right w:val="single" w:sz="6" w:space="0" w:color="000000"/>
            </w:tcBorders>
            <w:shd w:val="clear" w:color="auto" w:fill="D2D2D2"/>
          </w:tcPr>
          <w:p>
            <w:pPr/>
          </w:p>
        </w:tc>
        <w:tc>
          <w:tcPr>
            <w:tcW w:w="796" w:type="dxa"/>
            <w:vMerge w:val="restart"/>
            <w:tcBorders>
              <w:top w:val="nil" w:sz="6" w:space="0" w:color="auto"/>
              <w:left w:val="single" w:sz="6" w:space="0" w:color="000000"/>
              <w:right w:val="single" w:sz="6" w:space="0" w:color="000000"/>
            </w:tcBorders>
            <w:shd w:val="clear" w:color="auto" w:fill="D2D2D2"/>
          </w:tcPr>
          <w:p>
            <w:pPr/>
          </w:p>
        </w:tc>
        <w:tc>
          <w:tcPr>
            <w:tcW w:w="78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796" w:type="dxa"/>
            <w:vMerge/>
            <w:tcBorders>
              <w:left w:val="single" w:sz="6" w:space="0" w:color="000000"/>
              <w:bottom w:val="nil" w:sz="6" w:space="0" w:color="auto"/>
              <w:right w:val="single" w:sz="6" w:space="0" w:color="000000"/>
            </w:tcBorders>
            <w:shd w:val="clear" w:color="auto" w:fill="D2D2D2"/>
          </w:tcPr>
          <w:p>
            <w:pPr/>
          </w:p>
        </w:tc>
        <w:tc>
          <w:tcPr>
            <w:tcW w:w="931" w:type="dxa"/>
            <w:vMerge/>
            <w:tcBorders>
              <w:left w:val="single" w:sz="6" w:space="0" w:color="000000"/>
              <w:right w:val="single" w:sz="6" w:space="0" w:color="000000"/>
            </w:tcBorders>
            <w:shd w:val="clear" w:color="auto" w:fill="D2D2D2"/>
          </w:tcPr>
          <w:p>
            <w:pPr/>
          </w:p>
        </w:tc>
      </w:tr>
      <w:tr>
        <w:trPr>
          <w:trHeight w:val="173" w:hRule="exact"/>
        </w:trPr>
        <w:tc>
          <w:tcPr>
            <w:tcW w:w="1637" w:type="dxa"/>
            <w:vMerge/>
            <w:tcBorders>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66" w:type="dxa"/>
            <w:tcBorders>
              <w:top w:val="nil" w:sz="6" w:space="0" w:color="auto"/>
              <w:left w:val="single" w:sz="6" w:space="0" w:color="000000"/>
              <w:bottom w:val="single" w:sz="6" w:space="0" w:color="000000"/>
              <w:right w:val="single" w:sz="6" w:space="0" w:color="000000"/>
            </w:tcBorders>
            <w:shd w:val="clear" w:color="auto" w:fill="D2D2D2"/>
          </w:tcPr>
          <w:p>
            <w:pPr/>
          </w:p>
        </w:tc>
        <w:tc>
          <w:tcPr>
            <w:tcW w:w="751" w:type="dxa"/>
            <w:tcBorders>
              <w:top w:val="nil" w:sz="6" w:space="0" w:color="auto"/>
              <w:left w:val="single" w:sz="6" w:space="0" w:color="000000"/>
              <w:bottom w:val="single" w:sz="6" w:space="0" w:color="000000"/>
              <w:right w:val="single" w:sz="6" w:space="0" w:color="000000"/>
            </w:tcBorders>
            <w:shd w:val="clear" w:color="auto" w:fill="D2D2D2"/>
          </w:tcPr>
          <w:p>
            <w:pPr/>
          </w:p>
        </w:tc>
        <w:tc>
          <w:tcPr>
            <w:tcW w:w="76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81" w:type="dxa"/>
            <w:tcBorders>
              <w:top w:val="nil" w:sz="6" w:space="0" w:color="auto"/>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796" w:type="dxa"/>
            <w:tcBorders>
              <w:top w:val="nil" w:sz="6" w:space="0" w:color="auto"/>
              <w:left w:val="single" w:sz="6" w:space="0" w:color="000000"/>
              <w:bottom w:val="single" w:sz="6" w:space="0" w:color="000000"/>
              <w:right w:val="single" w:sz="6" w:space="0" w:color="000000"/>
            </w:tcBorders>
            <w:shd w:val="clear" w:color="auto" w:fill="D2D2D2"/>
          </w:tcPr>
          <w:p>
            <w:pPr/>
          </w:p>
        </w:tc>
        <w:tc>
          <w:tcPr>
            <w:tcW w:w="931" w:type="dxa"/>
            <w:vMerge/>
            <w:tcBorders>
              <w:left w:val="single" w:sz="6" w:space="0" w:color="000000"/>
              <w:bottom w:val="single" w:sz="6" w:space="0" w:color="000000"/>
              <w:right w:val="single" w:sz="6" w:space="0" w:color="000000"/>
            </w:tcBorders>
            <w:shd w:val="clear" w:color="auto" w:fill="D2D2D2"/>
          </w:tcPr>
          <w:p>
            <w:pPr/>
          </w:p>
        </w:tc>
      </w:tr>
      <w:tr>
        <w:trPr>
          <w:trHeight w:val="39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r>
        <w:trPr>
          <w:trHeight w:val="721"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15" w:right="165"/>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6"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left="82" w:right="0"/>
              <w:jc w:val="left"/>
              <w:rPr>
                <w:rFonts w:ascii="Times New Roman" w:hAnsi="Times New Roman" w:cs="Times New Roman" w:eastAsia="Times New Roman" w:hint="default"/>
                <w:sz w:val="18"/>
                <w:szCs w:val="18"/>
              </w:rPr>
            </w:pPr>
            <w:r>
              <w:rPr>
                <w:rFonts w:ascii="Times New Roman"/>
                <w:sz w:val="18"/>
              </w:rPr>
              <w:t>3,644,07</w:t>
            </w:r>
          </w:p>
          <w:p>
            <w:pPr>
              <w:pStyle w:val="TableParagraph"/>
              <w:spacing w:line="240" w:lineRule="auto" w:before="108"/>
              <w:ind w:left="82" w:right="0"/>
              <w:jc w:val="left"/>
              <w:rPr>
                <w:rFonts w:ascii="Times New Roman" w:hAnsi="Times New Roman" w:cs="Times New Roman" w:eastAsia="Times New Roman" w:hint="default"/>
                <w:sz w:val="18"/>
                <w:szCs w:val="18"/>
              </w:rPr>
            </w:pPr>
            <w:r>
              <w:rPr>
                <w:rFonts w:ascii="Times New Roman"/>
                <w:sz w:val="18"/>
              </w:rPr>
              <w:t>3,130.00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75" w:right="0"/>
              <w:jc w:val="left"/>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 w:right="0"/>
              <w:jc w:val="center"/>
              <w:rPr>
                <w:rFonts w:ascii="Times New Roman" w:hAnsi="Times New Roman" w:cs="Times New Roman" w:eastAsia="Times New Roman" w:hint="default"/>
                <w:sz w:val="18"/>
                <w:szCs w:val="18"/>
              </w:rPr>
            </w:pPr>
            <w:r>
              <w:rPr>
                <w:rFonts w:ascii="Times New Roman"/>
                <w:sz w:val="18"/>
              </w:rPr>
              <w:t>209,047,</w:t>
            </w:r>
          </w:p>
          <w:p>
            <w:pPr>
              <w:pStyle w:val="TableParagraph"/>
              <w:spacing w:line="240" w:lineRule="auto" w:before="108"/>
              <w:ind w:left="208" w:right="0"/>
              <w:jc w:val="center"/>
              <w:rPr>
                <w:rFonts w:ascii="Times New Roman" w:hAnsi="Times New Roman" w:cs="Times New Roman" w:eastAsia="Times New Roman" w:hint="default"/>
                <w:sz w:val="18"/>
                <w:szCs w:val="18"/>
              </w:rPr>
            </w:pPr>
            <w:r>
              <w:rPr>
                <w:rFonts w:ascii="Times New Roman"/>
                <w:sz w:val="18"/>
              </w:rPr>
              <w:t>694.00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69" w:right="0"/>
              <w:jc w:val="left"/>
              <w:rPr>
                <w:rFonts w:ascii="Times New Roman" w:hAnsi="Times New Roman" w:cs="Times New Roman" w:eastAsia="Times New Roman" w:hint="default"/>
                <w:sz w:val="18"/>
                <w:szCs w:val="18"/>
              </w:rPr>
            </w:pPr>
            <w:r>
              <w:rPr>
                <w:rFonts w:ascii="Times New Roman"/>
                <w:sz w:val="18"/>
              </w:rPr>
              <w:t>6.00%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3,435,025</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,436.00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3,833,039</w:t>
            </w:r>
          </w:p>
          <w:p>
            <w:pPr>
              <w:pStyle w:val="TableParagraph"/>
              <w:spacing w:line="240" w:lineRule="auto" w:before="108"/>
              <w:ind w:left="164" w:right="0"/>
              <w:jc w:val="center"/>
              <w:rPr>
                <w:rFonts w:ascii="Times New Roman" w:hAnsi="Times New Roman" w:cs="Times New Roman" w:eastAsia="Times New Roman" w:hint="default"/>
                <w:sz w:val="18"/>
                <w:szCs w:val="18"/>
              </w:rPr>
            </w:pPr>
            <w:r>
              <w:rPr>
                <w:rFonts w:ascii="Times New Roman"/>
                <w:sz w:val="18"/>
              </w:rPr>
              <w:t>,452.00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100.00%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39,812,68</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9.00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5" w:right="0"/>
              <w:jc w:val="left"/>
              <w:rPr>
                <w:rFonts w:ascii="Times New Roman" w:hAnsi="Times New Roman" w:cs="Times New Roman" w:eastAsia="Times New Roman" w:hint="default"/>
                <w:sz w:val="18"/>
                <w:szCs w:val="18"/>
              </w:rPr>
            </w:pPr>
            <w:r>
              <w:rPr>
                <w:rFonts w:ascii="Times New Roman"/>
                <w:sz w:val="18"/>
              </w:rPr>
              <w:t>1.00%</w:t>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3,793,226,7</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63.00</w:t>
            </w:r>
          </w:p>
        </w:tc>
      </w:tr>
      <w:tr>
        <w:trPr>
          <w:trHeight w:val="390"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5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6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81"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
        </w:tc>
        <w:tc>
          <w:tcPr>
            <w:tcW w:w="931"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637"/>
        <w:gridCol w:w="766"/>
        <w:gridCol w:w="766"/>
        <w:gridCol w:w="751"/>
        <w:gridCol w:w="766"/>
        <w:gridCol w:w="796"/>
        <w:gridCol w:w="781"/>
        <w:gridCol w:w="796"/>
        <w:gridCol w:w="796"/>
        <w:gridCol w:w="796"/>
        <w:gridCol w:w="931"/>
      </w:tblGrid>
      <w:tr>
        <w:trPr>
          <w:trHeight w:val="720" w:hRule="exact"/>
        </w:trPr>
        <w:tc>
          <w:tcPr>
            <w:tcW w:w="1637" w:type="dxa"/>
            <w:tcBorders>
              <w:top w:val="single" w:sz="6" w:space="0" w:color="000000"/>
              <w:left w:val="single" w:sz="6" w:space="0" w:color="000000"/>
              <w:bottom w:val="single" w:sz="6" w:space="0" w:color="000000"/>
              <w:right w:val="single" w:sz="6" w:space="0" w:color="000000"/>
            </w:tcBorders>
          </w:tcPr>
          <w:p>
            <w:pPr>
              <w:pStyle w:val="TableParagraph"/>
              <w:spacing w:line="307" w:lineRule="auto" w:before="44"/>
              <w:ind w:left="15" w:right="165"/>
              <w:jc w:val="left"/>
              <w:rPr>
                <w:rFonts w:ascii="宋体" w:hAnsi="宋体" w:cs="宋体" w:eastAsia="宋体" w:hint="default"/>
                <w:sz w:val="18"/>
                <w:szCs w:val="18"/>
              </w:rPr>
            </w:pPr>
            <w:r>
              <w:rPr>
                <w:rFonts w:ascii="宋体" w:hAnsi="宋体" w:cs="宋体" w:eastAsia="宋体" w:hint="default"/>
                <w:sz w:val="18"/>
                <w:szCs w:val="18"/>
              </w:rPr>
              <w:t>按信用风险特征组 合计提坏账准备</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90" w:right="0"/>
              <w:jc w:val="left"/>
              <w:rPr>
                <w:rFonts w:ascii="Times New Roman" w:hAnsi="Times New Roman" w:cs="Times New Roman" w:eastAsia="Times New Roman" w:hint="default"/>
                <w:sz w:val="18"/>
                <w:szCs w:val="18"/>
              </w:rPr>
            </w:pPr>
            <w:r>
              <w:rPr>
                <w:rFonts w:ascii="Times New Roman"/>
                <w:sz w:val="18"/>
              </w:rPr>
              <w:t>3,644,07</w:t>
            </w:r>
          </w:p>
          <w:p>
            <w:pPr>
              <w:pStyle w:val="TableParagraph"/>
              <w:spacing w:line="240" w:lineRule="auto" w:before="93"/>
              <w:ind w:left="90" w:right="0"/>
              <w:jc w:val="left"/>
              <w:rPr>
                <w:rFonts w:ascii="Times New Roman" w:hAnsi="Times New Roman" w:cs="Times New Roman" w:eastAsia="Times New Roman" w:hint="default"/>
                <w:sz w:val="18"/>
                <w:szCs w:val="18"/>
              </w:rPr>
            </w:pPr>
            <w:r>
              <w:rPr>
                <w:rFonts w:ascii="Times New Roman"/>
                <w:sz w:val="18"/>
              </w:rPr>
              <w:t>3,130.00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73" w:right="0"/>
              <w:jc w:val="center"/>
              <w:rPr>
                <w:rFonts w:ascii="Times New Roman" w:hAnsi="Times New Roman" w:cs="Times New Roman" w:eastAsia="Times New Roman" w:hint="default"/>
                <w:sz w:val="18"/>
                <w:szCs w:val="18"/>
              </w:rPr>
            </w:pPr>
            <w:r>
              <w:rPr>
                <w:rFonts w:ascii="Times New Roman"/>
                <w:sz w:val="18"/>
              </w:rPr>
              <w:t>209,047,</w:t>
            </w:r>
          </w:p>
          <w:p>
            <w:pPr>
              <w:pStyle w:val="TableParagraph"/>
              <w:spacing w:line="240" w:lineRule="auto" w:before="93"/>
              <w:ind w:left="208" w:right="0"/>
              <w:jc w:val="center"/>
              <w:rPr>
                <w:rFonts w:ascii="Times New Roman" w:hAnsi="Times New Roman" w:cs="Times New Roman" w:eastAsia="Times New Roman" w:hint="default"/>
                <w:sz w:val="18"/>
                <w:szCs w:val="18"/>
              </w:rPr>
            </w:pPr>
            <w:r>
              <w:rPr>
                <w:rFonts w:ascii="Times New Roman"/>
                <w:sz w:val="18"/>
              </w:rPr>
              <w:t>694.00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9" w:right="0"/>
              <w:jc w:val="center"/>
              <w:rPr>
                <w:rFonts w:ascii="Times New Roman" w:hAnsi="Times New Roman" w:cs="Times New Roman" w:eastAsia="Times New Roman" w:hint="default"/>
                <w:sz w:val="18"/>
                <w:szCs w:val="18"/>
              </w:rPr>
            </w:pPr>
            <w:r>
              <w:rPr>
                <w:rFonts w:ascii="Times New Roman"/>
                <w:sz w:val="18"/>
              </w:rPr>
              <w:t>3,435,025</w:t>
            </w:r>
          </w:p>
          <w:p>
            <w:pPr>
              <w:pStyle w:val="TableParagraph"/>
              <w:spacing w:line="240" w:lineRule="auto" w:before="93"/>
              <w:ind w:left="209" w:right="0"/>
              <w:jc w:val="center"/>
              <w:rPr>
                <w:rFonts w:ascii="Times New Roman" w:hAnsi="Times New Roman" w:cs="Times New Roman" w:eastAsia="Times New Roman" w:hint="default"/>
                <w:sz w:val="18"/>
                <w:szCs w:val="18"/>
              </w:rPr>
            </w:pPr>
            <w:r>
              <w:rPr>
                <w:rFonts w:ascii="Times New Roman"/>
                <w:sz w:val="18"/>
              </w:rPr>
              <w:t>,436.00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sz w:val="18"/>
              </w:rPr>
              <w:t>3,833,039</w:t>
            </w:r>
          </w:p>
          <w:p>
            <w:pPr>
              <w:pStyle w:val="TableParagraph"/>
              <w:spacing w:line="240" w:lineRule="auto" w:before="93"/>
              <w:ind w:left="164" w:right="0"/>
              <w:jc w:val="center"/>
              <w:rPr>
                <w:rFonts w:ascii="Times New Roman" w:hAnsi="Times New Roman" w:cs="Times New Roman" w:eastAsia="Times New Roman" w:hint="default"/>
                <w:sz w:val="18"/>
                <w:szCs w:val="18"/>
              </w:rPr>
            </w:pPr>
            <w:r>
              <w:rPr>
                <w:rFonts w:ascii="Times New Roman"/>
                <w:sz w:val="18"/>
              </w:rPr>
              <w:t>,452.00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39,812,68</w:t>
            </w:r>
          </w:p>
          <w:p>
            <w:pPr>
              <w:pStyle w:val="TableParagraph"/>
              <w:spacing w:line="240" w:lineRule="auto" w:before="93"/>
              <w:ind w:left="436" w:right="0"/>
              <w:jc w:val="left"/>
              <w:rPr>
                <w:rFonts w:ascii="Times New Roman" w:hAnsi="Times New Roman" w:cs="Times New Roman" w:eastAsia="Times New Roman" w:hint="default"/>
                <w:sz w:val="18"/>
                <w:szCs w:val="18"/>
              </w:rPr>
            </w:pPr>
            <w:r>
              <w:rPr>
                <w:rFonts w:ascii="Times New Roman"/>
                <w:sz w:val="18"/>
              </w:rPr>
              <w:t>9.00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3,793,226,7</w:t>
            </w:r>
          </w:p>
          <w:p>
            <w:pPr>
              <w:pStyle w:val="TableParagraph"/>
              <w:spacing w:line="240" w:lineRule="auto" w:before="93"/>
              <w:ind w:left="480" w:right="0"/>
              <w:jc w:val="left"/>
              <w:rPr>
                <w:rFonts w:ascii="Times New Roman" w:hAnsi="Times New Roman" w:cs="Times New Roman" w:eastAsia="Times New Roman" w:hint="default"/>
                <w:sz w:val="18"/>
                <w:szCs w:val="18"/>
              </w:rPr>
            </w:pPr>
            <w:r>
              <w:rPr>
                <w:rFonts w:ascii="Times New Roman"/>
                <w:sz w:val="18"/>
              </w:rPr>
              <w:t>63.00</w:t>
            </w:r>
          </w:p>
        </w:tc>
      </w:tr>
      <w:tr>
        <w:trPr>
          <w:trHeight w:val="705" w:hRule="exact"/>
        </w:trPr>
        <w:tc>
          <w:tcPr>
            <w:tcW w:w="16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90" w:right="0"/>
              <w:jc w:val="left"/>
              <w:rPr>
                <w:rFonts w:ascii="Times New Roman" w:hAnsi="Times New Roman" w:cs="Times New Roman" w:eastAsia="Times New Roman" w:hint="default"/>
                <w:sz w:val="18"/>
                <w:szCs w:val="18"/>
              </w:rPr>
            </w:pPr>
            <w:r>
              <w:rPr>
                <w:rFonts w:ascii="Times New Roman"/>
                <w:sz w:val="18"/>
              </w:rPr>
              <w:t>3,644,07</w:t>
            </w:r>
          </w:p>
          <w:p>
            <w:pPr>
              <w:pStyle w:val="TableParagraph"/>
              <w:spacing w:line="240" w:lineRule="auto" w:before="108"/>
              <w:ind w:left="90" w:right="0"/>
              <w:jc w:val="left"/>
              <w:rPr>
                <w:rFonts w:ascii="Times New Roman" w:hAnsi="Times New Roman" w:cs="Times New Roman" w:eastAsia="Times New Roman" w:hint="default"/>
                <w:sz w:val="18"/>
                <w:szCs w:val="18"/>
              </w:rPr>
            </w:pPr>
            <w:r>
              <w:rPr>
                <w:rFonts w:ascii="Times New Roman"/>
                <w:sz w:val="18"/>
              </w:rPr>
              <w:t>3,130.00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100.00%</w:t>
            </w:r>
          </w:p>
        </w:tc>
        <w:tc>
          <w:tcPr>
            <w:tcW w:w="7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73" w:right="0"/>
              <w:jc w:val="center"/>
              <w:rPr>
                <w:rFonts w:ascii="Times New Roman" w:hAnsi="Times New Roman" w:cs="Times New Roman" w:eastAsia="Times New Roman" w:hint="default"/>
                <w:sz w:val="18"/>
                <w:szCs w:val="18"/>
              </w:rPr>
            </w:pPr>
            <w:r>
              <w:rPr>
                <w:rFonts w:ascii="Times New Roman"/>
                <w:sz w:val="18"/>
              </w:rPr>
              <w:t>209,047,</w:t>
            </w:r>
          </w:p>
          <w:p>
            <w:pPr>
              <w:pStyle w:val="TableParagraph"/>
              <w:spacing w:line="240" w:lineRule="auto" w:before="108"/>
              <w:ind w:left="208" w:right="0"/>
              <w:jc w:val="center"/>
              <w:rPr>
                <w:rFonts w:ascii="Times New Roman" w:hAnsi="Times New Roman" w:cs="Times New Roman" w:eastAsia="Times New Roman" w:hint="default"/>
                <w:sz w:val="18"/>
                <w:szCs w:val="18"/>
              </w:rPr>
            </w:pPr>
            <w:r>
              <w:rPr>
                <w:rFonts w:ascii="Times New Roman"/>
                <w:sz w:val="18"/>
              </w:rPr>
              <w:t>694.00</w:t>
            </w:r>
          </w:p>
        </w:tc>
        <w:tc>
          <w:tcPr>
            <w:tcW w:w="7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w w:val="95"/>
                <w:sz w:val="18"/>
              </w:rPr>
              <w:t>6.00%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9" w:right="0"/>
              <w:jc w:val="center"/>
              <w:rPr>
                <w:rFonts w:ascii="Times New Roman" w:hAnsi="Times New Roman" w:cs="Times New Roman" w:eastAsia="Times New Roman" w:hint="default"/>
                <w:sz w:val="18"/>
                <w:szCs w:val="18"/>
              </w:rPr>
            </w:pPr>
            <w:r>
              <w:rPr>
                <w:rFonts w:ascii="Times New Roman"/>
                <w:sz w:val="18"/>
              </w:rPr>
              <w:t>3,435,025</w:t>
            </w:r>
          </w:p>
          <w:p>
            <w:pPr>
              <w:pStyle w:val="TableParagraph"/>
              <w:spacing w:line="240" w:lineRule="auto" w:before="108"/>
              <w:ind w:left="209" w:right="0"/>
              <w:jc w:val="center"/>
              <w:rPr>
                <w:rFonts w:ascii="Times New Roman" w:hAnsi="Times New Roman" w:cs="Times New Roman" w:eastAsia="Times New Roman" w:hint="default"/>
                <w:sz w:val="18"/>
                <w:szCs w:val="18"/>
              </w:rPr>
            </w:pPr>
            <w:r>
              <w:rPr>
                <w:rFonts w:ascii="Times New Roman"/>
                <w:sz w:val="18"/>
              </w:rPr>
              <w:t>,436.00</w:t>
            </w:r>
          </w:p>
        </w:tc>
        <w:tc>
          <w:tcPr>
            <w:tcW w:w="78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center"/>
              <w:rPr>
                <w:rFonts w:ascii="Times New Roman" w:hAnsi="Times New Roman" w:cs="Times New Roman" w:eastAsia="Times New Roman" w:hint="default"/>
                <w:sz w:val="18"/>
                <w:szCs w:val="18"/>
              </w:rPr>
            </w:pPr>
            <w:r>
              <w:rPr>
                <w:rFonts w:ascii="Times New Roman"/>
                <w:sz w:val="18"/>
              </w:rPr>
              <w:t>3,833,039</w:t>
            </w:r>
          </w:p>
          <w:p>
            <w:pPr>
              <w:pStyle w:val="TableParagraph"/>
              <w:spacing w:line="240" w:lineRule="auto" w:before="108"/>
              <w:ind w:left="164" w:right="0"/>
              <w:jc w:val="center"/>
              <w:rPr>
                <w:rFonts w:ascii="Times New Roman" w:hAnsi="Times New Roman" w:cs="Times New Roman" w:eastAsia="Times New Roman" w:hint="default"/>
                <w:sz w:val="18"/>
                <w:szCs w:val="18"/>
              </w:rPr>
            </w:pPr>
            <w:r>
              <w:rPr>
                <w:rFonts w:ascii="Times New Roman"/>
                <w:sz w:val="18"/>
              </w:rPr>
              <w:t>,452.00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39,812,68</w:t>
            </w:r>
          </w:p>
          <w:p>
            <w:pPr>
              <w:pStyle w:val="TableParagraph"/>
              <w:spacing w:line="240" w:lineRule="auto" w:before="108"/>
              <w:ind w:left="436" w:right="0"/>
              <w:jc w:val="left"/>
              <w:rPr>
                <w:rFonts w:ascii="Times New Roman" w:hAnsi="Times New Roman" w:cs="Times New Roman" w:eastAsia="Times New Roman" w:hint="default"/>
                <w:sz w:val="18"/>
                <w:szCs w:val="18"/>
              </w:rPr>
            </w:pPr>
            <w:r>
              <w:rPr>
                <w:rFonts w:ascii="Times New Roman"/>
                <w:sz w:val="18"/>
              </w:rPr>
              <w:t>9.00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9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3,793,226,7</w:t>
            </w:r>
          </w:p>
          <w:p>
            <w:pPr>
              <w:pStyle w:val="TableParagraph"/>
              <w:spacing w:line="240" w:lineRule="auto" w:before="108"/>
              <w:ind w:left="480" w:right="0"/>
              <w:jc w:val="left"/>
              <w:rPr>
                <w:rFonts w:ascii="Times New Roman" w:hAnsi="Times New Roman" w:cs="Times New Roman" w:eastAsia="Times New Roman" w:hint="default"/>
                <w:sz w:val="18"/>
                <w:szCs w:val="18"/>
              </w:rPr>
            </w:pPr>
            <w:r>
              <w:rPr>
                <w:rFonts w:ascii="Times New Roman"/>
                <w:sz w:val="18"/>
              </w:rPr>
              <w:t>63.00</w:t>
            </w:r>
          </w:p>
        </w:tc>
      </w:tr>
    </w:tbl>
    <w:p>
      <w:pPr>
        <w:pStyle w:val="BodyText"/>
        <w:spacing w:line="240" w:lineRule="auto" w:before="45"/>
        <w:ind w:right="0"/>
        <w:jc w:val="left"/>
      </w:pPr>
      <w:r>
        <w:rPr/>
        <w:t>按单项计提坏账准备：</w:t>
      </w:r>
    </w:p>
    <w:p>
      <w:pPr>
        <w:pStyle w:val="BodyText"/>
        <w:spacing w:line="240" w:lineRule="auto" w:before="10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5"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6"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5" w:hRule="exact"/>
        </w:trPr>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07" w:type="dxa"/>
            <w:tcBorders>
              <w:top w:val="single" w:sz="6" w:space="0" w:color="000000"/>
              <w:left w:val="single" w:sz="6" w:space="0" w:color="000000"/>
              <w:bottom w:val="single" w:sz="6" w:space="0" w:color="000000"/>
              <w:right w:val="single" w:sz="6" w:space="0" w:color="000000"/>
            </w:tcBorders>
          </w:tcPr>
          <w:p>
            <w:pPr/>
          </w:p>
        </w:tc>
        <w:tc>
          <w:tcPr>
            <w:tcW w:w="1923" w:type="dxa"/>
            <w:tcBorders>
              <w:top w:val="single" w:sz="6" w:space="0" w:color="000000"/>
              <w:left w:val="single" w:sz="6" w:space="0" w:color="000000"/>
              <w:bottom w:val="single" w:sz="6" w:space="0" w:color="000000"/>
              <w:right w:val="single" w:sz="6" w:space="0" w:color="000000"/>
            </w:tcBorders>
          </w:tcPr>
          <w:p>
            <w:pPr/>
          </w:p>
        </w:tc>
        <w:tc>
          <w:tcPr>
            <w:tcW w:w="1907" w:type="dxa"/>
            <w:tcBorders>
              <w:top w:val="single" w:sz="6" w:space="0" w:color="000000"/>
              <w:left w:val="single" w:sz="6" w:space="0" w:color="000000"/>
              <w:bottom w:val="single" w:sz="6" w:space="0" w:color="000000"/>
              <w:right w:val="single" w:sz="6" w:space="0" w:color="000000"/>
            </w:tcBorders>
          </w:tcPr>
          <w:p>
            <w:pPr/>
          </w:p>
        </w:tc>
        <w:tc>
          <w:tcPr>
            <w:tcW w:w="192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4"/>
        <w:ind w:right="0"/>
        <w:jc w:val="left"/>
      </w:pPr>
      <w:r>
        <w:rPr/>
        <w:t>按单项计提坏账准备：</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922"/>
        <w:gridCol w:w="1907"/>
        <w:gridCol w:w="1923"/>
        <w:gridCol w:w="1907"/>
        <w:gridCol w:w="1922"/>
      </w:tblGrid>
      <w:tr>
        <w:trPr>
          <w:trHeight w:val="406" w:hRule="exact"/>
        </w:trPr>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3"/>
              <w:jc w:val="center"/>
              <w:rPr>
                <w:rFonts w:ascii="宋体" w:hAnsi="宋体" w:cs="宋体" w:eastAsia="宋体" w:hint="default"/>
                <w:sz w:val="18"/>
                <w:szCs w:val="18"/>
              </w:rPr>
            </w:pPr>
            <w:r>
              <w:rPr>
                <w:rFonts w:ascii="宋体" w:hAnsi="宋体" w:cs="宋体" w:eastAsia="宋体" w:hint="default"/>
                <w:sz w:val="18"/>
                <w:szCs w:val="18"/>
              </w:rPr>
              <w:t>名称</w:t>
            </w:r>
          </w:p>
        </w:tc>
        <w:tc>
          <w:tcPr>
            <w:tcW w:w="7659"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1922" w:type="dxa"/>
            <w:vMerge/>
            <w:tcBorders>
              <w:left w:val="single" w:sz="6" w:space="0" w:color="000000"/>
              <w:bottom w:val="single" w:sz="6" w:space="0" w:color="000000"/>
              <w:right w:val="single" w:sz="6" w:space="0" w:color="000000"/>
            </w:tcBorders>
            <w:shd w:val="clear" w:color="auto" w:fill="D2D2D2"/>
          </w:tcPr>
          <w:p>
            <w:pP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58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60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5"/>
        <w:ind w:right="0"/>
        <w:jc w:val="left"/>
      </w:pPr>
      <w:r>
        <w:rPr/>
        <w:t>按组合计提坏账准备：子公司渠道风险组合</w:t>
      </w:r>
    </w:p>
    <w:p>
      <w:pPr>
        <w:pStyle w:val="BodyText"/>
        <w:spacing w:line="240" w:lineRule="auto" w:before="12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5"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风险组合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139,488,812.00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139,488,812.00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风险组合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B</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3,136,315,035.00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3,275,803,847.00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139,488,812.00</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350" w:lineRule="auto" w:before="45"/>
        <w:ind w:right="-20"/>
        <w:jc w:val="left"/>
      </w:pPr>
      <w:r>
        <w:rPr/>
        <w:t>确定该组合依据的说明： 按组合计提坏账准备：直营渠道风险组合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3382" w:space="5464"/>
            <w:col w:w="206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406"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90"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42,474,394.00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544,401.00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42,474,394.00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544,401.00</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50"/>
          <w:pgMar w:top="1040" w:bottom="1180" w:left="1000" w:right="0"/>
        </w:sectPr>
      </w:pPr>
    </w:p>
    <w:p>
      <w:pPr>
        <w:pStyle w:val="BodyText"/>
        <w:spacing w:line="352" w:lineRule="auto" w:before="44"/>
        <w:ind w:right="-20"/>
        <w:jc w:val="left"/>
      </w:pPr>
      <w:r>
        <w:rPr/>
        <w:t>确定该组合依据的说明： 按组合计提坏账准备：加盟渠道风险组合</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0"/>
          <w:szCs w:val="20"/>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3382" w:space="5464"/>
            <w:col w:w="206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390"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4"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260,284,544.00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22,522,731.00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9.00%</w:t>
            </w:r>
            <w:r>
              <w:rPr>
                <w:rFonts w:ascii="Times New Roman"/>
                <w:sz w:val="18"/>
              </w:rPr>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35,428,048.00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18,151,714.00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51.00%</w:t>
            </w:r>
            <w:r>
              <w:rPr>
                <w:rFonts w:ascii="Times New Roman"/>
                <w:sz w:val="18"/>
              </w:rPr>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12,619,449.00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10,877,188.00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86.00%</w:t>
            </w:r>
            <w:r>
              <w:rPr>
                <w:rFonts w:ascii="Times New Roman"/>
                <w:sz w:val="18"/>
              </w:rPr>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17,462,848.00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17,462,848.00</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type w:val="continuous"/>
          <w:pgSz w:w="11910" w:h="16850"/>
          <w:pgMar w:top="1040" w:bottom="1180" w:left="1000" w:right="0"/>
        </w:sectPr>
      </w:pPr>
    </w:p>
    <w:p>
      <w:pPr>
        <w:spacing w:line="240" w:lineRule="auto" w:before="6"/>
        <w:rPr>
          <w:rFonts w:ascii="宋体" w:hAnsi="宋体" w:cs="宋体" w:eastAsia="宋体" w:hint="default"/>
          <w:sz w:val="29"/>
          <w:szCs w:val="29"/>
        </w:rPr>
      </w:pPr>
    </w:p>
    <w:tbl>
      <w:tblPr>
        <w:tblW w:w="0" w:type="auto"/>
        <w:jc w:val="left"/>
        <w:tblInd w:w="122" w:type="dxa"/>
        <w:tblLayout w:type="fixed"/>
        <w:tblCellMar>
          <w:top w:w="0" w:type="dxa"/>
          <w:left w:w="0" w:type="dxa"/>
          <w:bottom w:w="0" w:type="dxa"/>
          <w:right w:w="0" w:type="dxa"/>
        </w:tblCellMar>
        <w:tblLook w:val="01E0"/>
      </w:tblPr>
      <w:tblGrid>
        <w:gridCol w:w="2384"/>
        <w:gridCol w:w="2411"/>
        <w:gridCol w:w="2388"/>
        <w:gridCol w:w="2403"/>
      </w:tblGrid>
      <w:tr>
        <w:trPr>
          <w:trHeight w:val="390" w:hRule="exact"/>
        </w:trPr>
        <w:tc>
          <w:tcPr>
            <w:tcW w:w="23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1"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left="1246" w:right="0"/>
              <w:jc w:val="left"/>
              <w:rPr>
                <w:rFonts w:ascii="Times New Roman" w:hAnsi="Times New Roman" w:cs="Times New Roman" w:eastAsia="Times New Roman" w:hint="default"/>
                <w:sz w:val="18"/>
                <w:szCs w:val="18"/>
              </w:rPr>
            </w:pPr>
            <w:r>
              <w:rPr>
                <w:rFonts w:ascii="Times New Roman"/>
                <w:sz w:val="18"/>
              </w:rPr>
              <w:t>325,794,889.00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321" w:right="0"/>
              <w:jc w:val="left"/>
              <w:rPr>
                <w:rFonts w:ascii="Times New Roman" w:hAnsi="Times New Roman" w:cs="Times New Roman" w:eastAsia="Times New Roman" w:hint="default"/>
                <w:sz w:val="18"/>
                <w:szCs w:val="18"/>
              </w:rPr>
            </w:pPr>
            <w:r>
              <w:rPr>
                <w:rFonts w:ascii="Times New Roman"/>
                <w:sz w:val="18"/>
              </w:rPr>
              <w:t>69,014,481.00</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50"/>
          <w:pgMar w:header="731" w:footer="981" w:top="1040" w:bottom="1180" w:left="1000" w:right="0"/>
        </w:sectPr>
      </w:pPr>
    </w:p>
    <w:p>
      <w:pPr>
        <w:pStyle w:val="BodyText"/>
        <w:spacing w:line="367" w:lineRule="auto" w:before="45"/>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 元</w:t>
      </w:r>
    </w:p>
    <w:p>
      <w:pPr>
        <w:spacing w:after="0" w:line="240" w:lineRule="auto"/>
        <w:jc w:val="left"/>
        <w:sectPr>
          <w:type w:val="continuous"/>
          <w:pgSz w:w="11910" w:h="16850"/>
          <w:pgMar w:top="1040" w:bottom="1180" w:left="1000" w:right="0"/>
          <w:cols w:num="2" w:equalWidth="0">
            <w:col w:w="2122" w:space="6724"/>
            <w:col w:w="2064"/>
          </w:cols>
        </w:sectPr>
      </w:pP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7"/>
      </w:tblGrid>
      <w:tr>
        <w:trPr>
          <w:trHeight w:val="391" w:hRule="exact"/>
        </w:trPr>
        <w:tc>
          <w:tcPr>
            <w:tcW w:w="2388"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98"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2388" w:type="dxa"/>
            <w:vMerge/>
            <w:tcBorders>
              <w:left w:val="single" w:sz="6" w:space="0" w:color="000000"/>
              <w:bottom w:val="single" w:sz="6" w:space="0" w:color="000000"/>
              <w:right w:val="single" w:sz="6" w:space="0" w:color="000000"/>
            </w:tcBorders>
            <w:shd w:val="clear" w:color="auto" w:fill="D2D2D2"/>
          </w:tcPr>
          <w:p>
            <w:pP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4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0" w:right="0"/>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2" w:lineRule="auto" w:before="44"/>
        <w:ind w:right="1749"/>
        <w:jc w:val="left"/>
      </w:pPr>
      <w:r>
        <w:rPr/>
        <w:t>确定该组合依据的说明： 如是按照预期信用损失一般模型计提应收账款坏账准备，请参照其他应收款的披露方式披露坏账准备的相关信息：</w:t>
      </w:r>
    </w:p>
    <w:p>
      <w:pPr>
        <w:spacing w:line="324" w:lineRule="auto" w:before="40"/>
        <w:ind w:left="141" w:right="612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不适用 </w:t>
      </w:r>
      <w:r>
        <w:rPr>
          <w:rFonts w:ascii="宋体" w:hAnsi="宋体" w:cs="宋体" w:eastAsia="宋体" w:hint="default"/>
          <w:sz w:val="21"/>
          <w:szCs w:val="21"/>
        </w:rPr>
        <w:t>本公司采用账龄分析法计提坏账准备的应收账款。</w:t>
      </w:r>
      <w:r>
        <w:rPr>
          <w:rFonts w:ascii="宋体" w:hAnsi="宋体" w:cs="宋体" w:eastAsia="宋体" w:hint="default"/>
          <w:sz w:val="21"/>
          <w:szCs w:val="21"/>
        </w:rPr>
        <w:t> </w:t>
      </w:r>
      <w:r>
        <w:rPr>
          <w:rFonts w:ascii="宋体" w:hAnsi="宋体" w:cs="宋体" w:eastAsia="宋体" w:hint="default"/>
          <w:sz w:val="18"/>
          <w:szCs w:val="18"/>
        </w:rPr>
        <w:t>按账龄披露</w:t>
      </w:r>
    </w:p>
    <w:p>
      <w:pPr>
        <w:pStyle w:val="BodyText"/>
        <w:spacing w:line="240" w:lineRule="auto" w:before="4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2,914,519,478.00</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595,562,512.00</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116,528,292.00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17,462,848.00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17,462,848.00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3,644,073,130.00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本期计提、收回或转回的坏账准备情况" w:id="401"/>
      <w:bookmarkEnd w:id="401"/>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4"/>
          <w:szCs w:val="24"/>
        </w:rPr>
      </w:pPr>
    </w:p>
    <w:p>
      <w:pPr>
        <w:pStyle w:val="BodyText"/>
        <w:spacing w:line="240" w:lineRule="auto"/>
        <w:ind w:right="0"/>
        <w:jc w:val="left"/>
      </w:pPr>
      <w:r>
        <w:rPr/>
        <w:t>本期计提坏账准备情况：</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367"/>
        <w:gridCol w:w="1367"/>
        <w:gridCol w:w="1382"/>
        <w:gridCol w:w="1367"/>
        <w:gridCol w:w="1366"/>
        <w:gridCol w:w="1367"/>
        <w:gridCol w:w="1367"/>
      </w:tblGrid>
      <w:tr>
        <w:trPr>
          <w:trHeight w:val="406" w:hRule="exact"/>
        </w:trPr>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8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367" w:type="dxa"/>
            <w:vMerge/>
            <w:tcBorders>
              <w:left w:val="single" w:sz="6" w:space="0" w:color="000000"/>
              <w:bottom w:val="single" w:sz="6" w:space="0" w:color="000000"/>
              <w:right w:val="single" w:sz="6" w:space="0" w:color="000000"/>
            </w:tcBorders>
            <w:shd w:val="clear" w:color="auto" w:fill="D2D2D2"/>
          </w:tcPr>
          <w:p>
            <w:pPr/>
          </w:p>
        </w:tc>
        <w:tc>
          <w:tcPr>
            <w:tcW w:w="1367" w:type="dxa"/>
            <w:vMerge/>
            <w:tcBorders>
              <w:left w:val="single" w:sz="6" w:space="0" w:color="000000"/>
              <w:bottom w:val="single" w:sz="6" w:space="0" w:color="000000"/>
              <w:right w:val="single" w:sz="6" w:space="0" w:color="000000"/>
            </w:tcBorders>
            <w:shd w:val="clear" w:color="auto" w:fill="D2D2D2"/>
          </w:tcPr>
          <w:p>
            <w:pP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3"/>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0"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8"/>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39,812,689.00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169,235,005.00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209,047,694.00</w:t>
            </w:r>
          </w:p>
        </w:tc>
      </w:tr>
      <w:tr>
        <w:trPr>
          <w:trHeight w:val="391" w:hRule="exact"/>
        </w:trPr>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39,812,689.00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169,235,005.00</w:t>
            </w:r>
          </w:p>
        </w:tc>
        <w:tc>
          <w:tcPr>
            <w:tcW w:w="1367" w:type="dxa"/>
            <w:tcBorders>
              <w:top w:val="single" w:sz="6" w:space="0" w:color="000000"/>
              <w:left w:val="single" w:sz="6" w:space="0" w:color="000000"/>
              <w:bottom w:val="single" w:sz="6" w:space="0" w:color="000000"/>
              <w:right w:val="single" w:sz="6" w:space="0" w:color="000000"/>
            </w:tcBorders>
          </w:tcPr>
          <w:p>
            <w:pPr/>
          </w:p>
        </w:tc>
        <w:tc>
          <w:tcPr>
            <w:tcW w:w="1366"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209,047,694.00</w:t>
            </w:r>
          </w:p>
        </w:tc>
      </w:tr>
    </w:tbl>
    <w:p>
      <w:pPr>
        <w:pStyle w:val="BodyText"/>
        <w:spacing w:line="240" w:lineRule="auto" w:before="45"/>
        <w:ind w:right="0"/>
        <w:jc w:val="left"/>
      </w:pPr>
      <w:r>
        <w:rPr/>
        <w:t>其中本期坏账准备收回或转回金额重要的：</w:t>
      </w:r>
    </w:p>
    <w:p>
      <w:pPr>
        <w:pStyle w:val="BodyText"/>
        <w:spacing w:line="240" w:lineRule="auto" w:before="109"/>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3379"/>
        <w:gridCol w:w="3094"/>
        <w:gridCol w:w="3109"/>
      </w:tblGrid>
      <w:tr>
        <w:trPr>
          <w:trHeight w:val="406" w:hRule="exact"/>
        </w:trPr>
        <w:tc>
          <w:tcPr>
            <w:tcW w:w="33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9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901"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390" w:hRule="exact"/>
        </w:trPr>
        <w:tc>
          <w:tcPr>
            <w:tcW w:w="33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094" w:type="dxa"/>
            <w:tcBorders>
              <w:top w:val="single" w:sz="6" w:space="0" w:color="000000"/>
              <w:left w:val="single" w:sz="6" w:space="0" w:color="000000"/>
              <w:bottom w:val="single" w:sz="6" w:space="0" w:color="000000"/>
              <w:right w:val="single" w:sz="6" w:space="0" w:color="000000"/>
            </w:tcBorders>
          </w:tcPr>
          <w:p>
            <w:pPr/>
          </w:p>
        </w:tc>
        <w:tc>
          <w:tcPr>
            <w:tcW w:w="310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本期实际核销的应收账款情况" w:id="402"/>
      <w:bookmarkEnd w:id="402"/>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4986"/>
        <w:gridCol w:w="4596"/>
      </w:tblGrid>
      <w:tr>
        <w:trPr>
          <w:trHeight w:val="405" w:hRule="exact"/>
        </w:trPr>
        <w:tc>
          <w:tcPr>
            <w:tcW w:w="498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45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spacing w:after="0" w:line="240" w:lineRule="auto"/>
        <w:jc w:val="center"/>
        <w:rPr>
          <w:rFonts w:ascii="宋体" w:hAnsi="宋体" w:cs="宋体" w:eastAsia="宋体" w:hint="default"/>
          <w:sz w:val="18"/>
          <w:szCs w:val="18"/>
        </w:rPr>
        <w:sectPr>
          <w:type w:val="continuous"/>
          <w:pgSz w:w="11910" w:h="16850"/>
          <w:pgMar w:top="1040" w:bottom="1180" w:left="1000" w:right="0"/>
        </w:sectPr>
      </w:pPr>
    </w:p>
    <w:p>
      <w:pPr>
        <w:spacing w:line="240" w:lineRule="auto" w:before="12"/>
        <w:rPr>
          <w:rFonts w:ascii="宋体" w:hAnsi="宋体" w:cs="宋体" w:eastAsia="宋体" w:hint="default"/>
          <w:sz w:val="28"/>
          <w:szCs w:val="28"/>
        </w:rPr>
      </w:pPr>
    </w:p>
    <w:p>
      <w:pPr>
        <w:spacing w:line="420" w:lineRule="exact"/>
        <w:ind w:left="126"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85pt;height:21pt;mso-position-horizontal-relative:char;mso-position-vertical-relative:line" coordorigin="0,0" coordsize="9597,420">
            <v:group style="position:absolute;left:15;top:15;width:4971;height:2" coordorigin="15,15" coordsize="4971,2">
              <v:shape style="position:absolute;left:15;top:15;width:4971;height:2" coordorigin="15,15" coordsize="4971,0" path="m15,15l4986,15e" filled="false" stroked="true" strokeweight=".75pt" strokecolor="#000000">
                <v:path arrowok="t"/>
              </v:shape>
            </v:group>
            <v:group style="position:absolute;left:5001;top:15;width:4581;height:2" coordorigin="5001,15" coordsize="4581,2">
              <v:shape style="position:absolute;left:5001;top:15;width:4581;height:2" coordorigin="5001,15" coordsize="4581,0" path="m5001,15l9582,15e" filled="false" stroked="true" strokeweight=".75pt" strokecolor="#000000">
                <v:path arrowok="t"/>
              </v:shape>
            </v:group>
            <v:group style="position:absolute;left:8;top:8;width:2;height:405" coordorigin="8,8" coordsize="2,405">
              <v:shape style="position:absolute;left:8;top:8;width:2;height:405" coordorigin="8,8" coordsize="0,405" path="m8,8l8,413e" filled="false" stroked="true" strokeweight=".75pt" strokecolor="#000000">
                <v:path arrowok="t"/>
              </v:shape>
            </v:group>
            <v:group style="position:absolute;left:15;top:405;width:4971;height:2" coordorigin="15,405" coordsize="4971,2">
              <v:shape style="position:absolute;left:15;top:405;width:4971;height:2" coordorigin="15,405" coordsize="4971,0" path="m15,405l4986,405e" filled="false" stroked="true" strokeweight=".75pt" strokecolor="#000000">
                <v:path arrowok="t"/>
              </v:shape>
            </v:group>
            <v:group style="position:absolute;left:4994;top:8;width:2;height:405" coordorigin="4994,8" coordsize="2,405">
              <v:shape style="position:absolute;left:4994;top:8;width:2;height:405" coordorigin="4994,8" coordsize="0,405" path="m4994,8l4994,413e" filled="false" stroked="true" strokeweight=".75pt" strokecolor="#000000">
                <v:path arrowok="t"/>
              </v:shape>
            </v:group>
            <v:group style="position:absolute;left:5001;top:405;width:4581;height:2" coordorigin="5001,405" coordsize="4581,2">
              <v:shape style="position:absolute;left:5001;top:405;width:4581;height:2" coordorigin="5001,405" coordsize="4581,0" path="m5001,405l9582,405e" filled="false" stroked="true" strokeweight=".75pt" strokecolor="#000000">
                <v:path arrowok="t"/>
              </v:shape>
            </v:group>
            <v:group style="position:absolute;left:9589;top:8;width:2;height:405" coordorigin="9589,8" coordsize="2,405">
              <v:shape style="position:absolute;left:9589;top:8;width:2;height:405" coordorigin="9589,8" coordsize="0,405" path="m9589,8l9589,413e" filled="false" stroked="true" strokeweight=".75pt" strokecolor="#000000">
                <v:path arrowok="t"/>
              </v:shape>
              <v:shape style="position:absolute;left:30;top:123;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v:group>
          </v:group>
        </w:pict>
      </w:r>
      <w:r>
        <w:rPr>
          <w:rFonts w:ascii="宋体" w:hAnsi="宋体" w:cs="宋体" w:eastAsia="宋体" w:hint="default"/>
          <w:position w:val="-7"/>
          <w:sz w:val="20"/>
          <w:szCs w:val="20"/>
        </w:rPr>
      </w:r>
    </w:p>
    <w:p>
      <w:pPr>
        <w:pStyle w:val="BodyText"/>
        <w:spacing w:line="240" w:lineRule="auto" w:before="37"/>
        <w:ind w:right="0"/>
        <w:jc w:val="left"/>
      </w:pPr>
      <w:r>
        <w:rPr/>
        <w:t>其中重要的应收账款核销情况：</w:t>
      </w:r>
    </w:p>
    <w:p>
      <w:pPr>
        <w:pStyle w:val="BodyText"/>
        <w:spacing w:line="240" w:lineRule="auto" w:before="12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4"/>
        <w:ind w:right="0"/>
        <w:jc w:val="left"/>
      </w:pPr>
      <w:r>
        <w:rPr/>
        <w:t>应收账款核销说明：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按欠款方归集的期末余额前五名的应收账款情况" w:id="403"/>
      <w:bookmarkEnd w:id="403"/>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388"/>
        <w:gridCol w:w="2403"/>
        <w:gridCol w:w="2388"/>
        <w:gridCol w:w="2403"/>
      </w:tblGrid>
      <w:tr>
        <w:trPr>
          <w:trHeight w:val="721"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915" w:right="105" w:hanging="811"/>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344,386,925.00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9.45%</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224,572,950.00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6.16%</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218,085,636.00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5.98%</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216,631,884.00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5.94%</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198,732,496.00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5.45%</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238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3"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1,202,409,891.00</w:t>
            </w:r>
          </w:p>
        </w:tc>
        <w:tc>
          <w:tcPr>
            <w:tcW w:w="23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32.98%</w:t>
            </w:r>
            <w:r>
              <w:rPr>
                <w:rFonts w:ascii="Times New Roman"/>
                <w:sz w:val="18"/>
              </w:rPr>
            </w:r>
          </w:p>
        </w:tc>
        <w:tc>
          <w:tcPr>
            <w:tcW w:w="2403" w:type="dxa"/>
            <w:tcBorders>
              <w:top w:val="single" w:sz="6" w:space="0" w:color="000000"/>
              <w:left w:val="single" w:sz="6" w:space="0" w:color="000000"/>
              <w:bottom w:val="single" w:sz="6" w:space="0" w:color="000000"/>
              <w:right w:val="single" w:sz="6" w:space="0" w:color="000000"/>
            </w:tcBorders>
            <w:shd w:val="clear" w:color="auto" w:fill="D2D2D2"/>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5）因金融资产转移而终止确认的应收账款" w:id="404"/>
      <w:bookmarkEnd w:id="404"/>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6）转移应收账款且继续涉入形成的资产、负债金额" w:id="405"/>
      <w:bookmarkEnd w:id="405"/>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2、其他应收款" w:id="406"/>
      <w:bookmarkEnd w:id="406"/>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6"/>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项目</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836,549,032.00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758,053,575.00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836,549,032.00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758,053,575.00</w:t>
            </w:r>
          </w:p>
        </w:tc>
      </w:tr>
    </w:tbl>
    <w:p>
      <w:pPr>
        <w:spacing w:line="240" w:lineRule="auto" w:before="11"/>
        <w:rPr>
          <w:rFonts w:ascii="宋体" w:hAnsi="宋体" w:cs="宋体" w:eastAsia="宋体" w:hint="default"/>
          <w:sz w:val="19"/>
          <w:szCs w:val="19"/>
        </w:rPr>
      </w:pPr>
    </w:p>
    <w:p>
      <w:pPr>
        <w:pStyle w:val="Heading5"/>
        <w:spacing w:line="508" w:lineRule="auto" w:before="35"/>
        <w:ind w:right="7481"/>
        <w:jc w:val="left"/>
        <w:rPr>
          <w:b w:val="0"/>
          <w:bCs w:val="0"/>
        </w:rPr>
      </w:pPr>
      <w:bookmarkStart w:name="（1）其他应收款" w:id="407"/>
      <w:bookmarkEnd w:id="407"/>
      <w:r>
        <w:rPr>
          <w:b w:val="0"/>
          <w:bCs w:val="0"/>
        </w:rPr>
      </w:r>
      <w:r>
        <w:rPr/>
        <w:t>（</w:t>
      </w:r>
      <w:r>
        <w:rPr>
          <w:rFonts w:ascii="Times New Roman" w:hAnsi="Times New Roman" w:cs="Times New Roman" w:eastAsia="Times New Roman" w:hint="default"/>
        </w:rPr>
        <w:t>1</w:t>
      </w:r>
      <w:r>
        <w:rPr/>
        <w:t>）其他应收款</w:t>
      </w:r>
      <w:r>
        <w:rPr>
          <w:w w:val="99"/>
        </w:rPr>
        <w:t> </w:t>
      </w:r>
      <w:bookmarkStart w:name="1）其他应收款按款项性质分类情况" w:id="408"/>
      <w:bookmarkEnd w:id="408"/>
      <w:r>
        <w:rPr>
          <w:w w:val="99"/>
        </w:rPr>
      </w:r>
      <w:r>
        <w:rPr>
          <w:rFonts w:ascii="Times New Roman" w:hAnsi="Times New Roman" w:cs="Times New Roman" w:eastAsia="Times New Roman" w:hint="default"/>
        </w:rPr>
        <w:t>1</w:t>
      </w:r>
      <w:r>
        <w:rPr/>
        <w:t>）其他应收款按款项性质分类情况</w:t>
      </w:r>
      <w:r>
        <w:rPr>
          <w:b w:val="0"/>
          <w:bCs w:val="0"/>
        </w:rPr>
      </w:r>
    </w:p>
    <w:p>
      <w:pPr>
        <w:pStyle w:val="BodyText"/>
        <w:spacing w:line="240" w:lineRule="auto" w:before="69"/>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子公司代垫款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816,157,809.00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042" w:right="0"/>
              <w:jc w:val="left"/>
              <w:rPr>
                <w:rFonts w:ascii="Times New Roman" w:hAnsi="Times New Roman" w:cs="Times New Roman" w:eastAsia="Times New Roman" w:hint="default"/>
                <w:sz w:val="18"/>
                <w:szCs w:val="18"/>
              </w:rPr>
            </w:pPr>
            <w:r>
              <w:rPr>
                <w:rFonts w:ascii="Times New Roman"/>
                <w:sz w:val="18"/>
              </w:rPr>
              <w:t>704,976,760.00</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土地意向金</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加盟商代垫款</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10,679,277.00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10,614,504.00</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保证金</w:t>
            </w:r>
            <w:r>
              <w:rPr>
                <w:rFonts w:ascii="Times New Roman" w:hAnsi="Times New Roman" w:cs="Times New Roman" w:eastAsia="Times New Roman" w:hint="default"/>
                <w:sz w:val="18"/>
                <w:szCs w:val="18"/>
              </w:rPr>
              <w:t>(</w:t>
            </w:r>
            <w:r>
              <w:rPr>
                <w:rFonts w:ascii="宋体" w:hAnsi="宋体" w:cs="宋体" w:eastAsia="宋体" w:hint="default"/>
                <w:sz w:val="18"/>
                <w:szCs w:val="18"/>
              </w:rPr>
              <w:t>押金</w:t>
            </w:r>
            <w:r>
              <w:rPr>
                <w:rFonts w:ascii="Times New Roman" w:hAnsi="Times New Roman" w:cs="Times New Roman" w:eastAsia="Times New Roman" w:hint="default"/>
                <w:sz w:val="18"/>
                <w:szCs w:val="18"/>
              </w:rPr>
              <w:t>)</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56,969,593.00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4,503,760.00</w:t>
            </w:r>
          </w:p>
        </w:tc>
      </w:tr>
      <w:tr>
        <w:trPr>
          <w:trHeight w:val="405"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644,105.00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18,729.00</w:t>
            </w:r>
          </w:p>
        </w:tc>
      </w:tr>
      <w:tr>
        <w:trPr>
          <w:trHeight w:val="406"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9"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934,450,784.00</w:t>
            </w:r>
          </w:p>
        </w:tc>
        <w:tc>
          <w:tcPr>
            <w:tcW w:w="31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770,113,753.00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坏账准备计提情况" w:id="409"/>
      <w:bookmarkEnd w:id="409"/>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00"/>
        <w:gridCol w:w="1667"/>
        <w:gridCol w:w="2103"/>
        <w:gridCol w:w="2102"/>
        <w:gridCol w:w="1802"/>
      </w:tblGrid>
      <w:tr>
        <w:trPr>
          <w:trHeight w:val="405" w:hRule="exact"/>
        </w:trPr>
        <w:tc>
          <w:tcPr>
            <w:tcW w:w="1900" w:type="dxa"/>
            <w:tcBorders>
              <w:top w:val="single" w:sz="6" w:space="0" w:color="000000"/>
              <w:left w:val="single" w:sz="6" w:space="0" w:color="000000"/>
              <w:bottom w:val="nil" w:sz="6" w:space="0" w:color="auto"/>
              <w:right w:val="single" w:sz="6" w:space="0" w:color="000000"/>
            </w:tcBorders>
            <w:shd w:val="clear" w:color="auto" w:fill="D2D2D2"/>
          </w:tcPr>
          <w:p>
            <w:pPr/>
          </w:p>
        </w:tc>
        <w:tc>
          <w:tcPr>
            <w:tcW w:w="16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0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67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4"/>
              <w:ind w:right="13"/>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53" w:hRule="exact"/>
        </w:trPr>
        <w:tc>
          <w:tcPr>
            <w:tcW w:w="1900"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28" w:lineRule="exact"/>
              <w:ind w:left="57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7"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45"/>
              <w:ind w:left="555" w:right="59" w:hanging="49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个月预期信 用损失</w:t>
            </w:r>
          </w:p>
        </w:tc>
        <w:tc>
          <w:tcPr>
            <w:tcW w:w="2103"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29"/>
              <w:ind w:right="15"/>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95"/>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2" w:type="dxa"/>
            <w:vMerge/>
            <w:tcBorders>
              <w:left w:val="single" w:sz="6" w:space="0" w:color="000000"/>
              <w:right w:val="single" w:sz="6" w:space="0" w:color="000000"/>
            </w:tcBorders>
            <w:shd w:val="clear" w:color="auto" w:fill="D2D2D2"/>
          </w:tcPr>
          <w:p>
            <w:pPr/>
          </w:p>
        </w:tc>
      </w:tr>
      <w:tr>
        <w:trPr>
          <w:trHeight w:val="353" w:hRule="exact"/>
        </w:trPr>
        <w:tc>
          <w:tcPr>
            <w:tcW w:w="1900" w:type="dxa"/>
            <w:tcBorders>
              <w:top w:val="nil" w:sz="6" w:space="0" w:color="auto"/>
              <w:left w:val="single" w:sz="6" w:space="0" w:color="000000"/>
              <w:bottom w:val="single" w:sz="6" w:space="0" w:color="000000"/>
              <w:right w:val="single" w:sz="6" w:space="0" w:color="000000"/>
            </w:tcBorders>
            <w:shd w:val="clear" w:color="auto" w:fill="D2D2D2"/>
          </w:tcPr>
          <w:p>
            <w:pPr/>
          </w:p>
        </w:tc>
        <w:tc>
          <w:tcPr>
            <w:tcW w:w="1667" w:type="dxa"/>
            <w:vMerge/>
            <w:tcBorders>
              <w:left w:val="single" w:sz="6" w:space="0" w:color="000000"/>
              <w:bottom w:val="single" w:sz="6" w:space="0" w:color="000000"/>
              <w:right w:val="single" w:sz="6" w:space="0" w:color="000000"/>
            </w:tcBorders>
            <w:shd w:val="clear" w:color="auto" w:fill="D2D2D2"/>
          </w:tcPr>
          <w:p>
            <w:pPr/>
          </w:p>
        </w:tc>
        <w:tc>
          <w:tcPr>
            <w:tcW w:w="2103" w:type="dxa"/>
            <w:vMerge/>
            <w:tcBorders>
              <w:left w:val="single" w:sz="6" w:space="0" w:color="000000"/>
              <w:bottom w:val="single" w:sz="6" w:space="0" w:color="000000"/>
              <w:right w:val="single" w:sz="6" w:space="0" w:color="000000"/>
            </w:tcBorders>
            <w:shd w:val="clear" w:color="auto" w:fill="D2D2D2"/>
          </w:tcPr>
          <w:p>
            <w:pPr/>
          </w:p>
        </w:tc>
        <w:tc>
          <w:tcPr>
            <w:tcW w:w="2102" w:type="dxa"/>
            <w:vMerge/>
            <w:tcBorders>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12,060,178.00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12,060,178.00</w:t>
            </w:r>
          </w:p>
        </w:tc>
      </w:tr>
      <w:tr>
        <w:trPr>
          <w:trHeight w:val="158" w:hRule="exact"/>
        </w:trPr>
        <w:tc>
          <w:tcPr>
            <w:tcW w:w="1900" w:type="dxa"/>
            <w:vMerge w:val="restart"/>
            <w:tcBorders>
              <w:top w:val="single" w:sz="6" w:space="0" w:color="000000"/>
              <w:left w:val="single" w:sz="6" w:space="0" w:color="000000"/>
              <w:right w:val="single" w:sz="6" w:space="0" w:color="000000"/>
            </w:tcBorders>
            <w:shd w:val="clear" w:color="auto" w:fill="D2D2D2"/>
          </w:tcPr>
          <w:p>
            <w:pPr>
              <w:pStyle w:val="TableParagraph"/>
              <w:spacing w:line="276" w:lineRule="auto" w:before="59"/>
              <w:ind w:left="7" w:right="3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日余额在 本期</w:t>
            </w:r>
          </w:p>
        </w:tc>
        <w:tc>
          <w:tcPr>
            <w:tcW w:w="1667"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3" w:type="dxa"/>
            <w:tcBorders>
              <w:top w:val="single" w:sz="6" w:space="0" w:color="000000"/>
              <w:left w:val="single" w:sz="6" w:space="0" w:color="000000"/>
              <w:bottom w:val="nil" w:sz="6" w:space="0" w:color="auto"/>
              <w:right w:val="single" w:sz="6" w:space="0" w:color="000000"/>
            </w:tcBorders>
            <w:shd w:val="clear" w:color="auto" w:fill="D2D2D2"/>
          </w:tcPr>
          <w:p>
            <w:pPr/>
          </w:p>
        </w:tc>
        <w:tc>
          <w:tcPr>
            <w:tcW w:w="2102" w:type="dxa"/>
            <w:tcBorders>
              <w:top w:val="single" w:sz="6" w:space="0" w:color="000000"/>
              <w:left w:val="single" w:sz="6" w:space="0" w:color="000000"/>
              <w:bottom w:val="nil" w:sz="6" w:space="0" w:color="auto"/>
              <w:right w:val="single" w:sz="6" w:space="0" w:color="000000"/>
            </w:tcBorders>
            <w:shd w:val="clear" w:color="auto" w:fill="D2D2D2"/>
          </w:tcPr>
          <w:p>
            <w:pPr/>
          </w:p>
        </w:tc>
        <w:tc>
          <w:tcPr>
            <w:tcW w:w="1802" w:type="dxa"/>
            <w:tcBorders>
              <w:top w:val="single" w:sz="6" w:space="0" w:color="000000"/>
              <w:left w:val="single" w:sz="6" w:space="0" w:color="000000"/>
              <w:bottom w:val="nil" w:sz="6" w:space="0" w:color="auto"/>
              <w:right w:val="single" w:sz="6" w:space="0" w:color="000000"/>
            </w:tcBorders>
            <w:shd w:val="clear" w:color="auto" w:fill="D2D2D2"/>
          </w:tcPr>
          <w:p>
            <w:pPr/>
          </w:p>
        </w:tc>
      </w:tr>
      <w:tr>
        <w:trPr>
          <w:trHeight w:val="390" w:hRule="exact"/>
        </w:trPr>
        <w:tc>
          <w:tcPr>
            <w:tcW w:w="1900" w:type="dxa"/>
            <w:vMerge/>
            <w:tcBorders>
              <w:left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3"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2"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2"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102"/>
              <w:ind w:right="13"/>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173" w:hRule="exact"/>
        </w:trPr>
        <w:tc>
          <w:tcPr>
            <w:tcW w:w="1900" w:type="dxa"/>
            <w:vMerge/>
            <w:tcBorders>
              <w:left w:val="single" w:sz="6" w:space="0" w:color="000000"/>
              <w:bottom w:val="single" w:sz="6" w:space="0" w:color="000000"/>
              <w:right w:val="single" w:sz="6" w:space="0" w:color="000000"/>
            </w:tcBorders>
            <w:shd w:val="clear" w:color="auto" w:fill="D2D2D2"/>
          </w:tcPr>
          <w:p>
            <w:pPr/>
          </w:p>
        </w:tc>
        <w:tc>
          <w:tcPr>
            <w:tcW w:w="1667"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3" w:type="dxa"/>
            <w:tcBorders>
              <w:top w:val="nil" w:sz="6" w:space="0" w:color="auto"/>
              <w:left w:val="single" w:sz="6" w:space="0" w:color="000000"/>
              <w:bottom w:val="single" w:sz="6" w:space="0" w:color="000000"/>
              <w:right w:val="single" w:sz="6" w:space="0" w:color="000000"/>
            </w:tcBorders>
            <w:shd w:val="clear" w:color="auto" w:fill="D2D2D2"/>
          </w:tcPr>
          <w:p>
            <w:pPr/>
          </w:p>
        </w:tc>
        <w:tc>
          <w:tcPr>
            <w:tcW w:w="2102" w:type="dxa"/>
            <w:tcBorders>
              <w:top w:val="nil" w:sz="6" w:space="0" w:color="auto"/>
              <w:left w:val="single" w:sz="6" w:space="0" w:color="000000"/>
              <w:bottom w:val="single" w:sz="6" w:space="0" w:color="000000"/>
              <w:right w:val="single" w:sz="6" w:space="0" w:color="000000"/>
            </w:tcBorders>
            <w:shd w:val="clear" w:color="auto" w:fill="D2D2D2"/>
          </w:tcPr>
          <w:p>
            <w:pPr/>
          </w:p>
        </w:tc>
        <w:tc>
          <w:tcPr>
            <w:tcW w:w="1802"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7"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88,286,574.00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88,286,574.00</w:t>
            </w:r>
          </w:p>
        </w:tc>
      </w:tr>
      <w:tr>
        <w:trPr>
          <w:trHeight w:val="390"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2,445,000.00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2,445,000.00</w:t>
            </w:r>
          </w:p>
        </w:tc>
      </w:tr>
      <w:tr>
        <w:trPr>
          <w:trHeight w:val="405" w:hRule="exact"/>
        </w:trPr>
        <w:tc>
          <w:tcPr>
            <w:tcW w:w="190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67" w:type="dxa"/>
            <w:tcBorders>
              <w:top w:val="single" w:sz="6" w:space="0" w:color="000000"/>
              <w:left w:val="single" w:sz="18" w:space="0" w:color="D2D2D2"/>
              <w:bottom w:val="single" w:sz="6" w:space="0" w:color="000000"/>
              <w:right w:val="single" w:sz="6" w:space="0" w:color="000000"/>
            </w:tcBorders>
          </w:tcPr>
          <w:p>
            <w:pPr/>
          </w:p>
        </w:tc>
        <w:tc>
          <w:tcPr>
            <w:tcW w:w="2103" w:type="dxa"/>
            <w:tcBorders>
              <w:top w:val="single" w:sz="6" w:space="0" w:color="000000"/>
              <w:left w:val="single" w:sz="6" w:space="0" w:color="000000"/>
              <w:bottom w:val="single" w:sz="6" w:space="0" w:color="000000"/>
              <w:right w:val="single" w:sz="6" w:space="0" w:color="000000"/>
            </w:tcBorders>
          </w:tcPr>
          <w:p>
            <w:pPr/>
          </w:p>
        </w:tc>
        <w:tc>
          <w:tcPr>
            <w:tcW w:w="2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97,901,752.00</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97,901,752.00</w:t>
            </w:r>
          </w:p>
        </w:tc>
      </w:tr>
    </w:tbl>
    <w:p>
      <w:pPr>
        <w:pStyle w:val="BodyText"/>
        <w:spacing w:line="240" w:lineRule="auto" w:before="45"/>
        <w:ind w:right="0"/>
        <w:jc w:val="left"/>
      </w:pPr>
      <w:r>
        <w:rPr/>
        <w:t>损失准备本期变动金额重大的账面余额变动情况</w:t>
      </w:r>
    </w:p>
    <w:p>
      <w:pPr>
        <w:pStyle w:val="BodyText"/>
        <w:spacing w:line="319" w:lineRule="auto" w:before="124"/>
        <w:ind w:right="912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8"/>
        </w:rPr>
        <w:t> </w:t>
      </w:r>
      <w:r>
        <w:rPr/>
        <w:t>不适用 按账龄披露</w:t>
      </w:r>
    </w:p>
    <w:p>
      <w:pPr>
        <w:pStyle w:val="BodyText"/>
        <w:spacing w:line="240" w:lineRule="auto" w:before="6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4776"/>
        <w:gridCol w:w="4798"/>
      </w:tblGrid>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账龄</w:t>
            </w:r>
          </w:p>
        </w:tc>
        <w:tc>
          <w:tcPr>
            <w:tcW w:w="47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1"/>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59"/>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510,112,027.00</w:t>
            </w:r>
          </w:p>
        </w:tc>
      </w:tr>
      <w:tr>
        <w:trPr>
          <w:trHeight w:val="406"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243,261,706.00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127,303,732.00</w:t>
            </w:r>
          </w:p>
        </w:tc>
      </w:tr>
      <w:tr>
        <w:trPr>
          <w:trHeight w:val="390"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年以上</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53,773,319.00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8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年</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53,773,319.00</w:t>
            </w:r>
          </w:p>
        </w:tc>
      </w:tr>
      <w:tr>
        <w:trPr>
          <w:trHeight w:val="405" w:hRule="exact"/>
        </w:trPr>
        <w:tc>
          <w:tcPr>
            <w:tcW w:w="477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934,450,784.00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本期计提、收回或转回的坏账准备情况" w:id="410"/>
      <w:bookmarkEnd w:id="410"/>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0"/>
        <w:jc w:val="left"/>
      </w:pPr>
      <w:r>
        <w:rPr/>
        <w:t>本期计提坏账准备情况：</w:t>
      </w:r>
    </w:p>
    <w:p>
      <w:pPr>
        <w:pStyle w:val="BodyText"/>
        <w:spacing w:line="240" w:lineRule="auto" w:before="110"/>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577"/>
        <w:gridCol w:w="1096"/>
        <w:gridCol w:w="1337"/>
        <w:gridCol w:w="1321"/>
        <w:gridCol w:w="1097"/>
        <w:gridCol w:w="1577"/>
        <w:gridCol w:w="1577"/>
      </w:tblGrid>
      <w:tr>
        <w:trPr>
          <w:trHeight w:val="390" w:hRule="exact"/>
        </w:trPr>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96"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2"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5" w:hRule="exact"/>
        </w:trPr>
        <w:tc>
          <w:tcPr>
            <w:tcW w:w="1577" w:type="dxa"/>
            <w:vMerge/>
            <w:tcBorders>
              <w:left w:val="single" w:sz="6" w:space="0" w:color="000000"/>
              <w:bottom w:val="single" w:sz="6" w:space="0" w:color="000000"/>
              <w:right w:val="single" w:sz="6" w:space="0" w:color="000000"/>
            </w:tcBorders>
            <w:shd w:val="clear" w:color="auto" w:fill="D2D2D2"/>
          </w:tcPr>
          <w:p>
            <w:pPr/>
          </w:p>
        </w:tc>
        <w:tc>
          <w:tcPr>
            <w:tcW w:w="1096" w:type="dxa"/>
            <w:vMerge/>
            <w:tcBorders>
              <w:left w:val="single" w:sz="6" w:space="0" w:color="000000"/>
              <w:bottom w:val="single" w:sz="6" w:space="0" w:color="000000"/>
              <w:right w:val="single" w:sz="6" w:space="0" w:color="000000"/>
            </w:tcBorders>
            <w:shd w:val="clear" w:color="auto" w:fill="D2D2D2"/>
          </w:tcPr>
          <w:p>
            <w:pPr/>
          </w:p>
        </w:tc>
        <w:tc>
          <w:tcPr>
            <w:tcW w:w="133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8"/>
              <w:jc w:val="center"/>
              <w:rPr>
                <w:rFonts w:ascii="宋体" w:hAnsi="宋体" w:cs="宋体" w:eastAsia="宋体" w:hint="default"/>
                <w:sz w:val="18"/>
                <w:szCs w:val="18"/>
              </w:rPr>
            </w:pPr>
            <w:r>
              <w:rPr>
                <w:rFonts w:ascii="宋体" w:hAnsi="宋体" w:cs="宋体" w:eastAsia="宋体" w:hint="default"/>
                <w:sz w:val="18"/>
                <w:szCs w:val="18"/>
              </w:rPr>
              <w:t>计提</w:t>
            </w:r>
          </w:p>
        </w:tc>
        <w:tc>
          <w:tcPr>
            <w:tcW w:w="132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29"/>
              <w:jc w:val="center"/>
              <w:rPr>
                <w:rFonts w:ascii="宋体" w:hAnsi="宋体" w:cs="宋体" w:eastAsia="宋体" w:hint="default"/>
                <w:sz w:val="18"/>
                <w:szCs w:val="18"/>
              </w:rPr>
            </w:pPr>
            <w:r>
              <w:rPr>
                <w:rFonts w:ascii="宋体" w:hAnsi="宋体" w:cs="宋体" w:eastAsia="宋体" w:hint="default"/>
                <w:sz w:val="18"/>
                <w:szCs w:val="18"/>
              </w:rPr>
              <w:t>其他</w:t>
            </w:r>
          </w:p>
        </w:tc>
        <w:tc>
          <w:tcPr>
            <w:tcW w:w="1577"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1577"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7"/>
              <w:ind w:left="120" w:right="0"/>
              <w:jc w:val="left"/>
              <w:rPr>
                <w:rFonts w:ascii="Times New Roman" w:hAnsi="Times New Roman" w:cs="Times New Roman" w:eastAsia="Times New Roman" w:hint="default"/>
                <w:sz w:val="18"/>
                <w:szCs w:val="18"/>
              </w:rPr>
            </w:pPr>
            <w:r>
              <w:rPr>
                <w:rFonts w:ascii="Times New Roman"/>
                <w:sz w:val="18"/>
              </w:rPr>
              <w:t>12,060,178.0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54" w:right="0"/>
              <w:jc w:val="left"/>
              <w:rPr>
                <w:rFonts w:ascii="Times New Roman" w:hAnsi="Times New Roman" w:cs="Times New Roman" w:eastAsia="Times New Roman" w:hint="default"/>
                <w:sz w:val="18"/>
                <w:szCs w:val="18"/>
              </w:rPr>
            </w:pPr>
            <w:r>
              <w:rPr>
                <w:rFonts w:ascii="Times New Roman"/>
                <w:sz w:val="18"/>
              </w:rPr>
              <w:t>88,286,574.00</w:t>
            </w:r>
          </w:p>
        </w:tc>
        <w:tc>
          <w:tcPr>
            <w:tcW w:w="1321"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103" w:right="0"/>
              <w:jc w:val="center"/>
              <w:rPr>
                <w:rFonts w:ascii="Times New Roman" w:hAnsi="Times New Roman" w:cs="Times New Roman" w:eastAsia="Times New Roman" w:hint="default"/>
                <w:sz w:val="18"/>
                <w:szCs w:val="18"/>
              </w:rPr>
            </w:pPr>
            <w:r>
              <w:rPr>
                <w:rFonts w:ascii="Times New Roman"/>
                <w:sz w:val="18"/>
              </w:rPr>
              <w:t>2,445,000.00</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95" w:right="0"/>
              <w:jc w:val="left"/>
              <w:rPr>
                <w:rFonts w:ascii="Times New Roman" w:hAnsi="Times New Roman" w:cs="Times New Roman" w:eastAsia="Times New Roman" w:hint="default"/>
                <w:sz w:val="18"/>
                <w:szCs w:val="18"/>
              </w:rPr>
            </w:pPr>
            <w:r>
              <w:rPr>
                <w:rFonts w:ascii="Times New Roman"/>
                <w:sz w:val="18"/>
              </w:rPr>
              <w:t>97,901,752.00</w:t>
            </w:r>
          </w:p>
        </w:tc>
      </w:tr>
    </w:tbl>
    <w:p>
      <w:pPr>
        <w:spacing w:after="0" w:line="240" w:lineRule="auto"/>
        <w:jc w:val="lef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577"/>
        <w:gridCol w:w="1096"/>
        <w:gridCol w:w="1337"/>
        <w:gridCol w:w="1321"/>
        <w:gridCol w:w="1097"/>
        <w:gridCol w:w="1577"/>
        <w:gridCol w:w="1577"/>
      </w:tblGrid>
      <w:tr>
        <w:trPr>
          <w:trHeight w:val="360" w:hRule="exact"/>
        </w:trPr>
        <w:tc>
          <w:tcPr>
            <w:tcW w:w="1577" w:type="dxa"/>
            <w:tcBorders>
              <w:top w:val="single" w:sz="6" w:space="0" w:color="000000"/>
              <w:left w:val="single" w:sz="6" w:space="0" w:color="000000"/>
              <w:bottom w:val="single" w:sz="6" w:space="0" w:color="000000"/>
              <w:right w:val="single" w:sz="6" w:space="0" w:color="000000"/>
            </w:tcBorders>
          </w:tcPr>
          <w:p>
            <w:pP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7"/>
              <w:ind w:right="14"/>
              <w:jc w:val="right"/>
              <w:rPr>
                <w:rFonts w:ascii="Times New Roman" w:hAnsi="Times New Roman" w:cs="Times New Roman" w:eastAsia="Times New Roman" w:hint="default"/>
                <w:sz w:val="18"/>
                <w:szCs w:val="18"/>
              </w:rPr>
            </w:pPr>
            <w:r>
              <w:rPr>
                <w:rFonts w:ascii="Times New Roman"/>
                <w:sz w:val="18"/>
              </w:rPr>
              <w:t>0</w:t>
            </w:r>
          </w:p>
        </w:tc>
        <w:tc>
          <w:tcPr>
            <w:tcW w:w="1337" w:type="dxa"/>
            <w:tcBorders>
              <w:top w:val="single" w:sz="6" w:space="0" w:color="000000"/>
              <w:left w:val="single" w:sz="6" w:space="0" w:color="000000"/>
              <w:bottom w:val="single" w:sz="6" w:space="0" w:color="000000"/>
              <w:right w:val="single" w:sz="6" w:space="0" w:color="000000"/>
            </w:tcBorders>
          </w:tcPr>
          <w:p>
            <w:pPr/>
          </w:p>
        </w:tc>
        <w:tc>
          <w:tcPr>
            <w:tcW w:w="1321"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
        </w:tc>
      </w:tr>
      <w:tr>
        <w:trPr>
          <w:trHeight w:val="705" w:hRule="exact"/>
        </w:trPr>
        <w:tc>
          <w:tcPr>
            <w:tcW w:w="15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12,060,178.0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3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54" w:right="0"/>
              <w:jc w:val="left"/>
              <w:rPr>
                <w:rFonts w:ascii="Times New Roman" w:hAnsi="Times New Roman" w:cs="Times New Roman" w:eastAsia="Times New Roman" w:hint="default"/>
                <w:sz w:val="18"/>
                <w:szCs w:val="18"/>
              </w:rPr>
            </w:pPr>
            <w:r>
              <w:rPr>
                <w:rFonts w:ascii="Times New Roman"/>
                <w:sz w:val="18"/>
              </w:rPr>
              <w:t>88,286,574.00</w:t>
            </w:r>
          </w:p>
        </w:tc>
        <w:tc>
          <w:tcPr>
            <w:tcW w:w="1321" w:type="dxa"/>
            <w:tcBorders>
              <w:top w:val="single" w:sz="6" w:space="0" w:color="000000"/>
              <w:left w:val="single" w:sz="6" w:space="0" w:color="000000"/>
              <w:bottom w:val="single" w:sz="6" w:space="0" w:color="000000"/>
              <w:right w:val="single" w:sz="6" w:space="0" w:color="000000"/>
            </w:tcBorders>
          </w:tcPr>
          <w:p>
            <w:pPr/>
          </w:p>
        </w:tc>
        <w:tc>
          <w:tcPr>
            <w:tcW w:w="10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0" w:right="0"/>
              <w:jc w:val="left"/>
              <w:rPr>
                <w:rFonts w:ascii="Times New Roman" w:hAnsi="Times New Roman" w:cs="Times New Roman" w:eastAsia="Times New Roman" w:hint="default"/>
                <w:sz w:val="18"/>
                <w:szCs w:val="18"/>
              </w:rPr>
            </w:pPr>
            <w:r>
              <w:rPr>
                <w:rFonts w:ascii="Times New Roman"/>
                <w:sz w:val="18"/>
              </w:rPr>
              <w:t>2,445,000.00</w:t>
            </w:r>
          </w:p>
        </w:tc>
        <w:tc>
          <w:tcPr>
            <w:tcW w:w="1577" w:type="dxa"/>
            <w:tcBorders>
              <w:top w:val="single" w:sz="6" w:space="0" w:color="000000"/>
              <w:left w:val="single" w:sz="6" w:space="0" w:color="000000"/>
              <w:bottom w:val="single" w:sz="6" w:space="0" w:color="000000"/>
              <w:right w:val="single" w:sz="6" w:space="0" w:color="000000"/>
            </w:tcBorders>
          </w:tcPr>
          <w:p>
            <w:pPr/>
          </w:p>
        </w:tc>
        <w:tc>
          <w:tcPr>
            <w:tcW w:w="15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5" w:right="0"/>
              <w:jc w:val="left"/>
              <w:rPr>
                <w:rFonts w:ascii="Times New Roman" w:hAnsi="Times New Roman" w:cs="Times New Roman" w:eastAsia="Times New Roman" w:hint="default"/>
                <w:sz w:val="18"/>
                <w:szCs w:val="18"/>
              </w:rPr>
            </w:pPr>
            <w:r>
              <w:rPr>
                <w:rFonts w:ascii="Times New Roman"/>
                <w:sz w:val="18"/>
              </w:rPr>
              <w:t>97,901,752.00</w:t>
            </w:r>
          </w:p>
        </w:tc>
      </w:tr>
    </w:tbl>
    <w:p>
      <w:pPr>
        <w:pStyle w:val="BodyText"/>
        <w:spacing w:line="240" w:lineRule="auto" w:before="45"/>
        <w:ind w:right="0"/>
        <w:jc w:val="left"/>
      </w:pPr>
      <w:r>
        <w:rPr/>
        <w:t>其中本期坏账准备转回或收回金额重要的：</w:t>
      </w:r>
    </w:p>
    <w:p>
      <w:pPr>
        <w:pStyle w:val="BodyText"/>
        <w:spacing w:line="240" w:lineRule="auto" w:before="125"/>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184"/>
        <w:gridCol w:w="3199"/>
        <w:gridCol w:w="3199"/>
      </w:tblGrid>
      <w:tr>
        <w:trPr>
          <w:trHeight w:val="405" w:hRule="exact"/>
        </w:trPr>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r>
        <w:trPr>
          <w:trHeight w:val="390" w:hRule="exact"/>
        </w:trPr>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99" w:type="dxa"/>
            <w:tcBorders>
              <w:top w:val="single" w:sz="6" w:space="0" w:color="000000"/>
              <w:left w:val="single" w:sz="6" w:space="0" w:color="000000"/>
              <w:bottom w:val="single" w:sz="6" w:space="0" w:color="000000"/>
              <w:right w:val="single" w:sz="6" w:space="0" w:color="000000"/>
            </w:tcBorders>
          </w:tcPr>
          <w:p>
            <w:pPr/>
          </w:p>
        </w:tc>
        <w:tc>
          <w:tcPr>
            <w:tcW w:w="3199"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4）本期实际核销的其他应收款情况" w:id="411"/>
      <w:bookmarkEnd w:id="411"/>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4791"/>
        <w:gridCol w:w="4791"/>
      </w:tblGrid>
      <w:tr>
        <w:trPr>
          <w:trHeight w:val="391" w:hRule="exact"/>
        </w:trPr>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right="3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6" w:hRule="exact"/>
        </w:trPr>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子公司注销</w:t>
            </w:r>
          </w:p>
        </w:tc>
        <w:tc>
          <w:tcPr>
            <w:tcW w:w="4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2,445,000.00</w:t>
            </w:r>
          </w:p>
        </w:tc>
      </w:tr>
    </w:tbl>
    <w:p>
      <w:pPr>
        <w:pStyle w:val="BodyText"/>
        <w:spacing w:line="240" w:lineRule="auto" w:before="44"/>
        <w:ind w:right="0"/>
        <w:jc w:val="left"/>
      </w:pPr>
      <w:r>
        <w:rPr/>
        <w:t>其中重要的其他应收款核销情况：</w:t>
      </w:r>
    </w:p>
    <w:p>
      <w:pPr>
        <w:pStyle w:val="BodyText"/>
        <w:spacing w:line="240" w:lineRule="auto" w:before="110"/>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21"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50"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42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45"/>
              <w:ind w:left="540" w:right="74" w:hanging="451"/>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45"/>
        <w:ind w:right="0"/>
        <w:jc w:val="left"/>
      </w:pPr>
      <w:r>
        <w:rPr/>
        <w:t>其他应收款核销说明：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5）按欠款方归集的期末余额前五名的其他应收款情况" w:id="412"/>
      <w:bookmarkEnd w:id="412"/>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682"/>
        <w:gridCol w:w="1562"/>
        <w:gridCol w:w="1547"/>
        <w:gridCol w:w="1562"/>
        <w:gridCol w:w="1607"/>
        <w:gridCol w:w="1622"/>
      </w:tblGrid>
      <w:tr>
        <w:trPr>
          <w:trHeight w:val="706"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6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4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40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21" w:lineRule="auto" w:before="30"/>
              <w:ind w:left="75" w:right="76"/>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285,700,258.00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30.57%</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103,564,676.00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11.08%</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72,460,373.00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年至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w w:val="95"/>
                <w:sz w:val="18"/>
              </w:rPr>
              <w:t>7.75%</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3"/>
              <w:jc w:val="right"/>
              <w:rPr>
                <w:rFonts w:ascii="Times New Roman" w:hAnsi="Times New Roman" w:cs="Times New Roman" w:eastAsia="Times New Roman" w:hint="default"/>
                <w:sz w:val="18"/>
                <w:szCs w:val="18"/>
              </w:rPr>
            </w:pPr>
            <w:r>
              <w:rPr>
                <w:rFonts w:ascii="Times New Roman"/>
                <w:sz w:val="18"/>
              </w:rPr>
              <w:t>0.00</w:t>
            </w:r>
          </w:p>
        </w:tc>
      </w:tr>
      <w:tr>
        <w:trPr>
          <w:trHeight w:val="390"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57,255,079.00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0"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w w:val="95"/>
                <w:sz w:val="18"/>
              </w:rPr>
              <w:t>6.13%</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6" w:hRule="exact"/>
        </w:trPr>
        <w:tc>
          <w:tcPr>
            <w:tcW w:w="16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50,243,936.00</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大于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5.38%</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50,243,936.00</w:t>
            </w:r>
          </w:p>
        </w:tc>
      </w:tr>
      <w:tr>
        <w:trPr>
          <w:trHeight w:val="405" w:hRule="exact"/>
        </w:trPr>
        <w:tc>
          <w:tcPr>
            <w:tcW w:w="16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5" w:right="0"/>
              <w:jc w:val="center"/>
              <w:rPr>
                <w:rFonts w:ascii="Times New Roman" w:hAnsi="Times New Roman" w:cs="Times New Roman" w:eastAsia="Times New Roman" w:hint="default"/>
                <w:sz w:val="18"/>
                <w:szCs w:val="18"/>
              </w:rPr>
            </w:pPr>
            <w:r>
              <w:rPr>
                <w:rFonts w:ascii="Times New Roman"/>
                <w:sz w:val="18"/>
              </w:rPr>
              <w:t>--</w:t>
            </w:r>
          </w:p>
        </w:tc>
        <w:tc>
          <w:tcPr>
            <w:tcW w:w="15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569,224,322.00</w:t>
            </w:r>
          </w:p>
        </w:tc>
        <w:tc>
          <w:tcPr>
            <w:tcW w:w="15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02"/>
              <w:ind w:left="14" w:right="0"/>
              <w:jc w:val="center"/>
              <w:rPr>
                <w:rFonts w:ascii="Times New Roman" w:hAnsi="Times New Roman" w:cs="Times New Roman" w:eastAsia="Times New Roman" w:hint="default"/>
                <w:sz w:val="18"/>
                <w:szCs w:val="18"/>
              </w:rPr>
            </w:pPr>
            <w:r>
              <w:rPr>
                <w:rFonts w:ascii="Times New Roman"/>
                <w:sz w:val="18"/>
              </w:rPr>
              <w:t>--</w:t>
            </w:r>
          </w:p>
        </w:tc>
        <w:tc>
          <w:tcPr>
            <w:tcW w:w="1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w w:val="95"/>
                <w:sz w:val="18"/>
              </w:rPr>
              <w:t>60.92%</w:t>
            </w:r>
            <w:r>
              <w:rPr>
                <w:rFonts w:ascii="Times New Roman"/>
                <w:sz w:val="18"/>
              </w:rPr>
            </w:r>
          </w:p>
        </w:tc>
        <w:tc>
          <w:tcPr>
            <w:tcW w:w="16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50,243,936.00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6）涉及政府补助的应收款项" w:id="413"/>
      <w:bookmarkEnd w:id="413"/>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2027"/>
        <w:gridCol w:w="1863"/>
        <w:gridCol w:w="1877"/>
        <w:gridCol w:w="1862"/>
        <w:gridCol w:w="1952"/>
      </w:tblGrid>
      <w:tr>
        <w:trPr>
          <w:trHeight w:val="706" w:hRule="exact"/>
        </w:trPr>
        <w:tc>
          <w:tcPr>
            <w:tcW w:w="202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63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7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556"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06" w:right="60" w:hanging="631"/>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after="0" w:line="304"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7）因金融资产转移而终止确认的其他应收款" w:id="414"/>
      <w:bookmarkEnd w:id="414"/>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4"/>
          <w:szCs w:val="24"/>
        </w:rPr>
      </w:pPr>
    </w:p>
    <w:p>
      <w:pPr>
        <w:pStyle w:val="Heading5"/>
        <w:spacing w:line="240" w:lineRule="auto"/>
        <w:ind w:right="0"/>
        <w:jc w:val="left"/>
        <w:rPr>
          <w:b w:val="0"/>
          <w:bCs w:val="0"/>
        </w:rPr>
      </w:pPr>
      <w:bookmarkStart w:name="8）转移其他应收款且继续涉入形成的资产、负债金额" w:id="415"/>
      <w:bookmarkEnd w:id="415"/>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其他说明：</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3、长期股权投资" w:id="416"/>
      <w:bookmarkEnd w:id="41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9"/>
        <w:rPr>
          <w:rFonts w:ascii="宋体" w:hAnsi="宋体" w:cs="宋体" w:eastAsia="宋体" w:hint="default"/>
          <w:b/>
          <w:bCs/>
          <w:sz w:val="20"/>
          <w:szCs w:val="20"/>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33" w:type="dxa"/>
        <w:tblLayout w:type="fixed"/>
        <w:tblCellMar>
          <w:top w:w="0" w:type="dxa"/>
          <w:left w:w="0" w:type="dxa"/>
          <w:bottom w:w="0" w:type="dxa"/>
          <w:right w:w="0" w:type="dxa"/>
        </w:tblCellMar>
        <w:tblLook w:val="01E0"/>
      </w:tblPr>
      <w:tblGrid>
        <w:gridCol w:w="1352"/>
        <w:gridCol w:w="1375"/>
        <w:gridCol w:w="1382"/>
        <w:gridCol w:w="1367"/>
        <w:gridCol w:w="1366"/>
        <w:gridCol w:w="1367"/>
        <w:gridCol w:w="1367"/>
      </w:tblGrid>
      <w:tr>
        <w:trPr>
          <w:trHeight w:val="405" w:hRule="exact"/>
        </w:trPr>
        <w:tc>
          <w:tcPr>
            <w:tcW w:w="135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28"/>
              <w:jc w:val="center"/>
              <w:rPr>
                <w:rFonts w:ascii="宋体" w:hAnsi="宋体" w:cs="宋体" w:eastAsia="宋体" w:hint="default"/>
                <w:sz w:val="18"/>
                <w:szCs w:val="18"/>
              </w:rPr>
            </w:pPr>
            <w:r>
              <w:rPr>
                <w:rFonts w:ascii="宋体" w:hAnsi="宋体" w:cs="宋体" w:eastAsia="宋体" w:hint="default"/>
                <w:sz w:val="18"/>
                <w:szCs w:val="18"/>
              </w:rPr>
              <w:t>项目</w:t>
            </w:r>
          </w:p>
        </w:tc>
        <w:tc>
          <w:tcPr>
            <w:tcW w:w="4123"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2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0" w:type="dxa"/>
            <w:gridSpan w:val="3"/>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5" w:hRule="exact"/>
        </w:trPr>
        <w:tc>
          <w:tcPr>
            <w:tcW w:w="1352" w:type="dxa"/>
            <w:vMerge/>
            <w:tcBorders>
              <w:left w:val="single" w:sz="6" w:space="0" w:color="000000"/>
              <w:bottom w:val="single" w:sz="6" w:space="0" w:color="000000"/>
              <w:right w:val="single" w:sz="6" w:space="0" w:color="000000"/>
            </w:tcBorders>
            <w:shd w:val="clear" w:color="auto" w:fill="D2D2D2"/>
          </w:tcPr>
          <w:p>
            <w:pPr/>
          </w:p>
        </w:tc>
        <w:tc>
          <w:tcPr>
            <w:tcW w:w="1375"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2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8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1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2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9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731,150,718.00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5,350,000.00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725,800,718.00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731,750,718.00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731,750,718.00</w:t>
            </w:r>
          </w:p>
        </w:tc>
      </w:tr>
      <w:tr>
        <w:trPr>
          <w:trHeight w:val="721"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7" w:lineRule="auto" w:before="44"/>
              <w:ind w:left="7" w:right="68"/>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598,281,750.00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598,281,750.00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557,811,744.00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557,811,744.00</w:t>
            </w:r>
          </w:p>
        </w:tc>
      </w:tr>
      <w:tr>
        <w:trPr>
          <w:trHeight w:val="390" w:hRule="exact"/>
        </w:trPr>
        <w:tc>
          <w:tcPr>
            <w:tcW w:w="135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5"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6"/>
              <w:jc w:val="right"/>
              <w:rPr>
                <w:rFonts w:ascii="Times New Roman" w:hAnsi="Times New Roman" w:cs="Times New Roman" w:eastAsia="Times New Roman" w:hint="default"/>
                <w:sz w:val="18"/>
                <w:szCs w:val="18"/>
              </w:rPr>
            </w:pPr>
            <w:r>
              <w:rPr>
                <w:rFonts w:ascii="Times New Roman"/>
                <w:sz w:val="18"/>
              </w:rPr>
              <w:t>1,329,432,468.00</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5,350,000.00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1"/>
              <w:jc w:val="right"/>
              <w:rPr>
                <w:rFonts w:ascii="Times New Roman" w:hAnsi="Times New Roman" w:cs="Times New Roman" w:eastAsia="Times New Roman" w:hint="default"/>
                <w:sz w:val="18"/>
                <w:szCs w:val="18"/>
              </w:rPr>
            </w:pPr>
            <w:r>
              <w:rPr>
                <w:rFonts w:ascii="Times New Roman"/>
                <w:sz w:val="18"/>
              </w:rPr>
              <w:t>1,324,082,468.00</w:t>
            </w:r>
          </w:p>
        </w:tc>
        <w:tc>
          <w:tcPr>
            <w:tcW w:w="1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1,289,562,462.00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1,289,562,462.00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1）对子公司投资" w:id="417"/>
      <w:bookmarkEnd w:id="41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405" w:hRule="exact"/>
        </w:trPr>
        <w:tc>
          <w:tcPr>
            <w:tcW w:w="126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72"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285" w:right="88" w:hanging="181"/>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6" w:type="dxa"/>
            <w:gridSpan w:val="4"/>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7" w:type="dxa"/>
            <w:vMerge w:val="restart"/>
            <w:tcBorders>
              <w:top w:val="single" w:sz="6" w:space="0" w:color="000000"/>
              <w:left w:val="single" w:sz="6" w:space="0" w:color="000000"/>
              <w:right w:val="single" w:sz="6" w:space="0" w:color="000000"/>
            </w:tcBorders>
            <w:shd w:val="clear" w:color="auto" w:fill="D2D2D2"/>
          </w:tcPr>
          <w:p>
            <w:pPr>
              <w:pStyle w:val="TableParagraph"/>
              <w:spacing w:line="304" w:lineRule="auto" w:before="90"/>
              <w:ind w:left="390" w:right="28" w:hanging="361"/>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6" w:type="dxa"/>
            <w:vMerge w:val="restart"/>
            <w:tcBorders>
              <w:top w:val="single" w:sz="6" w:space="0" w:color="000000"/>
              <w:left w:val="single" w:sz="6" w:space="0" w:color="000000"/>
              <w:right w:val="single" w:sz="6" w:space="0" w:color="000000"/>
            </w:tcBorders>
            <w:shd w:val="clear" w:color="auto" w:fill="D2D2D2"/>
          </w:tcPr>
          <w:p>
            <w:pPr>
              <w:pStyle w:val="TableParagraph"/>
              <w:spacing w:line="321" w:lineRule="auto" w:before="75"/>
              <w:ind w:left="420" w:right="59" w:hanging="361"/>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390" w:hRule="exact"/>
        </w:trPr>
        <w:tc>
          <w:tcPr>
            <w:tcW w:w="1262" w:type="dxa"/>
            <w:vMerge/>
            <w:tcBorders>
              <w:left w:val="single" w:sz="6" w:space="0" w:color="000000"/>
              <w:bottom w:val="single" w:sz="6" w:space="0" w:color="000000"/>
              <w:right w:val="single" w:sz="6" w:space="0" w:color="000000"/>
            </w:tcBorders>
            <w:shd w:val="clear" w:color="auto" w:fill="D2D2D2"/>
          </w:tcPr>
          <w:p>
            <w:pPr/>
          </w:p>
        </w:tc>
        <w:tc>
          <w:tcPr>
            <w:tcW w:w="1172" w:type="dxa"/>
            <w:vMerge/>
            <w:tcBorders>
              <w:left w:val="single" w:sz="6" w:space="0" w:color="000000"/>
              <w:bottom w:val="single" w:sz="6" w:space="0" w:color="000000"/>
              <w:right w:val="single" w:sz="6" w:space="0" w:color="000000"/>
            </w:tcBorders>
            <w:shd w:val="clear" w:color="auto" w:fill="D2D2D2"/>
          </w:tcPr>
          <w:p>
            <w:pPr/>
          </w:p>
        </w:tc>
        <w:tc>
          <w:tcPr>
            <w:tcW w:w="117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25"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7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21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5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3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7" w:type="dxa"/>
            <w:vMerge/>
            <w:tcBorders>
              <w:left w:val="single" w:sz="6" w:space="0" w:color="000000"/>
              <w:bottom w:val="single" w:sz="6" w:space="0" w:color="000000"/>
              <w:right w:val="single" w:sz="6" w:space="0" w:color="000000"/>
            </w:tcBorders>
            <w:shd w:val="clear" w:color="auto" w:fill="D2D2D2"/>
          </w:tcPr>
          <w:p>
            <w:pPr/>
          </w:p>
        </w:tc>
        <w:tc>
          <w:tcPr>
            <w:tcW w:w="1216" w:type="dxa"/>
            <w:vMerge/>
            <w:tcBorders>
              <w:left w:val="single" w:sz="6" w:space="0" w:color="000000"/>
              <w:bottom w:val="single" w:sz="6" w:space="0" w:color="000000"/>
              <w:right w:val="single" w:sz="6" w:space="0" w:color="000000"/>
            </w:tcBorders>
            <w:shd w:val="clear" w:color="auto" w:fill="D2D2D2"/>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博物馆</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上海销售</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12,874,493.00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12,874,493.00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成都美邦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500,000.00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500,000.00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沈阳美邦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6,624,104.00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6,624,104.00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39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天津美邦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7,288,749.00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7,288,749.00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济南美邦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6,595,832.00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6,595,832.00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福州美邦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8,100,000.00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昆明美邦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8,518,137.00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8,518,137.00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哈尔滨美邦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南昌美邦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9,242,077.00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9,242,077.00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西安美邦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2,570,026.00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2,570,026.00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杭州美邦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3,707,383.00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3,707,383.00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北京美邦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500,000.00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重庆美邦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广州美邦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500,000.00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宁波美邦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3,099,917.00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3,099,917.00</w:t>
            </w:r>
          </w:p>
        </w:tc>
        <w:tc>
          <w:tcPr>
            <w:tcW w:w="121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1262"/>
        <w:gridCol w:w="1172"/>
        <w:gridCol w:w="1171"/>
        <w:gridCol w:w="1172"/>
        <w:gridCol w:w="1156"/>
        <w:gridCol w:w="1216"/>
        <w:gridCol w:w="1217"/>
        <w:gridCol w:w="1216"/>
      </w:tblGrid>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温州美邦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南京美邦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武汉美邦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广西美邦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长春美邦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兰州美邦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w:t>
            </w: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深圳美邦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上海米安斯迪</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苏州美邦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上海邦购</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合肥美邦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杭州美特斯</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上海霓尚</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乌鲁木齐美邦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华邦科创</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祺格服饰</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2,000,000.00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上海邦彤</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10,000,000.00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15" w:right="0"/>
              <w:jc w:val="left"/>
              <w:rPr>
                <w:rFonts w:ascii="宋体" w:hAnsi="宋体" w:cs="宋体" w:eastAsia="宋体" w:hint="default"/>
                <w:sz w:val="18"/>
                <w:szCs w:val="18"/>
              </w:rPr>
            </w:pPr>
            <w:r>
              <w:rPr>
                <w:rFonts w:ascii="宋体" w:hAnsi="宋体" w:cs="宋体" w:eastAsia="宋体" w:hint="default"/>
                <w:sz w:val="18"/>
                <w:szCs w:val="18"/>
              </w:rPr>
              <w:t>西宁美邦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2,000,000.00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贵阳美邦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5,000,000.00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郑州美邦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600,000.00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沈阳贸邦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650,000.00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5"/>
              <w:jc w:val="right"/>
              <w:rPr>
                <w:rFonts w:ascii="Times New Roman" w:hAnsi="Times New Roman" w:cs="Times New Roman" w:eastAsia="Times New Roman" w:hint="default"/>
                <w:sz w:val="18"/>
                <w:szCs w:val="18"/>
              </w:rPr>
            </w:pPr>
            <w:r>
              <w:rPr>
                <w:rFonts w:ascii="Times New Roman"/>
                <w:sz w:val="18"/>
              </w:rPr>
              <w:t>650,000.00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321" w:lineRule="auto" w:before="30"/>
              <w:ind w:left="15" w:right="149"/>
              <w:jc w:val="left"/>
              <w:rPr>
                <w:rFonts w:ascii="宋体" w:hAnsi="宋体" w:cs="宋体" w:eastAsia="宋体" w:hint="default"/>
                <w:sz w:val="18"/>
                <w:szCs w:val="18"/>
              </w:rPr>
            </w:pPr>
            <w:r>
              <w:rPr>
                <w:rFonts w:ascii="宋体" w:hAnsi="宋体" w:cs="宋体" w:eastAsia="宋体" w:hint="default"/>
                <w:sz w:val="18"/>
                <w:szCs w:val="18"/>
              </w:rPr>
              <w:t>丹东市贸邦商 贸</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20,790,000.00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20,790,000.00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上海模共</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1"/>
              <w:ind w:right="14"/>
              <w:jc w:val="right"/>
              <w:rPr>
                <w:rFonts w:ascii="Times New Roman" w:hAnsi="Times New Roman" w:cs="Times New Roman" w:eastAsia="Times New Roman" w:hint="default"/>
                <w:sz w:val="18"/>
                <w:szCs w:val="18"/>
              </w:rPr>
            </w:pPr>
            <w:r>
              <w:rPr>
                <w:rFonts w:ascii="Times New Roman"/>
                <w:sz w:val="18"/>
              </w:rPr>
              <w:t>207,670,000.0</w:t>
            </w:r>
          </w:p>
          <w:p>
            <w:pPr>
              <w:pStyle w:val="TableParagraph"/>
              <w:spacing w:line="240" w:lineRule="auto" w:before="108"/>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207,670,000.00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721"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上海库升</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180,870,000.0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180,870,000.00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石家庄美邦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5"/>
              <w:jc w:val="right"/>
              <w:rPr>
                <w:rFonts w:ascii="Times New Roman" w:hAnsi="Times New Roman" w:cs="Times New Roman" w:eastAsia="Times New Roman" w:hint="default"/>
                <w:sz w:val="18"/>
                <w:szCs w:val="18"/>
              </w:rPr>
            </w:pPr>
            <w:r>
              <w:rPr>
                <w:rFonts w:ascii="Times New Roman"/>
                <w:sz w:val="18"/>
              </w:rPr>
              <w:t>600,000.00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600,000.00</w:t>
            </w:r>
          </w:p>
        </w:tc>
        <w:tc>
          <w:tcPr>
            <w:tcW w:w="1156" w:type="dxa"/>
            <w:tcBorders>
              <w:top w:val="single" w:sz="6" w:space="0" w:color="000000"/>
              <w:left w:val="single" w:sz="6" w:space="0" w:color="000000"/>
              <w:bottom w:val="single" w:sz="6" w:space="0" w:color="000000"/>
              <w:right w:val="single" w:sz="6" w:space="0" w:color="000000"/>
            </w:tcBorders>
          </w:tcPr>
          <w:p>
            <w:pP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12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太原美邦</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350,000.00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5"/>
              <w:jc w:val="right"/>
              <w:rPr>
                <w:rFonts w:ascii="Times New Roman" w:hAnsi="Times New Roman" w:cs="Times New Roman" w:eastAsia="Times New Roman" w:hint="default"/>
                <w:sz w:val="18"/>
                <w:szCs w:val="18"/>
              </w:rPr>
            </w:pPr>
            <w:r>
              <w:rPr>
                <w:rFonts w:ascii="Times New Roman"/>
                <w:sz w:val="18"/>
              </w:rPr>
              <w:t>350,000.00</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350,000.00</w:t>
            </w:r>
          </w:p>
        </w:tc>
      </w:tr>
      <w:tr>
        <w:trPr>
          <w:trHeight w:val="705" w:hRule="exact"/>
        </w:trPr>
        <w:tc>
          <w:tcPr>
            <w:tcW w:w="126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731,750,718.0</w:t>
            </w:r>
          </w:p>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w:t>
            </w:r>
          </w:p>
        </w:tc>
        <w:tc>
          <w:tcPr>
            <w:tcW w:w="1171" w:type="dxa"/>
            <w:tcBorders>
              <w:top w:val="single" w:sz="6" w:space="0" w:color="000000"/>
              <w:left w:val="single" w:sz="6" w:space="0" w:color="000000"/>
              <w:bottom w:val="single" w:sz="6" w:space="0" w:color="000000"/>
              <w:right w:val="single" w:sz="6" w:space="0" w:color="000000"/>
            </w:tcBorders>
          </w:tcPr>
          <w:p>
            <w:pPr/>
          </w:p>
        </w:tc>
        <w:tc>
          <w:tcPr>
            <w:tcW w:w="11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30"/>
              <w:jc w:val="right"/>
              <w:rPr>
                <w:rFonts w:ascii="Times New Roman" w:hAnsi="Times New Roman" w:cs="Times New Roman" w:eastAsia="Times New Roman" w:hint="default"/>
                <w:sz w:val="18"/>
                <w:szCs w:val="18"/>
              </w:rPr>
            </w:pPr>
            <w:r>
              <w:rPr>
                <w:rFonts w:ascii="Times New Roman"/>
                <w:sz w:val="18"/>
              </w:rPr>
              <w:t>600,000.00</w:t>
            </w:r>
          </w:p>
        </w:tc>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5,350,000.00</w:t>
            </w:r>
          </w:p>
        </w:tc>
        <w:tc>
          <w:tcPr>
            <w:tcW w:w="1216" w:type="dxa"/>
            <w:tcBorders>
              <w:top w:val="single" w:sz="6" w:space="0" w:color="000000"/>
              <w:left w:val="single" w:sz="6" w:space="0" w:color="000000"/>
              <w:bottom w:val="single" w:sz="6" w:space="0" w:color="000000"/>
              <w:right w:val="single" w:sz="6" w:space="0" w:color="000000"/>
            </w:tcBorders>
          </w:tcPr>
          <w:p>
            <w:pPr/>
          </w:p>
        </w:tc>
        <w:tc>
          <w:tcPr>
            <w:tcW w:w="12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725,800,718.00</w:t>
            </w:r>
          </w:p>
        </w:tc>
        <w:tc>
          <w:tcPr>
            <w:tcW w:w="12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5,350,000.00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2）对联营、合营企业投资" w:id="418"/>
      <w:bookmarkEnd w:id="41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7"/>
        <w:rPr>
          <w:rFonts w:ascii="宋体" w:hAnsi="宋体" w:cs="宋体" w:eastAsia="宋体" w:hint="default"/>
          <w:sz w:val="9"/>
          <w:szCs w:val="9"/>
        </w:rPr>
      </w:pPr>
    </w:p>
    <w:tbl>
      <w:tblPr>
        <w:tblW w:w="0" w:type="auto"/>
        <w:jc w:val="left"/>
        <w:tblInd w:w="126" w:type="dxa"/>
        <w:tblLayout w:type="fixed"/>
        <w:tblCellMar>
          <w:top w:w="0" w:type="dxa"/>
          <w:left w:w="0" w:type="dxa"/>
          <w:bottom w:w="0" w:type="dxa"/>
          <w:right w:w="0" w:type="dxa"/>
        </w:tblCellMar>
        <w:tblLook w:val="01E0"/>
      </w:tblPr>
      <w:tblGrid>
        <w:gridCol w:w="796"/>
        <w:gridCol w:w="796"/>
        <w:gridCol w:w="6398"/>
        <w:gridCol w:w="796"/>
        <w:gridCol w:w="796"/>
      </w:tblGrid>
      <w:tr>
        <w:trPr>
          <w:trHeight w:val="390" w:hRule="exact"/>
        </w:trPr>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3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98"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3"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6"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0"/>
              <w:ind w:left="15" w:right="0"/>
              <w:jc w:val="left"/>
              <w:rPr>
                <w:rFonts w:ascii="宋体" w:hAnsi="宋体" w:cs="宋体" w:eastAsia="宋体" w:hint="default"/>
                <w:sz w:val="18"/>
                <w:szCs w:val="18"/>
              </w:rPr>
            </w:pPr>
            <w:r>
              <w:rPr>
                <w:rFonts w:ascii="宋体" w:hAnsi="宋体" w:cs="宋体" w:eastAsia="宋体" w:hint="default"/>
                <w:sz w:val="18"/>
                <w:szCs w:val="18"/>
              </w:rPr>
              <w:t>减值准备</w:t>
            </w:r>
          </w:p>
        </w:tc>
      </w:tr>
    </w:tbl>
    <w:p>
      <w:pPr>
        <w:spacing w:after="0" w:line="240" w:lineRule="auto"/>
        <w:jc w:val="left"/>
        <w:rPr>
          <w:rFonts w:ascii="宋体" w:hAnsi="宋体" w:cs="宋体" w:eastAsia="宋体" w:hint="default"/>
          <w:sz w:val="18"/>
          <w:szCs w:val="18"/>
        </w:rPr>
        <w:sectPr>
          <w:pgSz w:w="11910" w:h="16850"/>
          <w:pgMar w:header="731" w:footer="981" w:top="1040" w:bottom="1180" w:left="1000" w:right="0"/>
        </w:sectPr>
      </w:pPr>
    </w:p>
    <w:p>
      <w:pPr>
        <w:spacing w:line="240" w:lineRule="auto" w:before="6"/>
        <w:rPr>
          <w:rFonts w:ascii="宋体" w:hAnsi="宋体" w:cs="宋体" w:eastAsia="宋体" w:hint="default"/>
          <w:sz w:val="29"/>
          <w:szCs w:val="29"/>
        </w:rPr>
      </w:pPr>
    </w:p>
    <w:tbl>
      <w:tblPr>
        <w:tblW w:w="0" w:type="auto"/>
        <w:jc w:val="left"/>
        <w:tblInd w:w="126" w:type="dxa"/>
        <w:tblLayout w:type="fixed"/>
        <w:tblCellMar>
          <w:top w:w="0" w:type="dxa"/>
          <w:left w:w="0" w:type="dxa"/>
          <w:bottom w:w="0" w:type="dxa"/>
          <w:right w:w="0" w:type="dxa"/>
        </w:tblCellMar>
        <w:tblLook w:val="01E0"/>
      </w:tblPr>
      <w:tblGrid>
        <w:gridCol w:w="801"/>
        <w:gridCol w:w="789"/>
        <w:gridCol w:w="799"/>
        <w:gridCol w:w="814"/>
        <w:gridCol w:w="791"/>
        <w:gridCol w:w="799"/>
        <w:gridCol w:w="799"/>
        <w:gridCol w:w="796"/>
        <w:gridCol w:w="803"/>
        <w:gridCol w:w="801"/>
        <w:gridCol w:w="796"/>
        <w:gridCol w:w="796"/>
      </w:tblGrid>
      <w:tr>
        <w:trPr>
          <w:trHeight w:val="158" w:hRule="exact"/>
        </w:trPr>
        <w:tc>
          <w:tcPr>
            <w:tcW w:w="801" w:type="dxa"/>
            <w:vMerge w:val="restart"/>
            <w:tcBorders>
              <w:top w:val="single" w:sz="6" w:space="0" w:color="000000"/>
              <w:left w:val="single" w:sz="6" w:space="0" w:color="000000"/>
              <w:right w:val="single" w:sz="6" w:space="0" w:color="000000"/>
            </w:tcBorders>
            <w:shd w:val="clear" w:color="auto" w:fill="D2D2D2"/>
          </w:tcPr>
          <w:p>
            <w:pPr/>
          </w:p>
        </w:tc>
        <w:tc>
          <w:tcPr>
            <w:tcW w:w="789" w:type="dxa"/>
            <w:vMerge w:val="restart"/>
            <w:tcBorders>
              <w:top w:val="single" w:sz="6" w:space="0" w:color="000000"/>
              <w:left w:val="single" w:sz="6" w:space="0" w:color="000000"/>
              <w:right w:val="single" w:sz="6" w:space="0" w:color="000000"/>
            </w:tcBorders>
            <w:shd w:val="clear" w:color="auto" w:fill="D2D2D2"/>
          </w:tcPr>
          <w:p>
            <w:pPr>
              <w:pStyle w:val="TableParagraph"/>
              <w:spacing w:line="288" w:lineRule="auto" w:before="14"/>
              <w:ind w:left="265" w:right="86" w:hanging="18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99"/>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9" w:type="dxa"/>
            <w:vMerge w:val="restart"/>
            <w:tcBorders>
              <w:top w:val="single" w:sz="6" w:space="0" w:color="000000"/>
              <w:left w:val="single" w:sz="6" w:space="0" w:color="000000"/>
              <w:right w:val="single" w:sz="6" w:space="0" w:color="000000"/>
            </w:tcBorders>
            <w:shd w:val="clear" w:color="auto" w:fill="D2D2D2"/>
          </w:tcPr>
          <w:p>
            <w:pPr/>
          </w:p>
        </w:tc>
        <w:tc>
          <w:tcPr>
            <w:tcW w:w="814" w:type="dxa"/>
            <w:vMerge w:val="restart"/>
            <w:tcBorders>
              <w:top w:val="single" w:sz="6" w:space="0" w:color="000000"/>
              <w:left w:val="single" w:sz="6" w:space="0" w:color="000000"/>
              <w:right w:val="single" w:sz="6" w:space="0" w:color="000000"/>
            </w:tcBorders>
            <w:shd w:val="clear" w:color="auto" w:fill="D2D2D2"/>
          </w:tcPr>
          <w:p>
            <w:pPr/>
          </w:p>
        </w:tc>
        <w:tc>
          <w:tcPr>
            <w:tcW w:w="791"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12" w:right="41"/>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7" w:right="45"/>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9"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321" w:lineRule="auto"/>
              <w:ind w:left="195" w:right="46"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6" w:type="dxa"/>
            <w:vMerge w:val="restart"/>
            <w:tcBorders>
              <w:top w:val="single" w:sz="6" w:space="0" w:color="000000"/>
              <w:left w:val="single" w:sz="6" w:space="0" w:color="000000"/>
              <w:right w:val="single" w:sz="6" w:space="0" w:color="000000"/>
            </w:tcBorders>
            <w:shd w:val="clear" w:color="auto" w:fill="D2D2D2"/>
          </w:tcPr>
          <w:p>
            <w:pPr>
              <w:pStyle w:val="TableParagraph"/>
              <w:spacing w:line="314" w:lineRule="auto" w:before="44"/>
              <w:ind w:left="27"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803" w:type="dxa"/>
            <w:tcBorders>
              <w:top w:val="single" w:sz="6" w:space="0" w:color="000000"/>
              <w:left w:val="single" w:sz="6" w:space="0" w:color="000000"/>
              <w:bottom w:val="nil" w:sz="6" w:space="0" w:color="auto"/>
              <w:right w:val="single" w:sz="6" w:space="0" w:color="000000"/>
            </w:tcBorders>
            <w:shd w:val="clear" w:color="auto" w:fill="D2D2D2"/>
          </w:tcPr>
          <w:p>
            <w:pPr/>
          </w:p>
        </w:tc>
        <w:tc>
          <w:tcPr>
            <w:tcW w:w="801" w:type="dxa"/>
            <w:vMerge w:val="restart"/>
            <w:tcBorders>
              <w:top w:val="single" w:sz="6" w:space="0" w:color="000000"/>
              <w:left w:val="single" w:sz="6" w:space="0" w:color="000000"/>
              <w:right w:val="single" w:sz="6" w:space="0" w:color="000000"/>
            </w:tcBorders>
            <w:shd w:val="clear" w:color="auto" w:fill="D2D2D2"/>
          </w:tcPr>
          <w:p>
            <w:pPr/>
          </w:p>
        </w:tc>
        <w:tc>
          <w:tcPr>
            <w:tcW w:w="796" w:type="dxa"/>
            <w:vMerge w:val="restart"/>
            <w:tcBorders>
              <w:top w:val="single" w:sz="6" w:space="0" w:color="000000"/>
              <w:left w:val="single" w:sz="12" w:space="0" w:color="D2D2D2"/>
              <w:right w:val="single" w:sz="6" w:space="0" w:color="000000"/>
            </w:tcBorders>
          </w:tcPr>
          <w:p>
            <w:pPr>
              <w:pStyle w:val="TableParagraph"/>
              <w:spacing w:line="288" w:lineRule="auto" w:before="14"/>
              <w:ind w:left="247" w:right="105" w:hanging="18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账面价</w:t>
            </w:r>
            <w:r>
              <w:rPr>
                <w:rFonts w:ascii="宋体" w:hAnsi="宋体" w:cs="宋体" w:eastAsia="宋体" w:hint="default"/>
                <w:w w:val="99"/>
                <w:sz w:val="18"/>
                <w:szCs w:val="18"/>
              </w:rPr>
              <w:t> </w:t>
            </w:r>
            <w:r>
              <w:rPr>
                <w:rFonts w:ascii="宋体" w:hAnsi="宋体" w:cs="宋体" w:eastAsia="宋体" w:hint="default"/>
                <w:sz w:val="18"/>
                <w:szCs w:val="18"/>
              </w:rPr>
              <w:t>值</w:t>
            </w:r>
            <w:r>
              <w:rPr>
                <w:rFonts w:ascii="Times New Roman" w:hAnsi="Times New Roman" w:cs="Times New Roman" w:eastAsia="Times New Roman" w:hint="default"/>
                <w:sz w:val="18"/>
                <w:szCs w:val="18"/>
              </w:rPr>
              <w:t>)</w:t>
            </w:r>
          </w:p>
        </w:tc>
        <w:tc>
          <w:tcPr>
            <w:tcW w:w="796" w:type="dxa"/>
            <w:vMerge w:val="restart"/>
            <w:tcBorders>
              <w:top w:val="single" w:sz="6" w:space="0" w:color="000000"/>
              <w:left w:val="single" w:sz="6" w:space="0" w:color="000000"/>
              <w:right w:val="single" w:sz="6" w:space="0" w:color="000000"/>
            </w:tcBorders>
          </w:tcPr>
          <w:p>
            <w:pPr>
              <w:pStyle w:val="TableParagraph"/>
              <w:spacing w:line="235" w:lineRule="exact"/>
              <w:ind w:left="1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50" w:hRule="exact"/>
        </w:trPr>
        <w:tc>
          <w:tcPr>
            <w:tcW w:w="801" w:type="dxa"/>
            <w:vMerge/>
            <w:tcBorders>
              <w:left w:val="single" w:sz="6" w:space="0" w:color="000000"/>
              <w:right w:val="single" w:sz="6" w:space="0" w:color="000000"/>
            </w:tcBorders>
            <w:shd w:val="clear" w:color="auto" w:fill="D2D2D2"/>
          </w:tcPr>
          <w:p>
            <w:pPr/>
          </w:p>
        </w:tc>
        <w:tc>
          <w:tcPr>
            <w:tcW w:w="789" w:type="dxa"/>
            <w:vMerge/>
            <w:tcBorders>
              <w:left w:val="single" w:sz="6" w:space="0" w:color="000000"/>
              <w:right w:val="single" w:sz="6" w:space="0" w:color="000000"/>
            </w:tcBorders>
            <w:shd w:val="clear" w:color="auto" w:fill="D2D2D2"/>
          </w:tcPr>
          <w:p>
            <w:pPr/>
          </w:p>
        </w:tc>
        <w:tc>
          <w:tcPr>
            <w:tcW w:w="799" w:type="dxa"/>
            <w:vMerge/>
            <w:tcBorders>
              <w:left w:val="single" w:sz="6" w:space="0" w:color="000000"/>
              <w:bottom w:val="nil" w:sz="6" w:space="0" w:color="auto"/>
              <w:right w:val="single" w:sz="6" w:space="0" w:color="000000"/>
            </w:tcBorders>
            <w:shd w:val="clear" w:color="auto" w:fill="D2D2D2"/>
          </w:tcPr>
          <w:p>
            <w:pPr/>
          </w:p>
        </w:tc>
        <w:tc>
          <w:tcPr>
            <w:tcW w:w="814" w:type="dxa"/>
            <w:vMerge/>
            <w:tcBorders>
              <w:left w:val="single" w:sz="6" w:space="0" w:color="000000"/>
              <w:bottom w:val="nil" w:sz="6" w:space="0" w:color="auto"/>
              <w:right w:val="single" w:sz="6" w:space="0" w:color="000000"/>
            </w:tcBorders>
            <w:shd w:val="clear" w:color="auto" w:fill="D2D2D2"/>
          </w:tcPr>
          <w:p>
            <w:pPr/>
          </w:p>
        </w:tc>
        <w:tc>
          <w:tcPr>
            <w:tcW w:w="791" w:type="dxa"/>
            <w:vMerge/>
            <w:tcBorders>
              <w:left w:val="single" w:sz="6" w:space="0" w:color="000000"/>
              <w:right w:val="single" w:sz="6" w:space="0" w:color="000000"/>
            </w:tcBorders>
            <w:shd w:val="clear" w:color="auto" w:fill="D2D2D2"/>
          </w:tcPr>
          <w:p>
            <w:pPr/>
          </w:p>
        </w:tc>
        <w:tc>
          <w:tcPr>
            <w:tcW w:w="799" w:type="dxa"/>
            <w:vMerge/>
            <w:tcBorders>
              <w:left w:val="single" w:sz="6" w:space="0" w:color="000000"/>
              <w:right w:val="single" w:sz="6" w:space="0" w:color="000000"/>
            </w:tcBorders>
            <w:shd w:val="clear" w:color="auto" w:fill="D2D2D2"/>
          </w:tcPr>
          <w:p>
            <w:pPr/>
          </w:p>
        </w:tc>
        <w:tc>
          <w:tcPr>
            <w:tcW w:w="799"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803" w:type="dxa"/>
            <w:vMerge w:val="restart"/>
            <w:tcBorders>
              <w:top w:val="nil" w:sz="6" w:space="0" w:color="auto"/>
              <w:left w:val="single" w:sz="6" w:space="0" w:color="000000"/>
              <w:right w:val="single" w:sz="6" w:space="0" w:color="000000"/>
            </w:tcBorders>
            <w:shd w:val="clear" w:color="auto" w:fill="D2D2D2"/>
          </w:tcPr>
          <w:p>
            <w:pPr>
              <w:pStyle w:val="TableParagraph"/>
              <w:spacing w:line="321" w:lineRule="auto" w:before="44"/>
              <w:ind w:left="207" w:right="38"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801" w:type="dxa"/>
            <w:vMerge/>
            <w:tcBorders>
              <w:left w:val="single" w:sz="6" w:space="0" w:color="000000"/>
              <w:bottom w:val="nil" w:sz="6" w:space="0" w:color="auto"/>
              <w:right w:val="single" w:sz="6" w:space="0" w:color="000000"/>
            </w:tcBorders>
            <w:shd w:val="clear" w:color="auto" w:fill="D2D2D2"/>
          </w:tcPr>
          <w:p>
            <w:pPr/>
          </w:p>
        </w:tc>
        <w:tc>
          <w:tcPr>
            <w:tcW w:w="796" w:type="dxa"/>
            <w:vMerge/>
            <w:tcBorders>
              <w:left w:val="single" w:sz="12" w:space="0" w:color="D2D2D2"/>
              <w:right w:val="single" w:sz="6" w:space="0" w:color="000000"/>
            </w:tcBorders>
          </w:tcPr>
          <w:p>
            <w:pPr/>
          </w:p>
        </w:tc>
        <w:tc>
          <w:tcPr>
            <w:tcW w:w="796" w:type="dxa"/>
            <w:vMerge/>
            <w:tcBorders>
              <w:left w:val="single" w:sz="6" w:space="0" w:color="000000"/>
              <w:right w:val="single" w:sz="6" w:space="0" w:color="000000"/>
            </w:tcBorders>
          </w:tcPr>
          <w:p>
            <w:pPr/>
          </w:p>
        </w:tc>
      </w:tr>
      <w:tr>
        <w:trPr>
          <w:trHeight w:val="405" w:hRule="exact"/>
        </w:trPr>
        <w:tc>
          <w:tcPr>
            <w:tcW w:w="801" w:type="dxa"/>
            <w:vMerge/>
            <w:tcBorders>
              <w:left w:val="single" w:sz="6" w:space="0" w:color="000000"/>
              <w:right w:val="single" w:sz="6" w:space="0" w:color="000000"/>
            </w:tcBorders>
            <w:shd w:val="clear" w:color="auto" w:fill="D2D2D2"/>
          </w:tcPr>
          <w:p>
            <w:pPr/>
          </w:p>
        </w:tc>
        <w:tc>
          <w:tcPr>
            <w:tcW w:w="789" w:type="dxa"/>
            <w:vMerge/>
            <w:tcBorders>
              <w:left w:val="single" w:sz="6" w:space="0" w:color="000000"/>
              <w:bottom w:val="nil" w:sz="6" w:space="0" w:color="auto"/>
              <w:right w:val="single" w:sz="6" w:space="0" w:color="000000"/>
            </w:tcBorders>
            <w:shd w:val="clear" w:color="auto" w:fill="D2D2D2"/>
          </w:tcPr>
          <w:p>
            <w:pPr/>
          </w:p>
        </w:tc>
        <w:tc>
          <w:tcPr>
            <w:tcW w:w="799"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32"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814"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30"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1" w:type="dxa"/>
            <w:vMerge/>
            <w:tcBorders>
              <w:left w:val="single" w:sz="6" w:space="0" w:color="000000"/>
              <w:right w:val="single" w:sz="6" w:space="0" w:color="000000"/>
            </w:tcBorders>
            <w:shd w:val="clear" w:color="auto" w:fill="D2D2D2"/>
          </w:tcPr>
          <w:p>
            <w:pPr/>
          </w:p>
        </w:tc>
        <w:tc>
          <w:tcPr>
            <w:tcW w:w="799" w:type="dxa"/>
            <w:vMerge/>
            <w:tcBorders>
              <w:left w:val="single" w:sz="6" w:space="0" w:color="000000"/>
              <w:right w:val="single" w:sz="6" w:space="0" w:color="000000"/>
            </w:tcBorders>
            <w:shd w:val="clear" w:color="auto" w:fill="D2D2D2"/>
          </w:tcPr>
          <w:p>
            <w:pPr/>
          </w:p>
        </w:tc>
        <w:tc>
          <w:tcPr>
            <w:tcW w:w="799"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803" w:type="dxa"/>
            <w:vMerge/>
            <w:tcBorders>
              <w:left w:val="single" w:sz="6" w:space="0" w:color="000000"/>
              <w:right w:val="single" w:sz="6" w:space="0" w:color="000000"/>
            </w:tcBorders>
            <w:shd w:val="clear" w:color="auto" w:fill="D2D2D2"/>
          </w:tcPr>
          <w:p>
            <w:pPr/>
          </w:p>
        </w:tc>
        <w:tc>
          <w:tcPr>
            <w:tcW w:w="801" w:type="dxa"/>
            <w:tcBorders>
              <w:top w:val="nil" w:sz="6" w:space="0" w:color="auto"/>
              <w:left w:val="single" w:sz="6" w:space="0" w:color="000000"/>
              <w:bottom w:val="nil" w:sz="6" w:space="0" w:color="auto"/>
              <w:right w:val="single" w:sz="6" w:space="0" w:color="000000"/>
            </w:tcBorders>
            <w:shd w:val="clear" w:color="auto" w:fill="D2D2D2"/>
          </w:tcPr>
          <w:p>
            <w:pPr>
              <w:pStyle w:val="TableParagraph"/>
              <w:spacing w:line="240" w:lineRule="auto" w:before="45"/>
              <w:ind w:left="2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6" w:type="dxa"/>
            <w:vMerge/>
            <w:tcBorders>
              <w:left w:val="single" w:sz="12" w:space="0" w:color="D2D2D2"/>
              <w:right w:val="single" w:sz="6" w:space="0" w:color="000000"/>
            </w:tcBorders>
          </w:tcPr>
          <w:p>
            <w:pPr/>
          </w:p>
        </w:tc>
        <w:tc>
          <w:tcPr>
            <w:tcW w:w="796" w:type="dxa"/>
            <w:vMerge/>
            <w:tcBorders>
              <w:left w:val="single" w:sz="6" w:space="0" w:color="000000"/>
              <w:right w:val="single" w:sz="6" w:space="0" w:color="000000"/>
            </w:tcBorders>
          </w:tcPr>
          <w:p>
            <w:pPr/>
          </w:p>
        </w:tc>
      </w:tr>
      <w:tr>
        <w:trPr>
          <w:trHeight w:val="150" w:hRule="exact"/>
        </w:trPr>
        <w:tc>
          <w:tcPr>
            <w:tcW w:w="801" w:type="dxa"/>
            <w:vMerge/>
            <w:tcBorders>
              <w:left w:val="single" w:sz="6" w:space="0" w:color="000000"/>
              <w:right w:val="single" w:sz="6" w:space="0" w:color="000000"/>
            </w:tcBorders>
            <w:shd w:val="clear" w:color="auto" w:fill="D2D2D2"/>
          </w:tcPr>
          <w:p>
            <w:pPr/>
          </w:p>
        </w:tc>
        <w:tc>
          <w:tcPr>
            <w:tcW w:w="789" w:type="dxa"/>
            <w:vMerge w:val="restart"/>
            <w:tcBorders>
              <w:top w:val="nil" w:sz="6" w:space="0" w:color="auto"/>
              <w:left w:val="single" w:sz="6" w:space="0" w:color="000000"/>
              <w:right w:val="single" w:sz="6" w:space="0" w:color="000000"/>
            </w:tcBorders>
            <w:shd w:val="clear" w:color="auto" w:fill="D2D2D2"/>
          </w:tcPr>
          <w:p>
            <w:pPr/>
          </w:p>
        </w:tc>
        <w:tc>
          <w:tcPr>
            <w:tcW w:w="799" w:type="dxa"/>
            <w:vMerge w:val="restart"/>
            <w:tcBorders>
              <w:top w:val="nil" w:sz="6" w:space="0" w:color="auto"/>
              <w:left w:val="single" w:sz="6" w:space="0" w:color="000000"/>
              <w:right w:val="single" w:sz="6" w:space="0" w:color="000000"/>
            </w:tcBorders>
            <w:shd w:val="clear" w:color="auto" w:fill="D2D2D2"/>
          </w:tcPr>
          <w:p>
            <w:pPr/>
          </w:p>
        </w:tc>
        <w:tc>
          <w:tcPr>
            <w:tcW w:w="814" w:type="dxa"/>
            <w:vMerge w:val="restart"/>
            <w:tcBorders>
              <w:top w:val="nil" w:sz="6" w:space="0" w:color="auto"/>
              <w:left w:val="single" w:sz="6" w:space="0" w:color="000000"/>
              <w:right w:val="single" w:sz="6" w:space="0" w:color="000000"/>
            </w:tcBorders>
            <w:shd w:val="clear" w:color="auto" w:fill="D2D2D2"/>
          </w:tcPr>
          <w:p>
            <w:pPr/>
          </w:p>
        </w:tc>
        <w:tc>
          <w:tcPr>
            <w:tcW w:w="791" w:type="dxa"/>
            <w:vMerge/>
            <w:tcBorders>
              <w:left w:val="single" w:sz="6" w:space="0" w:color="000000"/>
              <w:right w:val="single" w:sz="6" w:space="0" w:color="000000"/>
            </w:tcBorders>
            <w:shd w:val="clear" w:color="auto" w:fill="D2D2D2"/>
          </w:tcPr>
          <w:p>
            <w:pPr/>
          </w:p>
        </w:tc>
        <w:tc>
          <w:tcPr>
            <w:tcW w:w="799" w:type="dxa"/>
            <w:vMerge/>
            <w:tcBorders>
              <w:left w:val="single" w:sz="6" w:space="0" w:color="000000"/>
              <w:right w:val="single" w:sz="6" w:space="0" w:color="000000"/>
            </w:tcBorders>
            <w:shd w:val="clear" w:color="auto" w:fill="D2D2D2"/>
          </w:tcPr>
          <w:p>
            <w:pPr/>
          </w:p>
        </w:tc>
        <w:tc>
          <w:tcPr>
            <w:tcW w:w="799" w:type="dxa"/>
            <w:vMerge/>
            <w:tcBorders>
              <w:left w:val="single" w:sz="6" w:space="0" w:color="000000"/>
              <w:right w:val="single" w:sz="6" w:space="0" w:color="000000"/>
            </w:tcBorders>
            <w:shd w:val="clear" w:color="auto" w:fill="D2D2D2"/>
          </w:tcPr>
          <w:p>
            <w:pPr/>
          </w:p>
        </w:tc>
        <w:tc>
          <w:tcPr>
            <w:tcW w:w="796" w:type="dxa"/>
            <w:vMerge/>
            <w:tcBorders>
              <w:left w:val="single" w:sz="6" w:space="0" w:color="000000"/>
              <w:right w:val="single" w:sz="6" w:space="0" w:color="000000"/>
            </w:tcBorders>
            <w:shd w:val="clear" w:color="auto" w:fill="D2D2D2"/>
          </w:tcPr>
          <w:p>
            <w:pPr/>
          </w:p>
        </w:tc>
        <w:tc>
          <w:tcPr>
            <w:tcW w:w="803" w:type="dxa"/>
            <w:vMerge/>
            <w:tcBorders>
              <w:left w:val="single" w:sz="6" w:space="0" w:color="000000"/>
              <w:bottom w:val="nil" w:sz="6" w:space="0" w:color="auto"/>
              <w:right w:val="single" w:sz="6" w:space="0" w:color="000000"/>
            </w:tcBorders>
            <w:shd w:val="clear" w:color="auto" w:fill="D2D2D2"/>
          </w:tcPr>
          <w:p>
            <w:pPr/>
          </w:p>
        </w:tc>
        <w:tc>
          <w:tcPr>
            <w:tcW w:w="801" w:type="dxa"/>
            <w:vMerge w:val="restart"/>
            <w:tcBorders>
              <w:top w:val="nil" w:sz="6" w:space="0" w:color="auto"/>
              <w:left w:val="single" w:sz="6" w:space="0" w:color="000000"/>
              <w:right w:val="single" w:sz="6" w:space="0" w:color="000000"/>
            </w:tcBorders>
            <w:shd w:val="clear" w:color="auto" w:fill="D2D2D2"/>
          </w:tcPr>
          <w:p>
            <w:pPr/>
          </w:p>
        </w:tc>
        <w:tc>
          <w:tcPr>
            <w:tcW w:w="796" w:type="dxa"/>
            <w:vMerge/>
            <w:tcBorders>
              <w:left w:val="single" w:sz="12" w:space="0" w:color="D2D2D2"/>
              <w:right w:val="single" w:sz="6" w:space="0" w:color="000000"/>
            </w:tcBorders>
          </w:tcPr>
          <w:p>
            <w:pPr/>
          </w:p>
        </w:tc>
        <w:tc>
          <w:tcPr>
            <w:tcW w:w="796" w:type="dxa"/>
            <w:vMerge/>
            <w:tcBorders>
              <w:left w:val="single" w:sz="6" w:space="0" w:color="000000"/>
              <w:right w:val="single" w:sz="6" w:space="0" w:color="000000"/>
            </w:tcBorders>
          </w:tcPr>
          <w:p>
            <w:pPr/>
          </w:p>
        </w:tc>
      </w:tr>
      <w:tr>
        <w:trPr>
          <w:trHeight w:val="165" w:hRule="exact"/>
        </w:trPr>
        <w:tc>
          <w:tcPr>
            <w:tcW w:w="801" w:type="dxa"/>
            <w:vMerge/>
            <w:tcBorders>
              <w:left w:val="single" w:sz="6" w:space="0" w:color="000000"/>
              <w:bottom w:val="single" w:sz="6" w:space="0" w:color="000000"/>
              <w:right w:val="single" w:sz="6" w:space="0" w:color="000000"/>
            </w:tcBorders>
            <w:shd w:val="clear" w:color="auto" w:fill="D2D2D2"/>
          </w:tcPr>
          <w:p>
            <w:pPr/>
          </w:p>
        </w:tc>
        <w:tc>
          <w:tcPr>
            <w:tcW w:w="789" w:type="dxa"/>
            <w:vMerge/>
            <w:tcBorders>
              <w:left w:val="single" w:sz="6" w:space="0" w:color="000000"/>
              <w:bottom w:val="single" w:sz="6" w:space="0" w:color="000000"/>
              <w:right w:val="single" w:sz="6" w:space="0" w:color="000000"/>
            </w:tcBorders>
            <w:shd w:val="clear" w:color="auto" w:fill="D2D2D2"/>
          </w:tcPr>
          <w:p>
            <w:pPr/>
          </w:p>
        </w:tc>
        <w:tc>
          <w:tcPr>
            <w:tcW w:w="799" w:type="dxa"/>
            <w:vMerge/>
            <w:tcBorders>
              <w:left w:val="single" w:sz="6" w:space="0" w:color="000000"/>
              <w:bottom w:val="single" w:sz="6" w:space="0" w:color="000000"/>
              <w:right w:val="single" w:sz="6" w:space="0" w:color="000000"/>
            </w:tcBorders>
            <w:shd w:val="clear" w:color="auto" w:fill="D2D2D2"/>
          </w:tcPr>
          <w:p>
            <w:pPr/>
          </w:p>
        </w:tc>
        <w:tc>
          <w:tcPr>
            <w:tcW w:w="814" w:type="dxa"/>
            <w:vMerge/>
            <w:tcBorders>
              <w:left w:val="single" w:sz="6" w:space="0" w:color="000000"/>
              <w:bottom w:val="single" w:sz="6" w:space="0" w:color="000000"/>
              <w:right w:val="single" w:sz="6" w:space="0" w:color="000000"/>
            </w:tcBorders>
            <w:shd w:val="clear" w:color="auto" w:fill="D2D2D2"/>
          </w:tcPr>
          <w:p>
            <w:pPr/>
          </w:p>
        </w:tc>
        <w:tc>
          <w:tcPr>
            <w:tcW w:w="791" w:type="dxa"/>
            <w:vMerge/>
            <w:tcBorders>
              <w:left w:val="single" w:sz="6" w:space="0" w:color="000000"/>
              <w:bottom w:val="single" w:sz="6" w:space="0" w:color="000000"/>
              <w:right w:val="single" w:sz="6" w:space="0" w:color="000000"/>
            </w:tcBorders>
            <w:shd w:val="clear" w:color="auto" w:fill="D2D2D2"/>
          </w:tcPr>
          <w:p>
            <w:pPr/>
          </w:p>
        </w:tc>
        <w:tc>
          <w:tcPr>
            <w:tcW w:w="799" w:type="dxa"/>
            <w:vMerge/>
            <w:tcBorders>
              <w:left w:val="single" w:sz="6" w:space="0" w:color="000000"/>
              <w:bottom w:val="single" w:sz="6" w:space="0" w:color="000000"/>
              <w:right w:val="single" w:sz="6" w:space="0" w:color="000000"/>
            </w:tcBorders>
            <w:shd w:val="clear" w:color="auto" w:fill="D2D2D2"/>
          </w:tcPr>
          <w:p>
            <w:pPr/>
          </w:p>
        </w:tc>
        <w:tc>
          <w:tcPr>
            <w:tcW w:w="799"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6" w:space="0" w:color="000000"/>
              <w:bottom w:val="single" w:sz="6" w:space="0" w:color="000000"/>
              <w:right w:val="single" w:sz="6" w:space="0" w:color="000000"/>
            </w:tcBorders>
            <w:shd w:val="clear" w:color="auto" w:fill="D2D2D2"/>
          </w:tcPr>
          <w:p>
            <w:pPr/>
          </w:p>
        </w:tc>
        <w:tc>
          <w:tcPr>
            <w:tcW w:w="803" w:type="dxa"/>
            <w:tcBorders>
              <w:top w:val="nil" w:sz="6" w:space="0" w:color="auto"/>
              <w:left w:val="single" w:sz="6" w:space="0" w:color="000000"/>
              <w:bottom w:val="single" w:sz="6" w:space="0" w:color="000000"/>
              <w:right w:val="single" w:sz="6" w:space="0" w:color="000000"/>
            </w:tcBorders>
            <w:shd w:val="clear" w:color="auto" w:fill="D2D2D2"/>
          </w:tcPr>
          <w:p>
            <w:pPr/>
          </w:p>
        </w:tc>
        <w:tc>
          <w:tcPr>
            <w:tcW w:w="801" w:type="dxa"/>
            <w:vMerge/>
            <w:tcBorders>
              <w:left w:val="single" w:sz="6" w:space="0" w:color="000000"/>
              <w:bottom w:val="single" w:sz="6" w:space="0" w:color="000000"/>
              <w:right w:val="single" w:sz="6" w:space="0" w:color="000000"/>
            </w:tcBorders>
            <w:shd w:val="clear" w:color="auto" w:fill="D2D2D2"/>
          </w:tcPr>
          <w:p>
            <w:pPr/>
          </w:p>
        </w:tc>
        <w:tc>
          <w:tcPr>
            <w:tcW w:w="796" w:type="dxa"/>
            <w:vMerge/>
            <w:tcBorders>
              <w:left w:val="single" w:sz="12" w:space="0" w:color="D2D2D2"/>
              <w:bottom w:val="single" w:sz="6" w:space="0" w:color="000000"/>
              <w:right w:val="single" w:sz="6" w:space="0" w:color="000000"/>
            </w:tcBorders>
          </w:tcPr>
          <w:p>
            <w:pPr/>
          </w:p>
        </w:tc>
        <w:tc>
          <w:tcPr>
            <w:tcW w:w="796" w:type="dxa"/>
            <w:vMerge/>
            <w:tcBorders>
              <w:left w:val="single" w:sz="6" w:space="0" w:color="000000"/>
              <w:bottom w:val="single" w:sz="6" w:space="0" w:color="000000"/>
              <w:right w:val="single" w:sz="6" w:space="0" w:color="000000"/>
            </w:tcBorders>
          </w:tcPr>
          <w:p>
            <w:pPr/>
          </w:p>
        </w:tc>
      </w:tr>
      <w:tr>
        <w:trPr>
          <w:trHeight w:val="398"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7"/>
              <w:ind w:left="15"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6" w:hRule="exact"/>
        </w:trPr>
        <w:tc>
          <w:tcPr>
            <w:tcW w:w="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89"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9"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
        </w:tc>
        <w:tc>
          <w:tcPr>
            <w:tcW w:w="80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9582" w:type="dxa"/>
            <w:gridSpan w:val="1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06" w:hRule="exact"/>
        </w:trPr>
        <w:tc>
          <w:tcPr>
            <w:tcW w:w="8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华瑞银行</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40" w:right="0"/>
              <w:jc w:val="left"/>
              <w:rPr>
                <w:rFonts w:ascii="Times New Roman" w:hAnsi="Times New Roman" w:cs="Times New Roman" w:eastAsia="Times New Roman" w:hint="default"/>
                <w:sz w:val="18"/>
                <w:szCs w:val="18"/>
              </w:rPr>
            </w:pPr>
            <w:r>
              <w:rPr>
                <w:rFonts w:ascii="Times New Roman"/>
                <w:sz w:val="18"/>
              </w:rPr>
              <w:t>557,811,7</w:t>
            </w:r>
          </w:p>
          <w:p>
            <w:pPr>
              <w:pStyle w:val="TableParagraph"/>
              <w:spacing w:line="240" w:lineRule="auto" w:before="108"/>
              <w:ind w:left="355" w:right="0"/>
              <w:jc w:val="left"/>
              <w:rPr>
                <w:rFonts w:ascii="Times New Roman" w:hAnsi="Times New Roman" w:cs="Times New Roman" w:eastAsia="Times New Roman" w:hint="default"/>
                <w:sz w:val="18"/>
                <w:szCs w:val="18"/>
              </w:rPr>
            </w:pPr>
            <w:r>
              <w:rPr>
                <w:rFonts w:ascii="Times New Roman"/>
                <w:sz w:val="18"/>
              </w:rPr>
              <w:t>44.00</w:t>
            </w:r>
          </w:p>
        </w:tc>
        <w:tc>
          <w:tcPr>
            <w:tcW w:w="799"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27" w:right="0"/>
              <w:jc w:val="left"/>
              <w:rPr>
                <w:rFonts w:ascii="Times New Roman" w:hAnsi="Times New Roman" w:cs="Times New Roman" w:eastAsia="Times New Roman" w:hint="default"/>
                <w:sz w:val="18"/>
                <w:szCs w:val="18"/>
              </w:rPr>
            </w:pPr>
            <w:r>
              <w:rPr>
                <w:rFonts w:ascii="Times New Roman"/>
                <w:sz w:val="18"/>
              </w:rPr>
              <w:t>40,223,57</w:t>
            </w:r>
          </w:p>
          <w:p>
            <w:pPr>
              <w:pStyle w:val="TableParagraph"/>
              <w:spacing w:line="240" w:lineRule="auto" w:before="108"/>
              <w:ind w:left="432" w:right="0"/>
              <w:jc w:val="left"/>
              <w:rPr>
                <w:rFonts w:ascii="Times New Roman" w:hAnsi="Times New Roman" w:cs="Times New Roman" w:eastAsia="Times New Roman" w:hint="default"/>
                <w:sz w:val="18"/>
                <w:szCs w:val="18"/>
              </w:rPr>
            </w:pPr>
            <w:r>
              <w:rPr>
                <w:rFonts w:ascii="Times New Roman"/>
                <w:sz w:val="18"/>
              </w:rPr>
              <w:t>8.00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30"/>
              <w:jc w:val="right"/>
              <w:rPr>
                <w:rFonts w:ascii="Times New Roman" w:hAnsi="Times New Roman" w:cs="Times New Roman" w:eastAsia="Times New Roman" w:hint="default"/>
                <w:sz w:val="18"/>
                <w:szCs w:val="18"/>
              </w:rPr>
            </w:pPr>
            <w:r>
              <w:rPr>
                <w:rFonts w:ascii="Times New Roman"/>
                <w:sz w:val="18"/>
              </w:rPr>
              <w:t>246,428.0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
        </w:tc>
        <w:tc>
          <w:tcPr>
            <w:tcW w:w="80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left="30" w:right="0"/>
              <w:jc w:val="left"/>
              <w:rPr>
                <w:rFonts w:ascii="Times New Roman" w:hAnsi="Times New Roman" w:cs="Times New Roman" w:eastAsia="Times New Roman" w:hint="default"/>
                <w:sz w:val="18"/>
                <w:szCs w:val="18"/>
              </w:rPr>
            </w:pPr>
            <w:r>
              <w:rPr>
                <w:rFonts w:ascii="Times New Roman"/>
                <w:sz w:val="18"/>
              </w:rPr>
              <w:t>598,281,7</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50.00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20" w:hRule="exact"/>
        </w:trPr>
        <w:tc>
          <w:tcPr>
            <w:tcW w:w="8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557,811,7</w:t>
            </w:r>
          </w:p>
          <w:p>
            <w:pPr>
              <w:pStyle w:val="TableParagraph"/>
              <w:spacing w:line="240" w:lineRule="auto" w:before="108"/>
              <w:ind w:left="355" w:right="0"/>
              <w:jc w:val="left"/>
              <w:rPr>
                <w:rFonts w:ascii="Times New Roman" w:hAnsi="Times New Roman" w:cs="Times New Roman" w:eastAsia="Times New Roman" w:hint="default"/>
                <w:sz w:val="18"/>
                <w:szCs w:val="18"/>
              </w:rPr>
            </w:pPr>
            <w:r>
              <w:rPr>
                <w:rFonts w:ascii="Times New Roman"/>
                <w:sz w:val="18"/>
              </w:rPr>
              <w:t>44.00</w:t>
            </w:r>
          </w:p>
        </w:tc>
        <w:tc>
          <w:tcPr>
            <w:tcW w:w="799"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7" w:right="0"/>
              <w:jc w:val="left"/>
              <w:rPr>
                <w:rFonts w:ascii="Times New Roman" w:hAnsi="Times New Roman" w:cs="Times New Roman" w:eastAsia="Times New Roman" w:hint="default"/>
                <w:sz w:val="18"/>
                <w:szCs w:val="18"/>
              </w:rPr>
            </w:pPr>
            <w:r>
              <w:rPr>
                <w:rFonts w:ascii="Times New Roman"/>
                <w:sz w:val="18"/>
              </w:rPr>
              <w:t>40,223,57</w:t>
            </w:r>
          </w:p>
          <w:p>
            <w:pPr>
              <w:pStyle w:val="TableParagraph"/>
              <w:spacing w:line="240" w:lineRule="auto" w:before="108"/>
              <w:ind w:left="432" w:right="0"/>
              <w:jc w:val="left"/>
              <w:rPr>
                <w:rFonts w:ascii="Times New Roman" w:hAnsi="Times New Roman" w:cs="Times New Roman" w:eastAsia="Times New Roman" w:hint="default"/>
                <w:sz w:val="18"/>
                <w:szCs w:val="18"/>
              </w:rPr>
            </w:pPr>
            <w:r>
              <w:rPr>
                <w:rFonts w:ascii="Times New Roman"/>
                <w:sz w:val="18"/>
              </w:rPr>
              <w:t>8.00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246,428.0</w:t>
            </w:r>
          </w:p>
          <w:p>
            <w:pPr>
              <w:pStyle w:val="TableParagraph"/>
              <w:spacing w:line="240" w:lineRule="auto" w:before="108"/>
              <w:ind w:right="2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
        </w:tc>
        <w:tc>
          <w:tcPr>
            <w:tcW w:w="80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598,281,7</w:t>
            </w:r>
          </w:p>
          <w:p>
            <w:pPr>
              <w:pStyle w:val="TableParagraph"/>
              <w:spacing w:line="240" w:lineRule="auto" w:before="108"/>
              <w:ind w:left="345" w:right="0"/>
              <w:jc w:val="left"/>
              <w:rPr>
                <w:rFonts w:ascii="Times New Roman" w:hAnsi="Times New Roman" w:cs="Times New Roman" w:eastAsia="Times New Roman" w:hint="default"/>
                <w:sz w:val="18"/>
                <w:szCs w:val="18"/>
              </w:rPr>
            </w:pPr>
            <w:r>
              <w:rPr>
                <w:rFonts w:ascii="Times New Roman"/>
                <w:sz w:val="18"/>
              </w:rPr>
              <w:t>50.00</w:t>
            </w:r>
          </w:p>
        </w:tc>
        <w:tc>
          <w:tcPr>
            <w:tcW w:w="796" w:type="dxa"/>
            <w:tcBorders>
              <w:top w:val="single" w:sz="6" w:space="0" w:color="000000"/>
              <w:left w:val="single" w:sz="6" w:space="0" w:color="000000"/>
              <w:bottom w:val="single" w:sz="6" w:space="0" w:color="000000"/>
              <w:right w:val="single" w:sz="6" w:space="0" w:color="000000"/>
            </w:tcBorders>
          </w:tcPr>
          <w:p>
            <w:pPr/>
          </w:p>
        </w:tc>
      </w:tr>
      <w:tr>
        <w:trPr>
          <w:trHeight w:val="706" w:hRule="exact"/>
        </w:trPr>
        <w:tc>
          <w:tcPr>
            <w:tcW w:w="80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557,811,7</w:t>
            </w:r>
          </w:p>
          <w:p>
            <w:pPr>
              <w:pStyle w:val="TableParagraph"/>
              <w:spacing w:line="240" w:lineRule="auto" w:before="93"/>
              <w:ind w:left="355" w:right="0"/>
              <w:jc w:val="left"/>
              <w:rPr>
                <w:rFonts w:ascii="Times New Roman" w:hAnsi="Times New Roman" w:cs="Times New Roman" w:eastAsia="Times New Roman" w:hint="default"/>
                <w:sz w:val="18"/>
                <w:szCs w:val="18"/>
              </w:rPr>
            </w:pPr>
            <w:r>
              <w:rPr>
                <w:rFonts w:ascii="Times New Roman"/>
                <w:sz w:val="18"/>
              </w:rPr>
              <w:t>44.00</w:t>
            </w:r>
          </w:p>
        </w:tc>
        <w:tc>
          <w:tcPr>
            <w:tcW w:w="799" w:type="dxa"/>
            <w:tcBorders>
              <w:top w:val="single" w:sz="6" w:space="0" w:color="000000"/>
              <w:left w:val="single" w:sz="6" w:space="0" w:color="000000"/>
              <w:bottom w:val="single" w:sz="6" w:space="0" w:color="000000"/>
              <w:right w:val="single" w:sz="6" w:space="0" w:color="000000"/>
            </w:tcBorders>
          </w:tcPr>
          <w:p>
            <w:pPr/>
          </w:p>
        </w:tc>
        <w:tc>
          <w:tcPr>
            <w:tcW w:w="814" w:type="dxa"/>
            <w:tcBorders>
              <w:top w:val="single" w:sz="6" w:space="0" w:color="000000"/>
              <w:left w:val="single" w:sz="6" w:space="0" w:color="000000"/>
              <w:bottom w:val="single" w:sz="6" w:space="0" w:color="000000"/>
              <w:right w:val="single" w:sz="6" w:space="0" w:color="000000"/>
            </w:tcBorders>
          </w:tcPr>
          <w:p>
            <w:pPr/>
          </w:p>
        </w:tc>
        <w:tc>
          <w:tcPr>
            <w:tcW w:w="7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27" w:right="0"/>
              <w:jc w:val="left"/>
              <w:rPr>
                <w:rFonts w:ascii="Times New Roman" w:hAnsi="Times New Roman" w:cs="Times New Roman" w:eastAsia="Times New Roman" w:hint="default"/>
                <w:sz w:val="18"/>
                <w:szCs w:val="18"/>
              </w:rPr>
            </w:pPr>
            <w:r>
              <w:rPr>
                <w:rFonts w:ascii="Times New Roman"/>
                <w:sz w:val="18"/>
              </w:rPr>
              <w:t>40,223,57</w:t>
            </w:r>
          </w:p>
          <w:p>
            <w:pPr>
              <w:pStyle w:val="TableParagraph"/>
              <w:spacing w:line="240" w:lineRule="auto" w:before="93"/>
              <w:ind w:left="432" w:right="0"/>
              <w:jc w:val="left"/>
              <w:rPr>
                <w:rFonts w:ascii="Times New Roman" w:hAnsi="Times New Roman" w:cs="Times New Roman" w:eastAsia="Times New Roman" w:hint="default"/>
                <w:sz w:val="18"/>
                <w:szCs w:val="18"/>
              </w:rPr>
            </w:pPr>
            <w:r>
              <w:rPr>
                <w:rFonts w:ascii="Times New Roman"/>
                <w:sz w:val="18"/>
              </w:rPr>
              <w:t>8.00</w:t>
            </w:r>
          </w:p>
        </w:tc>
        <w:tc>
          <w:tcPr>
            <w:tcW w:w="79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30"/>
              <w:jc w:val="right"/>
              <w:rPr>
                <w:rFonts w:ascii="Times New Roman" w:hAnsi="Times New Roman" w:cs="Times New Roman" w:eastAsia="Times New Roman" w:hint="default"/>
                <w:sz w:val="18"/>
                <w:szCs w:val="18"/>
              </w:rPr>
            </w:pPr>
            <w:r>
              <w:rPr>
                <w:rFonts w:ascii="Times New Roman"/>
                <w:sz w:val="18"/>
              </w:rPr>
              <w:t>246,428.0</w:t>
            </w:r>
          </w:p>
          <w:p>
            <w:pPr>
              <w:pStyle w:val="TableParagraph"/>
              <w:spacing w:line="240" w:lineRule="auto" w:before="93"/>
              <w:ind w:right="28"/>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
        </w:tc>
        <w:tc>
          <w:tcPr>
            <w:tcW w:w="803" w:type="dxa"/>
            <w:tcBorders>
              <w:top w:val="single" w:sz="6" w:space="0" w:color="000000"/>
              <w:left w:val="single" w:sz="6" w:space="0" w:color="000000"/>
              <w:bottom w:val="single" w:sz="6" w:space="0" w:color="000000"/>
              <w:right w:val="single" w:sz="6" w:space="0" w:color="000000"/>
            </w:tcBorders>
          </w:tcPr>
          <w:p>
            <w:pPr/>
          </w:p>
        </w:tc>
        <w:tc>
          <w:tcPr>
            <w:tcW w:w="801" w:type="dxa"/>
            <w:tcBorders>
              <w:top w:val="single" w:sz="6" w:space="0" w:color="000000"/>
              <w:left w:val="single" w:sz="6" w:space="0" w:color="000000"/>
              <w:bottom w:val="single" w:sz="6" w:space="0" w:color="000000"/>
              <w:right w:val="single" w:sz="6" w:space="0" w:color="000000"/>
            </w:tcBorders>
          </w:tcPr>
          <w:p>
            <w:pP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left="30" w:right="0"/>
              <w:jc w:val="left"/>
              <w:rPr>
                <w:rFonts w:ascii="Times New Roman" w:hAnsi="Times New Roman" w:cs="Times New Roman" w:eastAsia="Times New Roman" w:hint="default"/>
                <w:sz w:val="18"/>
                <w:szCs w:val="18"/>
              </w:rPr>
            </w:pPr>
            <w:r>
              <w:rPr>
                <w:rFonts w:ascii="Times New Roman"/>
                <w:sz w:val="18"/>
              </w:rPr>
              <w:t>598,281,7</w:t>
            </w:r>
          </w:p>
          <w:p>
            <w:pPr>
              <w:pStyle w:val="TableParagraph"/>
              <w:spacing w:line="240" w:lineRule="auto" w:before="93"/>
              <w:ind w:left="345" w:right="0"/>
              <w:jc w:val="left"/>
              <w:rPr>
                <w:rFonts w:ascii="Times New Roman" w:hAnsi="Times New Roman" w:cs="Times New Roman" w:eastAsia="Times New Roman" w:hint="default"/>
                <w:sz w:val="18"/>
                <w:szCs w:val="18"/>
              </w:rPr>
            </w:pPr>
            <w:r>
              <w:rPr>
                <w:rFonts w:ascii="Times New Roman"/>
                <w:sz w:val="18"/>
              </w:rPr>
              <w:t>50.00</w:t>
            </w:r>
          </w:p>
        </w:tc>
        <w:tc>
          <w:tcPr>
            <w:tcW w:w="7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0.00</w:t>
            </w:r>
          </w:p>
        </w:tc>
      </w:tr>
    </w:tbl>
    <w:p>
      <w:pPr>
        <w:spacing w:line="240" w:lineRule="auto" w:before="11"/>
        <w:rPr>
          <w:rFonts w:ascii="宋体" w:hAnsi="宋体" w:cs="宋体" w:eastAsia="宋体" w:hint="default"/>
          <w:sz w:val="19"/>
          <w:szCs w:val="19"/>
        </w:rPr>
      </w:pPr>
    </w:p>
    <w:p>
      <w:pPr>
        <w:pStyle w:val="Heading5"/>
        <w:spacing w:line="240" w:lineRule="auto" w:before="35"/>
        <w:ind w:right="0"/>
        <w:jc w:val="left"/>
        <w:rPr>
          <w:b w:val="0"/>
          <w:bCs w:val="0"/>
        </w:rPr>
      </w:pPr>
      <w:bookmarkStart w:name="（3）其他说明" w:id="419"/>
      <w:bookmarkEnd w:id="41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5"/>
        <w:spacing w:line="240" w:lineRule="auto" w:before="139"/>
        <w:ind w:right="0"/>
        <w:jc w:val="left"/>
        <w:rPr>
          <w:b w:val="0"/>
          <w:bCs w:val="0"/>
        </w:rPr>
      </w:pPr>
      <w:bookmarkStart w:name="4、营业收入和营业成本" w:id="420"/>
      <w:bookmarkEnd w:id="42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33" w:type="dxa"/>
        <w:tblLayout w:type="fixed"/>
        <w:tblCellMar>
          <w:top w:w="0" w:type="dxa"/>
          <w:left w:w="0" w:type="dxa"/>
          <w:bottom w:w="0" w:type="dxa"/>
          <w:right w:w="0" w:type="dxa"/>
        </w:tblCellMar>
        <w:tblLook w:val="01E0"/>
      </w:tblPr>
      <w:tblGrid>
        <w:gridCol w:w="1990"/>
        <w:gridCol w:w="1832"/>
        <w:gridCol w:w="1923"/>
        <w:gridCol w:w="1907"/>
        <w:gridCol w:w="1922"/>
      </w:tblGrid>
      <w:tr>
        <w:trPr>
          <w:trHeight w:val="405" w:hRule="exact"/>
        </w:trPr>
        <w:tc>
          <w:tcPr>
            <w:tcW w:w="1990"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37"/>
              <w:jc w:val="center"/>
              <w:rPr>
                <w:rFonts w:ascii="宋体" w:hAnsi="宋体" w:cs="宋体" w:eastAsia="宋体" w:hint="default"/>
                <w:sz w:val="18"/>
                <w:szCs w:val="18"/>
              </w:rPr>
            </w:pPr>
            <w:r>
              <w:rPr>
                <w:rFonts w:ascii="宋体" w:hAnsi="宋体" w:cs="宋体" w:eastAsia="宋体" w:hint="default"/>
                <w:sz w:val="18"/>
                <w:szCs w:val="18"/>
              </w:rPr>
              <w:t>项目</w:t>
            </w:r>
          </w:p>
        </w:tc>
        <w:tc>
          <w:tcPr>
            <w:tcW w:w="3755"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4"/>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30" w:type="dxa"/>
            <w:gridSpan w:val="2"/>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29"/>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6" w:hRule="exact"/>
        </w:trPr>
        <w:tc>
          <w:tcPr>
            <w:tcW w:w="1990" w:type="dxa"/>
            <w:vMerge/>
            <w:tcBorders>
              <w:left w:val="single" w:sz="6" w:space="0" w:color="000000"/>
              <w:bottom w:val="single" w:sz="6" w:space="0" w:color="000000"/>
              <w:right w:val="single" w:sz="6" w:space="0" w:color="000000"/>
            </w:tcBorders>
            <w:shd w:val="clear" w:color="auto" w:fill="D2D2D2"/>
          </w:tcPr>
          <w:p>
            <w:pPr/>
          </w:p>
        </w:tc>
        <w:tc>
          <w:tcPr>
            <w:tcW w:w="183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4"/>
              <w:jc w:val="center"/>
              <w:rPr>
                <w:rFonts w:ascii="宋体" w:hAnsi="宋体" w:cs="宋体" w:eastAsia="宋体" w:hint="default"/>
                <w:sz w:val="18"/>
                <w:szCs w:val="18"/>
              </w:rPr>
            </w:pPr>
            <w:r>
              <w:rPr>
                <w:rFonts w:ascii="宋体" w:hAnsi="宋体" w:cs="宋体" w:eastAsia="宋体" w:hint="default"/>
                <w:sz w:val="18"/>
                <w:szCs w:val="18"/>
              </w:rPr>
              <w:t>收入</w:t>
            </w:r>
          </w:p>
        </w:tc>
        <w:tc>
          <w:tcPr>
            <w:tcW w:w="1923"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07"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22"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6"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7"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4,364,443,799.00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3,287,415,828.00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6,001,589,199.00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4,530,151,587.00</w:t>
            </w:r>
          </w:p>
        </w:tc>
      </w:tr>
      <w:tr>
        <w:trPr>
          <w:trHeight w:val="405"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60,646,004.00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5"/>
              <w:jc w:val="right"/>
              <w:rPr>
                <w:rFonts w:ascii="Times New Roman" w:hAnsi="Times New Roman" w:cs="Times New Roman" w:eastAsia="Times New Roman" w:hint="default"/>
                <w:sz w:val="18"/>
                <w:szCs w:val="18"/>
              </w:rPr>
            </w:pPr>
            <w:r>
              <w:rPr>
                <w:rFonts w:ascii="Times New Roman"/>
                <w:sz w:val="18"/>
              </w:rPr>
              <w:t>49,392,381.00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73,200,306.00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6"/>
              <w:ind w:right="14"/>
              <w:jc w:val="right"/>
              <w:rPr>
                <w:rFonts w:ascii="Times New Roman" w:hAnsi="Times New Roman" w:cs="Times New Roman" w:eastAsia="Times New Roman" w:hint="default"/>
                <w:sz w:val="18"/>
                <w:szCs w:val="18"/>
              </w:rPr>
            </w:pPr>
            <w:r>
              <w:rPr>
                <w:rFonts w:ascii="Times New Roman"/>
                <w:sz w:val="18"/>
              </w:rPr>
              <w:t>48,422,302.00</w:t>
            </w:r>
          </w:p>
        </w:tc>
      </w:tr>
      <w:tr>
        <w:trPr>
          <w:trHeight w:val="390" w:hRule="exact"/>
        </w:trPr>
        <w:tc>
          <w:tcPr>
            <w:tcW w:w="199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29"/>
              <w:ind w:left="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2"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4,425,089,803.00</w:t>
            </w:r>
          </w:p>
        </w:tc>
        <w:tc>
          <w:tcPr>
            <w:tcW w:w="19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3,336,808,209.00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6,074,789,505.00</w:t>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4,578,573,889.00</w:t>
            </w:r>
          </w:p>
        </w:tc>
      </w:tr>
    </w:tbl>
    <w:p>
      <w:pPr>
        <w:pStyle w:val="BodyText"/>
        <w:spacing w:line="240" w:lineRule="auto" w:before="45"/>
        <w:ind w:right="0"/>
        <w:jc w:val="both"/>
      </w:pPr>
      <w:r>
        <w:rPr/>
        <w:t>是否已执行新收入准则</w:t>
      </w:r>
    </w:p>
    <w:p>
      <w:pPr>
        <w:pStyle w:val="BodyText"/>
        <w:spacing w:line="343" w:lineRule="auto" w:before="124"/>
        <w:ind w:right="9866"/>
        <w:jc w:val="both"/>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7"/>
        </w:rPr>
        <w:t> </w:t>
      </w:r>
      <w:r>
        <w:rPr/>
        <w:t>否 其他说明： 无</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bookmarkStart w:name="5、投资收益" w:id="421"/>
      <w:bookmarkEnd w:id="42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1"/>
        <w:rPr>
          <w:rFonts w:ascii="宋体" w:hAnsi="宋体" w:cs="宋体" w:eastAsia="宋体" w:hint="default"/>
          <w:b/>
          <w:bCs/>
          <w:sz w:val="21"/>
          <w:szCs w:val="21"/>
        </w:rPr>
      </w:pPr>
    </w:p>
    <w:p>
      <w:pPr>
        <w:pStyle w:val="BodyText"/>
        <w:spacing w:line="240" w:lineRule="auto" w:before="44"/>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right="15"/>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60,000,000.00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sz w:val="18"/>
              </w:rPr>
              <w:t>40,223,578.00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4"/>
              <w:jc w:val="right"/>
              <w:rPr>
                <w:rFonts w:ascii="Times New Roman" w:hAnsi="Times New Roman" w:cs="Times New Roman" w:eastAsia="Times New Roman" w:hint="default"/>
                <w:sz w:val="18"/>
                <w:szCs w:val="18"/>
              </w:rPr>
            </w:pPr>
            <w:r>
              <w:rPr>
                <w:rFonts w:ascii="Times New Roman"/>
                <w:sz w:val="18"/>
              </w:rPr>
              <w:t>48,327,961.00</w:t>
            </w:r>
          </w:p>
        </w:tc>
      </w:tr>
      <w:tr>
        <w:trPr>
          <w:trHeight w:val="39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-600,000.00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7"/>
              <w:ind w:right="13"/>
              <w:jc w:val="right"/>
              <w:rPr>
                <w:rFonts w:ascii="Times New Roman" w:hAnsi="Times New Roman" w:cs="Times New Roman" w:eastAsia="Times New Roman" w:hint="default"/>
                <w:sz w:val="18"/>
                <w:szCs w:val="18"/>
              </w:rPr>
            </w:pPr>
            <w:r>
              <w:rPr>
                <w:rFonts w:ascii="Times New Roman"/>
                <w:sz w:val="18"/>
              </w:rPr>
              <w:t>0.00</w:t>
            </w: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99,623,578.00</w:t>
            </w:r>
          </w:p>
        </w:tc>
        <w:tc>
          <w:tcPr>
            <w:tcW w:w="31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4"/>
              <w:jc w:val="right"/>
              <w:rPr>
                <w:rFonts w:ascii="Times New Roman" w:hAnsi="Times New Roman" w:cs="Times New Roman" w:eastAsia="Times New Roman" w:hint="default"/>
                <w:sz w:val="18"/>
                <w:szCs w:val="18"/>
              </w:rPr>
            </w:pPr>
            <w:r>
              <w:rPr>
                <w:rFonts w:ascii="Times New Roman"/>
                <w:sz w:val="18"/>
              </w:rPr>
              <w:t>48,327,961.00</w:t>
            </w:r>
          </w:p>
        </w:tc>
      </w:tr>
    </w:tbl>
    <w:p>
      <w:pPr>
        <w:spacing w:after="0" w:line="240" w:lineRule="auto"/>
        <w:jc w:val="right"/>
        <w:rPr>
          <w:rFonts w:ascii="Times New Roman" w:hAnsi="Times New Roman" w:cs="Times New Roman" w:eastAsia="Times New Roman" w:hint="default"/>
          <w:sz w:val="18"/>
          <w:szCs w:val="18"/>
        </w:rPr>
        <w:sectPr>
          <w:pgSz w:w="11910" w:h="16850"/>
          <w:pgMar w:header="731" w:footer="981" w:top="1040" w:bottom="1180" w:left="1000" w:right="0"/>
        </w:sectPr>
      </w:pPr>
    </w:p>
    <w:p>
      <w:pPr>
        <w:spacing w:line="240" w:lineRule="auto" w:before="5"/>
        <w:rPr>
          <w:rFonts w:ascii="宋体" w:hAnsi="宋体" w:cs="宋体" w:eastAsia="宋体" w:hint="default"/>
          <w:sz w:val="26"/>
          <w:szCs w:val="26"/>
        </w:rPr>
      </w:pPr>
    </w:p>
    <w:p>
      <w:pPr>
        <w:pStyle w:val="Heading5"/>
        <w:spacing w:line="240" w:lineRule="auto" w:before="35"/>
        <w:ind w:right="0"/>
        <w:jc w:val="left"/>
        <w:rPr>
          <w:b w:val="0"/>
          <w:bCs w:val="0"/>
        </w:rPr>
      </w:pPr>
      <w:bookmarkStart w:name="6、其他" w:id="422"/>
      <w:bookmarkEnd w:id="422"/>
      <w:r>
        <w:rPr>
          <w:b w:val="0"/>
          <w:bCs w:val="0"/>
        </w:rPr>
      </w:r>
      <w:r>
        <w:rPr>
          <w:rFonts w:ascii="Times New Roman" w:hAnsi="Times New Roman" w:cs="Times New Roman" w:eastAsia="Times New Roman" w:hint="default"/>
        </w:rPr>
        <w:t>6</w:t>
      </w:r>
      <w:r>
        <w:rPr/>
        <w:t>、其他</w:t>
      </w:r>
      <w:r>
        <w:rPr>
          <w:b w:val="0"/>
          <w:bCs w:val="0"/>
        </w:rPr>
      </w:r>
    </w:p>
    <w:p>
      <w:pPr>
        <w:spacing w:line="240" w:lineRule="auto" w:before="3"/>
        <w:rPr>
          <w:rFonts w:ascii="宋体" w:hAnsi="宋体" w:cs="宋体" w:eastAsia="宋体" w:hint="default"/>
          <w:b/>
          <w:bCs/>
          <w:sz w:val="25"/>
          <w:szCs w:val="25"/>
        </w:rPr>
      </w:pPr>
    </w:p>
    <w:p>
      <w:pPr>
        <w:pStyle w:val="BodyText"/>
        <w:spacing w:line="240" w:lineRule="auto"/>
        <w:ind w:right="0"/>
        <w:jc w:val="left"/>
      </w:pPr>
      <w:r>
        <w:rPr/>
        <w:t>无</w:t>
      </w:r>
    </w:p>
    <w:p>
      <w:pPr>
        <w:spacing w:line="240" w:lineRule="auto" w:before="13"/>
        <w:rPr>
          <w:rFonts w:ascii="宋体" w:hAnsi="宋体" w:cs="宋体" w:eastAsia="宋体" w:hint="default"/>
          <w:sz w:val="25"/>
          <w:szCs w:val="25"/>
        </w:rPr>
      </w:pPr>
    </w:p>
    <w:p>
      <w:pPr>
        <w:pStyle w:val="Heading2"/>
        <w:spacing w:line="240" w:lineRule="auto"/>
        <w:ind w:right="0"/>
        <w:jc w:val="left"/>
        <w:rPr>
          <w:b w:val="0"/>
          <w:bCs w:val="0"/>
        </w:rPr>
      </w:pPr>
      <w:bookmarkStart w:name="十七、补充资料" w:id="423"/>
      <w:bookmarkEnd w:id="423"/>
      <w:r>
        <w:rPr>
          <w:b w:val="0"/>
          <w:bCs w:val="0"/>
        </w:rPr>
      </w:r>
      <w:r>
        <w:rPr/>
        <w:t>十七、补充资料</w:t>
      </w:r>
      <w:r>
        <w:rPr>
          <w:b w:val="0"/>
          <w:bCs w:val="0"/>
        </w:rPr>
      </w:r>
    </w:p>
    <w:p>
      <w:pPr>
        <w:spacing w:line="240" w:lineRule="auto" w:before="9"/>
        <w:rPr>
          <w:rFonts w:ascii="宋体" w:hAnsi="宋体" w:cs="宋体" w:eastAsia="宋体" w:hint="default"/>
          <w:b/>
          <w:bCs/>
          <w:sz w:val="25"/>
          <w:szCs w:val="25"/>
        </w:rPr>
      </w:pPr>
    </w:p>
    <w:p>
      <w:pPr>
        <w:pStyle w:val="Heading5"/>
        <w:spacing w:line="240" w:lineRule="auto"/>
        <w:ind w:right="0"/>
        <w:jc w:val="left"/>
        <w:rPr>
          <w:b w:val="0"/>
          <w:bCs w:val="0"/>
        </w:rPr>
      </w:pPr>
      <w:bookmarkStart w:name="1、当期非经常性损益明细表" w:id="424"/>
      <w:bookmarkEnd w:id="42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1"/>
          <w:szCs w:val="21"/>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7"/>
        </w:rPr>
        <w:t> </w:t>
      </w:r>
      <w:r>
        <w:rPr/>
        <w:t>不适用</w:t>
      </w:r>
    </w:p>
    <w:p>
      <w:pPr>
        <w:pStyle w:val="BodyText"/>
        <w:spacing w:line="240" w:lineRule="auto" w:before="96"/>
        <w:ind w:left="0" w:right="1109"/>
        <w:jc w:val="right"/>
      </w:pPr>
      <w:r>
        <w:rPr/>
        <w:t>单位： 元</w:t>
      </w:r>
    </w:p>
    <w:p>
      <w:pPr>
        <w:spacing w:line="240" w:lineRule="auto" w:before="5"/>
        <w:rPr>
          <w:rFonts w:ascii="宋体" w:hAnsi="宋体" w:cs="宋体" w:eastAsia="宋体" w:hint="default"/>
          <w:sz w:val="8"/>
          <w:szCs w:val="8"/>
        </w:rPr>
      </w:pPr>
    </w:p>
    <w:tbl>
      <w:tblPr>
        <w:tblW w:w="0" w:type="auto"/>
        <w:jc w:val="left"/>
        <w:tblInd w:w="126" w:type="dxa"/>
        <w:tblLayout w:type="fixed"/>
        <w:tblCellMar>
          <w:top w:w="0" w:type="dxa"/>
          <w:left w:w="0" w:type="dxa"/>
          <w:bottom w:w="0" w:type="dxa"/>
          <w:right w:w="0" w:type="dxa"/>
        </w:tblCellMar>
        <w:tblLook w:val="01E0"/>
      </w:tblPr>
      <w:tblGrid>
        <w:gridCol w:w="3319"/>
        <w:gridCol w:w="3079"/>
        <w:gridCol w:w="3184"/>
      </w:tblGrid>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right="15"/>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4,349,379.00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1021"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14" w:lineRule="auto" w:before="44"/>
              <w:ind w:left="15" w:right="47"/>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29"/>
              <w:jc w:val="right"/>
              <w:rPr>
                <w:rFonts w:ascii="Times New Roman" w:hAnsi="Times New Roman" w:cs="Times New Roman" w:eastAsia="Times New Roman" w:hint="default"/>
                <w:sz w:val="18"/>
                <w:szCs w:val="18"/>
              </w:rPr>
            </w:pPr>
            <w:r>
              <w:rPr>
                <w:rFonts w:ascii="Times New Roman"/>
                <w:sz w:val="18"/>
              </w:rPr>
              <w:t>27,616,969.00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5"/>
              <w:ind w:left="1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w w:val="95"/>
                <w:sz w:val="18"/>
              </w:rPr>
              <w:t>-33,754,259.00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6"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15"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9"/>
              <w:jc w:val="right"/>
              <w:rPr>
                <w:rFonts w:ascii="Times New Roman" w:hAnsi="Times New Roman" w:cs="Times New Roman" w:eastAsia="Times New Roman" w:hint="default"/>
                <w:sz w:val="18"/>
                <w:szCs w:val="18"/>
              </w:rPr>
            </w:pPr>
            <w:r>
              <w:rPr>
                <w:rFonts w:ascii="Times New Roman"/>
                <w:sz w:val="18"/>
              </w:rPr>
              <w:t>894,165.00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405"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102"/>
              <w:ind w:right="28"/>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319"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30"/>
              <w:ind w:left="1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9" w:type="dxa"/>
            <w:tcBorders>
              <w:top w:val="single" w:sz="6" w:space="0" w:color="000000"/>
              <w:left w:val="single" w:sz="18" w:space="0" w:color="D2D2D2"/>
              <w:bottom w:val="single" w:sz="6" w:space="0" w:color="000000"/>
              <w:right w:val="single" w:sz="6" w:space="0" w:color="000000"/>
            </w:tcBorders>
          </w:tcPr>
          <w:p>
            <w:pPr>
              <w:pStyle w:val="TableParagraph"/>
              <w:spacing w:line="240" w:lineRule="auto" w:before="87"/>
              <w:ind w:right="29"/>
              <w:jc w:val="right"/>
              <w:rPr>
                <w:rFonts w:ascii="Times New Roman" w:hAnsi="Times New Roman" w:cs="Times New Roman" w:eastAsia="Times New Roman" w:hint="default"/>
                <w:sz w:val="18"/>
                <w:szCs w:val="18"/>
              </w:rPr>
            </w:pPr>
            <w:r>
              <w:rPr>
                <w:rFonts w:ascii="Times New Roman"/>
                <w:w w:val="95"/>
                <w:sz w:val="18"/>
              </w:rPr>
              <w:t>-2,682,076.00</w:t>
            </w:r>
            <w:r>
              <w:rPr>
                <w:rFonts w:ascii="Times New Roman"/>
                <w:sz w:val="18"/>
              </w:rPr>
            </w:r>
          </w:p>
        </w:tc>
        <w:tc>
          <w:tcPr>
            <w:tcW w:w="3184"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87"/>
              <w:ind w:right="1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60"/>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290" w:lineRule="auto" w:before="66"/>
        <w:ind w:right="1118"/>
        <w:jc w:val="left"/>
      </w:pPr>
      <w:r>
        <w:rPr/>
        <w:t>开发行证券的公司信息披露解释性公告第</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8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8"/>
        </w:rPr>
        <w:t> </w:t>
      </w:r>
      <w:r>
        <w:rPr/>
        <w:t>不适用</w:t>
      </w: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bookmarkStart w:name="2、净资产收益率及每股收益" w:id="425"/>
      <w:bookmarkEnd w:id="42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3"/>
        <w:rPr>
          <w:rFonts w:ascii="宋体" w:hAnsi="宋体" w:cs="宋体" w:eastAsia="宋体" w:hint="default"/>
          <w:b/>
          <w:bCs/>
          <w:sz w:val="25"/>
          <w:szCs w:val="25"/>
        </w:rPr>
      </w:pPr>
    </w:p>
    <w:tbl>
      <w:tblPr>
        <w:tblW w:w="0" w:type="auto"/>
        <w:jc w:val="left"/>
        <w:tblInd w:w="133" w:type="dxa"/>
        <w:tblLayout w:type="fixed"/>
        <w:tblCellMar>
          <w:top w:w="0" w:type="dxa"/>
          <w:left w:w="0" w:type="dxa"/>
          <w:bottom w:w="0" w:type="dxa"/>
          <w:right w:w="0" w:type="dxa"/>
        </w:tblCellMar>
        <w:tblLook w:val="01E0"/>
      </w:tblPr>
      <w:tblGrid>
        <w:gridCol w:w="2651"/>
        <w:gridCol w:w="3094"/>
        <w:gridCol w:w="1907"/>
        <w:gridCol w:w="1922"/>
      </w:tblGrid>
      <w:tr>
        <w:trPr>
          <w:trHeight w:val="203" w:hRule="exact"/>
        </w:trPr>
        <w:tc>
          <w:tcPr>
            <w:tcW w:w="2651" w:type="dxa"/>
            <w:tcBorders>
              <w:top w:val="single" w:sz="6" w:space="0" w:color="000000"/>
              <w:left w:val="single" w:sz="6" w:space="0" w:color="000000"/>
              <w:bottom w:val="nil" w:sz="6" w:space="0" w:color="auto"/>
              <w:right w:val="single" w:sz="6" w:space="0" w:color="000000"/>
            </w:tcBorders>
            <w:shd w:val="clear" w:color="auto" w:fill="D2D2D2"/>
          </w:tcPr>
          <w:p>
            <w:pPr/>
          </w:p>
        </w:tc>
        <w:tc>
          <w:tcPr>
            <w:tcW w:w="3094" w:type="dxa"/>
            <w:tcBorders>
              <w:top w:val="single" w:sz="6" w:space="0" w:color="000000"/>
              <w:left w:val="single" w:sz="6" w:space="0" w:color="000000"/>
              <w:bottom w:val="nil" w:sz="6" w:space="0" w:color="auto"/>
              <w:right w:val="single" w:sz="6" w:space="0" w:color="000000"/>
            </w:tcBorders>
            <w:shd w:val="clear" w:color="auto" w:fill="D2D2D2"/>
          </w:tcPr>
          <w:p>
            <w:pPr/>
          </w:p>
        </w:tc>
        <w:tc>
          <w:tcPr>
            <w:tcW w:w="3830" w:type="dxa"/>
            <w:gridSpan w:val="2"/>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30"/>
              <w:ind w:right="29"/>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81" w:hRule="exact"/>
        </w:trPr>
        <w:tc>
          <w:tcPr>
            <w:tcW w:w="2651"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863"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94" w:type="dxa"/>
            <w:vMerge w:val="restart"/>
            <w:tcBorders>
              <w:top w:val="nil" w:sz="6" w:space="0" w:color="auto"/>
              <w:left w:val="single" w:sz="6" w:space="0" w:color="000000"/>
              <w:right w:val="single" w:sz="6" w:space="0" w:color="000000"/>
            </w:tcBorders>
            <w:shd w:val="clear" w:color="auto" w:fill="D2D2D2"/>
          </w:tcPr>
          <w:p>
            <w:pPr>
              <w:pStyle w:val="TableParagraph"/>
              <w:spacing w:line="240" w:lineRule="auto" w:before="45"/>
              <w:ind w:left="64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30" w:type="dxa"/>
            <w:gridSpan w:val="2"/>
            <w:vMerge/>
            <w:tcBorders>
              <w:left w:val="single" w:sz="6" w:space="0" w:color="000000"/>
              <w:bottom w:val="single" w:sz="6" w:space="0" w:color="000000"/>
              <w:right w:val="single" w:sz="6" w:space="0" w:color="000000"/>
            </w:tcBorders>
            <w:shd w:val="clear" w:color="auto" w:fill="D2D2D2"/>
          </w:tcPr>
          <w:p>
            <w:pPr/>
          </w:p>
        </w:tc>
      </w:tr>
      <w:tr>
        <w:trPr>
          <w:trHeight w:val="210" w:hRule="exact"/>
        </w:trPr>
        <w:tc>
          <w:tcPr>
            <w:tcW w:w="2651" w:type="dxa"/>
            <w:vMerge/>
            <w:tcBorders>
              <w:left w:val="single" w:sz="6" w:space="0" w:color="000000"/>
              <w:bottom w:val="nil" w:sz="6" w:space="0" w:color="auto"/>
              <w:right w:val="single" w:sz="6" w:space="0" w:color="000000"/>
            </w:tcBorders>
            <w:shd w:val="clear" w:color="auto" w:fill="D2D2D2"/>
          </w:tcPr>
          <w:p>
            <w:pPr/>
          </w:p>
        </w:tc>
        <w:tc>
          <w:tcPr>
            <w:tcW w:w="3094" w:type="dxa"/>
            <w:vMerge/>
            <w:tcBorders>
              <w:left w:val="single" w:sz="6" w:space="0" w:color="000000"/>
              <w:bottom w:val="nil" w:sz="6" w:space="0" w:color="auto"/>
              <w:right w:val="single" w:sz="6" w:space="0" w:color="000000"/>
            </w:tcBorders>
            <w:shd w:val="clear" w:color="auto" w:fill="D2D2D2"/>
          </w:tcPr>
          <w:p>
            <w:pPr/>
          </w:p>
        </w:tc>
        <w:tc>
          <w:tcPr>
            <w:tcW w:w="1907"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7"/>
              <w:ind w:left="1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22" w:type="dxa"/>
            <w:vMerge w:val="restart"/>
            <w:tcBorders>
              <w:top w:val="single" w:sz="6" w:space="0" w:color="000000"/>
              <w:left w:val="single" w:sz="6" w:space="0" w:color="000000"/>
              <w:right w:val="single" w:sz="6" w:space="0" w:color="000000"/>
            </w:tcBorders>
            <w:shd w:val="clear" w:color="auto" w:fill="D2D2D2"/>
          </w:tcPr>
          <w:p>
            <w:pPr>
              <w:pStyle w:val="TableParagraph"/>
              <w:spacing w:line="240" w:lineRule="auto" w:before="67"/>
              <w:ind w:left="30"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3" w:hRule="exact"/>
        </w:trPr>
        <w:tc>
          <w:tcPr>
            <w:tcW w:w="2651" w:type="dxa"/>
            <w:tcBorders>
              <w:top w:val="nil" w:sz="6" w:space="0" w:color="auto"/>
              <w:left w:val="single" w:sz="6" w:space="0" w:color="000000"/>
              <w:bottom w:val="single" w:sz="6" w:space="0" w:color="000000"/>
              <w:right w:val="single" w:sz="6" w:space="0" w:color="000000"/>
            </w:tcBorders>
            <w:shd w:val="clear" w:color="auto" w:fill="D2D2D2"/>
          </w:tcPr>
          <w:p>
            <w:pPr/>
          </w:p>
        </w:tc>
        <w:tc>
          <w:tcPr>
            <w:tcW w:w="3094" w:type="dxa"/>
            <w:tcBorders>
              <w:top w:val="nil" w:sz="6" w:space="0" w:color="auto"/>
              <w:left w:val="single" w:sz="6" w:space="0" w:color="000000"/>
              <w:bottom w:val="single" w:sz="6" w:space="0" w:color="000000"/>
              <w:right w:val="single" w:sz="6" w:space="0" w:color="000000"/>
            </w:tcBorders>
            <w:shd w:val="clear" w:color="auto" w:fill="D2D2D2"/>
          </w:tcPr>
          <w:p>
            <w:pPr/>
          </w:p>
        </w:tc>
        <w:tc>
          <w:tcPr>
            <w:tcW w:w="1907" w:type="dxa"/>
            <w:vMerge/>
            <w:tcBorders>
              <w:left w:val="single" w:sz="6" w:space="0" w:color="000000"/>
              <w:bottom w:val="single" w:sz="6" w:space="0" w:color="000000"/>
              <w:right w:val="single" w:sz="6" w:space="0" w:color="000000"/>
            </w:tcBorders>
            <w:shd w:val="clear" w:color="auto" w:fill="D2D2D2"/>
          </w:tcPr>
          <w:p>
            <w:pPr/>
          </w:p>
        </w:tc>
        <w:tc>
          <w:tcPr>
            <w:tcW w:w="1922" w:type="dxa"/>
            <w:vMerge/>
            <w:tcBorders>
              <w:left w:val="single" w:sz="6" w:space="0" w:color="000000"/>
              <w:bottom w:val="single" w:sz="6" w:space="0" w:color="000000"/>
              <w:right w:val="single" w:sz="6" w:space="0" w:color="000000"/>
            </w:tcBorders>
            <w:shd w:val="clear" w:color="auto" w:fill="D2D2D2"/>
          </w:tcPr>
          <w:p>
            <w:pPr/>
          </w:p>
        </w:tc>
      </w:tr>
      <w:tr>
        <w:trPr>
          <w:trHeight w:val="405"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44"/>
              <w:ind w:left="7"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sz w:val="18"/>
              </w:rPr>
              <w:t>-40.00%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-0.33</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3"/>
              <w:jc w:val="right"/>
              <w:rPr>
                <w:rFonts w:ascii="Times New Roman" w:hAnsi="Times New Roman" w:cs="Times New Roman" w:eastAsia="Times New Roman" w:hint="default"/>
                <w:sz w:val="18"/>
                <w:szCs w:val="18"/>
              </w:rPr>
            </w:pPr>
            <w:r>
              <w:rPr>
                <w:rFonts w:ascii="Times New Roman"/>
                <w:w w:val="95"/>
                <w:sz w:val="18"/>
              </w:rPr>
              <w:t>-0.33</w:t>
            </w:r>
            <w:r>
              <w:rPr>
                <w:rFonts w:ascii="Times New Roman"/>
                <w:sz w:val="18"/>
              </w:rPr>
            </w:r>
          </w:p>
        </w:tc>
      </w:tr>
      <w:tr>
        <w:trPr>
          <w:trHeight w:val="706" w:hRule="exact"/>
        </w:trPr>
        <w:tc>
          <w:tcPr>
            <w:tcW w:w="2651"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304" w:lineRule="auto" w:before="45"/>
              <w:ind w:left="7"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94" w:type="dxa"/>
            <w:tcBorders>
              <w:top w:val="single" w:sz="6" w:space="0" w:color="000000"/>
              <w:left w:val="single" w:sz="12" w:space="0" w:color="D2D2D2"/>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z w:val="18"/>
              </w:rPr>
              <w:t>-40.00%</w:t>
            </w:r>
          </w:p>
        </w:tc>
        <w:tc>
          <w:tcPr>
            <w:tcW w:w="19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-0.33</w:t>
            </w:r>
            <w:r>
              <w:rPr>
                <w:rFonts w:ascii="Times New Roman"/>
                <w:sz w:val="18"/>
              </w:rPr>
            </w:r>
          </w:p>
        </w:tc>
        <w:tc>
          <w:tcPr>
            <w:tcW w:w="1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w w:val="95"/>
                <w:sz w:val="18"/>
              </w:rPr>
              <w:t>-0.33</w:t>
            </w:r>
            <w:r>
              <w:rPr>
                <w:rFonts w:ascii="Times New Roman"/>
                <w:sz w:val="18"/>
              </w:rPr>
            </w:r>
          </w:p>
        </w:tc>
      </w:tr>
    </w:tbl>
    <w:p>
      <w:pPr>
        <w:spacing w:line="240" w:lineRule="auto" w:before="11"/>
        <w:rPr>
          <w:rFonts w:ascii="宋体" w:hAnsi="宋体" w:cs="宋体" w:eastAsia="宋体" w:hint="default"/>
          <w:b/>
          <w:bCs/>
          <w:sz w:val="19"/>
          <w:szCs w:val="19"/>
        </w:rPr>
      </w:pPr>
    </w:p>
    <w:p>
      <w:pPr>
        <w:pStyle w:val="Heading5"/>
        <w:spacing w:line="240" w:lineRule="auto" w:before="35"/>
        <w:ind w:right="0"/>
        <w:jc w:val="left"/>
        <w:rPr>
          <w:b w:val="0"/>
          <w:bCs w:val="0"/>
        </w:rPr>
      </w:pPr>
      <w:bookmarkStart w:name="3、其他" w:id="426"/>
      <w:bookmarkEnd w:id="426"/>
      <w:r>
        <w:rPr>
          <w:b w:val="0"/>
          <w:bCs w:val="0"/>
        </w:rPr>
      </w:r>
      <w:r>
        <w:rPr>
          <w:rFonts w:ascii="Times New Roman" w:hAnsi="Times New Roman" w:cs="Times New Roman" w:eastAsia="Times New Roman" w:hint="default"/>
        </w:rPr>
        <w:t>3</w:t>
      </w:r>
      <w:r>
        <w:rPr/>
        <w:t>、其他</w:t>
      </w:r>
      <w:r>
        <w:rPr>
          <w:b w:val="0"/>
          <w:bCs w:val="0"/>
        </w:rPr>
      </w:r>
    </w:p>
    <w:p>
      <w:pPr>
        <w:spacing w:line="240" w:lineRule="auto" w:before="13"/>
        <w:rPr>
          <w:rFonts w:ascii="宋体" w:hAnsi="宋体" w:cs="宋体" w:eastAsia="宋体" w:hint="default"/>
          <w:b/>
          <w:bCs/>
          <w:sz w:val="23"/>
          <w:szCs w:val="23"/>
        </w:rPr>
      </w:pPr>
    </w:p>
    <w:p>
      <w:pPr>
        <w:pStyle w:val="Heading4"/>
        <w:spacing w:line="240" w:lineRule="auto"/>
        <w:ind w:right="0"/>
        <w:jc w:val="left"/>
      </w:pPr>
      <w:r>
        <w:rPr>
          <w:spacing w:val="-4"/>
        </w:rPr>
        <w:t>本集团无稀释性潜在普通股。</w:t>
      </w:r>
    </w:p>
    <w:p>
      <w:pPr>
        <w:spacing w:after="0" w:line="240" w:lineRule="auto"/>
        <w:jc w:val="left"/>
        <w:sectPr>
          <w:pgSz w:w="11910" w:h="16850"/>
          <w:pgMar w:header="731" w:footer="981" w:top="1040" w:bottom="1180" w:left="100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1"/>
        <w:spacing w:line="240" w:lineRule="auto"/>
        <w:ind w:left="3280" w:right="0"/>
        <w:jc w:val="left"/>
        <w:rPr>
          <w:b w:val="0"/>
          <w:bCs w:val="0"/>
        </w:rPr>
      </w:pPr>
      <w:bookmarkStart w:name="第十三节 备查文件目录" w:id="427"/>
      <w:bookmarkEnd w:id="427"/>
      <w:r>
        <w:rPr>
          <w:b w:val="0"/>
          <w:bCs w:val="0"/>
        </w:rPr>
      </w:r>
      <w:bookmarkStart w:name="_bookmark12" w:id="428"/>
      <w:bookmarkEnd w:id="428"/>
      <w:r>
        <w:rPr>
          <w:b w:val="0"/>
          <w:bCs w:val="0"/>
        </w:rPr>
      </w:r>
      <w:r>
        <w:rPr>
          <w:spacing w:val="6"/>
        </w:rPr>
        <w:t>第十三节</w:t>
      </w:r>
      <w:r>
        <w:rPr>
          <w:spacing w:val="58"/>
        </w:rPr>
        <w:t> </w:t>
      </w:r>
      <w:r>
        <w:rPr>
          <w:spacing w:val="4"/>
        </w:rPr>
        <w:t>备查文件目录</w:t>
      </w:r>
      <w:r>
        <w:rPr>
          <w:b w:val="0"/>
          <w:bCs w:val="0"/>
          <w:spacing w:val="4"/>
        </w:rPr>
      </w:r>
    </w:p>
    <w:p>
      <w:pPr>
        <w:spacing w:line="240" w:lineRule="auto" w:before="7"/>
        <w:rPr>
          <w:rFonts w:ascii="宋体" w:hAnsi="宋体" w:cs="宋体" w:eastAsia="宋体" w:hint="default"/>
          <w:b/>
          <w:bCs/>
          <w:sz w:val="42"/>
          <w:szCs w:val="42"/>
        </w:rPr>
      </w:pPr>
    </w:p>
    <w:p>
      <w:pPr>
        <w:pStyle w:val="BodyText"/>
        <w:spacing w:line="240" w:lineRule="auto"/>
        <w:ind w:right="0"/>
        <w:jc w:val="left"/>
      </w:pPr>
      <w:r>
        <w:rPr/>
        <w:t>（一）载有法定代表人、财务负责人、会计机构负责人签名并盖章的会计报表。</w:t>
      </w:r>
    </w:p>
    <w:p>
      <w:pPr>
        <w:pStyle w:val="BodyText"/>
        <w:spacing w:line="240" w:lineRule="auto" w:before="80"/>
        <w:ind w:right="0"/>
        <w:jc w:val="left"/>
      </w:pPr>
      <w:r>
        <w:rPr/>
        <w:t>（二）载有会计师事务所盖章、注册会计师签名并盖章的审计报告原件。</w:t>
      </w:r>
    </w:p>
    <w:p>
      <w:pPr>
        <w:pStyle w:val="BodyText"/>
        <w:spacing w:line="321" w:lineRule="auto" w:before="64"/>
        <w:ind w:right="1115"/>
        <w:jc w:val="left"/>
      </w:pPr>
      <w:r>
        <w:rPr>
          <w:spacing w:val="-2"/>
        </w:rPr>
        <w:t>（三）报告期内在《证券时报》、《上海证券报》、《中国证券报》及《证券日报》公开披露过的所有公司文件的正本及公</w:t>
      </w:r>
      <w:r>
        <w:rPr>
          <w:spacing w:val="-42"/>
        </w:rPr>
        <w:t> </w:t>
      </w:r>
      <w:r>
        <w:rPr>
          <w:spacing w:val="-42"/>
        </w:rPr>
      </w:r>
      <w:r>
        <w:rPr/>
        <w:t>告的原稿。</w:t>
      </w:r>
    </w:p>
    <w:p>
      <w:pPr>
        <w:pStyle w:val="BodyText"/>
        <w:spacing w:line="240" w:lineRule="auto" w:before="34"/>
        <w:ind w:right="0"/>
        <w:jc w:val="left"/>
      </w:pPr>
      <w:r>
        <w:rPr/>
        <w:t>（四）载有董事长签名的</w:t>
      </w:r>
      <w:r>
        <w:rPr>
          <w:rFonts w:ascii="Times New Roman" w:hAnsi="Times New Roman" w:cs="Times New Roman" w:eastAsia="Times New Roman" w:hint="default"/>
        </w:rPr>
        <w:t>2019</w:t>
      </w:r>
      <w:r>
        <w:rPr/>
        <w:t>年年度报告文本原件。</w:t>
      </w:r>
    </w:p>
    <w:sectPr>
      <w:pgSz w:w="11910" w:h="16850"/>
      <w:pgMar w:header="731" w:footer="981" w:top="1040" w:bottom="1180" w:left="10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S Gothic">
    <w:altName w:val="MS Gothic"/>
    <w:charset w:val="0"/>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926392" type="#_x0000_t75" stroked="false">
          <v:imagedata r:id="rId1" o:title=""/>
        </v:shape>
      </w:pict>
    </w:r>
    <w:r>
      <w:rPr/>
      <w:pict>
        <v:shape style="position:absolute;margin-left:534.419983pt;margin-top:795.707947pt;width:6.5pt;height:11pt;mso-position-horizontal-relative:page;mso-position-vertical-relative:page;z-index:-92636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926344" type="#_x0000_t75" stroked="false">
          <v:imagedata r:id="rId1" o:title=""/>
        </v:shape>
      </w:pict>
    </w:r>
    <w:r>
      <w:rPr/>
      <w:pict>
        <v:shape style="position:absolute;margin-left:528.919983pt;margin-top:782.207947pt;width:13pt;height:11pt;mso-position-horizontal-relative:page;mso-position-vertical-relative:page;z-index:-926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926296" type="#_x0000_t75" stroked="false">
          <v:imagedata r:id="rId1" o:title=""/>
        </v:shape>
      </w:pict>
    </w:r>
    <w:r>
      <w:rPr/>
      <w:pict>
        <v:shape style="position:absolute;margin-left:525.400024pt;margin-top:782.207947pt;width:15.5pt;height:11pt;mso-position-horizontal-relative:page;mso-position-vertical-relative:page;z-index:-9262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61621pt;margin-top:807.047058pt;width:59.499296pt;height:26.797393pt;mso-position-horizontal-relative:page;mso-position-vertical-relative:page;z-index:-926248" type="#_x0000_t75" stroked="false">
          <v:imagedata r:id="rId1" o:title=""/>
        </v:shape>
      </w:pict>
    </w:r>
    <w:r>
      <w:rPr/>
      <w:pict>
        <v:shape style="position:absolute;margin-left:524.400024pt;margin-top:782.207947pt;width:18.25pt;height:11pt;mso-position-horizontal-relative:page;mso-position-vertical-relative:page;z-index:-926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417.269989pt;margin-top:35.565624pt;width:123.6pt;height:11.5pt;mso-position-horizontal-relative:page;mso-position-vertical-relative:page;z-index:-926416" type="#_x0000_t202" filled="false" stroked="false">
          <v:textbox inset="0,0,0,0">
            <w:txbxContent>
              <w:p>
                <w:pPr>
                  <w:pStyle w:val="BodyText"/>
                  <w:spacing w:line="214" w:lineRule="exact"/>
                  <w:ind w:left="20" w:right="0"/>
                  <w:jc w:val="left"/>
                </w:pPr>
                <w:r>
                  <w:rPr/>
                  <w:t>美邦服饰</w:t>
                </w:r>
                <w:r>
                  <w:rPr>
                    <w:spacing w:val="-44"/>
                  </w:rPr>
                  <w:t> </w:t>
                </w:r>
                <w:r>
                  <w:rPr>
                    <w:rFonts w:ascii="Times New Roman" w:hAnsi="Times New Roman" w:cs="Times New Roman" w:eastAsia="Times New Roman" w:hint="default"/>
                  </w:rPr>
                  <w:t>2019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3"/>
      <w:ind w:left="141"/>
    </w:pPr>
    <w:rPr>
      <w:rFonts w:ascii="宋体" w:hAnsi="宋体" w:eastAsia="宋体"/>
      <w:b/>
      <w:bCs/>
      <w:sz w:val="28"/>
      <w:szCs w:val="28"/>
    </w:rPr>
  </w:style>
  <w:style w:styleId="BodyText" w:type="paragraph">
    <w:name w:val="Body Text"/>
    <w:basedOn w:val="Normal"/>
    <w:uiPriority w:val="1"/>
    <w:qFormat/>
    <w:pPr>
      <w:ind w:left="141"/>
    </w:pPr>
    <w:rPr>
      <w:rFonts w:ascii="宋体" w:hAnsi="宋体" w:eastAsia="宋体"/>
      <w:sz w:val="18"/>
      <w:szCs w:val="18"/>
    </w:rPr>
  </w:style>
  <w:style w:styleId="Heading1" w:type="paragraph">
    <w:name w:val="Heading 1"/>
    <w:basedOn w:val="Normal"/>
    <w:uiPriority w:val="1"/>
    <w:qFormat/>
    <w:pPr>
      <w:spacing w:before="9"/>
      <w:ind w:left="2233"/>
      <w:outlineLvl w:val="1"/>
    </w:pPr>
    <w:rPr>
      <w:rFonts w:ascii="宋体" w:hAnsi="宋体" w:eastAsia="宋体"/>
      <w:b/>
      <w:bCs/>
      <w:sz w:val="31"/>
      <w:szCs w:val="31"/>
    </w:rPr>
  </w:style>
  <w:style w:styleId="Heading2" w:type="paragraph">
    <w:name w:val="Heading 2"/>
    <w:basedOn w:val="Normal"/>
    <w:uiPriority w:val="1"/>
    <w:qFormat/>
    <w:pPr>
      <w:ind w:left="141"/>
      <w:outlineLvl w:val="2"/>
    </w:pPr>
    <w:rPr>
      <w:rFonts w:ascii="宋体" w:hAnsi="宋体" w:eastAsia="宋体"/>
      <w:b/>
      <w:bCs/>
      <w:sz w:val="24"/>
      <w:szCs w:val="24"/>
    </w:rPr>
  </w:style>
  <w:style w:styleId="Heading3" w:type="paragraph">
    <w:name w:val="Heading 3"/>
    <w:basedOn w:val="Normal"/>
    <w:uiPriority w:val="1"/>
    <w:qFormat/>
    <w:pPr>
      <w:ind w:left="141"/>
      <w:outlineLvl w:val="3"/>
    </w:pPr>
    <w:rPr>
      <w:rFonts w:ascii="宋体" w:hAnsi="宋体" w:eastAsia="宋体"/>
      <w:sz w:val="24"/>
      <w:szCs w:val="24"/>
    </w:rPr>
  </w:style>
  <w:style w:styleId="Heading4" w:type="paragraph">
    <w:name w:val="Heading 4"/>
    <w:basedOn w:val="Normal"/>
    <w:uiPriority w:val="1"/>
    <w:qFormat/>
    <w:pPr>
      <w:ind w:left="141"/>
      <w:outlineLvl w:val="4"/>
    </w:pPr>
    <w:rPr>
      <w:rFonts w:ascii="宋体" w:hAnsi="宋体" w:eastAsia="宋体"/>
      <w:sz w:val="22"/>
      <w:szCs w:val="22"/>
    </w:rPr>
  </w:style>
  <w:style w:styleId="Heading5" w:type="paragraph">
    <w:name w:val="Heading 5"/>
    <w:basedOn w:val="Normal"/>
    <w:uiPriority w:val="1"/>
    <w:qFormat/>
    <w:pPr>
      <w:ind w:left="141"/>
      <w:outlineLvl w:val="5"/>
    </w:pPr>
    <w:rPr>
      <w:rFonts w:ascii="宋体" w:hAnsi="宋体" w:eastAsia="宋体"/>
      <w:b/>
      <w:bCs/>
      <w:sz w:val="21"/>
      <w:szCs w:val="21"/>
    </w:rPr>
  </w:style>
  <w:style w:styleId="Heading6" w:type="paragraph">
    <w:name w:val="Heading 6"/>
    <w:basedOn w:val="Normal"/>
    <w:uiPriority w:val="1"/>
    <w:qFormat/>
    <w:pPr>
      <w:ind w:left="561"/>
      <w:outlineLvl w:val="6"/>
    </w:pPr>
    <w:rPr>
      <w:rFonts w:ascii="宋体" w:hAnsi="宋体" w:eastAsia="宋体"/>
      <w:sz w:val="21"/>
      <w:szCs w:val="21"/>
    </w:rPr>
  </w:style>
  <w:style w:styleId="Heading7" w:type="paragraph">
    <w:name w:val="Heading 7"/>
    <w:basedOn w:val="Normal"/>
    <w:uiPriority w:val="1"/>
    <w:qFormat/>
    <w:pPr>
      <w:ind w:left="141" w:firstLine="420"/>
      <w:outlineLvl w:val="7"/>
    </w:pPr>
    <w:rPr>
      <w:rFonts w:ascii="宋体" w:hAnsi="宋体" w:eastAsia="宋体"/>
      <w:sz w:val="19"/>
      <w:szCs w:val="19"/>
    </w:rPr>
  </w:style>
  <w:style w:styleId="Heading8" w:type="paragraph">
    <w:name w:val="Heading 8"/>
    <w:basedOn w:val="Normal"/>
    <w:uiPriority w:val="1"/>
    <w:qFormat/>
    <w:pPr>
      <w:ind w:left="141"/>
      <w:outlineLvl w:val="8"/>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corp.metersbonwe.com/" TargetMode="External"/><Relationship Id="rId9" Type="http://schemas.openxmlformats.org/officeDocument/2006/relationships/hyperlink" Target="mailto:Corporate@metersbonwe.com" TargetMode="External"/><Relationship Id="rId10" Type="http://schemas.openxmlformats.org/officeDocument/2006/relationships/hyperlink" Target="mailto:corporate@metersbonwe.com" TargetMode="External"/><Relationship Id="rId11" Type="http://schemas.openxmlformats.org/officeDocument/2006/relationships/hyperlink" Target="http://www.cninfo.com.cn/" TargetMode="External"/><Relationship Id="rId12" Type="http://schemas.openxmlformats.org/officeDocument/2006/relationships/hyperlink" Target="http://www.szse.cn/" TargetMode="External"/><Relationship Id="rId13" Type="http://schemas.openxmlformats.org/officeDocument/2006/relationships/image" Target="media/image2.jpeg"/><Relationship Id="rId14" Type="http://schemas.openxmlformats.org/officeDocument/2006/relationships/footer" Target="footer3.xml"/><Relationship Id="rId15"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美邦服饰</dc:creator>
  <dc:title>美邦服饰2019年年度报告全文</dc:title>
  <dcterms:created xsi:type="dcterms:W3CDTF">2020-05-19T23:20:01Z</dcterms:created>
  <dcterms:modified xsi:type="dcterms:W3CDTF">2020-05-19T23:20:01Z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2020-04-29T00:00:00Z</vt:filetime>
  </property>
  <property fmtid="{D5CDD505-2E9C-101B-9397-08002B2CF9AE}" pid="3" name="Creator">
    <vt:lpwstr>Microsoft® Office Word 2007</vt:lpwstr>
  </property>
  <property fmtid="{D5CDD505-2E9C-101B-9397-08002B2CF9AE}" pid="4" name="LastSaved">
    <vt:filetime>2020-05-19T00:00:00Z</vt:filetime>
  </property>
</Properties>
</file>