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center"/>
      </w:pPr>
      <w:bookmarkStart w:id="0" w:name="bookmark0"/>
      <w:bookmarkStart w:id="1" w:name="bookmark1"/>
      <w:bookmarkStart w:id="2" w:name="bookmark2"/>
      <w:r>
        <w:rPr>
          <w:spacing w:val="0"/>
          <w:w w:val="100"/>
          <w:position w:val="0"/>
        </w:rPr>
        <w:t>Meters/bonwe</w:t>
      </w:r>
      <w:bookmarkEnd w:id="0"/>
      <w:bookmarkEnd w:id="1"/>
      <w:bookmarkEnd w:id="2"/>
    </w:p>
    <w:p>
      <w:pPr>
        <w:pStyle w:val="Style8"/>
        <w:keepNext/>
        <w:keepLines/>
        <w:widowControl w:val="0"/>
        <w:shd w:val="clear" w:color="auto" w:fill="auto"/>
        <w:bidi w:val="0"/>
        <w:spacing w:before="0"/>
        <w:ind w:left="0" w:right="0" w:firstLine="0"/>
        <w:jc w:val="center"/>
      </w:pPr>
      <w:bookmarkStart w:id="3" w:name="bookmark3"/>
      <w:bookmarkStart w:id="4" w:name="bookmark4"/>
      <w:bookmarkStart w:id="5" w:name="bookmark5"/>
      <w:r>
        <w:rPr>
          <w:spacing w:val="0"/>
          <w:w w:val="100"/>
          <w:position w:val="0"/>
        </w:rPr>
        <w:t>美特斯邦成</w:t>
      </w:r>
      <w:bookmarkEnd w:id="3"/>
      <w:bookmarkEnd w:id="4"/>
      <w:bookmarkEnd w:id="5"/>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上海美特斯邦威服饰股份有限公司</w:t>
      </w:r>
    </w:p>
    <w:p>
      <w:pPr>
        <w:pStyle w:val="Style1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0"/>
        <w:keepNext w:val="0"/>
        <w:keepLines w:val="0"/>
        <w:widowControl w:val="0"/>
        <w:shd w:val="clear" w:color="auto" w:fill="auto"/>
        <w:bidi w:val="0"/>
        <w:spacing w:before="0" w:after="8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0"/>
        <w:keepNext w:val="0"/>
        <w:keepLines w:val="0"/>
        <w:widowControl w:val="0"/>
        <w:shd w:val="clear" w:color="auto" w:fill="auto"/>
        <w:bidi w:val="0"/>
        <w:spacing w:before="0" w:after="80"/>
        <w:ind w:left="0" w:right="0"/>
        <w:jc w:val="both"/>
      </w:pPr>
      <w:r>
        <w:rPr>
          <w:color w:val="000000"/>
          <w:spacing w:val="0"/>
          <w:w w:val="100"/>
          <w:position w:val="0"/>
        </w:rPr>
        <w:t>公司负责人胡佳佳、主管会计工作负责人张利及会计机构负责人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曾焕滨声明：保证本年度报告中财务报告的真实、准确、完整。</w:t>
      </w:r>
    </w:p>
    <w:p>
      <w:pPr>
        <w:pStyle w:val="Style20"/>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400" w:line="634"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17</w:t>
      </w:r>
      <w:r>
        <w:rPr>
          <w:color w:val="000000"/>
          <w:spacing w:val="0"/>
          <w:w w:val="100"/>
          <w:position w:val="0"/>
        </w:rPr>
        <w:t>号——上市公司从事 纺织服装相关业务》的披露要求</w:t>
      </w:r>
    </w:p>
    <w:p>
      <w:pPr>
        <w:pStyle w:val="Style20"/>
        <w:keepNext w:val="0"/>
        <w:keepLines w:val="0"/>
        <w:widowControl w:val="0"/>
        <w:shd w:val="clear" w:color="auto" w:fill="auto"/>
        <w:tabs>
          <w:tab w:pos="1262" w:val="left"/>
        </w:tabs>
        <w:bidi w:val="0"/>
        <w:spacing w:before="0" w:after="0" w:line="468" w:lineRule="auto"/>
        <w:ind w:left="0" w:right="0"/>
        <w:jc w:val="both"/>
      </w:pPr>
      <w:bookmarkStart w:id="9" w:name="bookmark9"/>
      <w:r>
        <w:rPr>
          <w:rFonts w:ascii="Times New Roman" w:eastAsia="Times New Roman" w:hAnsi="Times New Roman" w:cs="Times New Roman"/>
          <w:color w:val="000000"/>
          <w:spacing w:val="0"/>
          <w:w w:val="100"/>
          <w:position w:val="0"/>
        </w:rPr>
        <w:t>1</w:t>
      </w:r>
      <w:bookmarkEnd w:id="9"/>
      <w:r>
        <w:rPr>
          <w:color w:val="000000"/>
          <w:spacing w:val="0"/>
          <w:w w:val="100"/>
          <w:position w:val="0"/>
        </w:rPr>
        <w:t>、</w:t>
        <w:tab/>
        <w:t>宏观经济波动风险</w:t>
      </w:r>
    </w:p>
    <w:p>
      <w:pPr>
        <w:pStyle w:val="Style20"/>
        <w:keepNext w:val="0"/>
        <w:keepLines w:val="0"/>
        <w:widowControl w:val="0"/>
        <w:shd w:val="clear" w:color="auto" w:fill="auto"/>
        <w:bidi w:val="0"/>
        <w:spacing w:before="0" w:after="400" w:line="636" w:lineRule="exact"/>
        <w:ind w:left="0" w:right="0"/>
        <w:jc w:val="both"/>
      </w:pPr>
      <w:r>
        <w:rPr>
          <w:color w:val="000000"/>
          <w:spacing w:val="0"/>
          <w:w w:val="100"/>
          <w:position w:val="0"/>
        </w:rPr>
        <w:t>本公司所在的休闲服饰行业受宏观经济影响较显著。</w:t>
      </w:r>
      <w:r>
        <w:rPr>
          <w:rFonts w:ascii="Times New Roman" w:eastAsia="Times New Roman" w:hAnsi="Times New Roman" w:cs="Times New Roman"/>
          <w:color w:val="000000"/>
          <w:spacing w:val="0"/>
          <w:w w:val="100"/>
          <w:position w:val="0"/>
        </w:rPr>
        <w:t>2020</w:t>
      </w:r>
      <w:r>
        <w:rPr>
          <w:color w:val="000000"/>
          <w:spacing w:val="0"/>
          <w:w w:val="100"/>
          <w:position w:val="0"/>
        </w:rPr>
        <w:t>年疫情冲击对国 民经济造成较大负面影响，也给国内宏观经济带来了诸多不确定性，公司的主 营业务发展和盈利能力面临因国内宏观经济波动所带来的风险。</w:t>
      </w:r>
    </w:p>
    <w:p>
      <w:pPr>
        <w:pStyle w:val="Style20"/>
        <w:keepNext w:val="0"/>
        <w:keepLines w:val="0"/>
        <w:widowControl w:val="0"/>
        <w:shd w:val="clear" w:color="auto" w:fill="auto"/>
        <w:tabs>
          <w:tab w:pos="1262" w:val="left"/>
        </w:tabs>
        <w:bidi w:val="0"/>
        <w:spacing w:before="0" w:after="0" w:line="468" w:lineRule="auto"/>
        <w:ind w:left="0" w:right="0"/>
        <w:jc w:val="both"/>
      </w:pPr>
      <w:bookmarkStart w:id="10" w:name="bookmark10"/>
      <w:r>
        <w:rPr>
          <w:rFonts w:ascii="Times New Roman" w:eastAsia="Times New Roman" w:hAnsi="Times New Roman" w:cs="Times New Roman"/>
          <w:color w:val="000000"/>
          <w:spacing w:val="0"/>
          <w:w w:val="100"/>
          <w:position w:val="0"/>
        </w:rPr>
        <w:t>2</w:t>
      </w:r>
      <w:bookmarkEnd w:id="10"/>
      <w:r>
        <w:rPr>
          <w:color w:val="000000"/>
          <w:spacing w:val="0"/>
          <w:w w:val="100"/>
          <w:position w:val="0"/>
        </w:rPr>
        <w:t>、</w:t>
        <w:tab/>
        <w:t>行业竞争风险</w:t>
      </w:r>
    </w:p>
    <w:p>
      <w:pPr>
        <w:pStyle w:val="Style20"/>
        <w:keepNext w:val="0"/>
        <w:keepLines w:val="0"/>
        <w:widowControl w:val="0"/>
        <w:shd w:val="clear" w:color="auto" w:fill="auto"/>
        <w:bidi w:val="0"/>
        <w:spacing w:before="0" w:after="400"/>
        <w:ind w:left="0" w:right="0"/>
        <w:jc w:val="both"/>
      </w:pPr>
      <w:r>
        <w:rPr>
          <w:color w:val="000000"/>
          <w:spacing w:val="0"/>
          <w:w w:val="100"/>
          <w:position w:val="0"/>
        </w:rPr>
        <w:t>本公司所在的休闲服行业竞争激烈，虽然本公司目前在国内休闲服零售业 内拥有较强的市场地位，但随着市场的不断细分，来自国内外品牌的竞争压力 仍将持续甚至加大，可能导致本公司的产品售价降低或销量减少，从而影响本 公司的财务状况和经营业绩。</w:t>
      </w:r>
    </w:p>
    <w:p>
      <w:pPr>
        <w:pStyle w:val="Style20"/>
        <w:keepNext w:val="0"/>
        <w:keepLines w:val="0"/>
        <w:widowControl w:val="0"/>
        <w:shd w:val="clear" w:color="auto" w:fill="auto"/>
        <w:tabs>
          <w:tab w:pos="1262" w:val="left"/>
        </w:tabs>
        <w:bidi w:val="0"/>
        <w:spacing w:before="0" w:after="400" w:line="240" w:lineRule="auto"/>
        <w:ind w:left="0" w:right="0"/>
        <w:jc w:val="both"/>
      </w:pPr>
      <w:bookmarkStart w:id="11" w:name="bookmark11"/>
      <w:r>
        <w:rPr>
          <w:rFonts w:ascii="Times New Roman" w:eastAsia="Times New Roman" w:hAnsi="Times New Roman" w:cs="Times New Roman"/>
          <w:color w:val="000000"/>
          <w:spacing w:val="0"/>
          <w:w w:val="100"/>
          <w:position w:val="0"/>
        </w:rPr>
        <w:t>3</w:t>
      </w:r>
      <w:bookmarkEnd w:id="11"/>
      <w:r>
        <w:rPr>
          <w:color w:val="000000"/>
          <w:spacing w:val="0"/>
          <w:w w:val="100"/>
          <w:position w:val="0"/>
        </w:rPr>
        <w:t>、</w:t>
        <w:tab/>
        <w:t>流行趋势把控风险</w:t>
      </w:r>
    </w:p>
    <w:p>
      <w:pPr>
        <w:pStyle w:val="Style20"/>
        <w:keepNext w:val="0"/>
        <w:keepLines w:val="0"/>
        <w:widowControl w:val="0"/>
        <w:shd w:val="clear" w:color="auto" w:fill="auto"/>
        <w:bidi w:val="0"/>
        <w:spacing w:before="0" w:line="624" w:lineRule="exact"/>
        <w:ind w:left="0" w:right="0"/>
        <w:jc w:val="left"/>
      </w:pPr>
      <w:r>
        <w:rPr>
          <w:color w:val="000000"/>
          <w:spacing w:val="0"/>
          <w:w w:val="100"/>
          <w:position w:val="0"/>
        </w:rPr>
        <w:t>伴随数字化的发展与新零售业务模式的兴起，公司目标年龄段消费群体的 时尚偏好快速变化。若公司对目标消费群体的流行趋势研判未能跟上实际变化, 将可能导致公司品牌产品与目标消费群体的时尚偏好产生较大差异，从而对公 司业绩造成负面影响。</w:t>
      </w:r>
    </w:p>
    <w:p>
      <w:pPr>
        <w:pStyle w:val="Style20"/>
        <w:keepNext w:val="0"/>
        <w:keepLines w:val="0"/>
        <w:widowControl w:val="0"/>
        <w:shd w:val="clear" w:color="auto" w:fill="auto"/>
        <w:bidi w:val="0"/>
        <w:spacing w:before="0" w:after="0" w:line="624"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49" w:right="1015" w:bottom="2108" w:left="1060"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10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295"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44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50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50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51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57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65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66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3"/>
        <w:keepNext w:val="0"/>
        <w:keepLines w:val="0"/>
        <w:widowControl w:val="0"/>
        <w:shd w:val="clear" w:color="auto" w:fill="auto"/>
        <w:tabs>
          <w:tab w:leader="dot" w:pos="9613" w:val="right"/>
        </w:tabs>
        <w:bidi w:val="0"/>
        <w:spacing w:before="0" w:line="240" w:lineRule="auto"/>
        <w:ind w:left="0" w:right="0" w:firstLine="0"/>
        <w:jc w:val="both"/>
      </w:pPr>
      <w:hyperlink w:anchor="bookmark167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美邦服饰、本公司、本集团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上海美特斯邦威企业发展有限公司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上海销售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上海美特斯邦威服饰销售有限公司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昆明美特斯邦威服饰有限责任公司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上海库升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上海库升服饰有限公司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上海模共实业有限公司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丹东贸邦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丹东市贸邦商贸有限公司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沈阳贸邦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沈阳贸邦服饰商贸有限公司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广州美特斯邦威服装有限公司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广西美特斯邦威服饰有限责任公司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兰州美特斯邦威服饰有限公司</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深圳美特斯邦威服饰有限公司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上海米安斯迪</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上海米安斯迪服饰有限公司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上海邦购信息科技有限公司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上海霓尚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上海霓尚服饰有限公司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华邦科创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上海华邦科创信息科技有限公司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祺格服饰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上海祺格服饰有限公司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上海邦彤</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上海邦彤实业有限公司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西宁美特斯邦威服饰有限责任公司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贵阳美特斯邦威服饰有限责任公司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郑州美特斯邦威服饰有限公司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太原美邦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太原美特斯邦威服饰有限公司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美潮贸易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上海美潮国际贸易有限公司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安永华明会计师事务所（特殊普通合伙）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华瑞银行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上海华瑞银行股份有限公司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世代</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年以后出生的年轻世代</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英文</w:t>
            </w:r>
            <w:r>
              <w:rPr>
                <w:rFonts w:ascii="Times New Roman" w:eastAsia="Times New Roman" w:hAnsi="Times New Roman" w:cs="Times New Roman"/>
                <w:color w:val="000000"/>
                <w:spacing w:val="0"/>
                <w:w w:val="100"/>
                <w:position w:val="0"/>
                <w:sz w:val="18"/>
                <w:szCs w:val="18"/>
              </w:rPr>
              <w:t>“Intellectual Property”</w:t>
            </w:r>
            <w:r>
              <w:rPr>
                <w:color w:val="000000"/>
                <w:spacing w:val="0"/>
                <w:w w:val="100"/>
                <w:position w:val="0"/>
                <w:sz w:val="17"/>
                <w:szCs w:val="17"/>
              </w:rPr>
              <w:t>的缩写，直译为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知识产权</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KOL</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关键意见领袖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Key Opinion Leader</w:t>
            </w:r>
            <w:r>
              <w:rPr>
                <w:color w:val="000000"/>
                <w:spacing w:val="0"/>
                <w:w w:val="100"/>
                <w:position w:val="0"/>
              </w:rPr>
              <w:t>），</w:t>
            </w:r>
            <w:r>
              <w:rPr>
                <w:color w:val="000000"/>
                <w:spacing w:val="0"/>
                <w:w w:val="100"/>
                <w:position w:val="0"/>
              </w:rPr>
              <w:t>拥有更多、更准确的产品信息， 且为相关群体所接受或信任，并对该群体的购买行为有较大影响力的 人</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KOC</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英文全称为</w:t>
            </w:r>
            <w:r>
              <w:rPr>
                <w:rFonts w:ascii="Times New Roman" w:eastAsia="Times New Roman" w:hAnsi="Times New Roman" w:cs="Times New Roman"/>
                <w:color w:val="000000"/>
                <w:spacing w:val="0"/>
                <w:w w:val="100"/>
                <w:position w:val="0"/>
                <w:sz w:val="18"/>
                <w:szCs w:val="18"/>
              </w:rPr>
              <w:t>“Key Opinion Consumer”</w:t>
            </w:r>
            <w:r>
              <w:rPr>
                <w:color w:val="000000"/>
                <w:spacing w:val="0"/>
                <w:w w:val="100"/>
                <w:position w:val="0"/>
              </w:rPr>
              <w:t>，</w:t>
            </w:r>
            <w:r>
              <w:rPr>
                <w:color w:val="000000"/>
                <w:spacing w:val="0"/>
                <w:w w:val="100"/>
                <w:position w:val="0"/>
              </w:rPr>
              <w:t>即关键意见消费者</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9"/>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Metersbonwe F ashion&amp;Accessories Co.,Ltd</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corp. metersbonwe .com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中国（上海）自由贸易试验区康桥东路</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021-68183939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913100001321787408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陕西省西安市灞桥区浐灞生态区浐灞大道一号外事大厦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刘一锋、胡笳妮</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、主要会计数据和财务指标</w:t>
      </w:r>
      <w:bookmarkEnd w:id="39"/>
      <w:bookmarkEnd w:id="40"/>
      <w:bookmarkEnd w:id="4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7,677,369,050.49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-825,472,850.54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40,361,571.39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-865,884,244.36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-822,790,774.99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12,688,576.51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116,608,127.61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621,919,584.34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6,377,798,593.48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7,208,952,307.81</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2,039,820,090.89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2,877,695,238.76</w:t>
            </w:r>
          </w:p>
        </w:tc>
      </w:tr>
    </w:tbl>
    <w:p>
      <w:pPr>
        <w:pStyle w:val="Style3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5,409,769,552.94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销售服装收入</w:t>
            </w:r>
          </w:p>
        </w:tc>
      </w:tr>
    </w:tbl>
    <w:p>
      <w:pPr>
        <w:widowControl w:val="0"/>
        <w:spacing w:after="359" w:line="1" w:lineRule="exact"/>
      </w:pPr>
    </w:p>
    <w:p>
      <w:pPr>
        <w:pStyle w:val="Style29"/>
        <w:keepNext/>
        <w:keepLines/>
        <w:widowControl w:val="0"/>
        <w:shd w:val="clear" w:color="auto" w:fill="auto"/>
        <w:tabs>
          <w:tab w:pos="522"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6"/>
        <w:keepNext/>
        <w:keepLines/>
        <w:widowControl w:val="0"/>
        <w:shd w:val="clear" w:color="auto" w:fill="auto"/>
        <w:tabs>
          <w:tab w:pos="403"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4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分季度主要财务指标</w:t>
      </w:r>
      <w:bookmarkEnd w:id="55"/>
      <w:bookmarkEnd w:id="56"/>
      <w:bookmarkEnd w:id="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920,798,329.37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681,395,896.85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1,087,478,518.78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1,129,365,722.81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-219,223,109.63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-258,646,072.76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-227,846,659.61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-153,651,119.36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-236,515,317.04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-261,910,910.27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-220,555,661.69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-146,902,355.36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-139,188,599.01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-6,729,891.21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-4,807,262.78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395,509,854.62</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九</w:t>
      </w:r>
      <w:bookmarkEnd w:id="61"/>
      <w:r>
        <w:rPr>
          <w:color w:val="000000"/>
          <w:spacing w:val="0"/>
          <w:w w:val="100"/>
          <w:position w:val="0"/>
          <w:sz w:val="24"/>
          <w:szCs w:val="24"/>
        </w:rPr>
        <w:t>、非经常性损益项目及金额</w:t>
      </w:r>
      <w:bookmarkEnd w:id="59"/>
      <w:bookmarkEnd w:id="60"/>
      <w:bookmarkEnd w:id="62"/>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4,349,379.36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-727,185.43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22,886,192.24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27,616,969.23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33,106,419.12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4,159,281.28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-13,283,140.00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-33,754,259.35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-6,007,763.11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894,164.79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2,857,756.98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6,517,283.00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-2,682,075.55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27,672,994.88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2" w:bottom="1412"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8"/>
        <w:keepNext/>
        <w:keepLines/>
        <w:widowControl w:val="0"/>
        <w:shd w:val="clear" w:color="auto" w:fill="auto"/>
        <w:bidi w:val="0"/>
        <w:spacing w:before="520" w:after="56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9"/>
        <w:keepNext/>
        <w:keepLines/>
        <w:widowControl w:val="0"/>
        <w:shd w:val="clear" w:color="auto" w:fill="auto"/>
        <w:tabs>
          <w:tab w:pos="510" w:val="left"/>
        </w:tabs>
        <w:bidi w:val="0"/>
        <w:spacing w:before="0" w:after="24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w:t>
        <w:tab/>
        <w:t>报告期内公司从事的主要业务</w:t>
      </w:r>
      <w:bookmarkEnd w:id="67"/>
      <w:bookmarkEnd w:id="68"/>
      <w:bookmarkEnd w:id="70"/>
      <w:bookmarkEnd w:id="66"/>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pStyle w:val="Style33"/>
        <w:keepNext w:val="0"/>
        <w:keepLines w:val="0"/>
        <w:widowControl w:val="0"/>
        <w:shd w:val="clear" w:color="auto" w:fill="auto"/>
        <w:tabs>
          <w:tab w:pos="1034" w:val="left"/>
        </w:tabs>
        <w:bidi w:val="0"/>
        <w:spacing w:before="0" w:after="120" w:line="312" w:lineRule="exact"/>
        <w:ind w:left="0" w:right="0" w:firstLine="500"/>
        <w:jc w:val="both"/>
      </w:pPr>
      <w:bookmarkStart w:id="71" w:name="bookmark71"/>
      <w:r>
        <w:rPr>
          <w:b/>
          <w:bCs/>
          <w:color w:val="000000"/>
          <w:spacing w:val="0"/>
          <w:w w:val="100"/>
          <w:position w:val="0"/>
        </w:rPr>
        <w:t>（</w:t>
      </w:r>
      <w:bookmarkEnd w:id="71"/>
      <w:r>
        <w:rPr>
          <w:b/>
          <w:bCs/>
          <w:color w:val="000000"/>
          <w:spacing w:val="0"/>
          <w:w w:val="100"/>
          <w:position w:val="0"/>
        </w:rPr>
        <w:t>一）</w:t>
        <w:tab/>
        <w:t>行业发展概况</w:t>
      </w:r>
    </w:p>
    <w:p>
      <w:pPr>
        <w:pStyle w:val="Style33"/>
        <w:keepNext w:val="0"/>
        <w:keepLines w:val="0"/>
        <w:widowControl w:val="0"/>
        <w:shd w:val="clear" w:color="auto" w:fill="auto"/>
        <w:bidi w:val="0"/>
        <w:spacing w:before="0" w:after="40" w:line="317"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年新冠疫情给服装零售行带来了巨大影响，受益于国内疫情防控得力，行业销售逐季恢复。同时疫情带来的冲击 也加速了零售场景迭代，服装行业格局正面临新一轮竞争与洗牌。当下年轻人追求设计个性化表达和高性价比的同时也更追 求品牌情感认可，消费者对高品质生活的追求增强，年轻一代消费习惯不断改变，都为优质服装品牌提供了新机遇，更为国 产时尚品牌的崛起提供了前所未有的机会。</w:t>
      </w:r>
    </w:p>
    <w:p>
      <w:pPr>
        <w:pStyle w:val="Style33"/>
        <w:keepNext w:val="0"/>
        <w:keepLines w:val="0"/>
        <w:widowControl w:val="0"/>
        <w:shd w:val="clear" w:color="auto" w:fill="auto"/>
        <w:tabs>
          <w:tab w:pos="1034" w:val="left"/>
        </w:tabs>
        <w:bidi w:val="0"/>
        <w:spacing w:before="0" w:after="120" w:line="312" w:lineRule="exact"/>
        <w:ind w:left="0" w:right="0" w:firstLine="500"/>
        <w:jc w:val="left"/>
      </w:pPr>
      <w:bookmarkStart w:id="72" w:name="bookmark72"/>
      <w:r>
        <w:rPr>
          <w:b/>
          <w:bCs/>
          <w:color w:val="000000"/>
          <w:spacing w:val="0"/>
          <w:w w:val="100"/>
          <w:position w:val="0"/>
        </w:rPr>
        <w:t>（</w:t>
      </w:r>
      <w:bookmarkEnd w:id="72"/>
      <w:r>
        <w:rPr>
          <w:b/>
          <w:bCs/>
          <w:color w:val="000000"/>
          <w:spacing w:val="0"/>
          <w:w w:val="100"/>
          <w:position w:val="0"/>
        </w:rPr>
        <w:t>二）</w:t>
        <w:tab/>
        <w:t>业务模式</w:t>
      </w:r>
    </w:p>
    <w:p>
      <w:pPr>
        <w:pStyle w:val="Style33"/>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公司采用产品自主设计、生产外包、直营与加盟销售相结合的经营模式，致力于品牌建设与推广、营销网络建设和供 应链管理，组织旗下</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CH'IN</w:t>
      </w:r>
      <w:r>
        <w:rPr>
          <w:color w:val="000000"/>
          <w:spacing w:val="0"/>
          <w:w w:val="100"/>
          <w:position w:val="0"/>
        </w:rPr>
        <w:t>祺等品牌时尚休闲服饰产品的设计和销 售，并通过线下店铺渠道和互联网电子商务平台开展自有品牌的推广和相关时尚休闲商品的销售。</w:t>
      </w:r>
    </w:p>
    <w:p>
      <w:pPr>
        <w:pStyle w:val="Style33"/>
        <w:keepNext w:val="0"/>
        <w:keepLines w:val="0"/>
        <w:widowControl w:val="0"/>
        <w:shd w:val="clear" w:color="auto" w:fill="auto"/>
        <w:bidi w:val="0"/>
        <w:spacing w:before="0" w:after="40" w:line="310" w:lineRule="exact"/>
        <w:ind w:left="0" w:right="0" w:firstLine="500"/>
        <w:jc w:val="both"/>
      </w:pPr>
      <w:r>
        <w:rPr>
          <w:color w:val="000000"/>
          <w:spacing w:val="0"/>
          <w:w w:val="100"/>
          <w:position w:val="0"/>
        </w:rPr>
        <w:t>服装行业主要分为服装设计研发、生产制造、品牌推广、终端销售等环节，公司涉及其中的设计研发、品牌推广以及 终端销售环节。根据中国证监会颁布的《上市公司行业分类指引》（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年修订），本公司属于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大类下的</w:t>
      </w:r>
      <w:r>
        <w:rPr>
          <w:rFonts w:ascii="Times New Roman" w:eastAsia="Times New Roman" w:hAnsi="Times New Roman" w:cs="Times New Roman"/>
          <w:color w:val="000000"/>
          <w:spacing w:val="0"/>
          <w:w w:val="100"/>
          <w:position w:val="0"/>
          <w:sz w:val="18"/>
          <w:szCs w:val="18"/>
        </w:rPr>
        <w:t>“C18</w:t>
      </w:r>
      <w:r>
        <w:rPr>
          <w:color w:val="000000"/>
          <w:spacing w:val="0"/>
          <w:w w:val="100"/>
          <w:position w:val="0"/>
        </w:rPr>
        <w:t>纺 织服装、服饰业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tabs>
          <w:tab w:pos="1034" w:val="left"/>
        </w:tabs>
        <w:bidi w:val="0"/>
        <w:spacing w:before="0" w:after="120" w:line="312" w:lineRule="exact"/>
        <w:ind w:left="0" w:right="0" w:firstLine="500"/>
        <w:jc w:val="both"/>
      </w:pPr>
      <w:bookmarkStart w:id="73" w:name="bookmark73"/>
      <w:r>
        <w:rPr>
          <w:b/>
          <w:bCs/>
          <w:color w:val="000000"/>
          <w:spacing w:val="0"/>
          <w:w w:val="100"/>
          <w:position w:val="0"/>
        </w:rPr>
        <w:t>（</w:t>
      </w:r>
      <w:bookmarkEnd w:id="73"/>
      <w:r>
        <w:rPr>
          <w:b/>
          <w:bCs/>
          <w:color w:val="000000"/>
          <w:spacing w:val="0"/>
          <w:w w:val="100"/>
          <w:position w:val="0"/>
        </w:rPr>
        <w:t>三）</w:t>
        <w:tab/>
        <w:t>风险及应对措施</w:t>
      </w:r>
    </w:p>
    <w:p>
      <w:pPr>
        <w:pStyle w:val="Style33"/>
        <w:keepNext w:val="0"/>
        <w:keepLines w:val="0"/>
        <w:widowControl w:val="0"/>
        <w:shd w:val="clear" w:color="auto" w:fill="auto"/>
        <w:tabs>
          <w:tab w:pos="858" w:val="left"/>
        </w:tabs>
        <w:bidi w:val="0"/>
        <w:spacing w:before="0" w:after="40" w:line="312" w:lineRule="exact"/>
        <w:ind w:left="0" w:right="0" w:firstLine="500"/>
        <w:jc w:val="both"/>
      </w:pPr>
      <w:bookmarkStart w:id="74" w:name="bookmark74"/>
      <w:r>
        <w:rPr>
          <w:rFonts w:ascii="Times New Roman" w:eastAsia="Times New Roman" w:hAnsi="Times New Roman" w:cs="Times New Roman"/>
          <w:b/>
          <w:bCs/>
          <w:color w:val="000000"/>
          <w:spacing w:val="0"/>
          <w:w w:val="100"/>
          <w:position w:val="0"/>
          <w:sz w:val="18"/>
          <w:szCs w:val="18"/>
        </w:rPr>
        <w:t>1</w:t>
      </w:r>
      <w:bookmarkEnd w:id="74"/>
      <w:r>
        <w:rPr>
          <w:b/>
          <w:bCs/>
          <w:color w:val="000000"/>
          <w:spacing w:val="0"/>
          <w:w w:val="100"/>
          <w:position w:val="0"/>
        </w:rPr>
        <w:t>、</w:t>
        <w:tab/>
        <w:t>宏观经济波动风险及应对措施</w:t>
      </w:r>
    </w:p>
    <w:p>
      <w:pPr>
        <w:pStyle w:val="Style33"/>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本公司所在的休闲服饰行业受宏观经济影响较显著。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年疫情冲击对国民经济造成较大负面影响，也给国内宏观经 济带来了诸多不确定性，公司的主营业务发展和盈利能力面临因国内宏观经济波动所带来的风险。公司通过提升品牌竞争力， 更好应对经济波动可能带来的风险。</w:t>
      </w:r>
    </w:p>
    <w:p>
      <w:pPr>
        <w:pStyle w:val="Style33"/>
        <w:keepNext w:val="0"/>
        <w:keepLines w:val="0"/>
        <w:widowControl w:val="0"/>
        <w:shd w:val="clear" w:color="auto" w:fill="auto"/>
        <w:tabs>
          <w:tab w:pos="858" w:val="left"/>
        </w:tabs>
        <w:bidi w:val="0"/>
        <w:spacing w:before="0" w:after="40" w:line="312" w:lineRule="exact"/>
        <w:ind w:left="0" w:right="0" w:firstLine="500"/>
        <w:jc w:val="both"/>
      </w:pPr>
      <w:bookmarkStart w:id="75" w:name="bookmark75"/>
      <w:r>
        <w:rPr>
          <w:rFonts w:ascii="Times New Roman" w:eastAsia="Times New Roman" w:hAnsi="Times New Roman" w:cs="Times New Roman"/>
          <w:b/>
          <w:bCs/>
          <w:color w:val="000000"/>
          <w:spacing w:val="0"/>
          <w:w w:val="100"/>
          <w:position w:val="0"/>
          <w:sz w:val="18"/>
          <w:szCs w:val="18"/>
        </w:rPr>
        <w:t>2</w:t>
      </w:r>
      <w:bookmarkEnd w:id="75"/>
      <w:r>
        <w:rPr>
          <w:b/>
          <w:bCs/>
          <w:color w:val="000000"/>
          <w:spacing w:val="0"/>
          <w:w w:val="100"/>
          <w:position w:val="0"/>
        </w:rPr>
        <w:t>、</w:t>
        <w:tab/>
        <w:t>行业竞争风险及应对措施</w:t>
      </w:r>
    </w:p>
    <w:p>
      <w:pPr>
        <w:pStyle w:val="Style33"/>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本公司所在的休闲服行业竞争激烈，虽然本公司目前在国内休闲服零售业内拥有较强的市场地位，但随着市场的不断 细分，来自国内外品牌的竞争压力仍将持续甚至加大，可能导致本公司的产品售价降低或销量减少，从而影响本公司的财务 状况和经营业绩。公司通过品牌矩阵的完善、营销创新与资源配置聚焦，致力于进一步强化公司核心品牌的影响力与竞争力， 推动品牌升级与产品升级。</w:t>
      </w:r>
    </w:p>
    <w:p>
      <w:pPr>
        <w:pStyle w:val="Style33"/>
        <w:keepNext w:val="0"/>
        <w:keepLines w:val="0"/>
        <w:widowControl w:val="0"/>
        <w:shd w:val="clear" w:color="auto" w:fill="auto"/>
        <w:tabs>
          <w:tab w:pos="858" w:val="left"/>
        </w:tabs>
        <w:bidi w:val="0"/>
        <w:spacing w:before="0" w:after="40" w:line="312" w:lineRule="exact"/>
        <w:ind w:left="0" w:right="0" w:firstLine="500"/>
        <w:jc w:val="both"/>
      </w:pPr>
      <w:bookmarkStart w:id="76" w:name="bookmark76"/>
      <w:r>
        <w:rPr>
          <w:rFonts w:ascii="Times New Roman" w:eastAsia="Times New Roman" w:hAnsi="Times New Roman" w:cs="Times New Roman"/>
          <w:b/>
          <w:bCs/>
          <w:color w:val="000000"/>
          <w:spacing w:val="0"/>
          <w:w w:val="100"/>
          <w:position w:val="0"/>
          <w:sz w:val="18"/>
          <w:szCs w:val="18"/>
        </w:rPr>
        <w:t>3</w:t>
      </w:r>
      <w:bookmarkEnd w:id="76"/>
      <w:r>
        <w:rPr>
          <w:b/>
          <w:bCs/>
          <w:color w:val="000000"/>
          <w:spacing w:val="0"/>
          <w:w w:val="100"/>
          <w:position w:val="0"/>
        </w:rPr>
        <w:t>、</w:t>
        <w:tab/>
        <w:t>流行趋势把控风险及应对措施</w:t>
      </w:r>
    </w:p>
    <w:p>
      <w:pPr>
        <w:pStyle w:val="Style33"/>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伴随数字化的发展与新零售业务模式的兴起，公司目标年龄段消费群体的时尚偏好快速变化。若公司对目标消费群体 的流行趋势研判未能跟上实际变化，将可能导致公司品牌产品与目标消费群体的时尚偏好产生较大差异，从而对公司业绩造 成负面影响。公司一方面将持续引入优秀设计师，打造时尚嗅觉敏锐的设计师团队；另一方面利用大数据对消费者行为和喜 好进行分析，精准开发目标消费群体适销产品。</w:t>
      </w:r>
    </w:p>
    <w:p>
      <w:pPr>
        <w:pStyle w:val="Style29"/>
        <w:keepNext/>
        <w:keepLines/>
        <w:widowControl w:val="0"/>
        <w:shd w:val="clear" w:color="auto" w:fill="auto"/>
        <w:tabs>
          <w:tab w:pos="510" w:val="left"/>
        </w:tabs>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w:t>
        <w:tab/>
        <w:t>主要资产重大变化情况</w:t>
      </w:r>
      <w:bookmarkEnd w:id="77"/>
      <w:bookmarkEnd w:id="78"/>
      <w:bookmarkEnd w:id="80"/>
    </w:p>
    <w:p>
      <w:pPr>
        <w:pStyle w:val="Style36"/>
        <w:keepNext/>
        <w:keepLines/>
        <w:widowControl w:val="0"/>
        <w:shd w:val="clear" w:color="auto" w:fill="auto"/>
        <w:bidi w:val="0"/>
        <w:spacing w:before="0" w:after="30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8"/>
      </w:tblGrid>
      <w:tr>
        <w:trPr>
          <w:trHeight w:val="7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79.60%</w:t>
            </w:r>
            <w:r>
              <w:rPr>
                <w:color w:val="000000"/>
                <w:spacing w:val="0"/>
                <w:w w:val="100"/>
                <w:position w:val="0"/>
              </w:rPr>
              <w:t>，主要由于年内在建项目完工转入资产所致。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51.66%</w:t>
            </w:r>
            <w:r>
              <w:rPr>
                <w:color w:val="000000"/>
                <w:spacing w:val="0"/>
                <w:w w:val="100"/>
                <w:position w:val="0"/>
              </w:rPr>
              <w:t>，主要由于销售收入下滑所致。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37.73%</w:t>
            </w:r>
            <w:r>
              <w:rPr>
                <w:color w:val="000000"/>
                <w:spacing w:val="0"/>
                <w:w w:val="100"/>
                <w:position w:val="0"/>
              </w:rPr>
              <w:t>，主要由于预付采购货款较上年末减少所致。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36.62%</w:t>
            </w:r>
            <w:r>
              <w:rPr>
                <w:color w:val="000000"/>
                <w:spacing w:val="0"/>
                <w:w w:val="100"/>
                <w:position w:val="0"/>
              </w:rPr>
              <w:t>，主要由于为缓解受疫情影响加盟商资金困难，代垫加盟商经营 性资金增加所致。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78.87%</w:t>
            </w:r>
            <w:r>
              <w:rPr>
                <w:color w:val="000000"/>
                <w:spacing w:val="0"/>
                <w:w w:val="100"/>
                <w:position w:val="0"/>
              </w:rPr>
              <w:t>，主要由于年内支持加盟资金收回所致。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50.65%</w:t>
            </w:r>
            <w:r>
              <w:rPr>
                <w:color w:val="000000"/>
                <w:spacing w:val="0"/>
                <w:w w:val="100"/>
                <w:position w:val="0"/>
              </w:rPr>
              <w:t>，主要由于年内支持期限在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年以上的支持加盟资金收回所致。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42.84%</w:t>
            </w:r>
            <w:r>
              <w:rPr>
                <w:color w:val="000000"/>
                <w:spacing w:val="0"/>
                <w:w w:val="100"/>
                <w:position w:val="0"/>
              </w:rPr>
              <w:t>，主要由于店铺装修费长期待摊费用摊销所致。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，主要由于公司不再确认递延所得税资产所致。</w:t>
            </w:r>
          </w:p>
        </w:tc>
      </w:tr>
    </w:tbl>
    <w:p>
      <w:pPr>
        <w:widowControl w:val="0"/>
        <w:spacing w:after="339" w:line="1" w:lineRule="exact"/>
      </w:pPr>
    </w:p>
    <w:p>
      <w:pPr>
        <w:pStyle w:val="Style36"/>
        <w:keepNext/>
        <w:keepLines/>
        <w:widowControl w:val="0"/>
        <w:shd w:val="clear" w:color="auto" w:fill="auto"/>
        <w:bidi w:val="0"/>
        <w:spacing w:before="0" w:after="28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3"/>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33"/>
        <w:keepNext w:val="0"/>
        <w:keepLines w:val="0"/>
        <w:widowControl w:val="0"/>
        <w:shd w:val="clear" w:color="auto" w:fill="auto"/>
        <w:tabs>
          <w:tab w:pos="749" w:val="left"/>
        </w:tabs>
        <w:bidi w:val="0"/>
        <w:spacing w:before="0" w:after="0" w:line="312" w:lineRule="exact"/>
        <w:ind w:left="0" w:right="0" w:firstLine="440"/>
        <w:jc w:val="both"/>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w:t>
        <w:tab/>
        <w:t>品牌优势</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本公司紧密地围绕</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品牌的定位、价值与个性，通过产品设计、 产品陈列、店铺设计、广告投放、签约代言和各类营销活动塑造品牌特性，借助目标消费群体所关注的国内外各类公众、时 尚事件，进行高频率、多层次的整合营销活动，不断提升五大品牌的品牌形象，</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品牌不仅在市场调研结果中名 列前茅，也同时获得了国内及国际各类权威机构的认可，并于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月获得了国家商标局颁发的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中国驰名商标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称号。同 时，本公司实现</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品牌升级裂变，全面向风格化及品质化推进。</w:t>
      </w:r>
    </w:p>
    <w:p>
      <w:pPr>
        <w:pStyle w:val="Style33"/>
        <w:keepNext w:val="0"/>
        <w:keepLines w:val="0"/>
        <w:widowControl w:val="0"/>
        <w:shd w:val="clear" w:color="auto" w:fill="auto"/>
        <w:tabs>
          <w:tab w:pos="749" w:val="left"/>
        </w:tabs>
        <w:bidi w:val="0"/>
        <w:spacing w:before="0" w:after="0" w:line="312" w:lineRule="exact"/>
        <w:ind w:left="0" w:right="0" w:firstLine="440"/>
        <w:jc w:val="both"/>
      </w:pPr>
      <w:bookmarkStart w:id="94" w:name="bookmark94"/>
      <w:r>
        <w:rPr>
          <w:rFonts w:ascii="Times New Roman" w:eastAsia="Times New Roman" w:hAnsi="Times New Roman" w:cs="Times New Roman"/>
          <w:b/>
          <w:bCs/>
          <w:color w:val="000000"/>
          <w:spacing w:val="0"/>
          <w:w w:val="100"/>
          <w:position w:val="0"/>
          <w:sz w:val="18"/>
          <w:szCs w:val="18"/>
        </w:rPr>
        <w:t>2</w:t>
      </w:r>
      <w:bookmarkEnd w:id="94"/>
      <w:r>
        <w:rPr>
          <w:b/>
          <w:bCs/>
          <w:color w:val="000000"/>
          <w:spacing w:val="0"/>
          <w:w w:val="100"/>
          <w:position w:val="0"/>
        </w:rPr>
        <w:t>、</w:t>
        <w:tab/>
        <w:t>产品设计开发优势</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公司的设计团队多年来始终坚持国际化与本土化相结合，以自主培养设计师为主的原则组建设计团队。设计团队自建 设伊始一直保持了很好的稳定性，设计人员年龄结构分布均匀，使得设计团队在保持年轻活力的同时也令国际化资深设计师 经验得到了有效传承。公司产品设计的最大特点在于保持了感性与理性的平衡，不仅从国际、国内的流行时尚情况、对自有 品牌定位、国内不同区域消费者对服装款式的不同需求、竞争对手的产品设计和过往公司各类产品的销售情况出发，也综合 考虑了供应链下游各加盟商所处的各地市场和其店铺情况的独特性，以及对供应链上游供应商的生产成本控制的要求。</w:t>
      </w:r>
    </w:p>
    <w:p>
      <w:pPr>
        <w:pStyle w:val="Style33"/>
        <w:keepNext w:val="0"/>
        <w:keepLines w:val="0"/>
        <w:widowControl w:val="0"/>
        <w:shd w:val="clear" w:color="auto" w:fill="auto"/>
        <w:tabs>
          <w:tab w:pos="749" w:val="left"/>
        </w:tabs>
        <w:bidi w:val="0"/>
        <w:spacing w:before="0" w:after="0" w:line="312" w:lineRule="exact"/>
        <w:ind w:left="0" w:right="0" w:firstLine="440"/>
        <w:jc w:val="both"/>
      </w:pPr>
      <w:bookmarkStart w:id="95" w:name="bookmark95"/>
      <w:r>
        <w:rPr>
          <w:rFonts w:ascii="Times New Roman" w:eastAsia="Times New Roman" w:hAnsi="Times New Roman" w:cs="Times New Roman"/>
          <w:b/>
          <w:bCs/>
          <w:color w:val="000000"/>
          <w:spacing w:val="0"/>
          <w:w w:val="100"/>
          <w:position w:val="0"/>
          <w:sz w:val="18"/>
          <w:szCs w:val="18"/>
        </w:rPr>
        <w:t>3</w:t>
      </w:r>
      <w:bookmarkEnd w:id="95"/>
      <w:r>
        <w:rPr>
          <w:b/>
          <w:bCs/>
          <w:color w:val="000000"/>
          <w:spacing w:val="0"/>
          <w:w w:val="100"/>
          <w:position w:val="0"/>
        </w:rPr>
        <w:t>、</w:t>
        <w:tab/>
        <w:t>营销网络优势</w:t>
      </w:r>
    </w:p>
    <w:p>
      <w:pPr>
        <w:pStyle w:val="Style33"/>
        <w:keepNext w:val="0"/>
        <w:keepLines w:val="0"/>
        <w:widowControl w:val="0"/>
        <w:numPr>
          <w:ilvl w:val="0"/>
          <w:numId w:val="1"/>
        </w:numPr>
        <w:shd w:val="clear" w:color="auto" w:fill="auto"/>
        <w:tabs>
          <w:tab w:pos="840" w:val="left"/>
        </w:tabs>
        <w:bidi w:val="0"/>
        <w:spacing w:before="0" w:after="0" w:line="312" w:lineRule="exact"/>
        <w:ind w:left="0" w:right="0" w:firstLine="440"/>
        <w:jc w:val="both"/>
      </w:pPr>
      <w:bookmarkStart w:id="96" w:name="bookmark96"/>
      <w:bookmarkEnd w:id="96"/>
      <w:r>
        <w:rPr>
          <w:b/>
          <w:bCs/>
          <w:color w:val="000000"/>
          <w:spacing w:val="0"/>
          <w:w w:val="100"/>
          <w:position w:val="0"/>
        </w:rPr>
        <w:t>营销网络布局优势</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本公司直营店与加盟店营销网络遍布全国，其中直营店在公司营销网络布局战略中发挥着重要的作用。公司通过在重 点一线城市建立销售子公司并开设直营店的方式，有效地提升品牌的影响力和知名度，并能够更加深入的推动管理创新和品 牌升级，从而对一线城市周边和二、三线市场产生有力的辐射作用。公司品牌和产品形象的提升吸引了更多优质加盟商的加 入，使得公司可以借助加盟商的人力、物力和财力进行迅速的市场拓展与渗透。通过在直营店和加盟店数量和销售面积上的 合理配比，满足市场消费者的差异化需求的同时达到了提升销售业绩与拓展销售渠道的有效平衡；通过直营店和加盟店在时 间和空间上的战略性布局，覆盖了全国大部分重点省市，并在某些地区占据了市场主导地位，为未来进一步扩大市场份额打 下了坚实的基础。</w:t>
      </w:r>
    </w:p>
    <w:p>
      <w:pPr>
        <w:pStyle w:val="Style33"/>
        <w:keepNext w:val="0"/>
        <w:keepLines w:val="0"/>
        <w:widowControl w:val="0"/>
        <w:numPr>
          <w:ilvl w:val="0"/>
          <w:numId w:val="1"/>
        </w:numPr>
        <w:shd w:val="clear" w:color="auto" w:fill="auto"/>
        <w:tabs>
          <w:tab w:pos="840" w:val="left"/>
        </w:tabs>
        <w:bidi w:val="0"/>
        <w:spacing w:before="0" w:after="140" w:line="312" w:lineRule="exact"/>
        <w:ind w:left="0" w:right="0" w:firstLine="440"/>
        <w:jc w:val="both"/>
      </w:pPr>
      <w:bookmarkStart w:id="97" w:name="bookmark97"/>
      <w:bookmarkEnd w:id="97"/>
      <w:r>
        <w:rPr>
          <w:b/>
          <w:bCs/>
          <w:color w:val="000000"/>
          <w:spacing w:val="0"/>
          <w:w w:val="100"/>
          <w:position w:val="0"/>
        </w:rPr>
        <w:t>营销网络管理能力优势</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借助多年来营销网络建设和管理经验，公司已发展出一套针对由直营店和加盟店所组成的混合营销网络的成熟管理方 法，有力地支持了公司营销网络的拓展与维护。在终端管理方面，直营和加盟渠道开始全面实施的终端形象升级、店铺管理 标准化、精细化、促销管理精细化已经取得了显著成效。通过店铺形象升级、新渠道的开发、标准店铺模块化管理、授权店 经理负责制等举措，店铺更时尚精致，店铺运作与消费者需求紧密结合。在加盟商管理方面，公司在店铺开设、日常运营、 信息系统运用、销售培训、信用支持、物流运输等方面给予加盟商全方位的支持，着力培育有潜力的加盟商，全力激发加盟 商的网络拓展热情，注重长期战略伙伴关系的建立。公司通过覆盖所有直营和加盟店铺的信息管理系统及时获取并分析销售 终端的情况，形成了公司优秀的营销网络管理能力。</w:t>
      </w:r>
    </w:p>
    <w:p>
      <w:pPr>
        <w:pStyle w:val="Style33"/>
        <w:keepNext w:val="0"/>
        <w:keepLines w:val="0"/>
        <w:widowControl w:val="0"/>
        <w:shd w:val="clear" w:color="auto" w:fill="auto"/>
        <w:tabs>
          <w:tab w:pos="729" w:val="left"/>
        </w:tabs>
        <w:bidi w:val="0"/>
        <w:spacing w:before="0" w:after="0" w:line="360" w:lineRule="auto"/>
        <w:ind w:left="0" w:right="0" w:firstLine="440"/>
        <w:jc w:val="both"/>
      </w:pPr>
      <w:bookmarkStart w:id="98" w:name="bookmark98"/>
      <w:r>
        <w:rPr>
          <w:rFonts w:ascii="Times New Roman" w:eastAsia="Times New Roman" w:hAnsi="Times New Roman" w:cs="Times New Roman"/>
          <w:b/>
          <w:bCs/>
          <w:color w:val="000000"/>
          <w:spacing w:val="0"/>
          <w:w w:val="100"/>
          <w:position w:val="0"/>
          <w:sz w:val="18"/>
          <w:szCs w:val="18"/>
        </w:rPr>
        <w:t>4</w:t>
      </w:r>
      <w:bookmarkEnd w:id="98"/>
      <w:r>
        <w:rPr>
          <w:b/>
          <w:bCs/>
          <w:color w:val="000000"/>
          <w:spacing w:val="0"/>
          <w:w w:val="100"/>
          <w:position w:val="0"/>
        </w:rPr>
        <w:t>、</w:t>
        <w:tab/>
        <w:t>供应链管理能力优势</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经过近年努力，公司始终不断探索并建立一条能充分适应国内休闲服装业情况以及公司业务现状与未来发展方向的供 应链和相应的供应链管理方法，构筑起强大的供应链管理能力。公司的供应链基本实现了商务流、信息流、物流和资金流的 结合与同步，不断把国际化管理的标准引入到我们供应链管理中去，加快整合供应链资源，建立从源头到终端一致性、标准 化的管理体系。通过对直营和加盟店的差异化管理，以及各方在硬件和软件上的标准化，正逐步构建起一条能适应休闲服装 零售业特征的，具备对客户需求快速反应的敏捷型供应链。</w:t>
      </w:r>
    </w:p>
    <w:p>
      <w:pPr>
        <w:pStyle w:val="Style33"/>
        <w:keepNext w:val="0"/>
        <w:keepLines w:val="0"/>
        <w:widowControl w:val="0"/>
        <w:shd w:val="clear" w:color="auto" w:fill="auto"/>
        <w:tabs>
          <w:tab w:pos="729" w:val="left"/>
        </w:tabs>
        <w:bidi w:val="0"/>
        <w:spacing w:before="0" w:after="0" w:line="360" w:lineRule="auto"/>
        <w:ind w:left="0" w:right="0" w:firstLine="440"/>
        <w:jc w:val="both"/>
      </w:pPr>
      <w:bookmarkStart w:id="99" w:name="bookmark99"/>
      <w:r>
        <w:rPr>
          <w:rFonts w:ascii="Times New Roman" w:eastAsia="Times New Roman" w:hAnsi="Times New Roman" w:cs="Times New Roman"/>
          <w:b/>
          <w:bCs/>
          <w:color w:val="000000"/>
          <w:spacing w:val="0"/>
          <w:w w:val="100"/>
          <w:position w:val="0"/>
          <w:sz w:val="18"/>
          <w:szCs w:val="18"/>
        </w:rPr>
        <w:t>5</w:t>
      </w:r>
      <w:bookmarkEnd w:id="99"/>
      <w:r>
        <w:rPr>
          <w:b/>
          <w:bCs/>
          <w:color w:val="000000"/>
          <w:spacing w:val="0"/>
          <w:w w:val="100"/>
          <w:position w:val="0"/>
        </w:rPr>
        <w:t>、</w:t>
        <w:tab/>
        <w:t>信息管理系统优势</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一直以来，本公司的信息化战略与企业的发展保持着高度的融合，信息技术的运用以及信息化战略的制定与执行均与 公司的业务深度结合。公司持续对信息系统进行投入和改进，紧密围绕公司核心业务，优化和完善公司在全国的营销网络； 同时改进公司信息管理系统，对日益增长的业务起到有效支持和推进作用。</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公司目前使用的同时具备标准化和针对供应链各方差异化的信息管理系统，建立在休闲服装零售业整条供应链的基础 之上，在数据库和软件应用底层完全整合；大幅度提升了公司的运营效率，增强了持续发展能力，核心竞争力亦获得到进一 步提高。</w:t>
      </w:r>
    </w:p>
    <w:p>
      <w:pPr>
        <w:pStyle w:val="Style33"/>
        <w:keepNext w:val="0"/>
        <w:keepLines w:val="0"/>
        <w:widowControl w:val="0"/>
        <w:shd w:val="clear" w:color="auto" w:fill="auto"/>
        <w:tabs>
          <w:tab w:pos="729" w:val="left"/>
        </w:tabs>
        <w:bidi w:val="0"/>
        <w:spacing w:before="0" w:after="0" w:line="360" w:lineRule="auto"/>
        <w:ind w:left="0" w:right="0" w:firstLine="440"/>
        <w:jc w:val="both"/>
      </w:pPr>
      <w:bookmarkStart w:id="100" w:name="bookmark100"/>
      <w:r>
        <w:rPr>
          <w:rFonts w:ascii="Times New Roman" w:eastAsia="Times New Roman" w:hAnsi="Times New Roman" w:cs="Times New Roman"/>
          <w:b/>
          <w:bCs/>
          <w:color w:val="000000"/>
          <w:spacing w:val="0"/>
          <w:w w:val="100"/>
          <w:position w:val="0"/>
          <w:sz w:val="18"/>
          <w:szCs w:val="18"/>
        </w:rPr>
        <w:t>6</w:t>
      </w:r>
      <w:bookmarkEnd w:id="100"/>
      <w:r>
        <w:rPr>
          <w:b/>
          <w:bCs/>
          <w:color w:val="000000"/>
          <w:spacing w:val="0"/>
          <w:w w:val="100"/>
          <w:position w:val="0"/>
        </w:rPr>
        <w:t>、</w:t>
        <w:tab/>
        <w:t>较强的风险管控能力</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公司深刻认识到风险管控对于企业长远发展的重要意义，并能针对经营过程中面临的各种风险采取相应的应对措施， 体现了较强的风险管控能力。公司针对可能的财务风险，一直保持稳健谨慎的财务策略，努力提升资产质量、丰富融资渠道， 在银行间市场及合作的商业银行均建立良好的信誉。</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经营风险方面，公司针对注重时尚活力的年轻消费者群体以大众化的价格不断挖掘该细分市场的不同需求。目前 </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CH'IN</w:t>
      </w:r>
      <w:r>
        <w:rPr>
          <w:color w:val="000000"/>
          <w:spacing w:val="0"/>
          <w:w w:val="100"/>
          <w:position w:val="0"/>
        </w:rPr>
        <w:t>祺品牌清晰的市场定位使公司从产品开发、设计到生产、销 售都紧紧围绕目标消费群的需求。同时，针对服装行业经营业绩季节性波动的风险，公司主动采取了稳健经营的策略，采取 深度款挖掘、精选畅销款式以及有效降低服饰成本等方式降低经营风险，并根据南北方温差情况适度灵活调配货品的货量供 应及上市节奏。</w:t>
      </w:r>
    </w:p>
    <w:p>
      <w:pPr>
        <w:pStyle w:val="Style33"/>
        <w:keepNext w:val="0"/>
        <w:keepLines w:val="0"/>
        <w:widowControl w:val="0"/>
        <w:shd w:val="clear" w:color="auto" w:fill="auto"/>
        <w:bidi w:val="0"/>
        <w:spacing w:before="0" w:line="314" w:lineRule="exact"/>
        <w:ind w:left="0" w:right="0" w:firstLine="440"/>
        <w:jc w:val="both"/>
        <w:sectPr>
          <w:footnotePr>
            <w:pos w:val="pageBottom"/>
            <w:numFmt w:val="decimal"/>
            <w:numRestart w:val="continuous"/>
          </w:footnotePr>
          <w:pgSz w:w="11900" w:h="16840"/>
          <w:pgMar w:top="1388" w:right="1035" w:bottom="1642" w:left="1088" w:header="0" w:footer="3" w:gutter="0"/>
          <w:cols w:space="720"/>
          <w:noEndnote/>
          <w:rtlGutter w:val="0"/>
          <w:docGrid w:linePitch="360"/>
        </w:sectPr>
      </w:pPr>
      <w:r>
        <w:rPr>
          <w:color w:val="000000"/>
          <w:spacing w:val="0"/>
          <w:w w:val="100"/>
          <w:position w:val="0"/>
        </w:rPr>
        <w:t>管理风险方面，对于直营体系，由各自分属的销售子公司负责管理。为充分发挥直营店在提升公司形象和支持市场拓 展战略方面的作用，公司针对直营店制定了全方位的管理体系；对于加盟渠道，针对加盟建立与直营一样的高效管理团队， 在充分借鉴直营管理经验的基础上，帮助加盟商与直营一样持续提高管理能力，实现可持续的发展。</w:t>
      </w:r>
    </w:p>
    <w:p>
      <w:pPr>
        <w:pStyle w:val="Style18"/>
        <w:keepNext/>
        <w:keepLines/>
        <w:widowControl w:val="0"/>
        <w:shd w:val="clear" w:color="auto" w:fill="auto"/>
        <w:bidi w:val="0"/>
        <w:spacing w:before="58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29"/>
        <w:keepNext/>
        <w:keepLines/>
        <w:widowControl w:val="0"/>
        <w:shd w:val="clear" w:color="auto" w:fill="auto"/>
        <w:tabs>
          <w:tab w:pos="517" w:val="left"/>
        </w:tabs>
        <w:bidi w:val="0"/>
        <w:spacing w:before="0" w:after="260" w:line="240" w:lineRule="auto"/>
        <w:ind w:left="0" w:right="0" w:firstLine="0"/>
        <w:jc w:val="left"/>
      </w:pPr>
      <w:bookmarkStart w:id="104" w:name="bookmark104"/>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w:t>
        <w:tab/>
        <w:t>概述</w:t>
      </w:r>
      <w:bookmarkEnd w:id="105"/>
      <w:bookmarkEnd w:id="106"/>
      <w:bookmarkEnd w:id="108"/>
      <w:bookmarkEnd w:id="104"/>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年突发新冠病毒疫情，对服装零售行业产生较大冲击，我国采取有力措施，基本控制了国内疫情蔓延，消费市场 进入了逐季复苏的修复期。与此同时，疫情期间的种种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新常态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也加速了消费行为、消费场景的变化。</w:t>
      </w:r>
    </w:p>
    <w:p>
      <w:pPr>
        <w:pStyle w:val="Style33"/>
        <w:keepNext w:val="0"/>
        <w:keepLines w:val="0"/>
        <w:widowControl w:val="0"/>
        <w:shd w:val="clear" w:color="auto" w:fill="auto"/>
        <w:tabs>
          <w:tab w:pos="779" w:val="left"/>
        </w:tabs>
        <w:bidi w:val="0"/>
        <w:spacing w:before="0" w:after="0" w:line="316" w:lineRule="exact"/>
        <w:ind w:left="0" w:right="0" w:firstLine="440"/>
        <w:jc w:val="both"/>
      </w:pPr>
      <w:bookmarkStart w:id="109" w:name="bookmark109"/>
      <w:r>
        <w:rPr>
          <w:rFonts w:ascii="Times New Roman" w:eastAsia="Times New Roman" w:hAnsi="Times New Roman" w:cs="Times New Roman"/>
          <w:b/>
          <w:bCs/>
          <w:color w:val="000000"/>
          <w:spacing w:val="0"/>
          <w:w w:val="100"/>
          <w:position w:val="0"/>
          <w:sz w:val="18"/>
          <w:szCs w:val="18"/>
        </w:rPr>
        <w:t>1</w:t>
      </w:r>
      <w:bookmarkEnd w:id="109"/>
      <w:r>
        <w:rPr>
          <w:b/>
          <w:bCs/>
          <w:color w:val="000000"/>
          <w:spacing w:val="0"/>
          <w:w w:val="100"/>
          <w:position w:val="0"/>
        </w:rPr>
        <w:t>、</w:t>
        <w:tab/>
        <w:t>品牌升级，重构品牌竞争力</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公司着眼于年轻人的文化及社交属性的粘性，通过产品匹配渠道、设计匹配产品、营销匹配品牌等一系列资源共享模 式，针对不同平台渠道的内容和呈现形式，进行深度研发和内容孵化，让消费者能够在不同平台，多个渠道，通过多元化的 产品进行符合他们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真我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的服饰选择，彰显年轻人独特的个性与生活态度，生成年轻人对服饰元素的专属表达。</w:t>
      </w:r>
    </w:p>
    <w:p>
      <w:pPr>
        <w:pStyle w:val="Style33"/>
        <w:keepNext w:val="0"/>
        <w:keepLines w:val="0"/>
        <w:widowControl w:val="0"/>
        <w:shd w:val="clear" w:color="auto" w:fill="auto"/>
        <w:tabs>
          <w:tab w:pos="794" w:val="left"/>
        </w:tabs>
        <w:bidi w:val="0"/>
        <w:spacing w:before="0" w:after="0" w:line="316" w:lineRule="exact"/>
        <w:ind w:left="0" w:right="0" w:firstLine="440"/>
        <w:jc w:val="both"/>
      </w:pPr>
      <w:bookmarkStart w:id="110" w:name="bookmark110"/>
      <w:r>
        <w:rPr>
          <w:rFonts w:ascii="Times New Roman" w:eastAsia="Times New Roman" w:hAnsi="Times New Roman" w:cs="Times New Roman"/>
          <w:b/>
          <w:bCs/>
          <w:color w:val="000000"/>
          <w:spacing w:val="0"/>
          <w:w w:val="100"/>
          <w:position w:val="0"/>
          <w:sz w:val="18"/>
          <w:szCs w:val="18"/>
        </w:rPr>
        <w:t>2</w:t>
      </w:r>
      <w:bookmarkEnd w:id="110"/>
      <w:r>
        <w:rPr>
          <w:b/>
          <w:bCs/>
          <w:color w:val="000000"/>
          <w:spacing w:val="0"/>
          <w:w w:val="100"/>
          <w:position w:val="0"/>
        </w:rPr>
        <w:t>、</w:t>
        <w:tab/>
        <w:t>优化供应模式，提高供应效率</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结合全渠道市场差异化需求，持续对供应资源深度整合，形成多元供应方式，并实现供应链各环节的价值最大化；产 品开发源头，对面辅料进行集成度管理；针对生产供应商合作伙伴，通过产能年度的规划和锁定，为分波段多批次的下单做 保障，尤其持续深化柔性供应链快速反应机制的改革，提升产品售罄率的同时，快速满足全渠道市场的供应。</w:t>
      </w:r>
    </w:p>
    <w:p>
      <w:pPr>
        <w:pStyle w:val="Style33"/>
        <w:keepNext w:val="0"/>
        <w:keepLines w:val="0"/>
        <w:widowControl w:val="0"/>
        <w:shd w:val="clear" w:color="auto" w:fill="auto"/>
        <w:tabs>
          <w:tab w:pos="794" w:val="left"/>
        </w:tabs>
        <w:bidi w:val="0"/>
        <w:spacing w:before="0" w:after="0" w:line="316" w:lineRule="exact"/>
        <w:ind w:left="0" w:right="0" w:firstLine="440"/>
        <w:jc w:val="both"/>
      </w:pPr>
      <w:bookmarkStart w:id="111" w:name="bookmark111"/>
      <w:r>
        <w:rPr>
          <w:rFonts w:ascii="Times New Roman" w:eastAsia="Times New Roman" w:hAnsi="Times New Roman" w:cs="Times New Roman"/>
          <w:b/>
          <w:bCs/>
          <w:color w:val="000000"/>
          <w:spacing w:val="0"/>
          <w:w w:val="100"/>
          <w:position w:val="0"/>
          <w:sz w:val="18"/>
          <w:szCs w:val="18"/>
        </w:rPr>
        <w:t>3</w:t>
      </w:r>
      <w:bookmarkEnd w:id="111"/>
      <w:r>
        <w:rPr>
          <w:b/>
          <w:bCs/>
          <w:color w:val="000000"/>
          <w:spacing w:val="0"/>
          <w:w w:val="100"/>
          <w:position w:val="0"/>
        </w:rPr>
        <w:t>、</w:t>
        <w:tab/>
        <w:t>开启数字化新时代，加强新零售能力建设</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报告期内，公司以客户需求为导向，以提高质量和效率为目标，以整合资源为手段，通过结合大数据以及对消费者的 深刻洞察，来重塑零售业态中的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场匚依托新零售工具为现有存量店铺增值，为消费者提供更好的购物体验。</w:t>
      </w:r>
    </w:p>
    <w:p>
      <w:pPr>
        <w:pStyle w:val="Style33"/>
        <w:keepNext w:val="0"/>
        <w:keepLines w:val="0"/>
        <w:widowControl w:val="0"/>
        <w:shd w:val="clear" w:color="auto" w:fill="auto"/>
        <w:tabs>
          <w:tab w:pos="789" w:val="left"/>
        </w:tabs>
        <w:bidi w:val="0"/>
        <w:spacing w:before="0" w:after="0" w:line="316" w:lineRule="exact"/>
        <w:ind w:left="0" w:right="0" w:firstLine="440"/>
        <w:jc w:val="both"/>
      </w:pPr>
      <w:bookmarkStart w:id="112" w:name="bookmark112"/>
      <w:r>
        <w:rPr>
          <w:rFonts w:ascii="Times New Roman" w:eastAsia="Times New Roman" w:hAnsi="Times New Roman" w:cs="Times New Roman"/>
          <w:b/>
          <w:bCs/>
          <w:color w:val="000000"/>
          <w:spacing w:val="0"/>
          <w:w w:val="100"/>
          <w:position w:val="0"/>
          <w:sz w:val="18"/>
          <w:szCs w:val="18"/>
        </w:rPr>
        <w:t>4</w:t>
      </w:r>
      <w:bookmarkEnd w:id="112"/>
      <w:r>
        <w:rPr>
          <w:b/>
          <w:bCs/>
          <w:color w:val="000000"/>
          <w:spacing w:val="0"/>
          <w:w w:val="100"/>
          <w:position w:val="0"/>
        </w:rPr>
        <w:t>、</w:t>
        <w:tab/>
        <w:t>优化组织结构与资源配置，实现资源整合与业务聚焦</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基于业务策略，做小核算单元、强化单模块独立结算机制，促进团队以自我担当，全面推进以绩效创造进行分享的薪 酬机制。把有限的资源投入到价值最大化的业务上。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公司优化整合物流资源配置，将分散在全国的七个区域物流中心撤并集中到上海物流中心，将分散沉淀在各区域的商 品资源统一在上海进行整合，提升商品整合能力，为线上销售提供更丰富的商品选择和购物体验。</w:t>
      </w:r>
    </w:p>
    <w:p>
      <w:pPr>
        <w:pStyle w:val="Style33"/>
        <w:keepNext w:val="0"/>
        <w:keepLines w:val="0"/>
        <w:widowControl w:val="0"/>
        <w:shd w:val="clear" w:color="auto" w:fill="auto"/>
        <w:tabs>
          <w:tab w:pos="794" w:val="left"/>
        </w:tabs>
        <w:bidi w:val="0"/>
        <w:spacing w:before="0" w:after="0" w:line="316" w:lineRule="exact"/>
        <w:ind w:left="0" w:right="0" w:firstLine="440"/>
        <w:jc w:val="both"/>
      </w:pPr>
      <w:bookmarkStart w:id="113" w:name="bookmark113"/>
      <w:r>
        <w:rPr>
          <w:rFonts w:ascii="Times New Roman" w:eastAsia="Times New Roman" w:hAnsi="Times New Roman" w:cs="Times New Roman"/>
          <w:b/>
          <w:bCs/>
          <w:color w:val="000000"/>
          <w:spacing w:val="0"/>
          <w:w w:val="100"/>
          <w:position w:val="0"/>
          <w:sz w:val="18"/>
          <w:szCs w:val="18"/>
        </w:rPr>
        <w:t>5</w:t>
      </w:r>
      <w:bookmarkEnd w:id="113"/>
      <w:r>
        <w:rPr>
          <w:b/>
          <w:bCs/>
          <w:color w:val="000000"/>
          <w:spacing w:val="0"/>
          <w:w w:val="100"/>
          <w:position w:val="0"/>
        </w:rPr>
        <w:t>、</w:t>
        <w:tab/>
        <w:t>加大存货处理力度，降低库存占用</w:t>
      </w:r>
    </w:p>
    <w:p>
      <w:pPr>
        <w:pStyle w:val="Style33"/>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年加大力度消化存量货品，通过整合多种销售渠道，合理匹配商品资源，提升销售效率。截至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 司存货账面价值为</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亿元，较上年末下降</w:t>
      </w:r>
      <w:r>
        <w:rPr>
          <w:rFonts w:ascii="Times New Roman" w:eastAsia="Times New Roman" w:hAnsi="Times New Roman" w:cs="Times New Roman"/>
          <w:color w:val="000000"/>
          <w:spacing w:val="0"/>
          <w:w w:val="100"/>
          <w:position w:val="0"/>
          <w:sz w:val="18"/>
          <w:szCs w:val="18"/>
        </w:rPr>
        <w:t>22.52%</w:t>
      </w:r>
      <w:r>
        <w:rPr>
          <w:color w:val="000000"/>
          <w:spacing w:val="0"/>
          <w:w w:val="100"/>
          <w:position w:val="0"/>
        </w:rPr>
        <w:t>；存货结构有所改善，一年以上存货占比下降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个百分点。</w:t>
      </w:r>
    </w:p>
    <w:p>
      <w:pPr>
        <w:pStyle w:val="Style29"/>
        <w:keepNext/>
        <w:keepLines/>
        <w:widowControl w:val="0"/>
        <w:shd w:val="clear" w:color="auto" w:fill="auto"/>
        <w:tabs>
          <w:tab w:pos="517" w:val="left"/>
        </w:tabs>
        <w:bidi w:val="0"/>
        <w:spacing w:before="0" w:after="38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sz w:val="24"/>
          <w:szCs w:val="24"/>
        </w:rPr>
        <w:t>二</w:t>
      </w:r>
      <w:bookmarkEnd w:id="116"/>
      <w:r>
        <w:rPr>
          <w:color w:val="000000"/>
          <w:spacing w:val="0"/>
          <w:w w:val="100"/>
          <w:position w:val="0"/>
          <w:sz w:val="24"/>
          <w:szCs w:val="24"/>
        </w:rPr>
        <w:t>、</w:t>
        <w:tab/>
        <w:t>主营业务分析</w:t>
      </w:r>
      <w:bookmarkEnd w:id="114"/>
      <w:bookmarkEnd w:id="115"/>
      <w:bookmarkEnd w:id="117"/>
    </w:p>
    <w:p>
      <w:pPr>
        <w:pStyle w:val="Style36"/>
        <w:keepNext/>
        <w:keepLines/>
        <w:widowControl w:val="0"/>
        <w:shd w:val="clear" w:color="auto" w:fill="auto"/>
        <w:tabs>
          <w:tab w:pos="395" w:val="left"/>
        </w:tabs>
        <w:bidi w:val="0"/>
        <w:spacing w:before="0" w:after="260" w:line="240" w:lineRule="auto"/>
        <w:ind w:left="0" w:right="0" w:firstLine="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1</w:t>
      </w:r>
      <w:bookmarkEnd w:id="120"/>
      <w:r>
        <w:rPr>
          <w:color w:val="000000"/>
          <w:spacing w:val="0"/>
          <w:w w:val="100"/>
          <w:position w:val="0"/>
        </w:rPr>
        <w:t>、</w:t>
        <w:tab/>
        <w:t>概述</w:t>
      </w:r>
      <w:bookmarkEnd w:id="118"/>
      <w:bookmarkEnd w:id="119"/>
      <w:bookmarkEnd w:id="121"/>
    </w:p>
    <w:p>
      <w:pPr>
        <w:pStyle w:val="Style33"/>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95" w:val="left"/>
        </w:tabs>
        <w:bidi w:val="0"/>
        <w:spacing w:before="0" w:after="380" w:line="240" w:lineRule="auto"/>
        <w:ind w:left="0" w:right="0" w:firstLine="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收入与成本</w:t>
      </w:r>
      <w:bookmarkEnd w:id="122"/>
      <w:bookmarkEnd w:id="123"/>
      <w:bookmarkEnd w:id="125"/>
    </w:p>
    <w:p>
      <w:pPr>
        <w:pStyle w:val="Style36"/>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2"/>
      <w:bookmarkEnd w:id="123"/>
      <w:bookmarkEnd w:id="1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5,409,769,552.94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2,083,470,744.73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3,025,513,302.23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1,356,720,126.48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1,902,803,421.86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334,306,718.41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481,452,828.85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bl>
    <w:p>
      <w:pPr>
        <w:widowControl w:val="0"/>
        <w:spacing w:after="319" w:line="1" w:lineRule="exact"/>
      </w:pPr>
    </w:p>
    <w:p>
      <w:pPr>
        <w:pStyle w:val="Style36"/>
        <w:keepNext/>
        <w:keepLines/>
        <w:widowControl w:val="0"/>
        <w:numPr>
          <w:ilvl w:val="0"/>
          <w:numId w:val="3"/>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8"/>
      <w:bookmarkEnd w:id="129"/>
      <w:bookmarkEnd w:id="13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2,470,854,128.11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2,083,470,744.73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1,331,367,935.87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1,356,720,126.48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906,222,533.49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334,306,718.41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233,263,658.75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2,470,854,128.20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公司是否有实体门店销售终端</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实体门店分布情况</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门店的类型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门店的数量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门店的面积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报告期内新开门 店的数量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报告期末关闭门 店的数量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关闭原因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涉及品牌</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由于受新冠疫情 影响，公司关闭 了部分城市主要 商圈里难以持续 盈利的直营店铺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各品牌均有关闭 店铺</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由于受新冠疫情 影响，加盟商关 闭了难以持续盈 利的加盟店铺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主要涉及</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Metersbonwe </w:t>
            </w:r>
            <w:r>
              <w:rPr>
                <w:color w:val="000000"/>
                <w:spacing w:val="0"/>
                <w:w w:val="100"/>
                <w:position w:val="0"/>
              </w:rPr>
              <w:t>品 牌店铺关闭</w:t>
            </w:r>
          </w:p>
        </w:tc>
      </w:tr>
    </w:tbl>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直营门店总面积和店效情况</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截止本年末，公司直营店铺存量</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家，营业面积总计</w:t>
      </w:r>
      <w:r>
        <w:rPr>
          <w:rFonts w:ascii="Times New Roman" w:eastAsia="Times New Roman" w:hAnsi="Times New Roman" w:cs="Times New Roman"/>
          <w:color w:val="000000"/>
          <w:spacing w:val="0"/>
          <w:w w:val="100"/>
          <w:position w:val="0"/>
          <w:sz w:val="18"/>
          <w:szCs w:val="18"/>
        </w:rPr>
        <w:t>143,935</w:t>
      </w:r>
      <w:r>
        <w:rPr>
          <w:color w:val="000000"/>
          <w:spacing w:val="0"/>
          <w:w w:val="100"/>
          <w:position w:val="0"/>
        </w:rPr>
        <w:t>平方米，平均单店营业面积为</w:t>
      </w:r>
      <w:r>
        <w:rPr>
          <w:rFonts w:ascii="Times New Roman" w:eastAsia="Times New Roman" w:hAnsi="Times New Roman" w:cs="Times New Roman"/>
          <w:color w:val="000000"/>
          <w:spacing w:val="0"/>
          <w:w w:val="100"/>
          <w:position w:val="0"/>
          <w:sz w:val="18"/>
          <w:szCs w:val="18"/>
        </w:rPr>
        <w:t>607.3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年度平均单 店营业收入</w:t>
      </w:r>
      <w:r>
        <w:rPr>
          <w:rFonts w:ascii="Times New Roman" w:eastAsia="Times New Roman" w:hAnsi="Times New Roman" w:cs="Times New Roman"/>
          <w:color w:val="000000"/>
          <w:spacing w:val="0"/>
          <w:w w:val="100"/>
          <w:position w:val="0"/>
          <w:sz w:val="18"/>
          <w:szCs w:val="18"/>
        </w:rPr>
        <w:t>5,063,282.93</w:t>
      </w:r>
      <w:r>
        <w:rPr>
          <w:color w:val="000000"/>
          <w:spacing w:val="0"/>
          <w:w w:val="100"/>
          <w:position w:val="0"/>
        </w:rPr>
        <w:t>元，平均坪效为</w:t>
      </w:r>
      <w:r>
        <w:rPr>
          <w:rFonts w:ascii="Times New Roman" w:eastAsia="Times New Roman" w:hAnsi="Times New Roman" w:cs="Times New Roman"/>
          <w:color w:val="000000"/>
          <w:spacing w:val="0"/>
          <w:w w:val="100"/>
          <w:position w:val="0"/>
          <w:sz w:val="18"/>
          <w:szCs w:val="18"/>
        </w:rPr>
        <w:t>8,337.09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33"/>
        <w:keepNext w:val="0"/>
        <w:keepLines w:val="0"/>
        <w:widowControl w:val="0"/>
        <w:shd w:val="clear" w:color="auto" w:fill="auto"/>
        <w:bidi w:val="0"/>
        <w:spacing w:before="0" w:after="80" w:line="312" w:lineRule="exact"/>
        <w:ind w:left="0" w:right="0" w:firstLine="0"/>
        <w:jc w:val="left"/>
      </w:pPr>
      <w:r>
        <w:rPr>
          <w:color w:val="000000"/>
          <w:spacing w:val="0"/>
          <w:w w:val="100"/>
          <w:position w:val="0"/>
        </w:rPr>
        <w:t>营业收入排名前五的门店</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门店名称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开业日期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店面平效（元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上海南京 东路旗舰店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76,698,972.85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13,503.34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南京东路旗 舰店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38,006,789.37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重庆沙坪 坝旗舰店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37,837,091.68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昆明南屏街 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30,797,012.07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15,375.44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四川成都 中山广场店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28,942,209.22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212,282,075.19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12,981.23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上市公司新增门店情况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公司是否披露前五大加盟店铺情况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6"/>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2"/>
      <w:bookmarkEnd w:id="133"/>
      <w:bookmarkEnd w:id="13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服装批发零售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52,035,424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60,530,388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39,358,823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52,244,178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24,392,686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37,069,287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r>
    </w:tbl>
    <w:p>
      <w:pPr>
        <w:pStyle w:val="Style3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年年末库存商品数量较上年末下降</w:t>
      </w:r>
      <w:r>
        <w:rPr>
          <w:rFonts w:ascii="Times New Roman" w:eastAsia="Times New Roman" w:hAnsi="Times New Roman" w:cs="Times New Roman"/>
          <w:color w:val="000000"/>
          <w:spacing w:val="0"/>
          <w:w w:val="100"/>
          <w:position w:val="0"/>
          <w:sz w:val="18"/>
          <w:szCs w:val="18"/>
        </w:rPr>
        <w:t>34.20%</w:t>
      </w:r>
      <w:r>
        <w:rPr>
          <w:color w:val="000000"/>
          <w:spacing w:val="0"/>
          <w:w w:val="100"/>
          <w:position w:val="0"/>
        </w:rPr>
        <w:t>，主要是由于本年度公司进一步加大库存商品消化力度。同时减少了新品采 购规模。</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6"/>
      <w:bookmarkEnd w:id="137"/>
      <w:bookmarkEnd w:id="139"/>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0"/>
      <w:bookmarkEnd w:id="141"/>
      <w:bookmarkEnd w:id="14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2,470,854,128.11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3,328,669,602.49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47,410,429.85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1,331,367,935.87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1,834,773,494.69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906,222,533.49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1,177,450,416.27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233,263,658.75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316,445,691.53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47,410,429.85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公司服饰商品销售成本主要为采购成本。</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4"/>
      <w:bookmarkEnd w:id="145"/>
      <w:bookmarkEnd w:id="14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日注销子公司太原美特斯邦威服饰有限公司，注册资本为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日注销子公司沈阳贸邦服饰商贸有限公司，注册资本为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万元。</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8"/>
      <w:bookmarkEnd w:id="149"/>
      <w:bookmarkEnd w:id="151"/>
    </w:p>
    <w:p>
      <w:pPr>
        <w:pStyle w:val="Style3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2"/>
      <w:bookmarkEnd w:id="153"/>
      <w:bookmarkEnd w:id="155"/>
    </w:p>
    <w:p>
      <w:pPr>
        <w:pStyle w:val="Style3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294,347,974.91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164,419,800.18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46,792,364.62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42,259,248.77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20,778,022.23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20,098,539.11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294,347,974.91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336,577,698.91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89,931,063.69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68,604,051.63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66,306,046.70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59,520,657.65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52,215,879.24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336,577,698.91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、费用</w:t>
      </w:r>
      <w:bookmarkEnd w:id="156"/>
      <w:bookmarkEnd w:id="157"/>
      <w:bookmarkEnd w:id="1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1,469,284,465.31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2,128,197,247.18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主要由于直营店铺租金及人力成本 下降。</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133,242,628.95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147,517,125.38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77,400,378.01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90,067,694.22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108,913,316.89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主要由于研发人力成本及研发项目 支出下降所致</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报告期内销售费用较上年同期下降</w:t>
      </w:r>
      <w:r>
        <w:rPr>
          <w:rFonts w:ascii="Times New Roman" w:eastAsia="Times New Roman" w:hAnsi="Times New Roman" w:cs="Times New Roman"/>
          <w:color w:val="000000"/>
          <w:spacing w:val="0"/>
          <w:w w:val="100"/>
          <w:position w:val="0"/>
          <w:sz w:val="18"/>
          <w:szCs w:val="18"/>
        </w:rPr>
        <w:t>6.59</w:t>
      </w:r>
      <w:r>
        <w:rPr>
          <w:color w:val="000000"/>
          <w:spacing w:val="0"/>
          <w:w w:val="100"/>
          <w:position w:val="0"/>
        </w:rPr>
        <w:t>亿元，下降幅度为</w:t>
      </w:r>
      <w:r>
        <w:rPr>
          <w:rFonts w:ascii="Times New Roman" w:eastAsia="Times New Roman" w:hAnsi="Times New Roman" w:cs="Times New Roman"/>
          <w:color w:val="000000"/>
          <w:spacing w:val="0"/>
          <w:w w:val="100"/>
          <w:position w:val="0"/>
          <w:sz w:val="18"/>
          <w:szCs w:val="18"/>
        </w:rPr>
        <w:t>30.96%</w:t>
      </w:r>
      <w:r>
        <w:rPr>
          <w:color w:val="000000"/>
          <w:spacing w:val="0"/>
          <w:w w:val="100"/>
          <w:position w:val="0"/>
        </w:rPr>
        <w:t xml:space="preserve">,主要是由于本年度受新冠疫情影响，关闭了部分盈利能力 </w:t>
      </w:r>
      <w:r>
        <w:rPr>
          <w:color w:val="000000"/>
          <w:spacing w:val="0"/>
          <w:w w:val="100"/>
          <w:position w:val="0"/>
        </w:rPr>
        <w:t xml:space="preserve">欠佳的直营店铺，致使直营店铺相关费用下降幅度较明显。其中较上年同期，店铺租金相关费用支出减少了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亿元，下降</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35.31%</w:t>
      </w:r>
      <w:r>
        <w:rPr>
          <w:color w:val="000000"/>
          <w:spacing w:val="0"/>
          <w:w w:val="100"/>
          <w:position w:val="0"/>
        </w:rPr>
        <w:t>；人力成本支出减少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亿元，下降</w:t>
      </w:r>
      <w:r>
        <w:rPr>
          <w:rFonts w:ascii="Times New Roman" w:eastAsia="Times New Roman" w:hAnsi="Times New Roman" w:cs="Times New Roman"/>
          <w:color w:val="000000"/>
          <w:spacing w:val="0"/>
          <w:w w:val="100"/>
          <w:position w:val="0"/>
          <w:sz w:val="18"/>
          <w:szCs w:val="18"/>
        </w:rPr>
        <w:t>38.19%</w:t>
      </w:r>
      <w:r>
        <w:rPr>
          <w:color w:val="000000"/>
          <w:spacing w:val="0"/>
          <w:w w:val="100"/>
          <w:position w:val="0"/>
        </w:rPr>
        <w:t>；直营店铺装修费用减少支出</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亿元，下降了</w:t>
      </w:r>
      <w:r>
        <w:rPr>
          <w:rFonts w:ascii="Times New Roman" w:eastAsia="Times New Roman" w:hAnsi="Times New Roman" w:cs="Times New Roman"/>
          <w:color w:val="000000"/>
          <w:spacing w:val="0"/>
          <w:w w:val="100"/>
          <w:position w:val="0"/>
          <w:sz w:val="18"/>
          <w:szCs w:val="18"/>
        </w:rPr>
        <w:t>51.02%</w:t>
      </w:r>
      <w:r>
        <w:rPr>
          <w:color w:val="000000"/>
          <w:spacing w:val="0"/>
          <w:w w:val="100"/>
          <w:position w:val="0"/>
        </w:rPr>
        <w:t>；运费支出减少了</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亿元，下降</w:t>
      </w:r>
      <w:r>
        <w:rPr>
          <w:rFonts w:ascii="Times New Roman" w:eastAsia="Times New Roman" w:hAnsi="Times New Roman" w:cs="Times New Roman"/>
          <w:color w:val="000000"/>
          <w:spacing w:val="0"/>
          <w:w w:val="100"/>
          <w:position w:val="0"/>
          <w:sz w:val="18"/>
          <w:szCs w:val="18"/>
        </w:rPr>
        <w:t>25.20%</w:t>
      </w:r>
      <w:r>
        <w:rPr>
          <w:color w:val="000000"/>
          <w:spacing w:val="0"/>
          <w:w w:val="100"/>
          <w:position w:val="0"/>
        </w:rPr>
        <w:t>；广告宣传相关费用减少</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亿元，下降</w:t>
      </w:r>
      <w:r>
        <w:rPr>
          <w:rFonts w:ascii="Times New Roman" w:eastAsia="Times New Roman" w:hAnsi="Times New Roman" w:cs="Times New Roman"/>
          <w:color w:val="000000"/>
          <w:spacing w:val="0"/>
          <w:w w:val="100"/>
          <w:position w:val="0"/>
          <w:sz w:val="18"/>
          <w:szCs w:val="18"/>
        </w:rPr>
        <w:t>24.73%</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4</w:t>
      </w:r>
      <w:bookmarkEnd w:id="162"/>
      <w:r>
        <w:rPr>
          <w:color w:val="000000"/>
          <w:spacing w:val="0"/>
          <w:w w:val="100"/>
          <w:position w:val="0"/>
        </w:rPr>
        <w:t>、纺织服装相关行业信息披露指引要求的其他信息</w:t>
      </w:r>
      <w:bookmarkEnd w:id="160"/>
      <w:bookmarkEnd w:id="161"/>
      <w:bookmarkEnd w:id="163"/>
    </w:p>
    <w:p>
      <w:pPr>
        <w:pStyle w:val="Style36"/>
        <w:keepNext/>
        <w:keepLines/>
        <w:widowControl w:val="0"/>
        <w:numPr>
          <w:ilvl w:val="0"/>
          <w:numId w:val="5"/>
        </w:numPr>
        <w:shd w:val="clear" w:color="auto" w:fill="auto"/>
        <w:bidi w:val="0"/>
        <w:spacing w:before="0" w:after="380" w:line="240" w:lineRule="auto"/>
        <w:ind w:left="0" w:right="0" w:firstLine="0"/>
        <w:jc w:val="both"/>
      </w:pPr>
      <w:bookmarkStart w:id="160" w:name="bookmark160"/>
      <w:bookmarkStart w:id="161" w:name="bookmark161"/>
      <w:bookmarkStart w:id="164" w:name="bookmark164"/>
      <w:bookmarkStart w:id="165" w:name="bookmark165"/>
      <w:bookmarkEnd w:id="164"/>
      <w:r>
        <w:rPr>
          <w:color w:val="000000"/>
          <w:spacing w:val="0"/>
          <w:w w:val="100"/>
          <w:position w:val="0"/>
        </w:rPr>
        <w:t>产能情况</w:t>
      </w:r>
      <w:bookmarkEnd w:id="160"/>
      <w:bookmarkEnd w:id="161"/>
      <w:bookmarkEnd w:id="165"/>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公司自有产能状况</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bl>
    <w:p>
      <w:pPr>
        <w:pStyle w:val="Style33"/>
        <w:keepNext w:val="0"/>
        <w:keepLines w:val="0"/>
        <w:widowControl w:val="0"/>
        <w:shd w:val="clear" w:color="auto" w:fill="auto"/>
        <w:bidi w:val="0"/>
        <w:spacing w:before="0" w:after="140" w:line="312" w:lineRule="exact"/>
        <w:ind w:left="0" w:right="0" w:firstLine="0"/>
        <w:jc w:val="both"/>
        <w:rPr>
          <w:sz w:val="18"/>
          <w:szCs w:val="18"/>
        </w:rPr>
      </w:pPr>
      <w:r>
        <w:rPr>
          <w:color w:val="000000"/>
          <w:spacing w:val="0"/>
          <w:w w:val="100"/>
          <w:position w:val="0"/>
          <w:sz w:val="17"/>
          <w:szCs w:val="17"/>
        </w:rPr>
        <w:t>产能利用率同比变动超过</w:t>
      </w:r>
      <w:r>
        <w:rPr>
          <w:rFonts w:ascii="Times New Roman" w:eastAsia="Times New Roman" w:hAnsi="Times New Roman" w:cs="Times New Roman"/>
          <w:color w:val="000000"/>
          <w:spacing w:val="0"/>
          <w:w w:val="100"/>
          <w:position w:val="0"/>
          <w:sz w:val="18"/>
          <w:szCs w:val="18"/>
        </w:rPr>
        <w:t>10%</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是否存在海外产能</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keepLines/>
        <w:widowControl w:val="0"/>
        <w:numPr>
          <w:ilvl w:val="0"/>
          <w:numId w:val="5"/>
        </w:numPr>
        <w:shd w:val="clear" w:color="auto" w:fill="auto"/>
        <w:bidi w:val="0"/>
        <w:spacing w:before="0" w:after="280" w:line="240" w:lineRule="auto"/>
        <w:ind w:left="0" w:right="0" w:firstLine="0"/>
        <w:jc w:val="both"/>
      </w:pPr>
      <w:bookmarkStart w:id="166" w:name="bookmark166"/>
      <w:bookmarkStart w:id="167" w:name="bookmark167"/>
      <w:bookmarkStart w:id="168" w:name="bookmark168"/>
      <w:bookmarkStart w:id="169" w:name="bookmark169"/>
      <w:bookmarkEnd w:id="168"/>
      <w:r>
        <w:rPr>
          <w:color w:val="000000"/>
          <w:spacing w:val="0"/>
          <w:w w:val="100"/>
          <w:position w:val="0"/>
        </w:rPr>
        <w:t>销售模式及渠道情况</w:t>
      </w:r>
      <w:bookmarkEnd w:id="166"/>
      <w:bookmarkEnd w:id="167"/>
      <w:bookmarkEnd w:id="169"/>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产品的销售渠道及实际运营方式</w:t>
      </w:r>
    </w:p>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公司采用产品自主设计、生产外包、直营与加盟销售相结合的经营模式，致力于品牌建设与推广、营销网络建设和供应链管 理，组织旗下</w:t>
      </w:r>
      <w:r>
        <w:rPr>
          <w:color w:val="000000"/>
          <w:spacing w:val="0"/>
          <w:w w:val="100"/>
          <w:position w:val="0"/>
          <w:sz w:val="18"/>
          <w:szCs w:val="18"/>
        </w:rPr>
        <w:t>Metersbonwe</w:t>
      </w:r>
      <w:r>
        <w:rPr>
          <w:color w:val="000000"/>
          <w:spacing w:val="0"/>
          <w:w w:val="100"/>
          <w:position w:val="0"/>
        </w:rPr>
        <w:t>、</w:t>
      </w:r>
      <w:r>
        <w:rPr>
          <w:color w:val="000000"/>
          <w:spacing w:val="0"/>
          <w:w w:val="100"/>
          <w:position w:val="0"/>
          <w:sz w:val="18"/>
          <w:szCs w:val="18"/>
        </w:rPr>
        <w:t>ME&amp;CITY</w:t>
      </w:r>
      <w:r>
        <w:rPr>
          <w:color w:val="000000"/>
          <w:spacing w:val="0"/>
          <w:w w:val="100"/>
          <w:position w:val="0"/>
        </w:rPr>
        <w:t>、</w:t>
      </w:r>
      <w:r>
        <w:rPr>
          <w:color w:val="000000"/>
          <w:spacing w:val="0"/>
          <w:w w:val="100"/>
          <w:position w:val="0"/>
          <w:sz w:val="18"/>
          <w:szCs w:val="18"/>
        </w:rPr>
        <w:t>Moomoo, ME&amp;CITYKIDS</w:t>
      </w:r>
      <w:r>
        <w:rPr>
          <w:color w:val="000000"/>
          <w:spacing w:val="0"/>
          <w:w w:val="100"/>
          <w:position w:val="0"/>
        </w:rPr>
        <w:t>等品牌时尚休闲服饰产品的设计和销售，并通过线下店铺渠道 和互联网电子商务平台开展自有品牌的推广和相关时尚休闲商品的销售。</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销售渠道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1,072,190,960.56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932,212,658.81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-173,231,675.94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-156,637,926.32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1,199,998,054.70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500,250,720.84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-890,223,519.80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-396,128,562.03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1,502,308,574.36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1,038,390,748.46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-571,816,766.64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-305,048,986.54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bl>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变化原因</w:t>
      </w:r>
    </w:p>
    <w:p>
      <w:pPr>
        <w:pStyle w:val="Style33"/>
        <w:keepNext w:val="0"/>
        <w:keepLines w:val="0"/>
        <w:widowControl w:val="0"/>
        <w:shd w:val="clear" w:color="auto" w:fill="auto"/>
        <w:bidi w:val="0"/>
        <w:spacing w:before="0" w:after="380" w:line="322" w:lineRule="exact"/>
        <w:ind w:left="0" w:right="0" w:firstLine="0"/>
        <w:jc w:val="both"/>
      </w:pPr>
      <w:r>
        <w:rPr>
          <w:color w:val="000000"/>
          <w:spacing w:val="0"/>
          <w:w w:val="100"/>
          <w:position w:val="0"/>
        </w:rPr>
        <w:t>直营销售收入较上年同期下降</w:t>
      </w:r>
      <w:r>
        <w:rPr>
          <w:rFonts w:ascii="Times New Roman" w:eastAsia="Times New Roman" w:hAnsi="Times New Roman" w:cs="Times New Roman"/>
          <w:color w:val="000000"/>
          <w:spacing w:val="0"/>
          <w:w w:val="100"/>
          <w:position w:val="0"/>
          <w:sz w:val="18"/>
          <w:szCs w:val="18"/>
        </w:rPr>
        <w:t>42.59%</w:t>
      </w:r>
      <w:r>
        <w:rPr>
          <w:color w:val="000000"/>
          <w:spacing w:val="0"/>
          <w:w w:val="100"/>
          <w:position w:val="0"/>
        </w:rPr>
        <w:t>，主要是由于受新冠疫情影响，公司调整渠道策略，关闭了部分城市主要商圈里难以 持续盈利的或低效直营店铺，导致门店销售收入下降明显。</w:t>
      </w:r>
    </w:p>
    <w:p>
      <w:pPr>
        <w:pStyle w:val="Style36"/>
        <w:keepNext/>
        <w:keepLines/>
        <w:widowControl w:val="0"/>
        <w:numPr>
          <w:ilvl w:val="0"/>
          <w:numId w:val="5"/>
        </w:numPr>
        <w:shd w:val="clear" w:color="auto" w:fill="auto"/>
        <w:bidi w:val="0"/>
        <w:spacing w:before="0" w:after="280" w:line="240" w:lineRule="auto"/>
        <w:ind w:left="0" w:right="0" w:firstLine="0"/>
        <w:jc w:val="both"/>
      </w:pPr>
      <w:bookmarkStart w:id="170" w:name="bookmark170"/>
      <w:bookmarkStart w:id="171" w:name="bookmark171"/>
      <w:bookmarkStart w:id="172" w:name="bookmark172"/>
      <w:bookmarkStart w:id="173" w:name="bookmark173"/>
      <w:bookmarkEnd w:id="172"/>
      <w:r>
        <w:rPr>
          <w:color w:val="000000"/>
          <w:spacing w:val="0"/>
          <w:w w:val="100"/>
          <w:position w:val="0"/>
        </w:rPr>
        <w:t>加盟、分销</w:t>
      </w:r>
      <w:bookmarkEnd w:id="170"/>
      <w:bookmarkEnd w:id="171"/>
      <w:bookmarkEnd w:id="173"/>
    </w:p>
    <w:p>
      <w:pPr>
        <w:pStyle w:val="Style3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加盟商、分销商实现销售收入占比超过</w:t>
      </w:r>
      <w:r>
        <w:rPr>
          <w:rFonts w:ascii="Times New Roman" w:eastAsia="Times New Roman" w:hAnsi="Times New Roman" w:cs="Times New Roman"/>
          <w:color w:val="000000"/>
          <w:spacing w:val="0"/>
          <w:w w:val="100"/>
          <w:position w:val="0"/>
          <w:sz w:val="18"/>
          <w:szCs w:val="18"/>
        </w:rPr>
        <w:t>30%</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公司与加盟商合作模式主要为以批发方式对加盟商进行公司品牌服饰销售。本公司在履行了合同中的履约义务，即在客户取 得相关商品或服务控制权时，按照分摊至该项履约义务的交易价格确认收入，对于批发，本公司根据合同条款规定，于商品 出库或者加盟商验收时确认收入。对于附有销售退回条款的销售，本公司在客户取得相关商品控制权时，按照因向客户转让 商品而预期有权收取的对价金额确认收入，按照预期因销售退回将退还的金额确认为预计负债；同时，按照预期将退回商品 转让时的账面价值，扣除收回该商品预计发生的成本(包括退回商品的价值减损)后的余额，确认为一项资产，即应收退货 成本，按照所转让商品转让时的账面价值，扣除上述资产成本的净额结转成本。每一资产负债表日，本公司重新估计未来销 售退回情况，并对上述资产和负债进行重新计量。</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年末公司加盟商数量为</w:t>
      </w:r>
      <w:r>
        <w:rPr>
          <w:rFonts w:ascii="Times New Roman" w:eastAsia="Times New Roman" w:hAnsi="Times New Roman" w:cs="Times New Roman"/>
          <w:color w:val="000000"/>
          <w:spacing w:val="0"/>
          <w:w w:val="100"/>
          <w:position w:val="0"/>
          <w:sz w:val="18"/>
          <w:szCs w:val="18"/>
        </w:rPr>
        <w:t>1,766</w:t>
      </w:r>
      <w:r>
        <w:rPr>
          <w:color w:val="000000"/>
          <w:spacing w:val="0"/>
          <w:w w:val="100"/>
          <w:position w:val="0"/>
        </w:rPr>
        <w:t>家。</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前五大加盟商</w:t>
      </w:r>
    </w:p>
    <w:tbl>
      <w:tblPr>
        <w:tblOverlap w:val="never"/>
        <w:jc w:val="center"/>
        <w:tblLayout w:type="fixed"/>
      </w:tblPr>
      <w:tblGrid>
        <w:gridCol w:w="802"/>
        <w:gridCol w:w="2400"/>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销售总额（元）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加盟商的层级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46,792,364.62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42,259,248.77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20,778,022.23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20,098,539.11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20,081,836.73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150,010,011.46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前五大分销商</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4</w:t>
      </w:r>
      <w:r>
        <w:rPr>
          <w:color w:val="000000"/>
          <w:spacing w:val="0"/>
          <w:w w:val="100"/>
          <w:position w:val="0"/>
        </w:rPr>
        <w:t>）线上销售</w:t>
      </w:r>
      <w:bookmarkEnd w:id="174"/>
      <w:bookmarkEnd w:id="175"/>
      <w:bookmarkEnd w:id="177"/>
    </w:p>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线上销售实现销售收入占比超过</w:t>
      </w:r>
      <w:r>
        <w:rPr>
          <w:rFonts w:ascii="Times New Roman" w:eastAsia="Times New Roman" w:hAnsi="Times New Roman" w:cs="Times New Roman"/>
          <w:color w:val="000000"/>
          <w:spacing w:val="0"/>
          <w:w w:val="100"/>
          <w:position w:val="0"/>
          <w:sz w:val="18"/>
          <w:szCs w:val="18"/>
        </w:rPr>
        <w:t>30%</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是否自建销售平台</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开始运营的时间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注册用户数量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8,516,264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月均活跃用户数量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主要销售品牌的退货率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主要销售品类的退货率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是否与第三方销售平台合作</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报告期内的交易金额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向该平台支付费用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退货率</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727,950,214.21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46,040,039.13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r>
    </w:tbl>
    <w:p>
      <w:pPr>
        <w:pStyle w:val="Style3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公司开设或关闭线上销售渠道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4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5</w:t>
      </w:r>
      <w:r>
        <w:rPr>
          <w:color w:val="000000"/>
          <w:spacing w:val="0"/>
          <w:w w:val="100"/>
          <w:position w:val="0"/>
        </w:rPr>
        <w:t>）</w:t>
        <w:tab/>
        <w:t>代运营模式</w:t>
      </w:r>
      <w:bookmarkEnd w:id="178"/>
      <w:bookmarkEnd w:id="179"/>
      <w:bookmarkEnd w:id="181"/>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是否涉及代运营模式</w:t>
      </w:r>
    </w:p>
    <w:p>
      <w:pPr>
        <w:pStyle w:val="Style3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6</w:t>
      </w:r>
      <w:r>
        <w:rPr>
          <w:color w:val="000000"/>
          <w:spacing w:val="0"/>
          <w:w w:val="100"/>
          <w:position w:val="0"/>
        </w:rPr>
        <w:t>）</w:t>
        <w:tab/>
        <w:t>存货情况</w:t>
      </w:r>
      <w:bookmarkEnd w:id="182"/>
      <w:bookmarkEnd w:id="183"/>
      <w:bookmarkEnd w:id="18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存货情况</w:t>
      </w: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存货周转天数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存货库龄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存货余额同比增减 情况</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服饰产成品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24,392,686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99,636.09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年为 </w:t>
            </w:r>
            <w:r>
              <w:rPr>
                <w:rFonts w:ascii="Times New Roman" w:eastAsia="Times New Roman" w:hAnsi="Times New Roman" w:cs="Times New Roman"/>
                <w:color w:val="000000"/>
                <w:spacing w:val="0"/>
                <w:w w:val="100"/>
                <w:position w:val="0"/>
                <w:sz w:val="18"/>
                <w:szCs w:val="18"/>
              </w:rPr>
              <w:t xml:space="preserve">38,003.57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15,240.46</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5,333.75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本年加大库存消化 力度，同时采购规模 有所下降。</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存货跌价准备的计提情况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公司存货主要为服饰产成品，占比</w:t>
      </w:r>
      <w:r>
        <w:rPr>
          <w:rFonts w:ascii="Times New Roman" w:eastAsia="Times New Roman" w:hAnsi="Times New Roman" w:cs="Times New Roman"/>
          <w:color w:val="000000"/>
          <w:spacing w:val="0"/>
          <w:w w:val="100"/>
          <w:position w:val="0"/>
          <w:sz w:val="18"/>
          <w:szCs w:val="18"/>
        </w:rPr>
        <w:t>99.48%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年末服饰存货库龄结构及跌价计提情况如下:</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单位：万元</w:t>
      </w:r>
    </w:p>
    <w:tbl>
      <w:tblPr>
        <w:tblOverlap w:val="never"/>
        <w:jc w:val="center"/>
        <w:tblLayout w:type="fixed"/>
      </w:tblPr>
      <w:tblGrid>
        <w:gridCol w:w="1406"/>
        <w:gridCol w:w="1829"/>
        <w:gridCol w:w="1843"/>
        <w:gridCol w:w="2122"/>
        <w:gridCol w:w="1704"/>
        <w:gridCol w:w="157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库龄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存货原值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占比</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跌价计提比例</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103, </w:t>
            </w:r>
            <w:r>
              <w:rPr>
                <w:color w:val="000000"/>
                <w:spacing w:val="0"/>
                <w:w w:val="100"/>
                <w:position w:val="0"/>
                <w:sz w:val="18"/>
                <w:szCs w:val="18"/>
              </w:rPr>
              <w:t xml:space="preserve">467.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3,831.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99, </w:t>
            </w:r>
            <w:r>
              <w:rPr>
                <w:color w:val="000000"/>
                <w:spacing w:val="0"/>
                <w:w w:val="100"/>
                <w:position w:val="0"/>
                <w:sz w:val="18"/>
                <w:szCs w:val="18"/>
              </w:rPr>
              <w:t xml:space="preserve">636.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47, </w:t>
            </w:r>
            <w:r>
              <w:rPr>
                <w:color w:val="000000"/>
                <w:spacing w:val="0"/>
                <w:w w:val="100"/>
                <w:position w:val="0"/>
                <w:sz w:val="18"/>
                <w:szCs w:val="18"/>
              </w:rPr>
              <w:t xml:space="preserve">528.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524.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003.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103.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862.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240.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 </w:t>
            </w:r>
            <w:r>
              <w:rPr>
                <w:color w:val="000000"/>
                <w:spacing w:val="0"/>
                <w:w w:val="100"/>
                <w:position w:val="0"/>
                <w:sz w:val="18"/>
                <w:szCs w:val="18"/>
              </w:rPr>
              <w:t>61%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200.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866.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5,333.75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w:t>
            </w:r>
            <w:r>
              <w:rPr>
                <w:color w:val="000000"/>
                <w:spacing w:val="0"/>
                <w:w w:val="100"/>
                <w:position w:val="0"/>
                <w:sz w:val="18"/>
                <w:szCs w:val="18"/>
              </w:rPr>
              <w:t>60%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 xml:space="preserve">197, </w:t>
            </w:r>
            <w:r>
              <w:rPr>
                <w:b/>
                <w:bCs/>
                <w:color w:val="000000"/>
                <w:spacing w:val="0"/>
                <w:w w:val="100"/>
                <w:position w:val="0"/>
              </w:rPr>
              <w:t xml:space="preserve">298. </w:t>
            </w:r>
            <w:r>
              <w:rPr>
                <w:b/>
                <w:bCs/>
                <w:color w:val="000000"/>
                <w:spacing w:val="0"/>
                <w:w w:val="100"/>
                <w:position w:val="0"/>
              </w:rPr>
              <w:t>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 xml:space="preserve">39, </w:t>
            </w:r>
            <w:r>
              <w:rPr>
                <w:b/>
                <w:bCs/>
                <w:color w:val="000000"/>
                <w:spacing w:val="0"/>
                <w:w w:val="100"/>
                <w:position w:val="0"/>
              </w:rPr>
              <w:t xml:space="preserve">084. </w:t>
            </w:r>
            <w:r>
              <w:rPr>
                <w:b/>
                <w:bCs/>
                <w:color w:val="000000"/>
                <w:spacing w:val="0"/>
                <w:w w:val="100"/>
                <w:position w:val="0"/>
              </w:rPr>
              <w:t>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158,213.87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19.81%</w:t>
            </w:r>
          </w:p>
        </w:tc>
      </w:tr>
    </w:tbl>
    <w:p>
      <w:pPr>
        <w:widowControl w:val="0"/>
        <w:spacing w:after="259" w:line="1" w:lineRule="exact"/>
      </w:pPr>
    </w:p>
    <w:p>
      <w:pPr>
        <w:pStyle w:val="Style33"/>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公司服饰产成品按单个存货项目进行减值测试，存货跌价准备的计提依据为于资产负债表日，按照成本与可变现净值孰低计 量，对成本高于可变现净值的，计提存货跌价准备，计入当期损益。可变现净值，是指在日常经营活动中，存货的估计售价 减去估计的销售费用以及相关税费后的金额。作为服装零售企业，产品的售价受服装的季节性和时尚性影响很大，其可变现 净值随着库龄增加而降低。如果以前计提存货跌价准备的影响因素已经消失，使得存货的可变现净值高于其账面价值，则在 原已计提的存货跌价准备金额内，将以前减记的金额予以恢复，转回的金额计入当期损益。</w:t>
      </w:r>
    </w:p>
    <w:p>
      <w:pPr>
        <w:pStyle w:val="Style3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年年初公司服饰产成品存货跌价准备余额</w:t>
      </w:r>
      <w:r>
        <w:rPr>
          <w:rFonts w:ascii="Times New Roman" w:eastAsia="Times New Roman" w:hAnsi="Times New Roman" w:cs="Times New Roman"/>
          <w:color w:val="000000"/>
          <w:spacing w:val="0"/>
          <w:w w:val="100"/>
          <w:position w:val="0"/>
          <w:sz w:val="18"/>
          <w:szCs w:val="18"/>
        </w:rPr>
        <w:t>45,145.36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年度内新增计提额为</w:t>
      </w:r>
      <w:r>
        <w:rPr>
          <w:rFonts w:ascii="Times New Roman" w:eastAsia="Times New Roman" w:hAnsi="Times New Roman" w:cs="Times New Roman"/>
          <w:color w:val="000000"/>
          <w:spacing w:val="0"/>
          <w:w w:val="100"/>
          <w:position w:val="0"/>
          <w:sz w:val="18"/>
          <w:szCs w:val="18"/>
        </w:rPr>
        <w:t>18,921.8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万元，转销</w:t>
      </w:r>
      <w:r>
        <w:rPr>
          <w:rFonts w:ascii="Times New Roman" w:eastAsia="Times New Roman" w:hAnsi="Times New Roman" w:cs="Times New Roman"/>
          <w:color w:val="000000"/>
          <w:spacing w:val="0"/>
          <w:w w:val="100"/>
          <w:position w:val="0"/>
          <w:sz w:val="18"/>
          <w:szCs w:val="18"/>
        </w:rPr>
        <w:t>24,982.19</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年末存货跌价余额为</w:t>
      </w:r>
      <w:r>
        <w:rPr>
          <w:rFonts w:ascii="Times New Roman" w:eastAsia="Times New Roman" w:hAnsi="Times New Roman" w:cs="Times New Roman"/>
          <w:color w:val="000000"/>
          <w:spacing w:val="0"/>
          <w:w w:val="100"/>
          <w:position w:val="0"/>
          <w:sz w:val="18"/>
          <w:szCs w:val="18"/>
        </w:rPr>
        <w:t>39,084.96</w:t>
      </w:r>
      <w:r>
        <w:rPr>
          <w:color w:val="000000"/>
          <w:spacing w:val="0"/>
          <w:w w:val="100"/>
          <w:position w:val="0"/>
        </w:rPr>
        <w:t>万元。</w:t>
      </w:r>
    </w:p>
    <w:p>
      <w:pPr>
        <w:pStyle w:val="Style36"/>
        <w:keepNext/>
        <w:keepLines/>
        <w:widowControl w:val="0"/>
        <w:shd w:val="clear" w:color="auto" w:fill="auto"/>
        <w:bidi w:val="0"/>
        <w:spacing w:before="0" w:after="40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7</w:t>
      </w:r>
      <w:r>
        <w:rPr>
          <w:color w:val="000000"/>
          <w:spacing w:val="0"/>
          <w:w w:val="100"/>
          <w:position w:val="0"/>
        </w:rPr>
        <w:t>）品牌建设情况</w:t>
      </w:r>
      <w:bookmarkEnd w:id="186"/>
      <w:bookmarkEnd w:id="187"/>
      <w:bookmarkEnd w:id="189"/>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公司是否涉及生产和销售品牌服装、服饰以及家纺产品</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自有品牌</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品牌名称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商标名称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特点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目标客户群</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主要产品价格 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主要销售区域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城市级别</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美特斯邦威</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美特斯邦威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邦威 </w:t>
            </w:r>
            <w:r>
              <w:rPr>
                <w:rFonts w:ascii="Times New Roman" w:eastAsia="Times New Roman" w:hAnsi="Times New Roman" w:cs="Times New Roman"/>
                <w:color w:val="000000"/>
                <w:spacing w:val="0"/>
                <w:w w:val="100"/>
                <w:position w:val="0"/>
                <w:sz w:val="18"/>
                <w:szCs w:val="18"/>
              </w:rPr>
              <w:t>/Metersbonwe/ bonwe</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年轻潮流休闲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后年轻人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99-899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中国全国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澳台地区</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一线到四线</w:t>
            </w:r>
          </w:p>
        </w:tc>
      </w:tr>
      <w:tr>
        <w:trPr>
          <w:trHeight w:val="79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Me&amp;City</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米安斯迪</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ME&amp;CITY</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成人服饰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时尚、全品类、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高品质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岁人群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300-2000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华东、华北、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一线到三线</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米喜迪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米喜迪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儿童服装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精致、时尚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后父母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99-1299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上海、华中、</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一线到三线</w:t>
            </w:r>
          </w:p>
        </w:tc>
      </w:tr>
    </w:tbl>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Me&amp;City Kids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Me&amp;City Kids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岁儿童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MOOMOO</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moomoo</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儿童产品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舒适、自然、 趣味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岁儿童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华北、东北、 华中、华东、 西南、西北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一线到四线</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祺 </w:t>
            </w:r>
            <w:r>
              <w:rPr>
                <w:rFonts w:ascii="Times New Roman" w:eastAsia="Times New Roman" w:hAnsi="Times New Roman" w:cs="Times New Roman"/>
                <w:color w:val="000000"/>
                <w:spacing w:val="0"/>
                <w:w w:val="100"/>
                <w:position w:val="0"/>
                <w:sz w:val="18"/>
                <w:szCs w:val="18"/>
              </w:rPr>
              <w:t>CH'IN</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祺 </w:t>
            </w:r>
            <w:r>
              <w:rPr>
                <w:rFonts w:ascii="Times New Roman" w:eastAsia="Times New Roman" w:hAnsi="Times New Roman" w:cs="Times New Roman"/>
                <w:color w:val="000000"/>
                <w:spacing w:val="0"/>
                <w:w w:val="100"/>
                <w:position w:val="0"/>
                <w:sz w:val="18"/>
                <w:szCs w:val="18"/>
              </w:rPr>
              <w:t>CH'IN</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服饰及生活方 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中国文化、慢 生活、自然、 舒适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35-45</w:t>
            </w:r>
            <w:r>
              <w:rPr>
                <w:color w:val="000000"/>
                <w:spacing w:val="0"/>
                <w:w w:val="100"/>
                <w:position w:val="0"/>
              </w:rPr>
              <w:t>岁人群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399-2399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一、二线</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合作品牌</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被授权品牌</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报告期内各品牌的营销与运营</w:t>
      </w:r>
    </w:p>
    <w:p>
      <w:pPr>
        <w:pStyle w:val="Style48"/>
        <w:keepNext w:val="0"/>
        <w:keepLines w:val="0"/>
        <w:widowControl w:val="0"/>
        <w:shd w:val="clear" w:color="auto" w:fill="auto"/>
        <w:tabs>
          <w:tab w:pos="291" w:val="left"/>
        </w:tabs>
        <w:bidi w:val="0"/>
        <w:spacing w:before="0" w:after="0"/>
        <w:ind w:left="0" w:right="0" w:firstLine="0"/>
        <w:jc w:val="left"/>
      </w:pPr>
      <w:bookmarkStart w:id="190" w:name="bookmark190"/>
      <w:r>
        <w:rPr>
          <w:color w:val="000000"/>
          <w:spacing w:val="0"/>
          <w:w w:val="100"/>
          <w:position w:val="0"/>
        </w:rPr>
        <w:t>1</w:t>
      </w:r>
      <w:bookmarkEnd w:id="190"/>
      <w:r>
        <w:rPr>
          <w:rFonts w:ascii="SimSun" w:eastAsia="SimSun" w:hAnsi="SimSun" w:cs="SimSun"/>
          <w:color w:val="000000"/>
          <w:spacing w:val="0"/>
          <w:w w:val="100"/>
          <w:position w:val="0"/>
          <w:sz w:val="17"/>
          <w:szCs w:val="17"/>
        </w:rPr>
        <w:t>、</w:t>
        <w:tab/>
      </w:r>
      <w:r>
        <w:rPr>
          <w:color w:val="000000"/>
          <w:spacing w:val="0"/>
          <w:w w:val="100"/>
          <w:position w:val="0"/>
        </w:rPr>
        <w:t>Metersbonwe</w:t>
      </w:r>
    </w:p>
    <w:p>
      <w:pPr>
        <w:pStyle w:val="Style33"/>
        <w:keepNext w:val="0"/>
        <w:keepLines w:val="0"/>
        <w:widowControl w:val="0"/>
        <w:shd w:val="clear" w:color="auto" w:fill="auto"/>
        <w:bidi w:val="0"/>
        <w:spacing w:before="0" w:after="500" w:line="319" w:lineRule="exact"/>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年美特斯邦威聚焦休闲潮流系列的产品升级策略，倾力于年轻文化推广，将高性价比作为产品核心策略，充分贴合 主流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世代”消费观念和消费理念，在国潮、国粹、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跨界、爱豆等圈层深入研究，研发和推出符合年轻人需求的产品， 借助全域渠道媒体，打造适合美特斯邦威的私域流量销售模式。</w:t>
      </w:r>
    </w:p>
    <w:p>
      <w:pPr>
        <w:pStyle w:val="Style48"/>
        <w:keepNext w:val="0"/>
        <w:keepLines w:val="0"/>
        <w:widowControl w:val="0"/>
        <w:shd w:val="clear" w:color="auto" w:fill="auto"/>
        <w:tabs>
          <w:tab w:pos="305" w:val="left"/>
        </w:tabs>
        <w:bidi w:val="0"/>
        <w:spacing w:before="0" w:after="0"/>
        <w:ind w:left="0" w:right="0" w:firstLine="0"/>
        <w:jc w:val="left"/>
      </w:pPr>
      <w:bookmarkStart w:id="191" w:name="bookmark191"/>
      <w:r>
        <w:rPr>
          <w:color w:val="000000"/>
          <w:spacing w:val="0"/>
          <w:w w:val="100"/>
          <w:position w:val="0"/>
        </w:rPr>
        <w:t>2</w:t>
      </w:r>
      <w:bookmarkEnd w:id="191"/>
      <w:r>
        <w:rPr>
          <w:rFonts w:ascii="SimSun" w:eastAsia="SimSun" w:hAnsi="SimSun" w:cs="SimSun"/>
          <w:color w:val="000000"/>
          <w:spacing w:val="0"/>
          <w:w w:val="100"/>
          <w:position w:val="0"/>
          <w:sz w:val="17"/>
          <w:szCs w:val="17"/>
        </w:rPr>
        <w:t>、</w:t>
        <w:tab/>
      </w:r>
      <w:r>
        <w:rPr>
          <w:color w:val="000000"/>
          <w:spacing w:val="0"/>
          <w:w w:val="100"/>
          <w:position w:val="0"/>
        </w:rPr>
        <w:t>ME&amp;CITY</w:t>
      </w:r>
    </w:p>
    <w:p>
      <w:pPr>
        <w:pStyle w:val="Style33"/>
        <w:keepNext w:val="0"/>
        <w:keepLines w:val="0"/>
        <w:widowControl w:val="0"/>
        <w:shd w:val="clear" w:color="auto" w:fill="auto"/>
        <w:bidi w:val="0"/>
        <w:spacing w:before="0" w:after="500" w:line="314" w:lineRule="exact"/>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迎来了品牌全面升级的元年，紧扣潮流时尚与经典服饰核心特色，将优雅个性与内蕴力量融入时装 风格，打造更能满足新都市人摩登多元的着装需求的风格产品，并与多位时尚前卫的摄影师、超模、造型师进行深度合作， 呈现更加时髦摩登、高级感的品牌形象。搭建全新的数字化营销体系，通过直播、小程序、优质</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等流量加持，成功打 造多款品牌爆款，助力</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品牌线上销售高峰期的业绩增长。线下实体同步发力，成都京都店铺形象升级，将京都 店打造为春熙路上网红打卡地，吸引了大批年轻消费者的光顾。通过与网红咖啡品牌、插画师的三方联名，帮助品牌更好地 融入年轻人的社交语境。</w:t>
      </w:r>
    </w:p>
    <w:p>
      <w:pPr>
        <w:pStyle w:val="Style48"/>
        <w:keepNext w:val="0"/>
        <w:keepLines w:val="0"/>
        <w:widowControl w:val="0"/>
        <w:shd w:val="clear" w:color="auto" w:fill="auto"/>
        <w:tabs>
          <w:tab w:pos="305" w:val="left"/>
        </w:tabs>
        <w:bidi w:val="0"/>
        <w:spacing w:before="0" w:after="0"/>
        <w:ind w:left="0" w:right="0" w:firstLine="0"/>
        <w:jc w:val="left"/>
      </w:pPr>
      <w:bookmarkStart w:id="192" w:name="bookmark192"/>
      <w:r>
        <w:rPr>
          <w:color w:val="000000"/>
          <w:spacing w:val="0"/>
          <w:w w:val="100"/>
          <w:position w:val="0"/>
        </w:rPr>
        <w:t>3</w:t>
      </w:r>
      <w:bookmarkEnd w:id="192"/>
      <w:r>
        <w:rPr>
          <w:rFonts w:ascii="SimSun" w:eastAsia="SimSun" w:hAnsi="SimSun" w:cs="SimSun"/>
          <w:color w:val="000000"/>
          <w:spacing w:val="0"/>
          <w:w w:val="100"/>
          <w:position w:val="0"/>
          <w:sz w:val="17"/>
          <w:szCs w:val="17"/>
        </w:rPr>
        <w:t>、</w:t>
        <w:tab/>
        <w:t xml:space="preserve">米喜迪 </w:t>
      </w:r>
      <w:r>
        <w:rPr>
          <w:color w:val="000000"/>
          <w:spacing w:val="0"/>
          <w:w w:val="100"/>
          <w:position w:val="0"/>
        </w:rPr>
        <w:t>ME&amp;CITY KIDS:</w:t>
      </w:r>
    </w:p>
    <w:p>
      <w:pPr>
        <w:pStyle w:val="Style33"/>
        <w:keepNext w:val="0"/>
        <w:keepLines w:val="0"/>
        <w:widowControl w:val="0"/>
        <w:shd w:val="clear" w:color="auto" w:fill="auto"/>
        <w:bidi w:val="0"/>
        <w:spacing w:before="0" w:after="500" w:line="316" w:lineRule="exact"/>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年米喜迪秉承“精致、时尚、小大人”的品牌定位，进行品牌策略升级，品牌坚持时尚、精致、品质为产品目标， 聚焦一二线城市发展，实现童装与成人装的产品风格的和谐统一，视觉传播效果也更能体现品牌基因。疫情期间，米喜迪更 加重视会员营销的运营，利用小程序平台和私域流量客群，大力发展推手机制进行线上销售，为米喜迪精准化地引入流量， 突破了疫情期间的销售瓶颈。通过全域新媒体矩阵布局，以优质内容为核心，引爆线上流量，品牌销量在数字化营销平台屡 创佳绩。</w:t>
      </w:r>
    </w:p>
    <w:p>
      <w:pPr>
        <w:pStyle w:val="Style48"/>
        <w:keepNext w:val="0"/>
        <w:keepLines w:val="0"/>
        <w:widowControl w:val="0"/>
        <w:shd w:val="clear" w:color="auto" w:fill="auto"/>
        <w:tabs>
          <w:tab w:pos="305" w:val="left"/>
        </w:tabs>
        <w:bidi w:val="0"/>
        <w:spacing w:before="0" w:after="0"/>
        <w:ind w:left="0" w:right="0" w:firstLine="0"/>
        <w:jc w:val="left"/>
      </w:pPr>
      <w:bookmarkStart w:id="193" w:name="bookmark193"/>
      <w:r>
        <w:rPr>
          <w:color w:val="000000"/>
          <w:spacing w:val="0"/>
          <w:w w:val="100"/>
          <w:position w:val="0"/>
        </w:rPr>
        <w:t>4</w:t>
      </w:r>
      <w:bookmarkEnd w:id="193"/>
      <w:r>
        <w:rPr>
          <w:rFonts w:ascii="SimSun" w:eastAsia="SimSun" w:hAnsi="SimSun" w:cs="SimSun"/>
          <w:color w:val="000000"/>
          <w:spacing w:val="0"/>
          <w:w w:val="100"/>
          <w:position w:val="0"/>
          <w:sz w:val="17"/>
          <w:szCs w:val="17"/>
        </w:rPr>
        <w:t>、</w:t>
        <w:tab/>
      </w:r>
      <w:r>
        <w:rPr>
          <w:color w:val="000000"/>
          <w:spacing w:val="0"/>
          <w:w w:val="100"/>
          <w:position w:val="0"/>
        </w:rPr>
        <w:t>moomoo</w:t>
      </w:r>
    </w:p>
    <w:p>
      <w:pPr>
        <w:pStyle w:val="Style33"/>
        <w:keepNext w:val="0"/>
        <w:keepLines w:val="0"/>
        <w:widowControl w:val="0"/>
        <w:shd w:val="clear" w:color="auto" w:fill="auto"/>
        <w:bidi w:val="0"/>
        <w:spacing w:before="0" w:after="80" w:line="313" w:lineRule="exact"/>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年，公司致力于推动</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品牌全面升级，以“舒适童年，爱发新生”为品牌定位，重新面对消费者。打造</w:t>
      </w:r>
      <w:r>
        <w:rPr>
          <w:rFonts w:ascii="Times New Roman" w:eastAsia="Times New Roman" w:hAnsi="Times New Roman" w:cs="Times New Roman"/>
          <w:color w:val="000000"/>
          <w:spacing w:val="0"/>
          <w:w w:val="100"/>
          <w:position w:val="0"/>
          <w:sz w:val="18"/>
          <w:szCs w:val="18"/>
        </w:rPr>
        <w:t xml:space="preserve">soft&amp;basic </w:t>
      </w:r>
      <w:r>
        <w:rPr>
          <w:color w:val="000000"/>
          <w:spacing w:val="0"/>
          <w:w w:val="100"/>
          <w:position w:val="0"/>
        </w:rPr>
        <w:t>基础舒适、</w:t>
      </w:r>
      <w:r>
        <w:rPr>
          <w:rFonts w:ascii="Times New Roman" w:eastAsia="Times New Roman" w:hAnsi="Times New Roman" w:cs="Times New Roman"/>
          <w:color w:val="000000"/>
          <w:spacing w:val="0"/>
          <w:w w:val="100"/>
          <w:position w:val="0"/>
          <w:sz w:val="18"/>
          <w:szCs w:val="18"/>
        </w:rPr>
        <w:t>joy&amp;fun</w:t>
      </w:r>
      <w:r>
        <w:rPr>
          <w:color w:val="000000"/>
          <w:spacing w:val="0"/>
          <w:w w:val="100"/>
          <w:position w:val="0"/>
        </w:rPr>
        <w:t>户外出游、</w:t>
      </w:r>
      <w:r>
        <w:rPr>
          <w:rFonts w:ascii="Times New Roman" w:eastAsia="Times New Roman" w:hAnsi="Times New Roman" w:cs="Times New Roman"/>
          <w:color w:val="000000"/>
          <w:spacing w:val="0"/>
          <w:w w:val="100"/>
          <w:position w:val="0"/>
          <w:sz w:val="18"/>
          <w:szCs w:val="18"/>
        </w:rPr>
        <w:t>love&amp;story</w:t>
      </w:r>
      <w:r>
        <w:rPr>
          <w:color w:val="000000"/>
          <w:spacing w:val="0"/>
          <w:w w:val="100"/>
          <w:position w:val="0"/>
        </w:rPr>
        <w:t>乐享童真三大系列风格，关注儿童美学教育，将艺术感、想象力、原创趣味融合 在品牌风格中，全方位关爱儿童的居住、出行、日常的购物需求。主张回归本质，建立具有温度的品牌定位。着眼于环保、 舒适、柔软的面料升级；积极跨界，与多个新</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进行深入合作，积累和开发众多</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忠诚粉丝，应用全新营销云店模式，设 计个性化营销活动方案、智能的库存管理帮助门店做生意拓展。建立专属时尚顾问、多种提货方式、优质售后服务的云店渠 道。通过数字化营销平台的大数据分析为消费者提供更加优质的服务及产品推介，赢得消费者一直认可与回购。</w:t>
      </w: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涉及商标权属纠纷等情况</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94"/>
      <w:bookmarkEnd w:id="195"/>
      <w:bookmarkEnd w:id="19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公司是否从事服装设计相关业务</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自有的服装设计师数量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签约的服装设计师数量</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、研发投入</w:t>
      </w:r>
      <w:bookmarkEnd w:id="198"/>
      <w:bookmarkEnd w:id="199"/>
      <w:bookmarkEnd w:id="201"/>
    </w:p>
    <w:p>
      <w:pPr>
        <w:pStyle w:val="Style3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98" w:lineRule="exact"/>
        <w:ind w:left="0" w:right="0" w:firstLine="0"/>
        <w:jc w:val="left"/>
      </w:pPr>
      <w:r>
        <w:rPr>
          <w:color w:val="000000"/>
          <w:spacing w:val="0"/>
          <w:w w:val="100"/>
          <w:position w:val="0"/>
        </w:rPr>
        <w:t>公司的研发支出主要用于信息技术研发和产品设计研发，本报告期内公司两项研发支出金额总计约</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万元。本年度公司 信息技术研发投入主要为各项</w:t>
      </w:r>
      <w:r>
        <w:rPr>
          <w:color w:val="000000"/>
          <w:spacing w:val="0"/>
          <w:w w:val="100"/>
          <w:position w:val="0"/>
          <w:sz w:val="18"/>
          <w:szCs w:val="18"/>
        </w:rPr>
        <w:t>IT</w:t>
      </w:r>
      <w:r>
        <w:rPr>
          <w:color w:val="000000"/>
          <w:spacing w:val="0"/>
          <w:w w:val="100"/>
          <w:position w:val="0"/>
        </w:rPr>
        <w:t>系统研发支出，产品设计研发主要为公司设计及工艺部门的费用支出。</w:t>
      </w:r>
    </w:p>
    <w:p>
      <w:pPr>
        <w:pStyle w:val="Style33"/>
        <w:keepNext w:val="0"/>
        <w:keepLines w:val="0"/>
        <w:widowControl w:val="0"/>
        <w:shd w:val="clear" w:color="auto" w:fill="auto"/>
        <w:bidi w:val="0"/>
        <w:spacing w:before="0" w:after="80" w:line="298"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108,913,316.89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6</w:t>
      </w:r>
      <w:bookmarkEnd w:id="204"/>
      <w:r>
        <w:rPr>
          <w:color w:val="000000"/>
          <w:spacing w:val="0"/>
          <w:w w:val="100"/>
          <w:position w:val="0"/>
        </w:rPr>
        <w:t>、现金流</w:t>
      </w:r>
      <w:bookmarkEnd w:id="202"/>
      <w:bookmarkEnd w:id="203"/>
      <w:bookmarkEnd w:id="205"/>
    </w:p>
    <w:p>
      <w:pPr>
        <w:pStyle w:val="Style33"/>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4,682,682,026.74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7,010,552,246.13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4,437,897,925.12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6,893,944,118.52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116,608,127.61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18,407,485.76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60,120,665.60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138,393,407.68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-41,713,179.84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-129,423,401.92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r>
    </w:tbl>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1,815,595,213.70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2,558,486,363.00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2,130,502,812.73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2,636,099,870.43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-19.18%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-314,907,599.03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-77,613,507.43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-112,151,876.92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-90,428,781.74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-24.02%</w:t>
            </w:r>
          </w:p>
        </w:tc>
      </w:tr>
    </w:tbl>
    <w:p>
      <w:pPr>
        <w:pStyle w:val="Style33"/>
        <w:keepNext w:val="0"/>
        <w:keepLines w:val="0"/>
        <w:widowControl w:val="0"/>
        <w:shd w:val="clear" w:color="auto" w:fill="auto"/>
        <w:bidi w:val="0"/>
        <w:spacing w:before="0" w:after="140" w:line="318" w:lineRule="exact"/>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numPr>
          <w:ilvl w:val="0"/>
          <w:numId w:val="7"/>
        </w:numPr>
        <w:shd w:val="clear" w:color="auto" w:fill="auto"/>
        <w:tabs>
          <w:tab w:pos="541" w:val="left"/>
        </w:tabs>
        <w:bidi w:val="0"/>
        <w:spacing w:before="0" w:after="0" w:line="322" w:lineRule="exact"/>
        <w:ind w:left="0" w:right="0" w:firstLine="0"/>
        <w:jc w:val="left"/>
      </w:pPr>
      <w:bookmarkStart w:id="206" w:name="bookmark206"/>
      <w:bookmarkEnd w:id="206"/>
      <w:r>
        <w:rPr>
          <w:color w:val="000000"/>
          <w:spacing w:val="0"/>
          <w:w w:val="100"/>
          <w:position w:val="0"/>
        </w:rPr>
        <w:t>经营活动产生的现金流量净额与上年同比增加</w:t>
      </w:r>
      <w:r>
        <w:rPr>
          <w:rFonts w:ascii="Times New Roman" w:eastAsia="Times New Roman" w:hAnsi="Times New Roman" w:cs="Times New Roman"/>
          <w:color w:val="000000"/>
          <w:spacing w:val="0"/>
          <w:w w:val="100"/>
          <w:position w:val="0"/>
          <w:sz w:val="18"/>
          <w:szCs w:val="18"/>
        </w:rPr>
        <w:t>109.92%</w:t>
      </w:r>
      <w:r>
        <w:rPr>
          <w:color w:val="000000"/>
          <w:spacing w:val="0"/>
          <w:w w:val="100"/>
          <w:position w:val="0"/>
        </w:rPr>
        <w:t>，主要是由于采购货款支付及直营店铺相关运营费用支出较上 年同期减少所致。</w:t>
      </w:r>
    </w:p>
    <w:p>
      <w:pPr>
        <w:pStyle w:val="Style33"/>
        <w:keepNext w:val="0"/>
        <w:keepLines w:val="0"/>
        <w:widowControl w:val="0"/>
        <w:numPr>
          <w:ilvl w:val="0"/>
          <w:numId w:val="7"/>
        </w:numPr>
        <w:shd w:val="clear" w:color="auto" w:fill="auto"/>
        <w:tabs>
          <w:tab w:pos="445" w:val="left"/>
        </w:tabs>
        <w:bidi w:val="0"/>
        <w:spacing w:before="0" w:after="0" w:line="318" w:lineRule="exact"/>
        <w:ind w:left="0" w:right="0" w:firstLine="0"/>
        <w:jc w:val="left"/>
      </w:pPr>
      <w:bookmarkStart w:id="207" w:name="bookmark207"/>
      <w:bookmarkEnd w:id="207"/>
      <w:r>
        <w:rPr>
          <w:color w:val="000000"/>
          <w:spacing w:val="0"/>
          <w:w w:val="100"/>
          <w:position w:val="0"/>
        </w:rPr>
        <w:t>投资活动产生的现金流量净额比上年同比增加</w:t>
      </w:r>
      <w:r>
        <w:rPr>
          <w:rFonts w:ascii="Times New Roman" w:eastAsia="Times New Roman" w:hAnsi="Times New Roman" w:cs="Times New Roman"/>
          <w:color w:val="000000"/>
          <w:spacing w:val="0"/>
          <w:w w:val="100"/>
          <w:position w:val="0"/>
          <w:sz w:val="18"/>
          <w:szCs w:val="18"/>
        </w:rPr>
        <w:t>67.77%</w:t>
      </w:r>
      <w:r>
        <w:rPr>
          <w:color w:val="000000"/>
          <w:spacing w:val="0"/>
          <w:w w:val="100"/>
          <w:position w:val="0"/>
        </w:rPr>
        <w:t>，主要是由于长期资产投资支出较上年度减少所致。</w:t>
      </w:r>
    </w:p>
    <w:p>
      <w:pPr>
        <w:pStyle w:val="Style33"/>
        <w:keepNext w:val="0"/>
        <w:keepLines w:val="0"/>
        <w:widowControl w:val="0"/>
        <w:numPr>
          <w:ilvl w:val="0"/>
          <w:numId w:val="7"/>
        </w:numPr>
        <w:shd w:val="clear" w:color="auto" w:fill="auto"/>
        <w:tabs>
          <w:tab w:pos="445" w:val="left"/>
        </w:tabs>
        <w:bidi w:val="0"/>
        <w:spacing w:before="0" w:after="0" w:line="318" w:lineRule="exact"/>
        <w:ind w:left="0" w:right="0" w:firstLine="0"/>
        <w:jc w:val="left"/>
      </w:pPr>
      <w:bookmarkStart w:id="208" w:name="bookmark208"/>
      <w:bookmarkEnd w:id="208"/>
      <w:r>
        <w:rPr>
          <w:color w:val="000000"/>
          <w:spacing w:val="0"/>
          <w:w w:val="100"/>
          <w:position w:val="0"/>
        </w:rPr>
        <w:t>筹资活动产生的现金流量净额比上年同期下降</w:t>
      </w:r>
      <w:r>
        <w:rPr>
          <w:rFonts w:ascii="Times New Roman" w:eastAsia="Times New Roman" w:hAnsi="Times New Roman" w:cs="Times New Roman"/>
          <w:color w:val="000000"/>
          <w:spacing w:val="0"/>
          <w:w w:val="100"/>
          <w:position w:val="0"/>
          <w:sz w:val="18"/>
          <w:szCs w:val="18"/>
        </w:rPr>
        <w:t>305.74%</w:t>
      </w:r>
      <w:r>
        <w:rPr>
          <w:color w:val="000000"/>
          <w:spacing w:val="0"/>
          <w:w w:val="100"/>
          <w:position w:val="0"/>
        </w:rPr>
        <w:t>，主要是由于本报告期取得借款收到的资金下降所致。</w:t>
      </w:r>
    </w:p>
    <w:p>
      <w:pPr>
        <w:pStyle w:val="Style33"/>
        <w:keepNext w:val="0"/>
        <w:keepLines w:val="0"/>
        <w:widowControl w:val="0"/>
        <w:shd w:val="clear" w:color="auto" w:fill="auto"/>
        <w:bidi w:val="0"/>
        <w:spacing w:before="0" w:after="140" w:line="31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660" w:line="314" w:lineRule="exact"/>
        <w:ind w:left="0" w:right="0" w:firstLine="0"/>
        <w:jc w:val="left"/>
      </w:pPr>
      <w:r>
        <w:rPr>
          <w:color w:val="000000"/>
          <w:spacing w:val="0"/>
          <w:w w:val="100"/>
          <w:position w:val="0"/>
        </w:rPr>
        <w:t>本报告期内，经营活动产生的现金净流量</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亿元，与本年度净利润</w:t>
      </w:r>
      <w:r>
        <w:rPr>
          <w:rFonts w:ascii="Times New Roman" w:eastAsia="Times New Roman" w:hAnsi="Times New Roman" w:cs="Times New Roman"/>
          <w:color w:val="000000"/>
          <w:spacing w:val="0"/>
          <w:w w:val="100"/>
          <w:position w:val="0"/>
          <w:sz w:val="18"/>
          <w:szCs w:val="18"/>
        </w:rPr>
        <w:t>-8.59</w:t>
      </w:r>
      <w:r>
        <w:rPr>
          <w:color w:val="000000"/>
          <w:spacing w:val="0"/>
          <w:w w:val="100"/>
          <w:position w:val="0"/>
        </w:rPr>
        <w:t>亿元存在差异</w:t>
      </w:r>
      <w:r>
        <w:rPr>
          <w:rFonts w:ascii="Times New Roman" w:eastAsia="Times New Roman" w:hAnsi="Times New Roman" w:cs="Times New Roman"/>
          <w:color w:val="000000"/>
          <w:spacing w:val="0"/>
          <w:w w:val="100"/>
          <w:position w:val="0"/>
          <w:sz w:val="18"/>
          <w:szCs w:val="18"/>
        </w:rPr>
        <w:t>11.54</w:t>
      </w:r>
      <w:r>
        <w:rPr>
          <w:color w:val="000000"/>
          <w:spacing w:val="0"/>
          <w:w w:val="100"/>
          <w:position w:val="0"/>
        </w:rPr>
        <w:t>亿元，主要由于本年度资产类 折旧金额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亿元，计提资产减值准备和信用减值损失</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亿元，财务费用支出及其他费用摊销</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亿元，存货规模下降</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.73 </w:t>
      </w:r>
      <w:r>
        <w:rPr>
          <w:color w:val="000000"/>
          <w:spacing w:val="0"/>
          <w:w w:val="100"/>
          <w:position w:val="0"/>
        </w:rPr>
        <w:t>亿元，经营性应收减少和经营性应付增加合计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亿元导致经营活动产生的现金净流量与本年度净利润存在较大差异。</w:t>
      </w:r>
    </w:p>
    <w:p>
      <w:pPr>
        <w:pStyle w:val="Style29"/>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三</w:t>
      </w:r>
      <w:bookmarkEnd w:id="211"/>
      <w:r>
        <w:rPr>
          <w:color w:val="000000"/>
          <w:spacing w:val="0"/>
          <w:w w:val="100"/>
          <w:position w:val="0"/>
          <w:sz w:val="24"/>
          <w:szCs w:val="24"/>
        </w:rPr>
        <w:t>、非主营业务分析</w:t>
      </w:r>
      <w:bookmarkEnd w:id="209"/>
      <w:bookmarkEnd w:id="210"/>
      <w:bookmarkEnd w:id="21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主要是对联营企业上海华瑞 银行确认的投资收益所致。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-201,730,876.71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主要是本年度存货跌价计提 及长期资产减值所致。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2,222,408.29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不具有重大影响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15,505,548.29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主要是本年度关店损失所 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四</w:t>
      </w:r>
      <w:bookmarkEnd w:id="215"/>
      <w:r>
        <w:rPr>
          <w:color w:val="000000"/>
          <w:spacing w:val="0"/>
          <w:w w:val="100"/>
          <w:position w:val="0"/>
          <w:sz w:val="24"/>
          <w:szCs w:val="24"/>
        </w:rPr>
        <w:t>、资产及负债状况分析</w:t>
      </w:r>
      <w:bookmarkEnd w:id="213"/>
      <w:bookmarkEnd w:id="214"/>
      <w:bookmarkEnd w:id="216"/>
    </w:p>
    <w:p>
      <w:pPr>
        <w:pStyle w:val="Style36"/>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、资产构成重大变动情况</w:t>
      </w:r>
      <w:bookmarkEnd w:id="217"/>
      <w:bookmarkEnd w:id="218"/>
      <w:bookmarkEnd w:id="22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700" w:firstLine="0"/>
        <w:jc w:val="right"/>
      </w:pPr>
      <w:r>
        <w:rPr>
          <w:color w:val="000000"/>
          <w:spacing w:val="0"/>
          <w:w w:val="100"/>
          <w:position w:val="0"/>
        </w:rPr>
        <w:t>单位：元</w:t>
      </w: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181,348,156.2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375,122,903.82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51.66%</w:t>
            </w:r>
            <w:r>
              <w:rPr>
                <w:color w:val="000000"/>
                <w:spacing w:val="0"/>
                <w:w w:val="100"/>
                <w:position w:val="0"/>
              </w:rPr>
              <w:t>，主要由于销售收 入下滑所致。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877,643,965.4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932,682,022.17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1,590,368,536.</w:t>
            </w:r>
          </w:p>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2,052,546,752.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265,220,160.7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289,308,020.96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628,571,250.1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598,281,749.94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1,066,423,081.</w:t>
            </w:r>
          </w:p>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1,105,730,715.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3,434,859.55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79.60%</w:t>
            </w:r>
            <w:r>
              <w:rPr>
                <w:color w:val="000000"/>
                <w:spacing w:val="0"/>
                <w:w w:val="100"/>
                <w:position w:val="0"/>
              </w:rPr>
              <w:t>，主要由于年内在 建项目完工转入资产所致。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1,346,225,575.</w:t>
            </w:r>
          </w:p>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104,387,806.9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167,635,844.63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37.73%</w:t>
            </w:r>
            <w:r>
              <w:rPr>
                <w:color w:val="000000"/>
                <w:spacing w:val="0"/>
                <w:w w:val="100"/>
                <w:position w:val="0"/>
              </w:rPr>
              <w:t>，主要由于预付采 购货款较上年末减少所致。</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227,887,465.8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166,797,913.93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36.62%</w:t>
            </w:r>
            <w:r>
              <w:rPr>
                <w:color w:val="000000"/>
                <w:spacing w:val="0"/>
                <w:w w:val="100"/>
                <w:position w:val="0"/>
              </w:rPr>
              <w:t>，主要由于为缓解 受疫情影响加盟商资金困难，代垫部 分加盟商经营性资金增加所致。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44,006,659.70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208,279,318.24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78.87%</w:t>
            </w:r>
            <w:r>
              <w:rPr>
                <w:color w:val="000000"/>
                <w:spacing w:val="0"/>
                <w:w w:val="100"/>
                <w:position w:val="0"/>
              </w:rPr>
              <w:t>，主要由于年内支 持加盟资金收回所致。</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156,244,591.63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50.65%</w:t>
            </w:r>
            <w:r>
              <w:rPr>
                <w:color w:val="000000"/>
                <w:spacing w:val="0"/>
                <w:w w:val="100"/>
                <w:position w:val="0"/>
              </w:rPr>
              <w:t>，主要由于年内支 持期限在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年以上的支持加盟资金收 回所致。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94,682,066.95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165,633,223.30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42.84%</w:t>
            </w:r>
            <w:r>
              <w:rPr>
                <w:color w:val="000000"/>
                <w:spacing w:val="0"/>
                <w:w w:val="100"/>
                <w:position w:val="0"/>
              </w:rPr>
              <w:t>，主要由于店铺装 修费长期待摊费用摊销所致。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，主要由于公司 不再确认递延所得税资产所致。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476,801,566.1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982,793,949.37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51.49%</w:t>
            </w:r>
            <w:r>
              <w:rPr>
                <w:color w:val="000000"/>
                <w:spacing w:val="0"/>
                <w:w w:val="100"/>
                <w:position w:val="0"/>
              </w:rPr>
              <w:t>，主要由于报告期 内已开具的应付票据到期承兑所致。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6,612,636.25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116.30%</w:t>
            </w:r>
            <w:r>
              <w:rPr>
                <w:color w:val="000000"/>
                <w:spacing w:val="0"/>
                <w:w w:val="100"/>
                <w:position w:val="0"/>
              </w:rPr>
              <w:t>，主要由于预收 租金款增加所致。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116,933,297.6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86,043,182.77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35.90%</w:t>
            </w:r>
            <w:r>
              <w:rPr>
                <w:color w:val="000000"/>
                <w:spacing w:val="0"/>
                <w:w w:val="100"/>
                <w:position w:val="0"/>
              </w:rPr>
              <w:t>，主要由于疫情期 间国家出台社保缓交政策，期后已缴</w:t>
            </w:r>
          </w:p>
        </w:tc>
      </w:tr>
    </w:tbl>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纳完毕。</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59,816,929.95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102,727,990.06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41.77%</w:t>
            </w:r>
            <w:r>
              <w:rPr>
                <w:color w:val="000000"/>
                <w:spacing w:val="0"/>
                <w:w w:val="100"/>
                <w:position w:val="0"/>
              </w:rPr>
              <w:t>，主要由于本年度 配发销售减少，预计期后退货下降所 致。</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以公允价值计量的资产和负债</w:t>
      </w:r>
      <w:bookmarkEnd w:id="221"/>
      <w:bookmarkEnd w:id="222"/>
      <w:bookmarkEnd w:id="22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3</w:t>
      </w:r>
      <w:bookmarkEnd w:id="227"/>
      <w:r>
        <w:rPr>
          <w:color w:val="000000"/>
          <w:spacing w:val="0"/>
          <w:w w:val="100"/>
          <w:position w:val="0"/>
        </w:rPr>
        <w:t>、</w:t>
        <w:tab/>
        <w:t>截至报告期末的资产权利受限情况</w:t>
      </w:r>
      <w:bookmarkEnd w:id="225"/>
      <w:bookmarkEnd w:id="226"/>
      <w:bookmarkEnd w:id="22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3,447,589.89</w:t>
      </w:r>
      <w:r>
        <w:rPr>
          <w:color w:val="000000"/>
          <w:spacing w:val="0"/>
          <w:w w:val="100"/>
          <w:position w:val="0"/>
        </w:rPr>
        <w:t>元的银行存款用于综合授信额度保证金。</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990,372,662.47</w:t>
      </w:r>
      <w:r>
        <w:rPr>
          <w:color w:val="000000"/>
          <w:spacing w:val="0"/>
          <w:w w:val="100"/>
          <w:position w:val="0"/>
        </w:rPr>
        <w:t>元固定资产用于银行借款抵押借款抵押及银行承兑汇票。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15,546,410.01</w:t>
      </w:r>
      <w:r>
        <w:rPr>
          <w:color w:val="000000"/>
          <w:spacing w:val="0"/>
          <w:w w:val="100"/>
          <w:position w:val="0"/>
        </w:rPr>
        <w:t>元土地使用权用于取得银行借款抵押。</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35,835,616.8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元的投资性房地产用于取得银行借款抵押及银行承兑汇票。</w:t>
      </w:r>
    </w:p>
    <w:p>
      <w:pPr>
        <w:pStyle w:val="Style29"/>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五</w:t>
      </w:r>
      <w:bookmarkEnd w:id="231"/>
      <w:r>
        <w:rPr>
          <w:color w:val="000000"/>
          <w:spacing w:val="0"/>
          <w:w w:val="100"/>
          <w:position w:val="0"/>
          <w:sz w:val="24"/>
          <w:szCs w:val="24"/>
        </w:rPr>
        <w:t>、投资状况分析</w:t>
      </w:r>
      <w:bookmarkEnd w:id="229"/>
      <w:bookmarkEnd w:id="230"/>
      <w:bookmarkEnd w:id="232"/>
    </w:p>
    <w:p>
      <w:pPr>
        <w:pStyle w:val="Style36"/>
        <w:keepNext/>
        <w:keepLines/>
        <w:widowControl w:val="0"/>
        <w:shd w:val="clear" w:color="auto" w:fill="auto"/>
        <w:tabs>
          <w:tab w:pos="368"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总体情况</w:t>
      </w:r>
      <w:bookmarkEnd w:id="233"/>
      <w:bookmarkEnd w:id="234"/>
      <w:bookmarkEnd w:id="236"/>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报告期内获取的重大的股权投资情况</w:t>
      </w:r>
      <w:bookmarkEnd w:id="237"/>
      <w:bookmarkEnd w:id="238"/>
      <w:bookmarkEnd w:id="24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报告期内正在进行的重大的非股权投资情况</w:t>
      </w:r>
      <w:bookmarkEnd w:id="241"/>
      <w:bookmarkEnd w:id="242"/>
      <w:bookmarkEnd w:id="24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4</w:t>
      </w:r>
      <w:bookmarkEnd w:id="247"/>
      <w:r>
        <w:rPr>
          <w:color w:val="000000"/>
          <w:spacing w:val="0"/>
          <w:w w:val="100"/>
          <w:position w:val="0"/>
        </w:rPr>
        <w:t>、</w:t>
        <w:tab/>
        <w:t>金融资产投资</w:t>
      </w:r>
      <w:bookmarkEnd w:id="245"/>
      <w:bookmarkEnd w:id="246"/>
      <w:bookmarkEnd w:id="248"/>
    </w:p>
    <w:p>
      <w:pPr>
        <w:pStyle w:val="Style36"/>
        <w:keepNext/>
        <w:keepLines/>
        <w:widowControl w:val="0"/>
        <w:shd w:val="clear" w:color="auto" w:fill="auto"/>
        <w:tabs>
          <w:tab w:pos="493" w:val="left"/>
        </w:tabs>
        <w:bidi w:val="0"/>
        <w:spacing w:before="0" w:line="240" w:lineRule="auto"/>
        <w:ind w:left="0" w:right="0" w:firstLine="0"/>
        <w:jc w:val="left"/>
      </w:pPr>
      <w:bookmarkStart w:id="245" w:name="bookmark245"/>
      <w:bookmarkStart w:id="246" w:name="bookmark246"/>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45"/>
      <w:bookmarkEnd w:id="246"/>
      <w:bookmarkEnd w:id="25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6"/>
        <w:keepNext/>
        <w:keepLines/>
        <w:widowControl w:val="0"/>
        <w:shd w:val="clear" w:color="auto" w:fill="auto"/>
        <w:tabs>
          <w:tab w:pos="493"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51"/>
      <w:bookmarkEnd w:id="252"/>
      <w:bookmarkEnd w:id="25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5</w:t>
      </w:r>
      <w:bookmarkEnd w:id="257"/>
      <w:r>
        <w:rPr>
          <w:color w:val="000000"/>
          <w:spacing w:val="0"/>
          <w:w w:val="100"/>
          <w:position w:val="0"/>
        </w:rPr>
        <w:t>、募集资金使用情况</w:t>
      </w:r>
      <w:bookmarkEnd w:id="255"/>
      <w:bookmarkEnd w:id="256"/>
      <w:bookmarkEnd w:id="25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7" w:val="left"/>
        </w:tabs>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六</w:t>
      </w:r>
      <w:bookmarkEnd w:id="261"/>
      <w:r>
        <w:rPr>
          <w:color w:val="000000"/>
          <w:spacing w:val="0"/>
          <w:w w:val="100"/>
          <w:position w:val="0"/>
          <w:sz w:val="24"/>
          <w:szCs w:val="24"/>
        </w:rPr>
        <w:t>、</w:t>
        <w:tab/>
        <w:t>重大资产和股权出售</w:t>
      </w:r>
      <w:bookmarkEnd w:id="259"/>
      <w:bookmarkEnd w:id="260"/>
      <w:bookmarkEnd w:id="262"/>
    </w:p>
    <w:p>
      <w:pPr>
        <w:pStyle w:val="Style36"/>
        <w:keepNext/>
        <w:keepLines/>
        <w:widowControl w:val="0"/>
        <w:shd w:val="clear" w:color="auto" w:fill="auto"/>
        <w:tabs>
          <w:tab w:pos="429"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29"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七</w:t>
      </w:r>
      <w:bookmarkEnd w:id="273"/>
      <w:r>
        <w:rPr>
          <w:color w:val="000000"/>
          <w:spacing w:val="0"/>
          <w:w w:val="100"/>
          <w:position w:val="0"/>
          <w:sz w:val="24"/>
          <w:szCs w:val="24"/>
        </w:rPr>
        <w:t>、</w:t>
        <w:tab/>
        <w:t>主要控股参股公司分析</w:t>
      </w:r>
      <w:bookmarkEnd w:id="271"/>
      <w:bookmarkEnd w:id="272"/>
      <w:bookmarkEnd w:id="27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123,093,362.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-424,690,140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220,523,830.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-92,213,244.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-94,575,193.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9"/>
        <w:keepNext/>
        <w:keepLines/>
        <w:widowControl w:val="0"/>
        <w:shd w:val="clear" w:color="auto" w:fill="auto"/>
        <w:tabs>
          <w:tab w:pos="517"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八</w:t>
      </w:r>
      <w:bookmarkEnd w:id="277"/>
      <w:r>
        <w:rPr>
          <w:color w:val="000000"/>
          <w:spacing w:val="0"/>
          <w:w w:val="100"/>
          <w:position w:val="0"/>
          <w:sz w:val="24"/>
          <w:szCs w:val="24"/>
        </w:rPr>
        <w:t>、</w:t>
        <w:tab/>
        <w:t>公司控制的结构化主体情况</w:t>
      </w:r>
      <w:bookmarkEnd w:id="275"/>
      <w:bookmarkEnd w:id="276"/>
      <w:bookmarkEnd w:id="278"/>
    </w:p>
    <w:p>
      <w:pPr>
        <w:pStyle w:val="Style3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九</w:t>
      </w:r>
      <w:bookmarkEnd w:id="281"/>
      <w:r>
        <w:rPr>
          <w:color w:val="000000"/>
          <w:spacing w:val="0"/>
          <w:w w:val="100"/>
          <w:position w:val="0"/>
          <w:sz w:val="24"/>
          <w:szCs w:val="24"/>
        </w:rPr>
        <w:t>、</w:t>
        <w:tab/>
        <w:t>公司未来发展的展望</w:t>
      </w:r>
      <w:bookmarkEnd w:id="279"/>
      <w:bookmarkEnd w:id="280"/>
      <w:bookmarkEnd w:id="282"/>
    </w:p>
    <w:p>
      <w:pPr>
        <w:pStyle w:val="Style33"/>
        <w:keepNext w:val="0"/>
        <w:keepLines w:val="0"/>
        <w:widowControl w:val="0"/>
        <w:shd w:val="clear" w:color="auto" w:fill="auto"/>
        <w:bidi w:val="0"/>
        <w:spacing w:before="0" w:after="300" w:line="317" w:lineRule="exact"/>
        <w:ind w:left="0" w:right="0" w:firstLine="200"/>
        <w:jc w:val="both"/>
      </w:pPr>
      <w:r>
        <w:rPr>
          <w:color w:val="000000"/>
          <w:spacing w:val="0"/>
          <w:w w:val="100"/>
          <w:position w:val="0"/>
        </w:rPr>
        <w:t>后疫情时代，公司积极地拥抱新时代的消费市场需求，以数字化能力驱动产品及品牌升级，全面重构渠道布局，加强组织 建设和效率提升，实现公司经营业绩的可持续增长。</w:t>
      </w:r>
    </w:p>
    <w:p>
      <w:pPr>
        <w:pStyle w:val="Style33"/>
        <w:keepNext w:val="0"/>
        <w:keepLines w:val="0"/>
        <w:widowControl w:val="0"/>
        <w:shd w:val="clear" w:color="auto" w:fill="auto"/>
        <w:bidi w:val="0"/>
        <w:spacing w:before="0" w:after="0" w:line="310" w:lineRule="exact"/>
        <w:ind w:left="0" w:right="0" w:firstLine="0"/>
        <w:jc w:val="left"/>
      </w:pPr>
      <w:bookmarkStart w:id="283" w:name="bookmark283"/>
      <w:r>
        <w:rPr>
          <w:b/>
          <w:bCs/>
          <w:color w:val="000000"/>
          <w:spacing w:val="0"/>
          <w:w w:val="100"/>
          <w:position w:val="0"/>
        </w:rPr>
        <w:t>1</w:t>
      </w:r>
      <w:bookmarkEnd w:id="283"/>
      <w:r>
        <w:rPr>
          <w:b/>
          <w:bCs/>
          <w:color w:val="000000"/>
          <w:spacing w:val="0"/>
          <w:w w:val="100"/>
          <w:position w:val="0"/>
        </w:rPr>
        <w:t>、重塑品牌信仰，匠心成就匠艺</w:t>
      </w:r>
    </w:p>
    <w:p>
      <w:pPr>
        <w:pStyle w:val="Style33"/>
        <w:keepNext w:val="0"/>
        <w:keepLines w:val="0"/>
        <w:widowControl w:val="0"/>
        <w:shd w:val="clear" w:color="auto" w:fill="auto"/>
        <w:bidi w:val="0"/>
        <w:spacing w:before="0" w:after="340" w:line="310" w:lineRule="exact"/>
        <w:ind w:left="0" w:right="0" w:firstLine="200"/>
        <w:jc w:val="both"/>
      </w:pPr>
      <w:r>
        <w:rPr>
          <w:color w:val="000000"/>
          <w:spacing w:val="0"/>
          <w:w w:val="100"/>
          <w:position w:val="0"/>
        </w:rPr>
        <w:t>美特斯邦威将继续秉持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匠心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，巩固品牌策略的升级和深度调整，致力于打造消费者对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美特斯邦威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品牌的高度信仰和追 求，基于公司数字化能力进行消费圈层的重新定位，匹配旗下各品牌差异化的分群选择，精心打磨好每一件产品的时尚趋势 变化、款式、面料、辅料、版型、一针一线的工艺制作以及渠道匹配、营销推广等全业务产品的品牌提升，力求为目标消费 者带来极致的消费体验，成就更具高附加值的品牌竞争力。</w:t>
      </w:r>
    </w:p>
    <w:p>
      <w:pPr>
        <w:pStyle w:val="Style33"/>
        <w:keepNext w:val="0"/>
        <w:keepLines w:val="0"/>
        <w:widowControl w:val="0"/>
        <w:shd w:val="clear" w:color="auto" w:fill="auto"/>
        <w:tabs>
          <w:tab w:pos="338" w:val="left"/>
        </w:tabs>
        <w:bidi w:val="0"/>
        <w:spacing w:before="0" w:after="0" w:line="314" w:lineRule="exact"/>
        <w:ind w:left="0" w:right="0" w:firstLine="0"/>
        <w:jc w:val="left"/>
      </w:pPr>
      <w:bookmarkStart w:id="284" w:name="bookmark284"/>
      <w:r>
        <w:rPr>
          <w:b/>
          <w:bCs/>
          <w:color w:val="000000"/>
          <w:spacing w:val="0"/>
          <w:w w:val="100"/>
          <w:position w:val="0"/>
        </w:rPr>
        <w:t>2</w:t>
      </w:r>
      <w:bookmarkEnd w:id="284"/>
      <w:r>
        <w:rPr>
          <w:b/>
          <w:bCs/>
          <w:color w:val="000000"/>
          <w:spacing w:val="0"/>
          <w:w w:val="100"/>
          <w:position w:val="0"/>
        </w:rPr>
        <w:t>、</w:t>
        <w:tab/>
        <w:t>深化柔性供应链快速反应机制变革</w:t>
      </w:r>
    </w:p>
    <w:p>
      <w:pPr>
        <w:pStyle w:val="Style33"/>
        <w:keepNext w:val="0"/>
        <w:keepLines w:val="0"/>
        <w:widowControl w:val="0"/>
        <w:shd w:val="clear" w:color="auto" w:fill="auto"/>
        <w:bidi w:val="0"/>
        <w:spacing w:before="0" w:after="280" w:line="314" w:lineRule="exact"/>
        <w:ind w:left="0" w:right="0" w:firstLine="200"/>
        <w:jc w:val="left"/>
      </w:pPr>
      <w:r>
        <w:rPr>
          <w:color w:val="000000"/>
          <w:spacing w:val="0"/>
          <w:w w:val="100"/>
          <w:position w:val="0"/>
        </w:rPr>
        <w:t>公司计划通过资金流、物流、信息流等产业链要素升级，实现对供应链更有力地掌控，推动产业链向更柔性、敏捷的方向 改革。按产品类别差异化做供应资源深度整合，聚焦面辅料及成衣优质供应资源做全价值链合作，尤其在产能规划、前瞻性 面辅料开发、加工工艺及版型技术方面做重点持续升级；深化柔性快反机制上做流程深度改革，从面辅料及成衣产能规划、 通用性面辅料集成度的提升、生产供应资源的匹配以及工厂直发店铺的快速流通模式，更快满足适销产品的市场需求。</w:t>
      </w:r>
    </w:p>
    <w:p>
      <w:pPr>
        <w:pStyle w:val="Style33"/>
        <w:keepNext w:val="0"/>
        <w:keepLines w:val="0"/>
        <w:widowControl w:val="0"/>
        <w:shd w:val="clear" w:color="auto" w:fill="auto"/>
        <w:tabs>
          <w:tab w:pos="338" w:val="left"/>
        </w:tabs>
        <w:bidi w:val="0"/>
        <w:spacing w:before="0" w:after="0" w:line="312" w:lineRule="exact"/>
        <w:ind w:left="0" w:right="0" w:firstLine="0"/>
        <w:jc w:val="left"/>
      </w:pPr>
      <w:bookmarkStart w:id="285" w:name="bookmark285"/>
      <w:r>
        <w:rPr>
          <w:b/>
          <w:bCs/>
          <w:color w:val="000000"/>
          <w:spacing w:val="0"/>
          <w:w w:val="100"/>
          <w:position w:val="0"/>
        </w:rPr>
        <w:t>3</w:t>
      </w:r>
      <w:bookmarkEnd w:id="285"/>
      <w:r>
        <w:rPr>
          <w:b/>
          <w:bCs/>
          <w:color w:val="000000"/>
          <w:spacing w:val="0"/>
          <w:w w:val="100"/>
          <w:position w:val="0"/>
        </w:rPr>
        <w:t>、</w:t>
        <w:tab/>
        <w:t>深化渠道布局，推动产业链再造</w:t>
      </w:r>
    </w:p>
    <w:p>
      <w:pPr>
        <w:pStyle w:val="Style33"/>
        <w:keepNext w:val="0"/>
        <w:keepLines w:val="0"/>
        <w:widowControl w:val="0"/>
        <w:shd w:val="clear" w:color="auto" w:fill="auto"/>
        <w:bidi w:val="0"/>
        <w:spacing w:before="0" w:after="280" w:line="312" w:lineRule="exact"/>
        <w:ind w:left="0" w:right="0" w:firstLine="200"/>
        <w:jc w:val="both"/>
      </w:pPr>
      <w:r>
        <w:rPr>
          <w:color w:val="000000"/>
          <w:spacing w:val="0"/>
          <w:w w:val="100"/>
          <w:position w:val="0"/>
        </w:rPr>
        <w:t>随着国内疫情逐渐得到缓解，零售行业线下业务得以逐渐恢复。而在疫情带来新需求的市场变化下，原有的零售场景逐渐 迭代。公司在渠道调整优化方面的步伐并未放缓，将开启渠道布局的新篇章，一方面有序关闭部分因商圈的转移而不符合品 牌定位的店铺，同时在全国范围内着力拓展加盟店铺，抓住后疫情时代逐渐涌现出来的优质渠道店铺，充分占据线下零售市 场的空间，加快渠道的布局，积极致力于打造健康可持续的服装产业价值链。</w:t>
      </w:r>
    </w:p>
    <w:p>
      <w:pPr>
        <w:pStyle w:val="Style33"/>
        <w:keepNext w:val="0"/>
        <w:keepLines w:val="0"/>
        <w:widowControl w:val="0"/>
        <w:shd w:val="clear" w:color="auto" w:fill="auto"/>
        <w:tabs>
          <w:tab w:pos="338" w:val="left"/>
        </w:tabs>
        <w:bidi w:val="0"/>
        <w:spacing w:before="0" w:after="0" w:line="310" w:lineRule="exact"/>
        <w:ind w:left="0" w:right="0" w:firstLine="0"/>
        <w:jc w:val="left"/>
      </w:pPr>
      <w:bookmarkStart w:id="286" w:name="bookmark286"/>
      <w:r>
        <w:rPr>
          <w:b/>
          <w:bCs/>
          <w:color w:val="000000"/>
          <w:spacing w:val="0"/>
          <w:w w:val="100"/>
          <w:position w:val="0"/>
        </w:rPr>
        <w:t>4</w:t>
      </w:r>
      <w:bookmarkEnd w:id="286"/>
      <w:r>
        <w:rPr>
          <w:b/>
          <w:bCs/>
          <w:color w:val="000000"/>
          <w:spacing w:val="0"/>
          <w:w w:val="100"/>
          <w:position w:val="0"/>
        </w:rPr>
        <w:t>、</w:t>
        <w:tab/>
        <w:t>组织和人才发展</w:t>
      </w:r>
    </w:p>
    <w:p>
      <w:pPr>
        <w:pStyle w:val="Style33"/>
        <w:keepNext w:val="0"/>
        <w:keepLines w:val="0"/>
        <w:widowControl w:val="0"/>
        <w:shd w:val="clear" w:color="auto" w:fill="auto"/>
        <w:bidi w:val="0"/>
        <w:spacing w:before="0" w:after="360" w:line="310" w:lineRule="exact"/>
        <w:ind w:left="0" w:right="0" w:firstLine="200"/>
        <w:jc w:val="both"/>
      </w:pPr>
      <w:r>
        <w:rPr>
          <w:color w:val="000000"/>
          <w:spacing w:val="0"/>
          <w:w w:val="100"/>
          <w:position w:val="0"/>
        </w:rPr>
        <w:t>公司将继续聚焦产品、品牌、营运各项能力的提升，深化推动组织升级和人才升级的人力资源发展战略。通过打造柔性供 应链组织，打通零售的线上线下组织、推动全域零售营运管理，职能单元加强专业化和效率优先的原则，提升组织整体管理 效率；以结果为导向，落实绩效考核激励机制，让员工的价值创造有更加明确的回报，充分激发员工的积极性和创造性，提 升组织活力；持续以高素质人才标准引进和培养人才，推动高潜人才培养机制，形成有持续造血能力的人才发展体系。</w:t>
      </w:r>
    </w:p>
    <w:p>
      <w:pPr>
        <w:pStyle w:val="Style29"/>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十、接待调研、沟通、采访等活动</w:t>
      </w:r>
      <w:bookmarkEnd w:id="287"/>
      <w:bookmarkEnd w:id="288"/>
      <w:bookmarkEnd w:id="289"/>
    </w:p>
    <w:p>
      <w:pPr>
        <w:pStyle w:val="Style36"/>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、报告期内接待调研、沟通、采访等活动登记表</w:t>
      </w:r>
      <w:bookmarkEnd w:id="290"/>
      <w:bookmarkEnd w:id="291"/>
      <w:bookmarkEnd w:id="293"/>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74" w:right="595" w:bottom="1446" w:left="831" w:header="0" w:footer="3" w:gutter="0"/>
          <w:cols w:space="720"/>
          <w:noEndnote/>
          <w:rtlGutter w:val="0"/>
          <w:docGrid w:linePitch="360"/>
        </w:sectPr>
      </w:pPr>
      <w:r>
        <w:rPr>
          <w:color w:val="000000"/>
          <w:spacing w:val="0"/>
          <w:w w:val="100"/>
          <w:position w:val="0"/>
        </w:rPr>
        <w:t>公司报告期内未发生接待调研、沟通、采访等活动。</w:t>
      </w:r>
    </w:p>
    <w:p>
      <w:pPr>
        <w:pStyle w:val="Style18"/>
        <w:keepNext/>
        <w:keepLines/>
        <w:widowControl w:val="0"/>
        <w:shd w:val="clear" w:color="auto" w:fill="auto"/>
        <w:bidi w:val="0"/>
        <w:spacing w:before="540" w:line="240" w:lineRule="auto"/>
        <w:ind w:left="0" w:right="0" w:firstLine="0"/>
        <w:jc w:val="center"/>
      </w:pPr>
      <w:bookmarkStart w:id="294" w:name="bookmark294"/>
      <w:bookmarkStart w:id="295" w:name="bookmark295"/>
      <w:bookmarkStart w:id="296" w:name="bookmark296"/>
      <w:r>
        <w:rPr>
          <w:color w:val="000000"/>
          <w:spacing w:val="0"/>
          <w:w w:val="100"/>
          <w:position w:val="0"/>
        </w:rPr>
        <w:t>第五节重要事项</w:t>
      </w:r>
      <w:bookmarkEnd w:id="294"/>
      <w:bookmarkEnd w:id="295"/>
      <w:bookmarkEnd w:id="296"/>
    </w:p>
    <w:p>
      <w:pPr>
        <w:pStyle w:val="Style29"/>
        <w:keepNext/>
        <w:keepLines/>
        <w:widowControl w:val="0"/>
        <w:shd w:val="clear" w:color="auto" w:fill="auto"/>
        <w:bidi w:val="0"/>
        <w:spacing w:before="0" w:after="260" w:line="240" w:lineRule="auto"/>
        <w:ind w:left="0" w:right="0" w:firstLine="0"/>
        <w:jc w:val="left"/>
      </w:pPr>
      <w:bookmarkStart w:id="297" w:name="bookmark297"/>
      <w:bookmarkStart w:id="298" w:name="bookmark298"/>
      <w:bookmarkStart w:id="299" w:name="bookmark299"/>
      <w:bookmarkStart w:id="300" w:name="bookmark300"/>
      <w:bookmarkStart w:id="301" w:name="bookmark301"/>
      <w:r>
        <w:rPr>
          <w:color w:val="000000"/>
          <w:spacing w:val="0"/>
          <w:w w:val="100"/>
          <w:position w:val="0"/>
          <w:sz w:val="24"/>
          <w:szCs w:val="24"/>
        </w:rPr>
        <w:t>一</w:t>
      </w:r>
      <w:bookmarkEnd w:id="300"/>
      <w:r>
        <w:rPr>
          <w:color w:val="000000"/>
          <w:spacing w:val="0"/>
          <w:w w:val="100"/>
          <w:position w:val="0"/>
          <w:sz w:val="24"/>
          <w:szCs w:val="24"/>
        </w:rPr>
        <w:t>、公司普通股利润分配及资本公积金转增股本情况</w:t>
      </w:r>
      <w:bookmarkEnd w:id="298"/>
      <w:bookmarkEnd w:id="299"/>
      <w:bookmarkEnd w:id="301"/>
      <w:bookmarkEnd w:id="297"/>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上市以来，公司的分红政策一直较为稳定，每年的股利支付率基本维持在当年每股可分配利润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的水平。公司制定 当年利润分配政策须经董事会讨论审议，在审议之前独立董事针对当年经营业绩实现情况、公司整体现金流情况对具体利润 分配方案进行了认真思考并在董事会上审慎的发表意见；在年度股东大会上，公司广大中小股东能够针对此项议案充分发表 意见，维护自身合法权益。</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为进一步保障广大股东权益，公司第四届十三次董事会审议通过了《关于修订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并办理工商变更登记的议案》， 对现行《公司章程》中涉及股利分配政策的相关条款进行了修改，包括利润分配的原则及形式、现金分红的具体条件和比例 等具体政策。公司实施积极的利润分配政策，重视对投资者的合理投资回报，保持利润分配政策的连续性和稳定性，并符合 法律、法规的相关规定。公司利润分配不得超过累计可供分配利润的范围，不得损害公司持续经营能力，并坚持如下原则：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）按法定顺序分配的原则；（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）存在未弥补亏损、不得分配的原则；（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）公司持有的公司股份不得分配利润的原则。</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在满足现金分红条件、保证公司正常经营和长远发展的前提下，公司原则上每年年度股东大会召开后进行一次现金分红，公 司董事会可以根据公司的盈利状况及资金需求状况提议公司进行中期现金分红。公司应保持利润分配政策的连续性和稳定 性，在满足现金分红条件时，每年以现金方式分配的利润应不低于当年实现的可分配利润的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,且任意三个连续会计年度 内，公司以现金方式累计分配的利润不少于该三年实现的年均可分配利润的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。在公司现金流状况良好且不存在重大投资 计划或重大现金支出等事项发生时，公司将尽量提高现金分红的比例。</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公司第四届董事会第十五次会议审议通过</w:t>
      </w:r>
      <w:r>
        <w:rPr>
          <w:color w:val="000000"/>
          <w:spacing w:val="0"/>
          <w:w w:val="100"/>
          <w:position w:val="0"/>
          <w:sz w:val="18"/>
          <w:szCs w:val="18"/>
        </w:rPr>
        <w:t>2018</w:t>
      </w:r>
      <w:r>
        <w:rPr>
          <w:color w:val="000000"/>
          <w:spacing w:val="0"/>
          <w:w w:val="100"/>
          <w:position w:val="0"/>
        </w:rPr>
        <w:t>年度利润分配预案：鉴于公司</w:t>
      </w:r>
      <w:r>
        <w:rPr>
          <w:color w:val="000000"/>
          <w:spacing w:val="0"/>
          <w:w w:val="100"/>
          <w:position w:val="0"/>
          <w:sz w:val="18"/>
          <w:szCs w:val="18"/>
        </w:rPr>
        <w:t>2018</w:t>
      </w:r>
      <w:r>
        <w:rPr>
          <w:color w:val="000000"/>
          <w:spacing w:val="0"/>
          <w:w w:val="100"/>
          <w:position w:val="0"/>
        </w:rPr>
        <w:t>年度刚实现扭亏为盈，基于对股东长 远利益的考虑，为保证公司正常经营和长远发展，公司</w:t>
      </w:r>
      <w:r>
        <w:rPr>
          <w:color w:val="000000"/>
          <w:spacing w:val="0"/>
          <w:w w:val="100"/>
          <w:position w:val="0"/>
          <w:sz w:val="18"/>
          <w:szCs w:val="18"/>
        </w:rPr>
        <w:t>2018</w:t>
      </w:r>
      <w:r>
        <w:rPr>
          <w:color w:val="000000"/>
          <w:spacing w:val="0"/>
          <w:w w:val="100"/>
          <w:position w:val="0"/>
        </w:rPr>
        <w:t>年度拟不派发现金红利，不送红股，不以公积金转增股本。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公司第四届董事会第二十四次会议审议通过</w:t>
      </w:r>
      <w:r>
        <w:rPr>
          <w:color w:val="000000"/>
          <w:spacing w:val="0"/>
          <w:w w:val="100"/>
          <w:position w:val="0"/>
          <w:sz w:val="18"/>
          <w:szCs w:val="18"/>
        </w:rPr>
        <w:t>2019</w:t>
      </w:r>
      <w:r>
        <w:rPr>
          <w:color w:val="000000"/>
          <w:spacing w:val="0"/>
          <w:w w:val="100"/>
          <w:position w:val="0"/>
        </w:rPr>
        <w:t>年度利润分配预案：鉴于公司</w:t>
      </w:r>
      <w:r>
        <w:rPr>
          <w:color w:val="000000"/>
          <w:spacing w:val="0"/>
          <w:w w:val="100"/>
          <w:position w:val="0"/>
          <w:sz w:val="18"/>
          <w:szCs w:val="18"/>
        </w:rPr>
        <w:t>2019</w:t>
      </w:r>
      <w:r>
        <w:rPr>
          <w:color w:val="000000"/>
          <w:spacing w:val="0"/>
          <w:w w:val="100"/>
          <w:position w:val="0"/>
        </w:rPr>
        <w:t>年度亏损，为保证公司的稳定发展， 基于对股东长远利益的考虑，公司</w:t>
      </w:r>
      <w:r>
        <w:rPr>
          <w:color w:val="000000"/>
          <w:spacing w:val="0"/>
          <w:w w:val="100"/>
          <w:position w:val="0"/>
          <w:sz w:val="18"/>
          <w:szCs w:val="18"/>
        </w:rPr>
        <w:t>2019</w:t>
      </w:r>
      <w:r>
        <w:rPr>
          <w:color w:val="000000"/>
          <w:spacing w:val="0"/>
          <w:w w:val="100"/>
          <w:position w:val="0"/>
        </w:rPr>
        <w:t>年度拟不派发现金红利，不送红股，不以公积金转增股本。</w:t>
      </w:r>
    </w:p>
    <w:p>
      <w:pPr>
        <w:pStyle w:val="Style33"/>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公司第五届董事会第七次会议审议通过</w:t>
      </w:r>
      <w:r>
        <w:rPr>
          <w:color w:val="000000"/>
          <w:spacing w:val="0"/>
          <w:w w:val="100"/>
          <w:position w:val="0"/>
          <w:sz w:val="18"/>
          <w:szCs w:val="18"/>
        </w:rPr>
        <w:t>2020</w:t>
      </w:r>
      <w:r>
        <w:rPr>
          <w:color w:val="000000"/>
          <w:spacing w:val="0"/>
          <w:w w:val="100"/>
          <w:position w:val="0"/>
        </w:rPr>
        <w:t>年度利润分配预案：鉴于公司</w:t>
      </w:r>
      <w:r>
        <w:rPr>
          <w:color w:val="000000"/>
          <w:spacing w:val="0"/>
          <w:w w:val="100"/>
          <w:position w:val="0"/>
          <w:sz w:val="18"/>
          <w:szCs w:val="18"/>
        </w:rPr>
        <w:t>2020</w:t>
      </w:r>
      <w:r>
        <w:rPr>
          <w:color w:val="000000"/>
          <w:spacing w:val="0"/>
          <w:w w:val="100"/>
          <w:position w:val="0"/>
        </w:rPr>
        <w:t>年度亏损，为保证公司的稳定发展，基 于对股东长远利益的考虑，公司</w:t>
      </w:r>
      <w:r>
        <w:rPr>
          <w:color w:val="000000"/>
          <w:spacing w:val="0"/>
          <w:w w:val="100"/>
          <w:position w:val="0"/>
          <w:sz w:val="18"/>
          <w:szCs w:val="18"/>
        </w:rPr>
        <w:t>2020</w:t>
      </w:r>
      <w:r>
        <w:rPr>
          <w:color w:val="000000"/>
          <w:spacing w:val="0"/>
          <w:w w:val="100"/>
          <w:position w:val="0"/>
        </w:rPr>
        <w:t>年度拟不派发现金红利，不送红股，不以公积金转增股本。</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-859,366,961.3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-825,472,850.5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40,361,571.39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二</w:t>
      </w:r>
      <w:bookmarkEnd w:id="304"/>
      <w:r>
        <w:rPr>
          <w:color w:val="000000"/>
          <w:spacing w:val="0"/>
          <w:w w:val="100"/>
          <w:position w:val="0"/>
          <w:sz w:val="24"/>
          <w:szCs w:val="24"/>
        </w:rPr>
        <w:t>、</w:t>
        <w:tab/>
        <w:t>本报告期利润分配及资本公积金转增股本情况</w:t>
      </w:r>
      <w:bookmarkEnd w:id="302"/>
      <w:bookmarkEnd w:id="303"/>
      <w:bookmarkEnd w:id="30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22" w:val="left"/>
        </w:tabs>
        <w:bidi w:val="0"/>
        <w:spacing w:before="0" w:after="3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w:t>
        <w:tab/>
        <w:t>承诺事项履行情况</w:t>
      </w:r>
      <w:bookmarkEnd w:id="306"/>
      <w:bookmarkEnd w:id="307"/>
      <w:bookmarkEnd w:id="309"/>
    </w:p>
    <w:p>
      <w:pPr>
        <w:pStyle w:val="Style36"/>
        <w:keepNext/>
        <w:keepLines/>
        <w:widowControl w:val="0"/>
        <w:shd w:val="clear" w:color="auto" w:fill="auto"/>
        <w:bidi w:val="0"/>
        <w:spacing w:before="0" w:after="340" w:line="322"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、公司实际控制人、股东、关联方、收购人以及公司等承诺相关方在报告期内履行完毕及截至报告期末 尚未履行完毕的承诺事项</w:t>
      </w:r>
      <w:bookmarkEnd w:id="310"/>
      <w:bookmarkEnd w:id="311"/>
      <w:bookmarkEnd w:id="31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华服投资、周 成建、胡佳佳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 行关于避免 同业竞争的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公司控股股 东华服投资、 股东胡佳佳 及实际控制 人周成建于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日分别签署</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 竞争承诺 函》，承诺其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 告期末，该承 诺事项仍在 严格履行中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自身、以及其 参与投资的 企业截至承 诺函签署日 没有以任何 形式从事与 本公司及本 公司的控股 企业的主营 业务构成或 可能构成直 接或间接竞 争关系的业 务或活动；未 来也不以任 何形式直接 或间接从事 任何与本公 司或本公司 的控股企业 主营业务构 成或可能构 成直接或间 接竞争关系 的业务或活 动，或于该等 业务中持有 权益或利益。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华服投资、周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 行的相关承 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制人周成建 和控股股东 华服投资承 诺：若发生税 收优惠被追 缴的情况，将 承担被追缴 的税款和因 此所产生的 所有相关费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 告期末，该承 诺事项仍在 严格履行中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华服投资、周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再融资关于 填补被摊薄 即期回报措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司不越权干 预上市公司 经营管理活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股票申请已 主动撤回，相</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动，不侵占上 市公司利益；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 出具日至公 司本次发行 实施完毕前， 若中国证监 会作出关于 填补回报措 施及其承诺 的其他新的 监管规定的， 且上述承诺 不能满足中 国证监会该 等规定时，本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本公司承 诺届时将按 照中国证监 会的最新规 定出具补充 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 忠实履行上 述承诺，并承 担相应的法 律责任，若不 履行本承诺 所赋予的义 务和责任，本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 依照相关法 律、法规、规 章及规范性 文件承担相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关承诺事项 也已同时结 束。</w:t>
            </w:r>
          </w:p>
        </w:tc>
      </w:tr>
      <w:tr>
        <w:trPr>
          <w:trHeight w:val="22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全体董事及 高级管理人 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再融资关于 填补被摊薄 即期回报措 施的承诺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7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司不越权干 预上市公司 经营管理活 动，不侵占上 市公司利益；</w:t>
            </w:r>
          </w:p>
          <w:p>
            <w:pPr>
              <w:pStyle w:val="Style26"/>
              <w:keepNext w:val="0"/>
              <w:keepLines w:val="0"/>
              <w:widowControl w:val="0"/>
              <w:shd w:val="clear" w:color="auto" w:fill="auto"/>
              <w:tabs>
                <w:tab w:pos="312"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自本承诺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非公开发行 股票申请已 主动撤回，相 关承诺事项 也已同时结 束。</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出具日至公 司本次发行 实施完毕前， 若中国证监 会作出关于 填补回报措 施及其承诺 的其他新的 监管规定的， 且上述承诺 不能满足中 国证监会该 等规定时，本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本公司承 诺届时将按 照中国证监 会的最新规 定出具补充 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 忠实履行上 述承诺，并承 担相应的法 律责任，若不 履行本承诺 所赋予的义 务和责任，本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 依照相关法 律、法规、规 章及规范性 文件承担相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6"/>
        <w:keepNext/>
        <w:keepLines/>
        <w:widowControl w:val="0"/>
        <w:shd w:val="clear" w:color="auto" w:fill="auto"/>
        <w:bidi w:val="0"/>
        <w:spacing w:before="0" w:after="380" w:line="322"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、公司资产或项目存在盈利预测，且报告期仍处在盈利预测期间，公司就资产或项目达到原盈利预测及 其原因做出说明</w:t>
      </w:r>
      <w:bookmarkEnd w:id="314"/>
      <w:bookmarkEnd w:id="315"/>
      <w:bookmarkEnd w:id="317"/>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33"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w:t>
        <w:tab/>
        <w:t>控股股东及其关联方对上市公司的非经营性占用资金情况</w:t>
      </w:r>
      <w:bookmarkEnd w:id="318"/>
      <w:bookmarkEnd w:id="319"/>
      <w:bookmarkEnd w:id="321"/>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33"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2"/>
      <w:bookmarkEnd w:id="323"/>
      <w:bookmarkEnd w:id="325"/>
    </w:p>
    <w:p>
      <w:pPr>
        <w:pStyle w:val="Style3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33"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w:t>
        <w:tab/>
        <w:t>与上年度财务报告相比，会计政策、会计估计和核算方法发生变化的情况说明</w:t>
      </w:r>
      <w:bookmarkEnd w:id="326"/>
      <w:bookmarkEnd w:id="327"/>
      <w:bookmarkEnd w:id="329"/>
    </w:p>
    <w:p>
      <w:pPr>
        <w:pStyle w:val="Style33"/>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numPr>
          <w:ilvl w:val="0"/>
          <w:numId w:val="9"/>
        </w:numPr>
        <w:shd w:val="clear" w:color="auto" w:fill="auto"/>
        <w:tabs>
          <w:tab w:pos="841" w:val="left"/>
        </w:tabs>
        <w:bidi w:val="0"/>
        <w:spacing w:before="0" w:after="0" w:line="360" w:lineRule="auto"/>
        <w:ind w:left="0" w:right="0" w:firstLine="540"/>
        <w:jc w:val="left"/>
      </w:pPr>
      <w:bookmarkStart w:id="330" w:name="bookmark330"/>
      <w:bookmarkEnd w:id="330"/>
      <w:r>
        <w:rPr>
          <w:color w:val="000000"/>
          <w:spacing w:val="0"/>
          <w:w w:val="100"/>
          <w:position w:val="0"/>
        </w:rPr>
        <w:t>会计政策变更及依据</w:t>
      </w:r>
    </w:p>
    <w:p>
      <w:pPr>
        <w:pStyle w:val="Style33"/>
        <w:keepNext w:val="0"/>
        <w:keepLines w:val="0"/>
        <w:widowControl w:val="0"/>
        <w:shd w:val="clear" w:color="auto" w:fill="auto"/>
        <w:bidi w:val="0"/>
        <w:spacing w:before="0" w:after="0" w:line="313" w:lineRule="exact"/>
        <w:ind w:left="0" w:right="0" w:firstLine="54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起执行新收入准则以及通知，对会计政策相关内容进行调整。</w:t>
      </w:r>
    </w:p>
    <w:p>
      <w:pPr>
        <w:pStyle w:val="Style33"/>
        <w:keepNext w:val="0"/>
        <w:keepLines w:val="0"/>
        <w:widowControl w:val="0"/>
        <w:shd w:val="clear" w:color="auto" w:fill="auto"/>
        <w:bidi w:val="0"/>
        <w:spacing w:before="0" w:after="0" w:line="313" w:lineRule="exact"/>
        <w:ind w:left="0" w:right="0" w:firstLine="540"/>
        <w:jc w:val="left"/>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收入》及《企业会计准则第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建造合同》</w:t>
      </w:r>
      <w:r>
        <w:rPr>
          <w:color w:val="000000"/>
          <w:spacing w:val="0"/>
          <w:w w:val="100"/>
          <w:position w:val="0"/>
          <w:sz w:val="18"/>
          <w:szCs w:val="18"/>
        </w:rPr>
        <w:t>（</w:t>
      </w:r>
      <w:r>
        <w:rPr>
          <w:color w:val="000000"/>
          <w:spacing w:val="0"/>
          <w:w w:val="100"/>
          <w:position w:val="0"/>
        </w:rPr>
        <w:t xml:space="preserve">统称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。在原收入准则下，本公司以风险报酬转移作为收入确认时点的判断标准。新收入准则引入了收入确认计量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五步法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，并针对特定交易或事项提供了更多的指引，在新收入准则下，本公司以控制权转移作为收入确认时点的判断标 准，具体收入确认和计量的会计政策参见附注四、（二十）。</w:t>
      </w:r>
    </w:p>
    <w:p>
      <w:pPr>
        <w:pStyle w:val="Style33"/>
        <w:keepNext w:val="0"/>
        <w:keepLines w:val="0"/>
        <w:widowControl w:val="0"/>
        <w:shd w:val="clear" w:color="auto" w:fill="auto"/>
        <w:bidi w:val="0"/>
        <w:spacing w:before="0" w:after="0" w:line="313" w:lineRule="exact"/>
        <w:ind w:left="0" w:right="0" w:firstLine="540"/>
        <w:jc w:val="left"/>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日）留存收益及财务报表其他相 关项目金额，对可比期间信息不予调整。根据准则的规定，本公司仅对在首次执行日尚未完成的合同的累积影响数进行调整。</w:t>
      </w:r>
    </w:p>
    <w:p>
      <w:pPr>
        <w:pStyle w:val="Style33"/>
        <w:keepNext w:val="0"/>
        <w:keepLines w:val="0"/>
        <w:widowControl w:val="0"/>
        <w:shd w:val="clear" w:color="auto" w:fill="auto"/>
        <w:bidi w:val="0"/>
        <w:spacing w:before="0" w:after="120" w:line="313" w:lineRule="exact"/>
        <w:ind w:left="0" w:right="0" w:firstLine="540"/>
        <w:jc w:val="left"/>
      </w:pPr>
      <w:r>
        <w:rPr>
          <w:color w:val="000000"/>
          <w:spacing w:val="0"/>
          <w:w w:val="100"/>
          <w:position w:val="0"/>
        </w:rPr>
        <w:t>本公司依据新收入准则有关特定事项或交易的具体规定调整了相关会计政策。依据新收入准则的规定，根据履行履约 义务与客户付款之间的关系在资产负债表中列示合同资产或合同负债。本公司对收入来源及客户合约流程进行复核以评估新 收入准则对财务报表的影响。本公司的收入主要为销售服饰产品取得的收入，收入仍于向客户交付时点确认。采用新收入准 则对本公司除财务报表列报以外无重大影响。</w:t>
      </w:r>
    </w:p>
    <w:p>
      <w:pPr>
        <w:pStyle w:val="Style33"/>
        <w:keepNext w:val="0"/>
        <w:keepLines w:val="0"/>
        <w:widowControl w:val="0"/>
        <w:numPr>
          <w:ilvl w:val="0"/>
          <w:numId w:val="9"/>
        </w:numPr>
        <w:shd w:val="clear" w:color="auto" w:fill="auto"/>
        <w:tabs>
          <w:tab w:pos="860" w:val="left"/>
        </w:tabs>
        <w:bidi w:val="0"/>
        <w:spacing w:before="0" w:after="0" w:line="360" w:lineRule="auto"/>
        <w:ind w:left="0" w:right="0" w:firstLine="540"/>
        <w:jc w:val="left"/>
      </w:pPr>
      <w:bookmarkStart w:id="331" w:name="bookmark331"/>
      <w:bookmarkEnd w:id="331"/>
      <w:r>
        <w:rPr>
          <w:color w:val="000000"/>
          <w:spacing w:val="0"/>
          <w:w w:val="100"/>
          <w:position w:val="0"/>
        </w:rPr>
        <w:t>会计估计变更</w:t>
      </w:r>
    </w:p>
    <w:p>
      <w:pPr>
        <w:pStyle w:val="Style33"/>
        <w:keepNext w:val="0"/>
        <w:keepLines w:val="0"/>
        <w:widowControl w:val="0"/>
        <w:shd w:val="clear" w:color="auto" w:fill="auto"/>
        <w:bidi w:val="0"/>
        <w:spacing w:before="0" w:after="300" w:line="313" w:lineRule="exact"/>
        <w:ind w:left="0" w:right="0" w:firstLine="540"/>
        <w:jc w:val="left"/>
      </w:pPr>
      <w:r>
        <w:rPr>
          <w:color w:val="000000"/>
          <w:spacing w:val="0"/>
          <w:w w:val="100"/>
          <w:position w:val="0"/>
        </w:rPr>
        <w:t>本报告期无会计估计变更事项。</w:t>
      </w:r>
    </w:p>
    <w:p>
      <w:pPr>
        <w:pStyle w:val="Style33"/>
        <w:keepNext w:val="0"/>
        <w:keepLines w:val="0"/>
        <w:widowControl w:val="0"/>
        <w:shd w:val="clear" w:color="auto" w:fill="auto"/>
        <w:bidi w:val="0"/>
        <w:spacing w:before="0" w:after="1000" w:line="313" w:lineRule="exact"/>
        <w:ind w:left="0" w:right="0" w:firstLine="0"/>
        <w:jc w:val="left"/>
      </w:pPr>
      <w:r>
        <w:rPr>
          <w:color w:val="000000"/>
          <w:spacing w:val="0"/>
          <w:w w:val="100"/>
          <w:position w:val="0"/>
        </w:rPr>
        <w:t>关于会计政策变更详细情况请参见第十二节财务报告、五、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29"/>
        <w:keepNext/>
        <w:keepLines/>
        <w:widowControl w:val="0"/>
        <w:shd w:val="clear" w:color="auto" w:fill="auto"/>
        <w:tabs>
          <w:tab w:pos="533"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七</w:t>
      </w:r>
      <w:bookmarkEnd w:id="334"/>
      <w:r>
        <w:rPr>
          <w:color w:val="000000"/>
          <w:spacing w:val="0"/>
          <w:w w:val="100"/>
          <w:position w:val="0"/>
          <w:sz w:val="24"/>
          <w:szCs w:val="24"/>
        </w:rPr>
        <w:t>、</w:t>
        <w:tab/>
        <w:t>报告期内发生重大会计差错更正需追溯重述的情况说明</w:t>
      </w:r>
      <w:bookmarkEnd w:id="332"/>
      <w:bookmarkEnd w:id="333"/>
      <w:bookmarkEnd w:id="335"/>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33"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八</w:t>
      </w:r>
      <w:bookmarkEnd w:id="338"/>
      <w:r>
        <w:rPr>
          <w:color w:val="000000"/>
          <w:spacing w:val="0"/>
          <w:w w:val="100"/>
          <w:position w:val="0"/>
          <w:sz w:val="24"/>
          <w:szCs w:val="24"/>
        </w:rPr>
        <w:t>、</w:t>
        <w:tab/>
        <w:t>与上年度财务报告相比，合并报表范围发生变化的情况说明</w:t>
      </w:r>
      <w:bookmarkEnd w:id="336"/>
      <w:bookmarkEnd w:id="337"/>
      <w:bookmarkEnd w:id="339"/>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5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日注销子公司太原美特斯邦威服饰有限公司，注册资本为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日注销子公司沈阳贸邦服饰商贸有限公司，注册资本为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九</w:t>
      </w:r>
      <w:bookmarkEnd w:id="342"/>
      <w:r>
        <w:rPr>
          <w:color w:val="000000"/>
          <w:spacing w:val="0"/>
          <w:w w:val="100"/>
          <w:position w:val="0"/>
          <w:sz w:val="24"/>
          <w:szCs w:val="24"/>
        </w:rPr>
        <w:t>、聘任、解聘会计师事务所情况</w:t>
      </w:r>
      <w:bookmarkEnd w:id="340"/>
      <w:bookmarkEnd w:id="341"/>
      <w:bookmarkEnd w:id="34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刘一锋、胡笳妮</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更换会计师事务所是否履行审批程序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鉴于安永华明审计团队已经连续多年为公司提供审计服务，为确保上市公司审计工作的独立性与客观性，结合公司业 务发展需求，经公司第五届董事会第四次会议、第五监事会第四次会议和</w:t>
      </w:r>
      <w:r>
        <w:rPr>
          <w:color w:val="000000"/>
          <w:spacing w:val="0"/>
          <w:w w:val="100"/>
          <w:position w:val="0"/>
          <w:sz w:val="18"/>
          <w:szCs w:val="18"/>
        </w:rPr>
        <w:t>2020</w:t>
      </w:r>
      <w:r>
        <w:rPr>
          <w:color w:val="000000"/>
          <w:spacing w:val="0"/>
          <w:w w:val="100"/>
          <w:position w:val="0"/>
        </w:rPr>
        <w:t>年度第三次临时股东大会审议通过，聘请希格 玛会计师事务所（特殊普通合伙）为公司</w:t>
      </w:r>
      <w:r>
        <w:rPr>
          <w:color w:val="000000"/>
          <w:spacing w:val="0"/>
          <w:w w:val="100"/>
          <w:position w:val="0"/>
          <w:sz w:val="18"/>
          <w:szCs w:val="18"/>
        </w:rPr>
        <w:t>2020</w:t>
      </w:r>
      <w:r>
        <w:rPr>
          <w:color w:val="000000"/>
          <w:spacing w:val="0"/>
          <w:w w:val="100"/>
          <w:position w:val="0"/>
        </w:rPr>
        <w:t>年度审计服务机构。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公司已就更换会计师事务所事项与安永华明进行了事先沟通，安永华明对此事项无异议。公司独立董事对该事项发表 了事前认可及独立意见，同意本次变更会计师事务所事项。</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十、年度报告披露后面临退市情况</w:t>
      </w:r>
      <w:bookmarkEnd w:id="344"/>
      <w:bookmarkEnd w:id="345"/>
      <w:bookmarkEnd w:id="346"/>
    </w:p>
    <w:p>
      <w:pPr>
        <w:pStyle w:val="Style33"/>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十一、破产重整相关事项</w:t>
      </w:r>
      <w:bookmarkEnd w:id="347"/>
      <w:bookmarkEnd w:id="348"/>
      <w:bookmarkEnd w:id="349"/>
    </w:p>
    <w:p>
      <w:pPr>
        <w:pStyle w:val="Style33"/>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十二、重大诉讼、仲裁事项</w:t>
      </w:r>
      <w:bookmarkEnd w:id="350"/>
      <w:bookmarkEnd w:id="351"/>
      <w:bookmarkEnd w:id="352"/>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本报告期公司无重大诉讼、仲裁事项。</w:t>
      </w:r>
    </w:p>
    <w:p>
      <w:pPr>
        <w:pStyle w:val="Style29"/>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十三、处罚及整改情况</w:t>
      </w:r>
      <w:bookmarkEnd w:id="353"/>
      <w:bookmarkEnd w:id="354"/>
      <w:bookmarkEnd w:id="355"/>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十四、公司及其控股股东、实际控制人的诚信状况</w:t>
      </w:r>
      <w:bookmarkEnd w:id="356"/>
      <w:bookmarkEnd w:id="357"/>
      <w:bookmarkEnd w:id="358"/>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报告期内，公司及其控股股东、实际控制人不存在未履行法院生效判决及所负数额较大的债务到期未清偿的情况。</w:t>
      </w:r>
    </w:p>
    <w:p>
      <w:pPr>
        <w:pStyle w:val="Style29"/>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十五、公司股权激励计划、员工持股计划或其他员工激励措施的实施情况</w:t>
      </w:r>
      <w:bookmarkEnd w:id="359"/>
      <w:bookmarkEnd w:id="360"/>
      <w:bookmarkEnd w:id="361"/>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日，公司第四届董事会第七次会议和第四届监事会第六次会议审议通过了《关于</w:t>
      </w:r>
      <w:r>
        <w:rPr>
          <w:color w:val="000000"/>
          <w:spacing w:val="0"/>
          <w:w w:val="100"/>
          <w:position w:val="0"/>
          <w:sz w:val="18"/>
          <w:szCs w:val="18"/>
        </w:rPr>
        <w:t>〈</w:t>
      </w:r>
      <w:r>
        <w:rPr>
          <w:color w:val="000000"/>
          <w:spacing w:val="0"/>
          <w:w w:val="100"/>
          <w:position w:val="0"/>
        </w:rPr>
        <w:t>上海美特斯邦威服饰股 份有限公司第一期员工持股计划（草案）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及摘要的议案》及相关议案，并提交公司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年第三次临时股东大会审议通过后 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日，公司第四届董事会第九次会议审议并通过了《关于延长第一期员工持股计划购买期的议案》。</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日收盘，为公司第一期员工持股计划设立的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华宝信托有限责任公司一聚鑫</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号证券投资信托计划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 过二级市场竞价交易方式购买公司股票共计</w:t>
      </w:r>
      <w:r>
        <w:rPr>
          <w:rFonts w:ascii="Times New Roman" w:eastAsia="Times New Roman" w:hAnsi="Times New Roman" w:cs="Times New Roman"/>
          <w:color w:val="000000"/>
          <w:spacing w:val="0"/>
          <w:w w:val="100"/>
          <w:position w:val="0"/>
          <w:sz w:val="18"/>
          <w:szCs w:val="18"/>
        </w:rPr>
        <w:t>58,190,814</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,交易均价为</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股，成交金额合计 </w:t>
      </w:r>
      <w:r>
        <w:rPr>
          <w:rFonts w:ascii="Times New Roman" w:eastAsia="Times New Roman" w:hAnsi="Times New Roman" w:cs="Times New Roman"/>
          <w:color w:val="000000"/>
          <w:spacing w:val="0"/>
          <w:w w:val="100"/>
          <w:position w:val="0"/>
          <w:sz w:val="18"/>
          <w:szCs w:val="18"/>
        </w:rPr>
        <w:t>182,262,851.38</w:t>
      </w:r>
      <w:r>
        <w:rPr>
          <w:color w:val="000000"/>
          <w:spacing w:val="0"/>
          <w:w w:val="100"/>
          <w:position w:val="0"/>
        </w:rPr>
        <w:t>元。至此，公司已完成第一期员工持股计划标的股票的购买。公司第一期员工持股计划所购买的股票将予以 锁定，锁定期为自购买完成公告披露之日起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个月。第一期员工持股计划所持有的公司股票锁定期于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日届满。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根据公司员工持股计划草案的相关规定，公司第一期员工持股计划存续期为自股东大会审议通过之日起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个月，员工 持股计划存续期于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日届满。基于对公司未来持续稳定发展的信心及公司股票价值的判断，同时为了维护员工持 股计划持有人的利益，经公司第一期员工持股计划第一层次持有人会议审议、公司第四届董事会第二十一次会议审议通过相 关议案，将存续期延长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日，公司第一期员工持股计划所持</w:t>
      </w:r>
      <w:r>
        <w:rPr>
          <w:rFonts w:ascii="Times New Roman" w:eastAsia="Times New Roman" w:hAnsi="Times New Roman" w:cs="Times New Roman"/>
          <w:color w:val="000000"/>
          <w:spacing w:val="0"/>
          <w:w w:val="100"/>
          <w:position w:val="0"/>
          <w:sz w:val="18"/>
          <w:szCs w:val="18"/>
        </w:rPr>
        <w:t>58,190,814</w:t>
      </w:r>
      <w:r>
        <w:rPr>
          <w:color w:val="000000"/>
          <w:spacing w:val="0"/>
          <w:w w:val="100"/>
          <w:position w:val="0"/>
        </w:rPr>
        <w:t>股通过集中竞价交易方式已全部出售完毕， 占公司总股本的比例为</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。依据有关规定，终止本员工持股计划，后续将进行相关财产清算和分配工作。</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上述事项的具体详情均已在巨潮资讯网上对外披露。</w:t>
      </w:r>
    </w:p>
    <w:p>
      <w:pPr>
        <w:pStyle w:val="Style29"/>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十六、重大关联交易</w:t>
      </w:r>
      <w:bookmarkEnd w:id="362"/>
      <w:bookmarkEnd w:id="363"/>
      <w:bookmarkEnd w:id="364"/>
    </w:p>
    <w:p>
      <w:pPr>
        <w:pStyle w:val="Style36"/>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、与日常经营相关的关联交易</w:t>
      </w:r>
      <w:bookmarkEnd w:id="365"/>
      <w:bookmarkEnd w:id="366"/>
      <w:bookmarkEnd w:id="36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关联自</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购买或 销售商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销售服 饰产品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42,259,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42,259,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bl>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饰产品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关联自</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购买或 销售商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销售服 饰产品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方承租 房屋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承租营</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业房屋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71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关联方周献妹在本年度向公司提货</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万元，发生退货</w:t>
            </w:r>
            <w:r>
              <w:rPr>
                <w:rFonts w:ascii="Times New Roman" w:eastAsia="Times New Roman" w:hAnsi="Times New Roman" w:cs="Times New Roman"/>
                <w:color w:val="000000"/>
                <w:spacing w:val="0"/>
                <w:w w:val="100"/>
                <w:position w:val="0"/>
                <w:sz w:val="18"/>
                <w:szCs w:val="18"/>
              </w:rPr>
              <w:t>198.80</w:t>
            </w:r>
            <w:r>
              <w:rPr>
                <w:color w:val="000000"/>
                <w:spacing w:val="0"/>
                <w:w w:val="100"/>
                <w:position w:val="0"/>
              </w:rPr>
              <w:t>万元。</w:t>
            </w:r>
          </w:p>
        </w:tc>
      </w:tr>
      <w:tr>
        <w:trPr>
          <w:trHeight w:val="1027"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没有超出经股东大会批准的本年度关联交易金额范围</w:t>
            </w:r>
          </w:p>
        </w:tc>
      </w:tr>
      <w:tr>
        <w:trPr>
          <w:trHeight w:val="725"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6"/>
        <w:keepNext/>
        <w:keepLines/>
        <w:widowControl w:val="0"/>
        <w:shd w:val="clear" w:color="auto" w:fill="auto"/>
        <w:bidi w:val="0"/>
        <w:spacing w:before="0" w:after="2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、资产或股权收购、出售发生的关联交易</w:t>
      </w:r>
      <w:bookmarkEnd w:id="369"/>
      <w:bookmarkEnd w:id="370"/>
      <w:bookmarkEnd w:id="372"/>
    </w:p>
    <w:p>
      <w:pPr>
        <w:pStyle w:val="Style33"/>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2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共同对外投资的关联交易</w:t>
      </w:r>
      <w:bookmarkEnd w:id="373"/>
      <w:bookmarkEnd w:id="374"/>
      <w:bookmarkEnd w:id="376"/>
    </w:p>
    <w:p>
      <w:pPr>
        <w:pStyle w:val="Style33"/>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2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w:t>
        <w:tab/>
        <w:t>关联债权债务往来</w:t>
      </w:r>
      <w:bookmarkEnd w:id="377"/>
      <w:bookmarkEnd w:id="378"/>
      <w:bookmarkEnd w:id="380"/>
    </w:p>
    <w:p>
      <w:pPr>
        <w:pStyle w:val="Style33"/>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2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5</w:t>
      </w:r>
      <w:bookmarkEnd w:id="383"/>
      <w:r>
        <w:rPr>
          <w:color w:val="000000"/>
          <w:spacing w:val="0"/>
          <w:w w:val="100"/>
          <w:position w:val="0"/>
        </w:rPr>
        <w:t>、</w:t>
        <w:tab/>
        <w:t>其他重大关联交易</w:t>
      </w:r>
      <w:bookmarkEnd w:id="381"/>
      <w:bookmarkEnd w:id="382"/>
      <w:bookmarkEnd w:id="384"/>
    </w:p>
    <w:p>
      <w:pPr>
        <w:pStyle w:val="Style33"/>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公司第四届董事会第二十四次会议、第四届监事会第十九次会议审议通过了《关于接受控股股东财务资助的议案》，公司控 股股东上海华服投资有限公司（以下简称“华服投资”）拟向本公司提供总额度不超过</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万元人民币的财务资助，借款 利率执行中国人民银行同期贷款基准利率。报告期内，根据公司与控股股东上海华服投资有限公司签署的《财务资助协议》, 公司从华服投资共计拆入资金人民币</w:t>
      </w:r>
      <w:r>
        <w:rPr>
          <w:rFonts w:ascii="Times New Roman" w:eastAsia="Times New Roman" w:hAnsi="Times New Roman" w:cs="Times New Roman"/>
          <w:color w:val="000000"/>
          <w:spacing w:val="0"/>
          <w:w w:val="100"/>
          <w:position w:val="0"/>
          <w:sz w:val="18"/>
          <w:szCs w:val="18"/>
        </w:rPr>
        <w:t>392,000,000</w:t>
      </w:r>
      <w:r>
        <w:rPr>
          <w:color w:val="000000"/>
          <w:spacing w:val="0"/>
          <w:w w:val="100"/>
          <w:position w:val="0"/>
        </w:rPr>
        <w:t>元，借款年化利率为</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，利息为人民币</w:t>
      </w:r>
      <w:r>
        <w:rPr>
          <w:rFonts w:ascii="Times New Roman" w:eastAsia="Times New Roman" w:hAnsi="Times New Roman" w:cs="Times New Roman"/>
          <w:color w:val="000000"/>
          <w:spacing w:val="0"/>
          <w:w w:val="100"/>
          <w:position w:val="0"/>
          <w:sz w:val="18"/>
          <w:szCs w:val="18"/>
        </w:rPr>
        <w:t>2,113,133.33</w:t>
      </w:r>
      <w:r>
        <w:rPr>
          <w:color w:val="000000"/>
          <w:spacing w:val="0"/>
          <w:w w:val="100"/>
          <w:position w:val="0"/>
        </w:rPr>
        <w:t>元。</w:t>
      </w:r>
    </w:p>
    <w:p>
      <w:pPr>
        <w:pStyle w:val="Style33"/>
        <w:keepNext w:val="0"/>
        <w:keepLines w:val="0"/>
        <w:widowControl w:val="0"/>
        <w:shd w:val="clear" w:color="auto" w:fill="auto"/>
        <w:bidi w:val="0"/>
        <w:spacing w:before="0" w:after="80" w:line="309"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tbl>
      <w:tblPr>
        <w:tblOverlap w:val="never"/>
        <w:jc w:val="center"/>
        <w:tblLayout w:type="fixed"/>
      </w:tblPr>
      <w:tblGrid>
        <w:gridCol w:w="3466"/>
        <w:gridCol w:w="2650"/>
        <w:gridCol w:w="3470"/>
      </w:tblGrid>
      <w:tr>
        <w:trPr>
          <w:trHeight w:val="7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上海美特斯邦威服饰股份有限公司关于接 受控股股东财务资助的关联交易公告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十七、重大合同及其履行情况</w:t>
      </w:r>
      <w:bookmarkEnd w:id="385"/>
      <w:bookmarkEnd w:id="386"/>
      <w:bookmarkEnd w:id="387"/>
    </w:p>
    <w:p>
      <w:pPr>
        <w:pStyle w:val="Style36"/>
        <w:keepNext/>
        <w:keepLines/>
        <w:widowControl w:val="0"/>
        <w:shd w:val="clear" w:color="auto" w:fill="auto"/>
        <w:tabs>
          <w:tab w:pos="369"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托管、承包、租赁事项情况</w:t>
      </w:r>
      <w:bookmarkEnd w:id="388"/>
      <w:bookmarkEnd w:id="389"/>
      <w:bookmarkEnd w:id="391"/>
    </w:p>
    <w:p>
      <w:pPr>
        <w:pStyle w:val="Style36"/>
        <w:keepNext/>
        <w:keepLines/>
        <w:widowControl w:val="0"/>
        <w:shd w:val="clear" w:color="auto" w:fill="auto"/>
        <w:tabs>
          <w:tab w:pos="493" w:val="left"/>
        </w:tabs>
        <w:bidi w:val="0"/>
        <w:spacing w:before="0" w:after="380" w:line="240" w:lineRule="auto"/>
        <w:ind w:left="0" w:right="0" w:firstLine="0"/>
        <w:jc w:val="left"/>
      </w:pPr>
      <w:bookmarkStart w:id="388" w:name="bookmark388"/>
      <w:bookmarkStart w:id="389" w:name="bookmark389"/>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8"/>
      <w:bookmarkEnd w:id="389"/>
      <w:bookmarkEnd w:id="39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4"/>
      <w:bookmarkEnd w:id="395"/>
      <w:bookmarkEnd w:id="39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8"/>
      <w:bookmarkEnd w:id="399"/>
      <w:bookmarkEnd w:id="40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重大担保</w:t>
      </w:r>
      <w:bookmarkEnd w:id="402"/>
      <w:bookmarkEnd w:id="403"/>
      <w:bookmarkEnd w:id="40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委托他人进行现金资产管理情况</w:t>
      </w:r>
      <w:bookmarkEnd w:id="406"/>
      <w:bookmarkEnd w:id="407"/>
      <w:bookmarkEnd w:id="409"/>
    </w:p>
    <w:p>
      <w:pPr>
        <w:pStyle w:val="Style36"/>
        <w:keepNext/>
        <w:keepLines/>
        <w:widowControl w:val="0"/>
        <w:shd w:val="clear" w:color="auto" w:fill="auto"/>
        <w:tabs>
          <w:tab w:pos="493" w:val="left"/>
        </w:tabs>
        <w:bidi w:val="0"/>
        <w:spacing w:before="0" w:after="380" w:line="240" w:lineRule="auto"/>
        <w:ind w:left="0" w:right="0" w:firstLine="0"/>
        <w:jc w:val="left"/>
      </w:pPr>
      <w:bookmarkStart w:id="406" w:name="bookmark406"/>
      <w:bookmarkStart w:id="407" w:name="bookmark407"/>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6"/>
      <w:bookmarkEnd w:id="407"/>
      <w:bookmarkEnd w:id="41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2"/>
      <w:bookmarkEnd w:id="413"/>
      <w:bookmarkEnd w:id="41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4</w:t>
      </w:r>
      <w:bookmarkEnd w:id="418"/>
      <w:r>
        <w:rPr>
          <w:color w:val="000000"/>
          <w:spacing w:val="0"/>
          <w:w w:val="100"/>
          <w:position w:val="0"/>
        </w:rPr>
        <w:t>、</w:t>
        <w:tab/>
        <w:t>日常经营重大合同</w:t>
      </w:r>
      <w:bookmarkEnd w:id="416"/>
      <w:bookmarkEnd w:id="417"/>
      <w:bookmarkEnd w:id="419"/>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5</w:t>
      </w:r>
      <w:bookmarkEnd w:id="422"/>
      <w:r>
        <w:rPr>
          <w:color w:val="000000"/>
          <w:spacing w:val="0"/>
          <w:w w:val="100"/>
          <w:position w:val="0"/>
        </w:rPr>
        <w:t>、其他重大合同</w:t>
      </w:r>
      <w:bookmarkEnd w:id="420"/>
      <w:bookmarkEnd w:id="421"/>
      <w:bookmarkEnd w:id="423"/>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十八、社会责任情况</w:t>
      </w:r>
      <w:bookmarkEnd w:id="424"/>
      <w:bookmarkEnd w:id="425"/>
      <w:bookmarkEnd w:id="426"/>
    </w:p>
    <w:p>
      <w:pPr>
        <w:pStyle w:val="Style36"/>
        <w:keepNext/>
        <w:keepLines/>
        <w:widowControl w:val="0"/>
        <w:shd w:val="clear" w:color="auto" w:fill="auto"/>
        <w:tabs>
          <w:tab w:pos="368"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履行社会责任情况</w:t>
      </w:r>
      <w:bookmarkEnd w:id="427"/>
      <w:bookmarkEnd w:id="428"/>
      <w:bookmarkEnd w:id="430"/>
    </w:p>
    <w:p>
      <w:pPr>
        <w:pStyle w:val="Style33"/>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公司已同期对外披露了《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年度社会责任报告》，详细内容请登录深圳证券交易所网站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rPr>
        <w:t>)</w:t>
      </w:r>
      <w:r>
        <w:rPr>
          <w:color w:val="000000"/>
          <w:spacing w:val="0"/>
          <w:w w:val="100"/>
          <w:position w:val="0"/>
        </w:rPr>
        <w:t>或巨潮资讯</w:t>
      </w:r>
      <w:r>
        <w:rPr>
          <w:color w:val="000000"/>
          <w:spacing w:val="0"/>
          <w:w w:val="100"/>
          <w:position w:val="0"/>
        </w:rPr>
        <w:t xml:space="preserve">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color w:val="000000"/>
          <w:spacing w:val="0"/>
          <w:w w:val="100"/>
          <w:position w:val="0"/>
        </w:rPr>
        <w:t>进行查询。</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履行精准扶贫社会责任情况</w:t>
      </w:r>
      <w:bookmarkEnd w:id="431"/>
      <w:bookmarkEnd w:id="432"/>
      <w:bookmarkEnd w:id="434"/>
    </w:p>
    <w:p>
      <w:pPr>
        <w:pStyle w:val="Style33"/>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环境保护相关的情况</w:t>
      </w:r>
      <w:bookmarkEnd w:id="435"/>
      <w:bookmarkEnd w:id="436"/>
      <w:bookmarkEnd w:id="438"/>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十九、其他重大事项的说明</w:t>
      </w:r>
      <w:bookmarkEnd w:id="439"/>
      <w:bookmarkEnd w:id="440"/>
      <w:bookmarkEnd w:id="441"/>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二十、公司子公司重大事项</w:t>
      </w:r>
      <w:bookmarkEnd w:id="442"/>
      <w:bookmarkEnd w:id="443"/>
      <w:bookmarkEnd w:id="444"/>
    </w:p>
    <w:p>
      <w:pPr>
        <w:pStyle w:val="Style33"/>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center"/>
      </w:pPr>
      <w:bookmarkStart w:id="445" w:name="bookmark445"/>
      <w:bookmarkStart w:id="446" w:name="bookmark446"/>
      <w:bookmarkStart w:id="447" w:name="bookmark447"/>
      <w:r>
        <w:rPr>
          <w:color w:val="000000"/>
          <w:spacing w:val="0"/>
          <w:w w:val="100"/>
          <w:position w:val="0"/>
        </w:rPr>
        <w:t>第六节股份变动及股东情况</w:t>
      </w:r>
      <w:bookmarkEnd w:id="445"/>
      <w:bookmarkEnd w:id="446"/>
      <w:bookmarkEnd w:id="447"/>
    </w:p>
    <w:p>
      <w:pPr>
        <w:pStyle w:val="Style29"/>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bookmarkStart w:id="452" w:name="bookmark452"/>
      <w:r>
        <w:rPr>
          <w:color w:val="000000"/>
          <w:spacing w:val="0"/>
          <w:w w:val="100"/>
          <w:position w:val="0"/>
          <w:sz w:val="24"/>
          <w:szCs w:val="24"/>
        </w:rPr>
        <w:t>一</w:t>
      </w:r>
      <w:bookmarkEnd w:id="451"/>
      <w:r>
        <w:rPr>
          <w:color w:val="000000"/>
          <w:spacing w:val="0"/>
          <w:w w:val="100"/>
          <w:position w:val="0"/>
          <w:sz w:val="24"/>
          <w:szCs w:val="24"/>
        </w:rPr>
        <w:t>、股份变动情况</w:t>
      </w:r>
      <w:bookmarkEnd w:id="449"/>
      <w:bookmarkEnd w:id="450"/>
      <w:bookmarkEnd w:id="452"/>
      <w:bookmarkEnd w:id="448"/>
    </w:p>
    <w:p>
      <w:pPr>
        <w:pStyle w:val="Style36"/>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、股份变动情况</w:t>
      </w:r>
      <w:bookmarkEnd w:id="453"/>
      <w:bookmarkEnd w:id="454"/>
      <w:bookmarkEnd w:id="4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、限售股份变动情况</w:t>
      </w:r>
      <w:bookmarkEnd w:id="457"/>
      <w:bookmarkEnd w:id="458"/>
      <w:bookmarkEnd w:id="460"/>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w:t>
        <w:tab/>
        <w:t>证券发行与上市情况</w:t>
      </w:r>
      <w:bookmarkEnd w:id="461"/>
      <w:bookmarkEnd w:id="462"/>
      <w:bookmarkEnd w:id="464"/>
    </w:p>
    <w:p>
      <w:pPr>
        <w:pStyle w:val="Style36"/>
        <w:keepNext/>
        <w:keepLines/>
        <w:widowControl w:val="0"/>
        <w:shd w:val="clear" w:color="auto" w:fill="auto"/>
        <w:tabs>
          <w:tab w:pos="380"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报告期内证券发行（不含优先股）情况</w:t>
      </w:r>
      <w:bookmarkEnd w:id="465"/>
      <w:bookmarkEnd w:id="466"/>
      <w:bookmarkEnd w:id="46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0"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公司股份总数及股东结构的变动、公司资产和负债结构的变动情况说明</w:t>
      </w:r>
      <w:bookmarkEnd w:id="469"/>
      <w:bookmarkEnd w:id="470"/>
      <w:bookmarkEnd w:id="47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0"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w:t>
        <w:tab/>
        <w:t>现存的内部职工股情况</w:t>
      </w:r>
      <w:bookmarkEnd w:id="473"/>
      <w:bookmarkEnd w:id="474"/>
      <w:bookmarkEnd w:id="47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w:t>
        <w:tab/>
        <w:t>股东和实际控制人情况</w:t>
      </w:r>
      <w:bookmarkEnd w:id="477"/>
      <w:bookmarkEnd w:id="478"/>
      <w:bookmarkEnd w:id="480"/>
    </w:p>
    <w:p>
      <w:pPr>
        <w:pStyle w:val="Style36"/>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、公司股东数量及持股情况</w:t>
      </w:r>
      <w:bookmarkEnd w:id="481"/>
      <w:bookmarkEnd w:id="482"/>
      <w:bookmarkEnd w:id="48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106,676</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上海华服投资有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877,801,605</w:t>
            </w:r>
          </w:p>
        </w:tc>
      </w:tr>
      <w:tr>
        <w:trPr>
          <w:trHeight w:val="408"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168,750,0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易方达基金一中 央汇金资产管理 有限责任公司</w:t>
            </w:r>
            <w:r>
              <w:rPr>
                <w:color w:val="000000"/>
                <w:spacing w:val="0"/>
                <w:w w:val="100"/>
                <w:position w:val="0"/>
              </w:rPr>
              <w:t xml:space="preserve">一 </w:t>
            </w:r>
            <w:r>
              <w:rPr>
                <w:color w:val="000000"/>
                <w:spacing w:val="0"/>
                <w:w w:val="100"/>
                <w:position w:val="0"/>
              </w:rPr>
              <w:t>易方达基金一汇 金资管单一资产 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工银瑞信基金一 农业银行一工银 瑞信中证金融资 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南方基金一农业 银行一南方中证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中欧基金一农业 银行一中欧中证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博时基金一农业 银行一博时中证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大成基金一农业 银行一大成中证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嘉实基金一农业 银行一嘉实中证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广发基金一农业 银行一广发中证 金融资产管理计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本公司控股股东上海华服投资有限公司的实际控制人周成建先生与本公司股东胡佳 佳女士系父女关系。</w:t>
            </w:r>
          </w:p>
        </w:tc>
      </w:tr>
      <w:tr>
        <w:trPr>
          <w:trHeight w:val="408"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弃表决权情况的说明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1,272,486,359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1,272,486,359</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易方达基金一中央汇金资产管理有 限责任公司一易方达基金一汇金资 管单一资产管理计划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胡佳佳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56,250,000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工银瑞信基金一农业银行一工银瑞</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信中证金融资产管理计划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南方基金一农业银行一南方中证金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中欧基金一农业银行一中欧中证金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博时基金一农业银行一博时中证金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大成基金一农业银行一大成中证金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嘉实基金一农业银行一嘉实中证金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广发基金一农业银行一广发中证金 融资产管理计划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本公司控股股东上海华服投资有限公司的实际控制人周成建先生与本公司股东胡佳 佳女士系父女关系。</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报告期末，控股股东上海华服投资有限公司持有本公司股份数为</w:t>
            </w:r>
            <w:r>
              <w:rPr>
                <w:rFonts w:ascii="Times New Roman" w:eastAsia="Times New Roman" w:hAnsi="Times New Roman" w:cs="Times New Roman"/>
                <w:color w:val="000000"/>
                <w:spacing w:val="0"/>
                <w:w w:val="100"/>
                <w:position w:val="0"/>
                <w:sz w:val="18"/>
                <w:szCs w:val="18"/>
              </w:rPr>
              <w:t>1,272,486,359</w:t>
            </w:r>
            <w:r>
              <w:rPr>
                <w:color w:val="000000"/>
                <w:spacing w:val="0"/>
                <w:w w:val="100"/>
                <w:position w:val="0"/>
              </w:rPr>
              <w:t>股，其 中通过信用证券账户持股数量为</w:t>
            </w:r>
            <w:r>
              <w:rPr>
                <w:rFonts w:ascii="Times New Roman" w:eastAsia="Times New Roman" w:hAnsi="Times New Roman" w:cs="Times New Roman"/>
                <w:color w:val="000000"/>
                <w:spacing w:val="0"/>
                <w:w w:val="100"/>
                <w:position w:val="0"/>
                <w:sz w:val="18"/>
                <w:szCs w:val="18"/>
              </w:rPr>
              <w:t>57,087,463</w:t>
            </w:r>
            <w:r>
              <w:rPr>
                <w:color w:val="000000"/>
                <w:spacing w:val="0"/>
                <w:w w:val="100"/>
                <w:position w:val="0"/>
              </w:rPr>
              <w:t>股。</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、公司控股股东情况</w:t>
      </w:r>
      <w:bookmarkEnd w:id="485"/>
      <w:bookmarkEnd w:id="486"/>
      <w:bookmarkEnd w:id="48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006"/>
        <w:gridCol w:w="1829"/>
        <w:gridCol w:w="1891"/>
        <w:gridCol w:w="1934"/>
        <w:gridCol w:w="1925"/>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91310115666049783P</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实业投资</w:t>
            </w:r>
            <w:r>
              <w:rPr>
                <w:color w:val="000000"/>
                <w:spacing w:val="0"/>
                <w:w w:val="100"/>
                <w:position w:val="0"/>
                <w:sz w:val="18"/>
                <w:szCs w:val="18"/>
              </w:rPr>
              <w:t>，</w:t>
            </w:r>
            <w:r>
              <w:rPr>
                <w:color w:val="000000"/>
                <w:spacing w:val="0"/>
                <w:w w:val="100"/>
                <w:position w:val="0"/>
              </w:rPr>
              <w:t>投资管理</w:t>
            </w:r>
            <w:r>
              <w:rPr>
                <w:color w:val="000000"/>
                <w:spacing w:val="0"/>
                <w:w w:val="100"/>
                <w:position w:val="0"/>
                <w:sz w:val="18"/>
                <w:szCs w:val="18"/>
              </w:rPr>
              <w:t>，</w:t>
            </w:r>
            <w:r>
              <w:rPr>
                <w:color w:val="000000"/>
                <w:spacing w:val="0"/>
                <w:w w:val="100"/>
                <w:position w:val="0"/>
              </w:rPr>
              <w:t>企 业管理咨询</w:t>
            </w:r>
            <w:r>
              <w:rPr>
                <w:color w:val="000000"/>
                <w:spacing w:val="0"/>
                <w:w w:val="100"/>
                <w:position w:val="0"/>
                <w:sz w:val="18"/>
                <w:szCs w:val="18"/>
              </w:rPr>
              <w:t>，</w:t>
            </w:r>
            <w:r>
              <w:rPr>
                <w:color w:val="000000"/>
                <w:spacing w:val="0"/>
                <w:w w:val="100"/>
                <w:position w:val="0"/>
              </w:rPr>
              <w:t>投资信息咨 询</w:t>
            </w:r>
            <w:r>
              <w:rPr>
                <w:color w:val="000000"/>
                <w:spacing w:val="0"/>
                <w:w w:val="100"/>
                <w:position w:val="0"/>
                <w:sz w:val="18"/>
                <w:szCs w:val="18"/>
              </w:rPr>
              <w:t>，</w:t>
            </w:r>
            <w:r>
              <w:rPr>
                <w:color w:val="000000"/>
                <w:spacing w:val="0"/>
                <w:w w:val="100"/>
                <w:position w:val="0"/>
              </w:rPr>
              <w:t>企业策划</w:t>
            </w:r>
            <w:r>
              <w:rPr>
                <w:color w:val="000000"/>
                <w:spacing w:val="0"/>
                <w:w w:val="100"/>
                <w:position w:val="0"/>
                <w:sz w:val="18"/>
                <w:szCs w:val="18"/>
              </w:rPr>
              <w:t>，</w:t>
            </w:r>
            <w:r>
              <w:rPr>
                <w:color w:val="000000"/>
                <w:spacing w:val="0"/>
                <w:w w:val="100"/>
                <w:position w:val="0"/>
              </w:rPr>
              <w:t>景观设计。</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、公司实际控制人及其一致行动人</w:t>
      </w:r>
      <w:bookmarkEnd w:id="489"/>
      <w:bookmarkEnd w:id="490"/>
      <w:bookmarkEnd w:id="49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上海华服投资有限公司执行董事</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4137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413760"/>
                    </a:xfrm>
                    <a:prstGeom prst="rect"/>
                  </pic:spPr>
                </pic:pic>
              </a:graphicData>
            </a:graphic>
          </wp:inline>
        </w:drawing>
      </w:r>
    </w:p>
    <w:p>
      <w:pPr>
        <w:widowControl w:val="0"/>
        <w:spacing w:after="3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3"/>
      <w:bookmarkEnd w:id="494"/>
      <w:bookmarkEnd w:id="49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控股股东、实际控制人、重组方及其他承诺主体股份限制减持情况</w:t>
      </w:r>
      <w:bookmarkEnd w:id="497"/>
      <w:bookmarkEnd w:id="498"/>
      <w:bookmarkEnd w:id="500"/>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68" w:bottom="1441"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txbxContent>
                </v:textbox>
                <w10:wrap type="topAndBottom" anchorx="page"/>
              </v:shape>
            </w:pict>
          </mc:Fallback>
        </mc:AlternateContent>
      </w:r>
    </w:p>
    <w:p>
      <w:pPr>
        <w:pStyle w:val="Style33"/>
        <w:keepNext w:val="0"/>
        <w:keepLines w:val="0"/>
        <w:widowControl w:val="0"/>
        <w:shd w:val="clear" w:color="auto" w:fill="auto"/>
        <w:bidi w:val="0"/>
        <w:spacing w:before="0" w:after="140" w:line="240" w:lineRule="auto"/>
        <w:ind w:left="0" w:right="0" w:firstLine="0"/>
        <w:jc w:val="left"/>
      </w:pPr>
      <w:bookmarkStart w:id="504" w:name="bookmark50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4"/>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8"/>
        <w:keepNext/>
        <w:keepLines/>
        <w:widowControl w:val="0"/>
        <w:shd w:val="clear" w:color="auto" w:fill="auto"/>
        <w:bidi w:val="0"/>
        <w:spacing w:before="540" w:after="560" w:line="240" w:lineRule="auto"/>
        <w:ind w:left="0" w:right="0" w:firstLine="0"/>
        <w:jc w:val="center"/>
      </w:pPr>
      <w:bookmarkStart w:id="505" w:name="bookmark505"/>
      <w:bookmarkStart w:id="506" w:name="bookmark506"/>
      <w:bookmarkStart w:id="507" w:name="bookmark507"/>
      <w:r>
        <w:rPr>
          <w:color w:val="000000"/>
          <w:spacing w:val="0"/>
          <w:w w:val="100"/>
          <w:position w:val="0"/>
        </w:rPr>
        <w:t>第八节可转换公司债券相关情况</w:t>
      </w:r>
      <w:bookmarkEnd w:id="505"/>
      <w:bookmarkEnd w:id="506"/>
      <w:bookmarkEnd w:id="507"/>
    </w:p>
    <w:p>
      <w:pPr>
        <w:pStyle w:val="Style33"/>
        <w:keepNext w:val="0"/>
        <w:keepLines w:val="0"/>
        <w:widowControl w:val="0"/>
        <w:shd w:val="clear" w:color="auto" w:fill="auto"/>
        <w:bidi w:val="0"/>
        <w:spacing w:before="0" w:after="120" w:line="240" w:lineRule="auto"/>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8"/>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8"/>
        <w:keepNext/>
        <w:keepLines/>
        <w:widowControl w:val="0"/>
        <w:shd w:val="clear" w:color="auto" w:fill="auto"/>
        <w:bidi w:val="0"/>
        <w:spacing w:before="0" w:after="520" w:line="240" w:lineRule="auto"/>
        <w:ind w:left="0" w:right="0" w:firstLine="0"/>
        <w:jc w:val="center"/>
      </w:pPr>
      <w:bookmarkStart w:id="509" w:name="bookmark509"/>
      <w:bookmarkStart w:id="510" w:name="bookmark510"/>
      <w:bookmarkStart w:id="511" w:name="bookmark511"/>
      <w:r>
        <w:rPr>
          <w:color w:val="000000"/>
          <w:spacing w:val="0"/>
          <w:w w:val="100"/>
          <w:position w:val="0"/>
        </w:rPr>
        <w:t>第九节董事、监事、高级管理人员和员工情况</w:t>
      </w:r>
      <w:bookmarkEnd w:id="509"/>
      <w:bookmarkEnd w:id="510"/>
      <w:bookmarkEnd w:id="511"/>
    </w:p>
    <w:p>
      <w:pPr>
        <w:pStyle w:val="Style29"/>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bookmarkStart w:id="516" w:name="bookmark516"/>
      <w:r>
        <w:rPr>
          <w:color w:val="000000"/>
          <w:spacing w:val="0"/>
          <w:w w:val="100"/>
          <w:position w:val="0"/>
          <w:sz w:val="24"/>
          <w:szCs w:val="24"/>
        </w:rPr>
        <w:t>一</w:t>
      </w:r>
      <w:bookmarkEnd w:id="515"/>
      <w:r>
        <w:rPr>
          <w:color w:val="000000"/>
          <w:spacing w:val="0"/>
          <w:w w:val="100"/>
          <w:position w:val="0"/>
          <w:sz w:val="24"/>
          <w:szCs w:val="24"/>
        </w:rPr>
        <w:t>、董事、监事和高级管理人员持股变动</w:t>
      </w:r>
      <w:bookmarkEnd w:id="513"/>
      <w:bookmarkEnd w:id="514"/>
      <w:bookmarkEnd w:id="516"/>
      <w:bookmarkEnd w:id="51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杨翠玉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书、财务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胡周斌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董事、总 裁助理、 董事会秘 书、财务 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William</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 Song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总裁助理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Daniel</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总裁助理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、公司董事、监事、高级管理人员变动情况</w:t>
      </w:r>
      <w:bookmarkEnd w:id="517"/>
      <w:bookmarkEnd w:id="518"/>
      <w:bookmarkEnd w:id="52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胡周斌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董事、总裁助理、 董事会秘书、财 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任满离任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William Wei</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任满离任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任满离任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任满离任</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Daniel Silva</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任满离任</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、任职情况</w:t>
      </w:r>
      <w:bookmarkEnd w:id="521"/>
      <w:bookmarkEnd w:id="522"/>
      <w:bookmarkEnd w:id="524"/>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tabs>
          <w:tab w:pos="956" w:val="left"/>
        </w:tabs>
        <w:bidi w:val="0"/>
        <w:spacing w:before="0" w:after="0" w:line="317"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一）</w:t>
        <w:tab/>
        <w:t>董事会成员</w:t>
      </w:r>
    </w:p>
    <w:p>
      <w:pPr>
        <w:pStyle w:val="Style33"/>
        <w:keepNext w:val="0"/>
        <w:keepLines w:val="0"/>
        <w:widowControl w:val="0"/>
        <w:shd w:val="clear" w:color="auto" w:fill="auto"/>
        <w:tabs>
          <w:tab w:pos="756" w:val="left"/>
        </w:tabs>
        <w:bidi w:val="0"/>
        <w:spacing w:before="0" w:after="0" w:line="317" w:lineRule="exact"/>
        <w:ind w:left="0" w:right="0" w:firstLine="440"/>
        <w:jc w:val="both"/>
      </w:pPr>
      <w:bookmarkStart w:id="526" w:name="bookmark526"/>
      <w:r>
        <w:rPr>
          <w:rFonts w:ascii="Times New Roman" w:eastAsia="Times New Roman" w:hAnsi="Times New Roman" w:cs="Times New Roman"/>
          <w:color w:val="000000"/>
          <w:spacing w:val="0"/>
          <w:w w:val="100"/>
          <w:position w:val="0"/>
          <w:sz w:val="18"/>
          <w:szCs w:val="18"/>
        </w:rPr>
        <w:t>1</w:t>
      </w:r>
      <w:bookmarkEnd w:id="526"/>
      <w:r>
        <w:rPr>
          <w:color w:val="000000"/>
          <w:spacing w:val="0"/>
          <w:w w:val="100"/>
          <w:position w:val="0"/>
        </w:rPr>
        <w:t>、</w:t>
        <w:tab/>
        <w:t>胡佳佳：女，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年毕业于阿斯顿大学市场营销专业，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年取得伦敦马兰 戈尼学院时尚营销硕士学位。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年，在公司曾任职于总裁办公室、</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鞋类开发营运部、品牌营销部、 战略发展部。现任公司董事长、总裁。</w:t>
      </w:r>
    </w:p>
    <w:p>
      <w:pPr>
        <w:pStyle w:val="Style33"/>
        <w:keepNext w:val="0"/>
        <w:keepLines w:val="0"/>
        <w:widowControl w:val="0"/>
        <w:shd w:val="clear" w:color="auto" w:fill="auto"/>
        <w:bidi w:val="0"/>
        <w:spacing w:before="0" w:after="0" w:line="317" w:lineRule="exact"/>
        <w:ind w:left="0" w:right="0" w:firstLine="440"/>
        <w:jc w:val="both"/>
      </w:pPr>
      <w:bookmarkStart w:id="527" w:name="bookmark527"/>
      <w:r>
        <w:rPr>
          <w:rFonts w:ascii="Times New Roman" w:eastAsia="Times New Roman" w:hAnsi="Times New Roman" w:cs="Times New Roman"/>
          <w:color w:val="000000"/>
          <w:spacing w:val="0"/>
          <w:w w:val="100"/>
          <w:position w:val="0"/>
          <w:sz w:val="18"/>
          <w:szCs w:val="18"/>
        </w:rPr>
        <w:t>2</w:t>
      </w:r>
      <w:bookmarkEnd w:id="527"/>
      <w:r>
        <w:rPr>
          <w:color w:val="000000"/>
          <w:spacing w:val="0"/>
          <w:w w:val="100"/>
          <w:position w:val="0"/>
        </w:rPr>
        <w:t xml:space="preserve">、 林晓东：女, </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年加入本公司</w:t>
      </w:r>
      <w:r>
        <w:rPr>
          <w:color w:val="000000"/>
          <w:spacing w:val="0"/>
          <w:w w:val="100"/>
          <w:position w:val="0"/>
          <w:sz w:val="18"/>
          <w:szCs w:val="18"/>
        </w:rPr>
        <w:t>，</w:t>
      </w:r>
      <w:r>
        <w:rPr>
          <w:color w:val="000000"/>
          <w:spacing w:val="0"/>
          <w:w w:val="100"/>
          <w:position w:val="0"/>
        </w:rPr>
        <w:t>曾任职于公司</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品牌华东区零售管 理部、</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品牌摇滚品类部、</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品牌男装产品开发企划部。现任</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品牌营销企划与商品运营管 理部总监。现任公司董事、副总裁。</w:t>
      </w:r>
    </w:p>
    <w:p>
      <w:pPr>
        <w:pStyle w:val="Style33"/>
        <w:keepNext w:val="0"/>
        <w:keepLines w:val="0"/>
        <w:widowControl w:val="0"/>
        <w:shd w:val="clear" w:color="auto" w:fill="auto"/>
        <w:tabs>
          <w:tab w:pos="766" w:val="left"/>
        </w:tabs>
        <w:bidi w:val="0"/>
        <w:spacing w:before="0" w:after="0" w:line="317" w:lineRule="exact"/>
        <w:ind w:left="0" w:right="0" w:firstLine="440"/>
        <w:jc w:val="both"/>
      </w:pPr>
      <w:bookmarkStart w:id="528" w:name="bookmark528"/>
      <w:r>
        <w:rPr>
          <w:rFonts w:ascii="Times New Roman" w:eastAsia="Times New Roman" w:hAnsi="Times New Roman" w:cs="Times New Roman"/>
          <w:color w:val="000000"/>
          <w:spacing w:val="0"/>
          <w:w w:val="100"/>
          <w:position w:val="0"/>
          <w:sz w:val="18"/>
          <w:szCs w:val="18"/>
        </w:rPr>
        <w:t>3</w:t>
      </w:r>
      <w:bookmarkEnd w:id="528"/>
      <w:r>
        <w:rPr>
          <w:color w:val="000000"/>
          <w:spacing w:val="0"/>
          <w:w w:val="100"/>
          <w:position w:val="0"/>
        </w:rPr>
        <w:t>、</w:t>
        <w:tab/>
        <w:t>刘岩：男，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年毕业于哈尔滨工业大学，本科学历。</w:t>
      </w:r>
      <w:r>
        <w:rPr>
          <w:rFonts w:ascii="Times New Roman" w:eastAsia="Times New Roman" w:hAnsi="Times New Roman" w:cs="Times New Roman"/>
          <w:color w:val="000000"/>
          <w:spacing w:val="0"/>
          <w:w w:val="100"/>
          <w:position w:val="0"/>
          <w:sz w:val="18"/>
          <w:szCs w:val="18"/>
        </w:rPr>
        <w:t>2006-2014</w:t>
      </w:r>
      <w:r>
        <w:rPr>
          <w:color w:val="000000"/>
          <w:spacing w:val="0"/>
          <w:w w:val="100"/>
          <w:position w:val="0"/>
        </w:rPr>
        <w:t>年任职宝洁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月加入本公司，曾任职集团国际业务发展部、渠道营运与发展部。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渠道营运与发展总 裁助理。现任公司董事。</w:t>
      </w:r>
    </w:p>
    <w:p>
      <w:pPr>
        <w:pStyle w:val="Style33"/>
        <w:keepNext w:val="0"/>
        <w:keepLines w:val="0"/>
        <w:widowControl w:val="0"/>
        <w:shd w:val="clear" w:color="auto" w:fill="auto"/>
        <w:tabs>
          <w:tab w:pos="746" w:val="left"/>
        </w:tabs>
        <w:bidi w:val="0"/>
        <w:spacing w:before="0" w:after="0" w:line="317" w:lineRule="exact"/>
        <w:ind w:left="0" w:right="0" w:firstLine="440"/>
        <w:jc w:val="both"/>
      </w:pPr>
      <w:bookmarkStart w:id="529" w:name="bookmark529"/>
      <w:r>
        <w:rPr>
          <w:rFonts w:ascii="Times New Roman" w:eastAsia="Times New Roman" w:hAnsi="Times New Roman" w:cs="Times New Roman"/>
          <w:color w:val="000000"/>
          <w:spacing w:val="0"/>
          <w:w w:val="100"/>
          <w:position w:val="0"/>
          <w:sz w:val="18"/>
          <w:szCs w:val="18"/>
        </w:rPr>
        <w:t>4</w:t>
      </w:r>
      <w:bookmarkEnd w:id="529"/>
      <w:r>
        <w:rPr>
          <w:color w:val="000000"/>
          <w:spacing w:val="0"/>
          <w:w w:val="100"/>
          <w:position w:val="0"/>
        </w:rPr>
        <w:t>、</w:t>
        <w:tab/>
        <w:t>张纯，女，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年出生，中共党员，博士学历，现任上海财经大学会计学专业教授、博士生导师。同时兼任中国教 育工会上海市经费审查委员会委员等职务。</w:t>
      </w:r>
    </w:p>
    <w:p>
      <w:pPr>
        <w:pStyle w:val="Style33"/>
        <w:keepNext w:val="0"/>
        <w:keepLines w:val="0"/>
        <w:widowControl w:val="0"/>
        <w:shd w:val="clear" w:color="auto" w:fill="auto"/>
        <w:tabs>
          <w:tab w:pos="761" w:val="left"/>
        </w:tabs>
        <w:bidi w:val="0"/>
        <w:spacing w:before="0" w:after="0" w:line="317" w:lineRule="exact"/>
        <w:ind w:left="0" w:right="0" w:firstLine="440"/>
        <w:jc w:val="both"/>
      </w:pPr>
      <w:bookmarkStart w:id="530" w:name="bookmark530"/>
      <w:r>
        <w:rPr>
          <w:rFonts w:ascii="Times New Roman" w:eastAsia="Times New Roman" w:hAnsi="Times New Roman" w:cs="Times New Roman"/>
          <w:color w:val="000000"/>
          <w:spacing w:val="0"/>
          <w:w w:val="100"/>
          <w:position w:val="0"/>
          <w:sz w:val="18"/>
          <w:szCs w:val="18"/>
        </w:rPr>
        <w:t>5</w:t>
      </w:r>
      <w:bookmarkEnd w:id="530"/>
      <w:r>
        <w:rPr>
          <w:color w:val="000000"/>
          <w:spacing w:val="0"/>
          <w:w w:val="100"/>
          <w:position w:val="0"/>
        </w:rPr>
        <w:t>、</w:t>
        <w:tab/>
        <w:t>沈福俊：男，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年出生，中国国籍，研究生学历，兼职律师。现任华东政法大学法律学院教授、博士生导师、本 公司独立董事，同时兼任中上海市行政法学研究会副会长等职务。</w:t>
      </w:r>
    </w:p>
    <w:p>
      <w:pPr>
        <w:pStyle w:val="Style33"/>
        <w:keepNext w:val="0"/>
        <w:keepLines w:val="0"/>
        <w:widowControl w:val="0"/>
        <w:shd w:val="clear" w:color="auto" w:fill="auto"/>
        <w:tabs>
          <w:tab w:pos="778" w:val="left"/>
        </w:tabs>
        <w:bidi w:val="0"/>
        <w:spacing w:before="0" w:after="280" w:line="317" w:lineRule="exact"/>
        <w:ind w:left="0" w:right="0" w:firstLine="440"/>
        <w:jc w:val="both"/>
      </w:pPr>
      <w:bookmarkStart w:id="531" w:name="bookmark531"/>
      <w:r>
        <w:rPr>
          <w:rFonts w:ascii="Times New Roman" w:eastAsia="Times New Roman" w:hAnsi="Times New Roman" w:cs="Times New Roman"/>
          <w:color w:val="000000"/>
          <w:spacing w:val="0"/>
          <w:w w:val="100"/>
          <w:position w:val="0"/>
          <w:sz w:val="18"/>
          <w:szCs w:val="18"/>
        </w:rPr>
        <w:t>6</w:t>
      </w:r>
      <w:bookmarkEnd w:id="531"/>
      <w:r>
        <w:rPr>
          <w:color w:val="000000"/>
          <w:spacing w:val="0"/>
          <w:w w:val="100"/>
          <w:position w:val="0"/>
        </w:rPr>
        <w:t>、</w:t>
        <w:tab/>
        <w:t>郑俊豪：男，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w:t>
      </w:r>
      <w:r>
        <w:rPr>
          <w:color w:val="000000"/>
          <w:spacing w:val="0"/>
          <w:w w:val="100"/>
          <w:position w:val="0"/>
        </w:rPr>
        <w:t>现任裕福控股集团有限公司董事长，本公司独立董事。</w:t>
      </w:r>
    </w:p>
    <w:p>
      <w:pPr>
        <w:pStyle w:val="Style33"/>
        <w:keepNext w:val="0"/>
        <w:keepLines w:val="0"/>
        <w:widowControl w:val="0"/>
        <w:shd w:val="clear" w:color="auto" w:fill="auto"/>
        <w:tabs>
          <w:tab w:pos="1028" w:val="left"/>
        </w:tabs>
        <w:bidi w:val="0"/>
        <w:spacing w:before="0" w:after="0" w:line="319" w:lineRule="exact"/>
        <w:ind w:left="0" w:right="0" w:firstLine="440"/>
        <w:jc w:val="both"/>
      </w:pPr>
      <w:bookmarkStart w:id="532" w:name="bookmark532"/>
      <w:r>
        <w:rPr>
          <w:color w:val="000000"/>
          <w:spacing w:val="0"/>
          <w:w w:val="100"/>
          <w:position w:val="0"/>
        </w:rPr>
        <w:t>（</w:t>
      </w:r>
      <w:bookmarkEnd w:id="532"/>
      <w:r>
        <w:rPr>
          <w:color w:val="000000"/>
          <w:spacing w:val="0"/>
          <w:w w:val="100"/>
          <w:position w:val="0"/>
        </w:rPr>
        <w:t>二）</w:t>
        <w:tab/>
        <w:t>监事会成员</w:t>
      </w:r>
    </w:p>
    <w:p>
      <w:pPr>
        <w:pStyle w:val="Style33"/>
        <w:keepNext w:val="0"/>
        <w:keepLines w:val="0"/>
        <w:widowControl w:val="0"/>
        <w:shd w:val="clear" w:color="auto" w:fill="auto"/>
        <w:tabs>
          <w:tab w:pos="756" w:val="left"/>
        </w:tabs>
        <w:bidi w:val="0"/>
        <w:spacing w:before="0" w:after="0" w:line="319" w:lineRule="exact"/>
        <w:ind w:left="0" w:right="0" w:firstLine="440"/>
        <w:jc w:val="both"/>
      </w:pPr>
      <w:bookmarkStart w:id="533" w:name="bookmark533"/>
      <w:r>
        <w:rPr>
          <w:rFonts w:ascii="Times New Roman" w:eastAsia="Times New Roman" w:hAnsi="Times New Roman" w:cs="Times New Roman"/>
          <w:color w:val="000000"/>
          <w:spacing w:val="0"/>
          <w:w w:val="100"/>
          <w:position w:val="0"/>
          <w:sz w:val="18"/>
          <w:szCs w:val="18"/>
        </w:rPr>
        <w:t>1</w:t>
      </w:r>
      <w:bookmarkEnd w:id="533"/>
      <w:r>
        <w:rPr>
          <w:color w:val="000000"/>
          <w:spacing w:val="0"/>
          <w:w w:val="100"/>
          <w:position w:val="0"/>
        </w:rPr>
        <w:t>、</w:t>
        <w:tab/>
        <w:t>冯辉：女，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年出生，中国国籍，本科学历，毕业于重庆建筑工程学院工业与民用建筑专业。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 历任公司经营审计部副总经理、总裁办公室副主任、审批办总经理。现任本公司监事会监事长。</w:t>
      </w:r>
    </w:p>
    <w:p>
      <w:pPr>
        <w:pStyle w:val="Style33"/>
        <w:keepNext w:val="0"/>
        <w:keepLines w:val="0"/>
        <w:widowControl w:val="0"/>
        <w:shd w:val="clear" w:color="auto" w:fill="auto"/>
        <w:tabs>
          <w:tab w:pos="761" w:val="left"/>
        </w:tabs>
        <w:bidi w:val="0"/>
        <w:spacing w:before="0" w:after="0" w:line="319" w:lineRule="exact"/>
        <w:ind w:left="0" w:right="0" w:firstLine="440"/>
        <w:jc w:val="both"/>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蒋勤：女，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年加入本公司，先后担任公司人力资源支持部人力资源专员、 </w:t>
      </w:r>
      <w:r>
        <w:rPr>
          <w:rFonts w:ascii="Times New Roman" w:eastAsia="Times New Roman" w:hAnsi="Times New Roman" w:cs="Times New Roman"/>
          <w:color w:val="000000"/>
          <w:spacing w:val="0"/>
          <w:w w:val="100"/>
          <w:position w:val="0"/>
          <w:sz w:val="18"/>
          <w:szCs w:val="18"/>
        </w:rPr>
        <w:t>C2M</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HRBP</w:t>
      </w:r>
      <w:r>
        <w:rPr>
          <w:color w:val="000000"/>
          <w:spacing w:val="0"/>
          <w:w w:val="100"/>
          <w:position w:val="0"/>
        </w:rPr>
        <w:t>负责人，现任</w:t>
      </w:r>
      <w:r>
        <w:rPr>
          <w:rFonts w:ascii="Times New Roman" w:eastAsia="Times New Roman" w:hAnsi="Times New Roman" w:cs="Times New Roman"/>
          <w:color w:val="000000"/>
          <w:spacing w:val="0"/>
          <w:w w:val="100"/>
          <w:position w:val="0"/>
          <w:sz w:val="18"/>
          <w:szCs w:val="18"/>
        </w:rPr>
        <w:t>ME&amp;CIT Y</w:t>
      </w:r>
      <w:r>
        <w:rPr>
          <w:color w:val="000000"/>
          <w:spacing w:val="0"/>
          <w:w w:val="100"/>
          <w:position w:val="0"/>
        </w:rPr>
        <w:t>品牌人力资源与培训部总经理助理。现任本公司监事。</w:t>
      </w:r>
    </w:p>
    <w:p>
      <w:pPr>
        <w:pStyle w:val="Style33"/>
        <w:keepNext w:val="0"/>
        <w:keepLines w:val="0"/>
        <w:widowControl w:val="0"/>
        <w:shd w:val="clear" w:color="auto" w:fill="auto"/>
        <w:tabs>
          <w:tab w:pos="766" w:val="left"/>
        </w:tabs>
        <w:bidi w:val="0"/>
        <w:spacing w:before="0" w:after="280" w:line="319" w:lineRule="exact"/>
        <w:ind w:left="0" w:right="0" w:firstLine="440"/>
        <w:jc w:val="both"/>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w:t>
        <w:tab/>
        <w:t>杨翠玉：女，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年加入本公司，在公司信息管理部担任总经理助理，主要负 责应用系统运维管理，如业务需求分析管理、应用权限管理、系统配置管理、问题跟进与处理；同时负责零售管理执行系统 项目推进和系统实施，保证项目能够按期上线和使用。现任本公司监事。</w:t>
      </w:r>
    </w:p>
    <w:p>
      <w:pPr>
        <w:pStyle w:val="Style33"/>
        <w:keepNext w:val="0"/>
        <w:keepLines w:val="0"/>
        <w:widowControl w:val="0"/>
        <w:shd w:val="clear" w:color="auto" w:fill="auto"/>
        <w:tabs>
          <w:tab w:pos="1028" w:val="left"/>
        </w:tabs>
        <w:bidi w:val="0"/>
        <w:spacing w:before="0" w:after="0" w:line="317" w:lineRule="exact"/>
        <w:ind w:left="0" w:right="0" w:firstLine="440"/>
        <w:jc w:val="both"/>
      </w:pPr>
      <w:bookmarkStart w:id="536" w:name="bookmark536"/>
      <w:r>
        <w:rPr>
          <w:color w:val="000000"/>
          <w:spacing w:val="0"/>
          <w:w w:val="100"/>
          <w:position w:val="0"/>
        </w:rPr>
        <w:t>（</w:t>
      </w:r>
      <w:bookmarkEnd w:id="536"/>
      <w:r>
        <w:rPr>
          <w:color w:val="000000"/>
          <w:spacing w:val="0"/>
          <w:w w:val="100"/>
          <w:position w:val="0"/>
        </w:rPr>
        <w:t>三）</w:t>
        <w:tab/>
        <w:t>高级管理人员</w:t>
      </w:r>
    </w:p>
    <w:p>
      <w:pPr>
        <w:pStyle w:val="Style33"/>
        <w:keepNext w:val="0"/>
        <w:keepLines w:val="0"/>
        <w:widowControl w:val="0"/>
        <w:shd w:val="clear" w:color="auto" w:fill="auto"/>
        <w:bidi w:val="0"/>
        <w:spacing w:before="0" w:after="0" w:line="317" w:lineRule="exact"/>
        <w:ind w:left="0" w:right="0" w:firstLine="440"/>
        <w:jc w:val="both"/>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、涂珂：男，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年毕业于西南财经大学，曾任中国光大银行重庆分行信贷经理、</w:t>
        <w:br w:type="page"/>
      </w:r>
      <w:r>
        <w:rPr>
          <w:color w:val="000000"/>
          <w:spacing w:val="0"/>
          <w:w w:val="100"/>
          <w:position w:val="0"/>
        </w:rPr>
        <w:t>中国光大银行总行信贷审批经理，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年加入本公司，历任公司监事长、董事、财务总监、董事会秘书。现任公司副总裁。</w:t>
      </w:r>
    </w:p>
    <w:p>
      <w:pPr>
        <w:pStyle w:val="Style33"/>
        <w:keepNext w:val="0"/>
        <w:keepLines w:val="0"/>
        <w:widowControl w:val="0"/>
        <w:shd w:val="clear" w:color="auto" w:fill="auto"/>
        <w:bidi w:val="0"/>
        <w:spacing w:before="0" w:after="460" w:line="319" w:lineRule="exact"/>
        <w:ind w:left="0" w:right="0" w:firstLine="440"/>
        <w:jc w:val="both"/>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、张利：女，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年出生，中国国籍，中共党员，黑龙江商学院本科毕业。曾任职于哈尔滨化工六厂、（中港合资） 哈尔滨亿滨化工有限公司，担任财务经理等职务。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月加入美特斯邦威服饰股份有限公司，曾任财务管理中心副总监、 公司职工代表监事。现任公司董事会秘书、财务负责人。</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上海祺格实业有限公司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上海财经大学会计学院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中国教育工会上海市经费审查委员会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经费审查委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地素时尚股份有限公司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广州信邦智能装备股份有限公司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长江养老保险股份有限公司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华东政法大学法律学院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上海市行政法学研究会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上海威贸电子股份有限公司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弘毅远方基金管理有限公司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裕福控股集团有限公司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裕福支付有限公司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裕福实业投资股份有限公司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裕福电子商务有限公司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裕福高新科技有限公司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北京裕福科技发展有限公司（有限合伙）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北京兴业世家科技发展有限公司（有限合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福讯信息技术有限公司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北京裕福区块链技术有限公司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四</w:t>
      </w:r>
      <w:bookmarkEnd w:id="541"/>
      <w:r>
        <w:rPr>
          <w:color w:val="000000"/>
          <w:spacing w:val="0"/>
          <w:w w:val="100"/>
          <w:position w:val="0"/>
          <w:sz w:val="24"/>
          <w:szCs w:val="24"/>
        </w:rPr>
        <w:t>、董事、监事、高级管理人员报酬情况</w:t>
      </w:r>
      <w:bookmarkEnd w:id="539"/>
      <w:bookmarkEnd w:id="540"/>
      <w:bookmarkEnd w:id="542"/>
    </w:p>
    <w:p>
      <w:pPr>
        <w:pStyle w:val="Style33"/>
        <w:keepNext w:val="0"/>
        <w:keepLines w:val="0"/>
        <w:widowControl w:val="0"/>
        <w:shd w:val="clear" w:color="auto" w:fill="auto"/>
        <w:bidi w:val="0"/>
        <w:spacing w:before="0" w:after="40" w:line="315"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742" w:val="left"/>
        </w:tabs>
        <w:bidi w:val="0"/>
        <w:spacing w:before="0" w:after="0" w:line="315" w:lineRule="exact"/>
        <w:ind w:left="0" w:right="0" w:firstLine="440"/>
        <w:jc w:val="left"/>
      </w:pPr>
      <w:bookmarkStart w:id="543" w:name="bookmark543"/>
      <w:r>
        <w:rPr>
          <w:rFonts w:ascii="Times New Roman" w:eastAsia="Times New Roman" w:hAnsi="Times New Roman" w:cs="Times New Roman"/>
          <w:color w:val="000000"/>
          <w:spacing w:val="0"/>
          <w:w w:val="100"/>
          <w:position w:val="0"/>
          <w:sz w:val="18"/>
          <w:szCs w:val="18"/>
        </w:rPr>
        <w:t>1</w:t>
      </w:r>
      <w:bookmarkEnd w:id="543"/>
      <w:r>
        <w:rPr>
          <w:color w:val="000000"/>
          <w:spacing w:val="0"/>
          <w:w w:val="100"/>
          <w:position w:val="0"/>
        </w:rPr>
        <w:t>、</w:t>
        <w:tab/>
        <w:t>公司严格按照《公司章程》及《薪酬与考核委员会工作细则》等制度制订公司董事、监事及高级管理人员薪酬方案, 由董事会薪酬与考核委员会审议并提交公司提交董事会审议通过，最终由股东大会审议批准。在公司任职的董事、监事、高 级管理人员按其职务根据公司现行的薪酬制度领取报酬，并依据风险、责任、利益相一致的原则，年底根据经营业绩和个人 绩效，严格按照考核评定程序，由董事会确定其年度奖金和奖惩方式；董事、监事报酬每月按标准准时支付到个人账户。公 司高级管理人员报酬按各自考核结果进行发放。</w:t>
      </w:r>
    </w:p>
    <w:p>
      <w:pPr>
        <w:pStyle w:val="Style33"/>
        <w:keepNext w:val="0"/>
        <w:keepLines w:val="0"/>
        <w:widowControl w:val="0"/>
        <w:shd w:val="clear" w:color="auto" w:fill="auto"/>
        <w:tabs>
          <w:tab w:pos="742" w:val="left"/>
        </w:tabs>
        <w:bidi w:val="0"/>
        <w:spacing w:before="0" w:after="40" w:line="315" w:lineRule="exact"/>
        <w:ind w:left="0" w:right="0" w:firstLine="440"/>
        <w:jc w:val="left"/>
      </w:pPr>
      <w:bookmarkStart w:id="544" w:name="bookmark544"/>
      <w:r>
        <w:rPr>
          <w:rFonts w:ascii="Times New Roman" w:eastAsia="Times New Roman" w:hAnsi="Times New Roman" w:cs="Times New Roman"/>
          <w:color w:val="000000"/>
          <w:spacing w:val="0"/>
          <w:w w:val="100"/>
          <w:position w:val="0"/>
          <w:sz w:val="18"/>
          <w:szCs w:val="18"/>
        </w:rPr>
        <w:t>2</w:t>
      </w:r>
      <w:bookmarkEnd w:id="544"/>
      <w:r>
        <w:rPr>
          <w:color w:val="000000"/>
          <w:spacing w:val="0"/>
          <w:w w:val="100"/>
          <w:position w:val="0"/>
        </w:rPr>
        <w:t>、</w:t>
        <w:tab/>
        <w:t>公司独立董事年度津贴经公司股东大会审议通过后确定，年度津贴为每人税后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万元人民币，按季度发放，公司负 担独立董事为参加会议发生的差旅费、办公费等履职费用。</w:t>
      </w:r>
    </w:p>
    <w:p>
      <w:pPr>
        <w:pStyle w:val="Style33"/>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杨翠玉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董事会秘书、财 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胡周斌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董事、总裁助理、 董事会秘书、财 务负责人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William Wei</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Daniel Silva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、公司员工情况</w:t>
      </w:r>
      <w:bookmarkEnd w:id="545"/>
      <w:bookmarkEnd w:id="546"/>
      <w:bookmarkEnd w:id="548"/>
    </w:p>
    <w:p>
      <w:pPr>
        <w:pStyle w:val="Style36"/>
        <w:keepNext/>
        <w:keepLines/>
        <w:widowControl w:val="0"/>
        <w:shd w:val="clear" w:color="auto" w:fill="auto"/>
        <w:bidi w:val="0"/>
        <w:spacing w:before="0" w:after="30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、员工数量、专业构成及教育程度</w:t>
      </w:r>
      <w:bookmarkEnd w:id="549"/>
      <w:bookmarkEnd w:id="550"/>
      <w:bookmarkEnd w:id="55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3,739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3,597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设计与工艺人员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4,951</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943</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、薪酬政策</w:t>
      </w:r>
      <w:bookmarkEnd w:id="553"/>
      <w:bookmarkEnd w:id="554"/>
      <w:bookmarkEnd w:id="556"/>
    </w:p>
    <w:p>
      <w:pPr>
        <w:pStyle w:val="Style3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公司一直致力于构建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公平公开透明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的薪酬绩效体系，以业绩结果为导向，建立科学合理的利润分享机制，引导业务 团队始终关注客户、关注财务结果、关注投入产出，真正实现以岗位价值和业绩贡献来付薪的理念。</w:t>
      </w:r>
    </w:p>
    <w:p>
      <w:pPr>
        <w:pStyle w:val="Style36"/>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、培训计划</w:t>
      </w:r>
      <w:bookmarkEnd w:id="557"/>
      <w:bookmarkEnd w:id="558"/>
      <w:bookmarkEnd w:id="560"/>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公司建立了一套完整的人才选拔和发展机制，并通过长期实践形成了科学合理的人才培养体系。</w:t>
      </w:r>
    </w:p>
    <w:p>
      <w:pPr>
        <w:pStyle w:val="Style33"/>
        <w:keepNext w:val="0"/>
        <w:keepLines w:val="0"/>
        <w:widowControl w:val="0"/>
        <w:shd w:val="clear" w:color="auto" w:fill="auto"/>
        <w:tabs>
          <w:tab w:pos="958" w:val="left"/>
        </w:tabs>
        <w:bidi w:val="0"/>
        <w:spacing w:before="0" w:after="0" w:line="319" w:lineRule="exact"/>
        <w:ind w:left="0" w:right="0" w:firstLine="440"/>
        <w:jc w:val="both"/>
      </w:pPr>
      <w:bookmarkStart w:id="561" w:name="bookmark561"/>
      <w:r>
        <w:rPr>
          <w:color w:val="000000"/>
          <w:spacing w:val="0"/>
          <w:w w:val="100"/>
          <w:position w:val="0"/>
          <w:sz w:val="18"/>
          <w:szCs w:val="18"/>
        </w:rPr>
        <w:t>（</w:t>
      </w:r>
      <w:bookmarkEnd w:id="561"/>
      <w:r>
        <w:rPr>
          <w:color w:val="000000"/>
          <w:spacing w:val="0"/>
          <w:w w:val="100"/>
          <w:position w:val="0"/>
          <w:sz w:val="18"/>
          <w:szCs w:val="18"/>
        </w:rPr>
        <w:t>1）</w:t>
        <w:tab/>
      </w:r>
      <w:r>
        <w:rPr>
          <w:color w:val="000000"/>
          <w:spacing w:val="0"/>
          <w:w w:val="100"/>
          <w:position w:val="0"/>
        </w:rPr>
        <w:t>管理培训生项目每年从国内一流高校里选拔数百名优秀毕业生，通过</w:t>
      </w:r>
      <w:r>
        <w:rPr>
          <w:color w:val="000000"/>
          <w:spacing w:val="0"/>
          <w:w w:val="100"/>
          <w:position w:val="0"/>
          <w:sz w:val="18"/>
          <w:szCs w:val="18"/>
        </w:rPr>
        <w:t>2-3</w:t>
      </w:r>
      <w:r>
        <w:rPr>
          <w:color w:val="000000"/>
          <w:spacing w:val="0"/>
          <w:w w:val="100"/>
          <w:position w:val="0"/>
        </w:rPr>
        <w:t>年的聚焦培养和轮岗机制，帮助他们迅 速成长成为各自业务领域的核心骨干。</w:t>
      </w:r>
    </w:p>
    <w:p>
      <w:pPr>
        <w:pStyle w:val="Style33"/>
        <w:keepNext w:val="0"/>
        <w:keepLines w:val="0"/>
        <w:widowControl w:val="0"/>
        <w:shd w:val="clear" w:color="auto" w:fill="auto"/>
        <w:tabs>
          <w:tab w:pos="954" w:val="left"/>
        </w:tabs>
        <w:bidi w:val="0"/>
        <w:spacing w:before="0" w:after="0" w:line="319" w:lineRule="exact"/>
        <w:ind w:left="0" w:right="0" w:firstLine="440"/>
        <w:jc w:val="both"/>
      </w:pPr>
      <w:bookmarkStart w:id="562" w:name="bookmark562"/>
      <w:r>
        <w:rPr>
          <w:color w:val="000000"/>
          <w:spacing w:val="0"/>
          <w:w w:val="100"/>
          <w:position w:val="0"/>
          <w:sz w:val="18"/>
          <w:szCs w:val="18"/>
        </w:rPr>
        <w:t>（</w:t>
      </w:r>
      <w:bookmarkEnd w:id="562"/>
      <w:r>
        <w:rPr>
          <w:color w:val="000000"/>
          <w:spacing w:val="0"/>
          <w:w w:val="100"/>
          <w:position w:val="0"/>
          <w:sz w:val="18"/>
          <w:szCs w:val="18"/>
        </w:rPr>
        <w:t>2）</w:t>
        <w:tab/>
      </w:r>
      <w:r>
        <w:rPr>
          <w:color w:val="000000"/>
          <w:spacing w:val="0"/>
          <w:w w:val="100"/>
          <w:position w:val="0"/>
        </w:rPr>
        <w:t>高潜人才项目致力于选拔公司内部有发展潜力的骨干员工，聚焦资源重点培养发展，帮助他们尽快成为各自管理 与专业岗位的继任者。</w:t>
      </w:r>
    </w:p>
    <w:p>
      <w:pPr>
        <w:pStyle w:val="Style33"/>
        <w:keepNext w:val="0"/>
        <w:keepLines w:val="0"/>
        <w:widowControl w:val="0"/>
        <w:shd w:val="clear" w:color="auto" w:fill="auto"/>
        <w:tabs>
          <w:tab w:pos="958" w:val="left"/>
        </w:tabs>
        <w:bidi w:val="0"/>
        <w:spacing w:before="0" w:after="0" w:line="319" w:lineRule="exact"/>
        <w:ind w:left="0" w:right="0" w:firstLine="440"/>
        <w:jc w:val="both"/>
      </w:pPr>
      <w:bookmarkStart w:id="563" w:name="bookmark563"/>
      <w:r>
        <w:rPr>
          <w:color w:val="000000"/>
          <w:spacing w:val="0"/>
          <w:w w:val="100"/>
          <w:position w:val="0"/>
          <w:sz w:val="18"/>
          <w:szCs w:val="18"/>
        </w:rPr>
        <w:t>（</w:t>
      </w:r>
      <w:bookmarkEnd w:id="563"/>
      <w:r>
        <w:rPr>
          <w:color w:val="000000"/>
          <w:spacing w:val="0"/>
          <w:w w:val="100"/>
          <w:position w:val="0"/>
          <w:sz w:val="18"/>
          <w:szCs w:val="18"/>
        </w:rPr>
        <w:t>3）</w:t>
        <w:tab/>
      </w:r>
      <w:r>
        <w:rPr>
          <w:color w:val="000000"/>
          <w:spacing w:val="0"/>
          <w:w w:val="100"/>
          <w:position w:val="0"/>
        </w:rPr>
        <w:t>公司组建了强大的专业培训团队，按照产品开发和上市节奏安排专业知识培训，并不断强化对于零售终端的场景 化服务及营销能力培训，提升团队的专业能力与销售技巧。</w:t>
      </w:r>
    </w:p>
    <w:p>
      <w:pPr>
        <w:pStyle w:val="Style33"/>
        <w:keepNext w:val="0"/>
        <w:keepLines w:val="0"/>
        <w:widowControl w:val="0"/>
        <w:shd w:val="clear" w:color="auto" w:fill="auto"/>
        <w:tabs>
          <w:tab w:pos="958" w:val="left"/>
        </w:tabs>
        <w:bidi w:val="0"/>
        <w:spacing w:before="0" w:after="700" w:line="319" w:lineRule="exact"/>
        <w:ind w:left="0" w:right="0" w:firstLine="440"/>
        <w:jc w:val="both"/>
      </w:pPr>
      <w:bookmarkStart w:id="564" w:name="bookmark564"/>
      <w:r>
        <w:rPr>
          <w:color w:val="000000"/>
          <w:spacing w:val="0"/>
          <w:w w:val="100"/>
          <w:position w:val="0"/>
          <w:sz w:val="18"/>
          <w:szCs w:val="18"/>
        </w:rPr>
        <w:t>（</w:t>
      </w:r>
      <w:bookmarkEnd w:id="564"/>
      <w:r>
        <w:rPr>
          <w:color w:val="000000"/>
          <w:spacing w:val="0"/>
          <w:w w:val="100"/>
          <w:position w:val="0"/>
          <w:sz w:val="18"/>
          <w:szCs w:val="18"/>
        </w:rPr>
        <w:t>4）</w:t>
        <w:tab/>
      </w:r>
      <w:r>
        <w:rPr>
          <w:color w:val="000000"/>
          <w:spacing w:val="0"/>
          <w:w w:val="100"/>
          <w:position w:val="0"/>
        </w:rPr>
        <w:t>公司拥有美特斯邦威大学这一平台，重点聚焦企业文化传播落地、领导力与通用素质培养、各类培训资源与技术 整合以及移动培训平台建设，为专业培训与人才发展工作提供强有力的保障。</w:t>
      </w:r>
    </w:p>
    <w:p>
      <w:pPr>
        <w:pStyle w:val="Style36"/>
        <w:keepNext/>
        <w:keepLines/>
        <w:widowControl w:val="0"/>
        <w:shd w:val="clear" w:color="auto" w:fill="auto"/>
        <w:bidi w:val="0"/>
        <w:spacing w:before="0" w:after="38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、劳务外包情况</w:t>
      </w:r>
      <w:bookmarkEnd w:id="565"/>
      <w:bookmarkEnd w:id="566"/>
      <w:bookmarkEnd w:id="568"/>
    </w:p>
    <w:p>
      <w:pPr>
        <w:pStyle w:val="Style33"/>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88" w:right="1065" w:bottom="1446"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540" w:after="560" w:line="240" w:lineRule="auto"/>
        <w:ind w:left="0" w:right="0" w:firstLine="0"/>
        <w:jc w:val="center"/>
      </w:pPr>
      <w:bookmarkStart w:id="569" w:name="bookmark569"/>
      <w:bookmarkStart w:id="570" w:name="bookmark570"/>
      <w:bookmarkStart w:id="571" w:name="bookmark571"/>
      <w:r>
        <w:rPr>
          <w:color w:val="000000"/>
          <w:spacing w:val="0"/>
          <w:w w:val="100"/>
          <w:position w:val="0"/>
        </w:rPr>
        <w:t>第十节公司治理</w:t>
      </w:r>
      <w:bookmarkEnd w:id="569"/>
      <w:bookmarkEnd w:id="570"/>
      <w:bookmarkEnd w:id="571"/>
    </w:p>
    <w:p>
      <w:pPr>
        <w:pStyle w:val="Style29"/>
        <w:keepNext/>
        <w:keepLines/>
        <w:widowControl w:val="0"/>
        <w:shd w:val="clear" w:color="auto" w:fill="auto"/>
        <w:tabs>
          <w:tab w:pos="485" w:val="left"/>
        </w:tabs>
        <w:bidi w:val="0"/>
        <w:spacing w:before="0" w:after="240" w:line="240" w:lineRule="auto"/>
        <w:ind w:left="0" w:right="0" w:firstLine="0"/>
        <w:jc w:val="left"/>
      </w:pPr>
      <w:bookmarkStart w:id="572" w:name="bookmark572"/>
      <w:bookmarkStart w:id="573" w:name="bookmark573"/>
      <w:bookmarkStart w:id="574" w:name="bookmark574"/>
      <w:bookmarkStart w:id="575" w:name="bookmark575"/>
      <w:bookmarkStart w:id="576" w:name="bookmark576"/>
      <w:r>
        <w:rPr>
          <w:color w:val="000000"/>
          <w:spacing w:val="0"/>
          <w:w w:val="100"/>
          <w:position w:val="0"/>
          <w:sz w:val="24"/>
          <w:szCs w:val="24"/>
        </w:rPr>
        <w:t>一</w:t>
      </w:r>
      <w:bookmarkEnd w:id="575"/>
      <w:r>
        <w:rPr>
          <w:color w:val="000000"/>
          <w:spacing w:val="0"/>
          <w:w w:val="100"/>
          <w:position w:val="0"/>
          <w:sz w:val="24"/>
          <w:szCs w:val="24"/>
        </w:rPr>
        <w:t>、</w:t>
        <w:tab/>
        <w:t>公司治理的基本状况</w:t>
      </w:r>
      <w:bookmarkEnd w:id="573"/>
      <w:bookmarkEnd w:id="574"/>
      <w:bookmarkEnd w:id="576"/>
      <w:bookmarkEnd w:id="572"/>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报告期内，公司严格按照《公司法》、《证券法》、《上市公司治理准则》和《深圳证券交易所股票上市规则》等相 关法律、法规的规定，不断完善公司法人治理结构，健全内部控制体系，进一步实现规范运作。</w:t>
      </w:r>
    </w:p>
    <w:p>
      <w:pPr>
        <w:pStyle w:val="Style33"/>
        <w:keepNext w:val="0"/>
        <w:keepLines w:val="0"/>
        <w:widowControl w:val="0"/>
        <w:shd w:val="clear" w:color="auto" w:fill="auto"/>
        <w:bidi w:val="0"/>
        <w:spacing w:before="0" w:after="0" w:line="288" w:lineRule="exact"/>
        <w:ind w:left="0" w:right="0" w:firstLine="440"/>
        <w:jc w:val="both"/>
      </w:pPr>
      <w:r>
        <w:rPr>
          <w:color w:val="000000"/>
          <w:spacing w:val="0"/>
          <w:w w:val="100"/>
          <w:position w:val="0"/>
        </w:rPr>
        <w:t>目前，公司整体运作比较规范、独立性强、信息披露规范，实际情况与中国证监会有关上市公司治理的规范性文件要 求基本符合。</w:t>
      </w:r>
    </w:p>
    <w:p>
      <w:pPr>
        <w:pStyle w:val="Style33"/>
        <w:keepNext w:val="0"/>
        <w:keepLines w:val="0"/>
        <w:widowControl w:val="0"/>
        <w:shd w:val="clear" w:color="auto" w:fill="auto"/>
        <w:tabs>
          <w:tab w:pos="729" w:val="left"/>
        </w:tabs>
        <w:bidi w:val="0"/>
        <w:spacing w:before="0" w:after="0" w:line="315" w:lineRule="exact"/>
        <w:ind w:left="0" w:right="0" w:firstLine="440"/>
        <w:jc w:val="both"/>
      </w:pPr>
      <w:bookmarkStart w:id="577" w:name="bookmark577"/>
      <w:r>
        <w:rPr>
          <w:color w:val="000000"/>
          <w:spacing w:val="0"/>
          <w:w w:val="100"/>
          <w:position w:val="0"/>
          <w:sz w:val="18"/>
          <w:szCs w:val="18"/>
        </w:rPr>
        <w:t>1</w:t>
      </w:r>
      <w:bookmarkEnd w:id="577"/>
      <w:r>
        <w:rPr>
          <w:color w:val="000000"/>
          <w:spacing w:val="0"/>
          <w:w w:val="100"/>
          <w:position w:val="0"/>
        </w:rPr>
        <w:t>、</w:t>
        <w:tab/>
        <w:t>关于股东与股东大会：报告期内，公司严格按照《上市公司股东大会规范意见》和《股东大会议事规则》的规定和 要求，规范股东大会的召集、召开、表决程序，平等对待所有股东，确保股东特别是中小股东能充分行使其权利。</w:t>
      </w:r>
    </w:p>
    <w:p>
      <w:pPr>
        <w:pStyle w:val="Style33"/>
        <w:keepNext w:val="0"/>
        <w:keepLines w:val="0"/>
        <w:widowControl w:val="0"/>
        <w:shd w:val="clear" w:color="auto" w:fill="auto"/>
        <w:tabs>
          <w:tab w:pos="729" w:val="left"/>
        </w:tabs>
        <w:bidi w:val="0"/>
        <w:spacing w:before="0" w:after="0" w:line="315" w:lineRule="exact"/>
        <w:ind w:left="0" w:right="0" w:firstLine="440"/>
        <w:jc w:val="both"/>
      </w:pPr>
      <w:bookmarkStart w:id="578" w:name="bookmark578"/>
      <w:r>
        <w:rPr>
          <w:color w:val="000000"/>
          <w:spacing w:val="0"/>
          <w:w w:val="100"/>
          <w:position w:val="0"/>
          <w:sz w:val="18"/>
          <w:szCs w:val="18"/>
        </w:rPr>
        <w:t>2</w:t>
      </w:r>
      <w:bookmarkEnd w:id="578"/>
      <w:r>
        <w:rPr>
          <w:color w:val="000000"/>
          <w:spacing w:val="0"/>
          <w:w w:val="100"/>
          <w:position w:val="0"/>
        </w:rPr>
        <w:t>、</w:t>
        <w:tab/>
        <w:t>关于控股股东与上市公司的关系：公司控股股东行为规范，能依法行使其权利，并承担相应义务，没有超越公司股 东大会直接或间接干预公司的决策和经营活动。公司具有独立的经营能力和完备的供销系统，公司董事会、监事会和内部机 构能够独立运作。</w:t>
      </w:r>
    </w:p>
    <w:p>
      <w:pPr>
        <w:pStyle w:val="Style33"/>
        <w:keepNext w:val="0"/>
        <w:keepLines w:val="0"/>
        <w:widowControl w:val="0"/>
        <w:shd w:val="clear" w:color="auto" w:fill="auto"/>
        <w:tabs>
          <w:tab w:pos="729" w:val="left"/>
        </w:tabs>
        <w:bidi w:val="0"/>
        <w:spacing w:before="0" w:after="0" w:line="315" w:lineRule="exact"/>
        <w:ind w:left="0" w:right="0" w:firstLine="440"/>
        <w:jc w:val="both"/>
      </w:pPr>
      <w:bookmarkStart w:id="579" w:name="bookmark579"/>
      <w:r>
        <w:rPr>
          <w:color w:val="000000"/>
          <w:spacing w:val="0"/>
          <w:w w:val="100"/>
          <w:position w:val="0"/>
          <w:sz w:val="18"/>
          <w:szCs w:val="18"/>
        </w:rPr>
        <w:t>3</w:t>
      </w:r>
      <w:bookmarkEnd w:id="579"/>
      <w:r>
        <w:rPr>
          <w:color w:val="000000"/>
          <w:spacing w:val="0"/>
          <w:w w:val="100"/>
          <w:position w:val="0"/>
        </w:rPr>
        <w:t>、</w:t>
        <w:tab/>
        <w:t>关于董事和董事会：公司严格按照《公司法》、《公司章程》规定的选聘程序选举董事，董事会的人数及结构符合 法律法规和《公司章程》的要求。全体董事严格按照《公司法》、《公司章程》和《董事会议事规则》的规定，规范董事会 的召集、召开和表决；公司董事认真出席董事会和股东大会，积极参加对相关知识的培训，熟悉有关法律法规，勤勉尽责。</w:t>
      </w:r>
    </w:p>
    <w:p>
      <w:pPr>
        <w:pStyle w:val="Style33"/>
        <w:keepNext w:val="0"/>
        <w:keepLines w:val="0"/>
        <w:widowControl w:val="0"/>
        <w:shd w:val="clear" w:color="auto" w:fill="auto"/>
        <w:tabs>
          <w:tab w:pos="729" w:val="left"/>
        </w:tabs>
        <w:bidi w:val="0"/>
        <w:spacing w:before="0" w:after="0" w:line="315" w:lineRule="exact"/>
        <w:ind w:left="0" w:right="0" w:firstLine="440"/>
        <w:jc w:val="both"/>
      </w:pPr>
      <w:bookmarkStart w:id="580" w:name="bookmark580"/>
      <w:r>
        <w:rPr>
          <w:color w:val="000000"/>
          <w:spacing w:val="0"/>
          <w:w w:val="100"/>
          <w:position w:val="0"/>
          <w:sz w:val="18"/>
          <w:szCs w:val="18"/>
        </w:rPr>
        <w:t>4</w:t>
      </w:r>
      <w:bookmarkEnd w:id="580"/>
      <w:r>
        <w:rPr>
          <w:color w:val="000000"/>
          <w:spacing w:val="0"/>
          <w:w w:val="100"/>
          <w:position w:val="0"/>
        </w:rPr>
        <w:t>、</w:t>
        <w:tab/>
        <w:t>关于监事和监事会：公司严格按照《公司法》、《公司章程》的规定选举产生监事，监事会的人数及结构符合法律 法规和《公司章程》的要求。监事会严格按照《公司章程》、《监事会议事规则》的规定，规范监事会的召集、召开和表决， 公司监事认真履行职责，诚信、勤勉、尽责地对公司财务以及董事、高级管理人员履行职责的合法、合规性进行监督，维护 公司及股东的合法权益。</w:t>
      </w:r>
    </w:p>
    <w:p>
      <w:pPr>
        <w:pStyle w:val="Style33"/>
        <w:keepNext w:val="0"/>
        <w:keepLines w:val="0"/>
        <w:widowControl w:val="0"/>
        <w:shd w:val="clear" w:color="auto" w:fill="auto"/>
        <w:tabs>
          <w:tab w:pos="734" w:val="left"/>
        </w:tabs>
        <w:bidi w:val="0"/>
        <w:spacing w:before="0" w:after="0" w:line="315" w:lineRule="exact"/>
        <w:ind w:left="0" w:right="0" w:firstLine="440"/>
        <w:jc w:val="both"/>
      </w:pPr>
      <w:bookmarkStart w:id="581" w:name="bookmark581"/>
      <w:r>
        <w:rPr>
          <w:color w:val="000000"/>
          <w:spacing w:val="0"/>
          <w:w w:val="100"/>
          <w:position w:val="0"/>
          <w:sz w:val="18"/>
          <w:szCs w:val="18"/>
        </w:rPr>
        <w:t>5</w:t>
      </w:r>
      <w:bookmarkEnd w:id="581"/>
      <w:r>
        <w:rPr>
          <w:color w:val="000000"/>
          <w:spacing w:val="0"/>
          <w:w w:val="100"/>
          <w:position w:val="0"/>
        </w:rPr>
        <w:t>、</w:t>
        <w:tab/>
        <w:t>关于绩效评价与激励约束机制：公司逐步建立和完善公正、透明的董事、监事和高级管理人员的绩效评价标准和激 励约束机制，公司高管人员的聘任公开、透明，符合法律法规的规定。</w:t>
      </w:r>
    </w:p>
    <w:p>
      <w:pPr>
        <w:pStyle w:val="Style33"/>
        <w:keepNext w:val="0"/>
        <w:keepLines w:val="0"/>
        <w:widowControl w:val="0"/>
        <w:shd w:val="clear" w:color="auto" w:fill="auto"/>
        <w:tabs>
          <w:tab w:pos="734" w:val="left"/>
        </w:tabs>
        <w:bidi w:val="0"/>
        <w:spacing w:before="0" w:after="0" w:line="315" w:lineRule="exact"/>
        <w:ind w:left="0" w:right="0" w:firstLine="440"/>
        <w:jc w:val="both"/>
      </w:pPr>
      <w:bookmarkStart w:id="582" w:name="bookmark582"/>
      <w:r>
        <w:rPr>
          <w:color w:val="000000"/>
          <w:spacing w:val="0"/>
          <w:w w:val="100"/>
          <w:position w:val="0"/>
          <w:sz w:val="18"/>
          <w:szCs w:val="18"/>
        </w:rPr>
        <w:t>6</w:t>
      </w:r>
      <w:bookmarkEnd w:id="582"/>
      <w:r>
        <w:rPr>
          <w:color w:val="000000"/>
          <w:spacing w:val="0"/>
          <w:w w:val="100"/>
          <w:position w:val="0"/>
        </w:rPr>
        <w:t>、</w:t>
        <w:tab/>
        <w:t>关于相关利益者：公司能够充分尊重和维护相关利益者的合法权益，积极与相关利益者合作，加强与各方的沟通和 交流，实现股东、员工、社会等各方利益的均衡，以推动公司持续、稳定、健康地发展。</w:t>
      </w:r>
    </w:p>
    <w:p>
      <w:pPr>
        <w:pStyle w:val="Style33"/>
        <w:keepNext w:val="0"/>
        <w:keepLines w:val="0"/>
        <w:widowControl w:val="0"/>
        <w:shd w:val="clear" w:color="auto" w:fill="auto"/>
        <w:tabs>
          <w:tab w:pos="734" w:val="left"/>
        </w:tabs>
        <w:bidi w:val="0"/>
        <w:spacing w:before="0" w:after="320" w:line="315" w:lineRule="exact"/>
        <w:ind w:left="0" w:right="0" w:firstLine="440"/>
        <w:jc w:val="both"/>
      </w:pPr>
      <w:bookmarkStart w:id="583" w:name="bookmark583"/>
      <w:r>
        <w:rPr>
          <w:color w:val="000000"/>
          <w:spacing w:val="0"/>
          <w:w w:val="100"/>
          <w:position w:val="0"/>
          <w:sz w:val="18"/>
          <w:szCs w:val="18"/>
        </w:rPr>
        <w:t>7</w:t>
      </w:r>
      <w:bookmarkEnd w:id="583"/>
      <w:r>
        <w:rPr>
          <w:color w:val="000000"/>
          <w:spacing w:val="0"/>
          <w:w w:val="100"/>
          <w:position w:val="0"/>
        </w:rPr>
        <w:t>、</w:t>
        <w:tab/>
        <w:t>关于信息披露与透明度：公司严格按照《信息披露管理制度》和《投资者关系管理制度》的要求，指定公司董事会 秘书负责信息披露工作、接待股东来访和咨询，严格按照有关规定真实、准确、完整、及时地披露有关信息，确保公司所有 股东能够以平等的机会获得信息。为加大对年报信息披露责任人的问责力度，提高年报信息披露质量和透明度，截至本报告 出具日，公司已建立年报信息披露重大差错责任追究机制。</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485" w:val="left"/>
        </w:tabs>
        <w:bidi w:val="0"/>
        <w:spacing w:before="0" w:after="2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w:t>
        <w:tab/>
        <w:t>公司相对于控股股东在业务、人员、资产、机构、财务等方面的独立情况</w:t>
      </w:r>
      <w:bookmarkEnd w:id="584"/>
      <w:bookmarkEnd w:id="585"/>
      <w:bookmarkEnd w:id="587"/>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公司在业务、资产、人员、机构和财务等方面均与公司控股股东、实际控制人及其控制的其他企业严格分开，具备完 整的与经营有关的业务体系及独立面向市场的能力。</w:t>
      </w:r>
    </w:p>
    <w:p>
      <w:pPr>
        <w:pStyle w:val="Style33"/>
        <w:keepNext w:val="0"/>
        <w:keepLines w:val="0"/>
        <w:widowControl w:val="0"/>
        <w:shd w:val="clear" w:color="auto" w:fill="auto"/>
        <w:tabs>
          <w:tab w:pos="729" w:val="left"/>
        </w:tabs>
        <w:bidi w:val="0"/>
        <w:spacing w:before="0" w:after="0" w:line="319" w:lineRule="exact"/>
        <w:ind w:left="0" w:right="0" w:firstLine="440"/>
        <w:jc w:val="both"/>
      </w:pPr>
      <w:bookmarkStart w:id="588" w:name="bookmark588"/>
      <w:r>
        <w:rPr>
          <w:color w:val="000000"/>
          <w:spacing w:val="0"/>
          <w:w w:val="100"/>
          <w:position w:val="0"/>
          <w:sz w:val="18"/>
          <w:szCs w:val="18"/>
        </w:rPr>
        <w:t>1</w:t>
      </w:r>
      <w:bookmarkEnd w:id="588"/>
      <w:r>
        <w:rPr>
          <w:color w:val="000000"/>
          <w:spacing w:val="0"/>
          <w:w w:val="100"/>
          <w:position w:val="0"/>
        </w:rPr>
        <w:t>、</w:t>
        <w:tab/>
        <w:t>资产完整及独立：公司合法拥有与目前业务有关的土地、房屋、设备以及商标等资产的所有权或使用权。公司独立 拥有该等资产，不存在被股东单位或其他关联方占用的情形。</w:t>
      </w:r>
    </w:p>
    <w:p>
      <w:pPr>
        <w:pStyle w:val="Style33"/>
        <w:keepNext w:val="0"/>
        <w:keepLines w:val="0"/>
        <w:widowControl w:val="0"/>
        <w:shd w:val="clear" w:color="auto" w:fill="auto"/>
        <w:tabs>
          <w:tab w:pos="729" w:val="left"/>
        </w:tabs>
        <w:bidi w:val="0"/>
        <w:spacing w:before="0" w:after="280" w:line="317" w:lineRule="exact"/>
        <w:ind w:left="0" w:right="0" w:firstLine="440"/>
        <w:jc w:val="both"/>
      </w:pPr>
      <w:bookmarkStart w:id="589" w:name="bookmark589"/>
      <w:r>
        <w:rPr>
          <w:color w:val="000000"/>
          <w:spacing w:val="0"/>
          <w:w w:val="100"/>
          <w:position w:val="0"/>
          <w:sz w:val="18"/>
          <w:szCs w:val="18"/>
        </w:rPr>
        <w:t>2</w:t>
      </w:r>
      <w:bookmarkEnd w:id="589"/>
      <w:r>
        <w:rPr>
          <w:color w:val="000000"/>
          <w:spacing w:val="0"/>
          <w:w w:val="100"/>
          <w:position w:val="0"/>
        </w:rPr>
        <w:t>、</w:t>
        <w:tab/>
        <w:t>业务独立：公司拥有独立完整的业务体系，能够面向市场独立经营，独立核算和决策，独立承担责任与风险，未受 到公司控股股东的干涉、控制，亦未因与公司控股股东及其控制的其他企业之间存在关联关系而使公司经营自主权的完整性、 独立性受到不良影响。</w:t>
      </w:r>
    </w:p>
    <w:p>
      <w:pPr>
        <w:pStyle w:val="Style33"/>
        <w:keepNext w:val="0"/>
        <w:keepLines w:val="0"/>
        <w:widowControl w:val="0"/>
        <w:shd w:val="clear" w:color="auto" w:fill="auto"/>
        <w:tabs>
          <w:tab w:pos="771" w:val="left"/>
        </w:tabs>
        <w:bidi w:val="0"/>
        <w:spacing w:before="0" w:after="0" w:line="317" w:lineRule="exact"/>
        <w:ind w:left="0" w:right="0" w:firstLine="440"/>
        <w:jc w:val="both"/>
      </w:pPr>
      <w:bookmarkStart w:id="590" w:name="bookmark590"/>
      <w:r>
        <w:rPr>
          <w:color w:val="000000"/>
          <w:spacing w:val="0"/>
          <w:w w:val="100"/>
          <w:position w:val="0"/>
          <w:sz w:val="18"/>
          <w:szCs w:val="18"/>
        </w:rPr>
        <w:t>3</w:t>
      </w:r>
      <w:bookmarkEnd w:id="590"/>
      <w:r>
        <w:rPr>
          <w:color w:val="000000"/>
          <w:spacing w:val="0"/>
          <w:w w:val="100"/>
          <w:position w:val="0"/>
        </w:rPr>
        <w:t>、</w:t>
        <w:tab/>
        <w:t>人员独立：公司董事、监事及其他高级管理人员均按照《公司法》及公司《公司章程》合法产生；公司的总裁、副 总裁、财务负责人和董事会秘书等高级管理人员未在控股股东及其控制的其他企业中担任除董事、监事以外的其它职务，未 在控股股东及其控制的其他企业中领薪；公司财务人员未在控股股东、实际控制人及其控制的其他企业中兼职。</w:t>
      </w:r>
    </w:p>
    <w:p>
      <w:pPr>
        <w:pStyle w:val="Style33"/>
        <w:keepNext w:val="0"/>
        <w:keepLines w:val="0"/>
        <w:widowControl w:val="0"/>
        <w:shd w:val="clear" w:color="auto" w:fill="auto"/>
        <w:tabs>
          <w:tab w:pos="766" w:val="left"/>
        </w:tabs>
        <w:bidi w:val="0"/>
        <w:spacing w:before="0" w:after="0" w:line="317" w:lineRule="exact"/>
        <w:ind w:left="0" w:right="0" w:firstLine="440"/>
        <w:jc w:val="both"/>
      </w:pPr>
      <w:bookmarkStart w:id="591" w:name="bookmark591"/>
      <w:r>
        <w:rPr>
          <w:color w:val="000000"/>
          <w:spacing w:val="0"/>
          <w:w w:val="100"/>
          <w:position w:val="0"/>
          <w:sz w:val="18"/>
          <w:szCs w:val="18"/>
        </w:rPr>
        <w:t>4</w:t>
      </w:r>
      <w:bookmarkEnd w:id="591"/>
      <w:r>
        <w:rPr>
          <w:color w:val="000000"/>
          <w:spacing w:val="0"/>
          <w:w w:val="100"/>
          <w:position w:val="0"/>
        </w:rPr>
        <w:t>、</w:t>
        <w:tab/>
        <w:t>机构独立：公司已依法建立健全股东大会、董事会、监事会等机构，聘请了总裁、副总裁、财务负责人、董事会秘 书等高级管理人员在内的高级管理层，公司独立行使经营管理职权，独立于公司的控股股东、实际控制人及其控制的其他企 业，不存在机构混同的情形。公司的办公场所独立于股东单位，不存在混合经营、合署办公的情形。</w:t>
      </w:r>
    </w:p>
    <w:p>
      <w:pPr>
        <w:pStyle w:val="Style33"/>
        <w:keepNext w:val="0"/>
        <w:keepLines w:val="0"/>
        <w:widowControl w:val="0"/>
        <w:shd w:val="clear" w:color="auto" w:fill="auto"/>
        <w:tabs>
          <w:tab w:pos="776" w:val="left"/>
        </w:tabs>
        <w:bidi w:val="0"/>
        <w:spacing w:before="0" w:after="340" w:line="317" w:lineRule="exact"/>
        <w:ind w:left="0" w:right="0" w:firstLine="440"/>
        <w:jc w:val="both"/>
      </w:pPr>
      <w:bookmarkStart w:id="592" w:name="bookmark592"/>
      <w:r>
        <w:rPr>
          <w:color w:val="000000"/>
          <w:spacing w:val="0"/>
          <w:w w:val="100"/>
          <w:position w:val="0"/>
          <w:sz w:val="18"/>
          <w:szCs w:val="18"/>
        </w:rPr>
        <w:t>5</w:t>
      </w:r>
      <w:bookmarkEnd w:id="592"/>
      <w:r>
        <w:rPr>
          <w:color w:val="000000"/>
          <w:spacing w:val="0"/>
          <w:w w:val="100"/>
          <w:position w:val="0"/>
        </w:rPr>
        <w:t>、</w:t>
        <w:tab/>
        <w:t>财务独立：公司设立了独立的财务会计部门，并依据《中华人民共和国会计法》、《企业会计准则》建立了独立的 财务核算体系和规范的财务管理制度，能够独立作出财务决策，具有规范的财务会计制度和对子公司的财务管理制度。公司 在银行独立开立账户，依法进行纳税申报和履行纳税义务，独立对外签订合同，不存在与控股股东、实际控制人及其控制的 其它企业共用银行账户的情形。</w:t>
      </w:r>
    </w:p>
    <w:p>
      <w:pPr>
        <w:pStyle w:val="Style29"/>
        <w:keepNext/>
        <w:keepLines/>
        <w:widowControl w:val="0"/>
        <w:shd w:val="clear" w:color="auto" w:fill="auto"/>
        <w:tabs>
          <w:tab w:pos="607"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同业竞争情况</w:t>
      </w:r>
      <w:bookmarkEnd w:id="593"/>
      <w:bookmarkEnd w:id="594"/>
      <w:bookmarkEnd w:id="596"/>
    </w:p>
    <w:p>
      <w:pPr>
        <w:pStyle w:val="Style33"/>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07" w:val="left"/>
        </w:tabs>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w:t>
        <w:tab/>
        <w:t>报告期内召开的年度股东大会和临时股东大会的有关情况</w:t>
      </w:r>
      <w:bookmarkEnd w:id="597"/>
      <w:bookmarkEnd w:id="598"/>
      <w:bookmarkEnd w:id="600"/>
    </w:p>
    <w:p>
      <w:pPr>
        <w:pStyle w:val="Style36"/>
        <w:keepNext/>
        <w:keepLines/>
        <w:widowControl w:val="0"/>
        <w:shd w:val="clear" w:color="auto" w:fill="auto"/>
        <w:bidi w:val="0"/>
        <w:spacing w:before="0" w:after="3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、本报告期股东大会情况</w:t>
      </w:r>
      <w:bookmarkEnd w:id="601"/>
      <w:bookmarkEnd w:id="602"/>
      <w:bookmarkEnd w:id="60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、表决权恢复的优先股股东请求召开临时股东大会</w:t>
      </w:r>
      <w:bookmarkEnd w:id="605"/>
      <w:bookmarkEnd w:id="606"/>
      <w:bookmarkEnd w:id="608"/>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五</w:t>
      </w:r>
      <w:bookmarkEnd w:id="611"/>
      <w:r>
        <w:rPr>
          <w:color w:val="000000"/>
          <w:spacing w:val="0"/>
          <w:w w:val="100"/>
          <w:position w:val="0"/>
          <w:sz w:val="24"/>
          <w:szCs w:val="24"/>
        </w:rPr>
        <w:t>、报告期内独立董事履行职责的情况</w:t>
      </w:r>
      <w:bookmarkEnd w:id="609"/>
      <w:bookmarkEnd w:id="610"/>
      <w:bookmarkEnd w:id="612"/>
    </w:p>
    <w:p>
      <w:pPr>
        <w:pStyle w:val="Style36"/>
        <w:keepNext/>
        <w:keepLines/>
        <w:widowControl w:val="0"/>
        <w:shd w:val="clear" w:color="auto" w:fill="auto"/>
        <w:bidi w:val="0"/>
        <w:spacing w:before="0" w:after="34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、独立董事出席董事会及股东大会的情况</w:t>
      </w:r>
      <w:bookmarkEnd w:id="613"/>
      <w:bookmarkEnd w:id="614"/>
      <w:bookmarkEnd w:id="616"/>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6"/>
        <w:keepNext/>
        <w:keepLines/>
        <w:widowControl w:val="0"/>
        <w:shd w:val="clear" w:color="auto" w:fill="auto"/>
        <w:tabs>
          <w:tab w:pos="378"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独立董事对公司有关事项提出异议的情况</w:t>
      </w:r>
      <w:bookmarkEnd w:id="617"/>
      <w:bookmarkEnd w:id="618"/>
      <w:bookmarkEnd w:id="620"/>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26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独立董事履行职责的其他说明</w:t>
      </w:r>
      <w:bookmarkEnd w:id="621"/>
      <w:bookmarkEnd w:id="622"/>
      <w:bookmarkEnd w:id="624"/>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公司独立董事单喆悠女士、张纯女士、沈福俊先生及郑俊豪先生，严格按照有关法律、法规及《公司章程》的规定履 行职责，按时亲自以现场或通讯方式参加了全部董事会会议，认真审议各项议案，客观的发表自己的看法及观点，并利用自 己的专业知识做出独立、公正的判断。同时各位独立董事还深入公司现场调查，了解公司经营状况和内部控制的建设及董事 会决议执行情况，为公司经营和发展提出了合理化的意见和建议。</w:t>
      </w:r>
    </w:p>
    <w:p>
      <w:pPr>
        <w:pStyle w:val="Style33"/>
        <w:keepNext w:val="0"/>
        <w:keepLines w:val="0"/>
        <w:widowControl w:val="0"/>
        <w:shd w:val="clear" w:color="auto" w:fill="auto"/>
        <w:bidi w:val="0"/>
        <w:spacing w:before="0" w:after="680" w:line="316" w:lineRule="exact"/>
        <w:ind w:left="0" w:right="0" w:firstLine="440"/>
        <w:jc w:val="both"/>
      </w:pPr>
      <w:r>
        <w:rPr>
          <w:color w:val="000000"/>
          <w:spacing w:val="0"/>
          <w:w w:val="100"/>
          <w:position w:val="0"/>
        </w:rPr>
        <w:t>本年度，公司共召开了</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次董事会和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次股东大会。本年度公司董事会、股东大会的召集召开符合法定程序，重大经营 决策事项均履行了相关程序，合法有效，未发生独立董事对公司董事会各项议案及公司其它事项提出异议的情况，独立董事 对公司有关建议均被公司采纳。</w:t>
      </w:r>
    </w:p>
    <w:p>
      <w:pPr>
        <w:pStyle w:val="Style29"/>
        <w:keepNext/>
        <w:keepLines/>
        <w:widowControl w:val="0"/>
        <w:shd w:val="clear" w:color="auto" w:fill="auto"/>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六</w:t>
      </w:r>
      <w:bookmarkEnd w:id="627"/>
      <w:r>
        <w:rPr>
          <w:color w:val="000000"/>
          <w:spacing w:val="0"/>
          <w:w w:val="100"/>
          <w:position w:val="0"/>
          <w:sz w:val="24"/>
          <w:szCs w:val="24"/>
        </w:rPr>
        <w:t>、董事会下设专门委员会在报告期内履行职责情况</w:t>
      </w:r>
      <w:bookmarkEnd w:id="625"/>
      <w:bookmarkEnd w:id="626"/>
      <w:bookmarkEnd w:id="628"/>
    </w:p>
    <w:p>
      <w:pPr>
        <w:pStyle w:val="Style33"/>
        <w:keepNext w:val="0"/>
        <w:keepLines w:val="0"/>
        <w:widowControl w:val="0"/>
        <w:shd w:val="clear" w:color="auto" w:fill="auto"/>
        <w:tabs>
          <w:tab w:pos="774" w:val="left"/>
        </w:tabs>
        <w:bidi w:val="0"/>
        <w:spacing w:before="0" w:after="0" w:line="314" w:lineRule="exact"/>
        <w:ind w:left="0" w:right="0" w:firstLine="440"/>
        <w:jc w:val="both"/>
      </w:pPr>
      <w:bookmarkStart w:id="629" w:name="bookmark629"/>
      <w:r>
        <w:rPr>
          <w:color w:val="000000"/>
          <w:spacing w:val="0"/>
          <w:w w:val="100"/>
          <w:position w:val="0"/>
          <w:sz w:val="18"/>
          <w:szCs w:val="18"/>
        </w:rPr>
        <w:t>1</w:t>
      </w:r>
      <w:bookmarkEnd w:id="629"/>
      <w:r>
        <w:rPr>
          <w:color w:val="000000"/>
          <w:spacing w:val="0"/>
          <w:w w:val="100"/>
          <w:position w:val="0"/>
        </w:rPr>
        <w:t>、</w:t>
        <w:tab/>
        <w:t>审计委员会</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报告期内，董事会审计委员会共召开</w:t>
      </w:r>
      <w:r>
        <w:rPr>
          <w:color w:val="000000"/>
          <w:spacing w:val="0"/>
          <w:w w:val="100"/>
          <w:position w:val="0"/>
          <w:sz w:val="18"/>
          <w:szCs w:val="18"/>
        </w:rPr>
        <w:t>4</w:t>
      </w:r>
      <w:r>
        <w:rPr>
          <w:color w:val="000000"/>
          <w:spacing w:val="0"/>
          <w:w w:val="100"/>
          <w:position w:val="0"/>
        </w:rPr>
        <w:t>次会议，审议了公司定期报告、内审部门提交的内部审计报告、变更会计师事务 所、年度审计计划及总结等事项，详细了解公司财务状况和经营情况，严格审查公司内部控制制度的建设及执行情况，对公 司财务状况和经营情况实施了有效的指导和监督。在年度审计工作过程中，公司董事会审计委员会在公司年审注册会计师进 场前审阅了公司编制的财务会计报表，认为财务会计报表基本能够反映公司的财务状况和经营成果。年审注册会计师进场前， 审计委员会与会计师事务所共同协商确定了公司本年度财务报告审计工作的时间安排，并不断加强与年审会计师的沟通，督 促其在约定时限内提交审计报告。在年审注册会计师出具初步审计意见后审计委员会又一次审阅了公司财务会计报表，认为 公司财务会计报表真实、准确、完整的反映了公司的财务状况和经营成果。</w:t>
      </w:r>
    </w:p>
    <w:p>
      <w:pPr>
        <w:pStyle w:val="Style33"/>
        <w:keepNext w:val="0"/>
        <w:keepLines w:val="0"/>
        <w:widowControl w:val="0"/>
        <w:shd w:val="clear" w:color="auto" w:fill="auto"/>
        <w:tabs>
          <w:tab w:pos="784" w:val="left"/>
        </w:tabs>
        <w:bidi w:val="0"/>
        <w:spacing w:before="0" w:after="0" w:line="314" w:lineRule="exact"/>
        <w:ind w:left="0" w:right="0" w:firstLine="440"/>
        <w:jc w:val="both"/>
      </w:pPr>
      <w:bookmarkStart w:id="630" w:name="bookmark630"/>
      <w:r>
        <w:rPr>
          <w:color w:val="000000"/>
          <w:spacing w:val="0"/>
          <w:w w:val="100"/>
          <w:position w:val="0"/>
          <w:sz w:val="18"/>
          <w:szCs w:val="18"/>
        </w:rPr>
        <w:t>2</w:t>
      </w:r>
      <w:bookmarkEnd w:id="630"/>
      <w:r>
        <w:rPr>
          <w:color w:val="000000"/>
          <w:spacing w:val="0"/>
          <w:w w:val="100"/>
          <w:position w:val="0"/>
        </w:rPr>
        <w:t>、</w:t>
        <w:tab/>
        <w:t>战略委员会</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报告期内，公司董事会战略委员会召开会议，对拟非公开发行</w:t>
      </w:r>
      <w:r>
        <w:rPr>
          <w:color w:val="000000"/>
          <w:spacing w:val="0"/>
          <w:w w:val="100"/>
          <w:position w:val="0"/>
          <w:sz w:val="18"/>
          <w:szCs w:val="18"/>
        </w:rPr>
        <w:t>A</w:t>
      </w:r>
      <w:r>
        <w:rPr>
          <w:color w:val="000000"/>
          <w:spacing w:val="0"/>
          <w:w w:val="100"/>
          <w:position w:val="0"/>
        </w:rPr>
        <w:t>股股票等相关事项进行了研究和讨论。</w:t>
      </w:r>
    </w:p>
    <w:p>
      <w:pPr>
        <w:pStyle w:val="Style33"/>
        <w:keepNext w:val="0"/>
        <w:keepLines w:val="0"/>
        <w:widowControl w:val="0"/>
        <w:shd w:val="clear" w:color="auto" w:fill="auto"/>
        <w:tabs>
          <w:tab w:pos="784" w:val="left"/>
        </w:tabs>
        <w:bidi w:val="0"/>
        <w:spacing w:before="0" w:after="0" w:line="314" w:lineRule="exact"/>
        <w:ind w:left="0" w:right="0" w:firstLine="440"/>
        <w:jc w:val="both"/>
      </w:pPr>
      <w:bookmarkStart w:id="631" w:name="bookmark631"/>
      <w:r>
        <w:rPr>
          <w:color w:val="000000"/>
          <w:spacing w:val="0"/>
          <w:w w:val="100"/>
          <w:position w:val="0"/>
          <w:sz w:val="18"/>
          <w:szCs w:val="18"/>
        </w:rPr>
        <w:t>3</w:t>
      </w:r>
      <w:bookmarkEnd w:id="631"/>
      <w:r>
        <w:rPr>
          <w:color w:val="000000"/>
          <w:spacing w:val="0"/>
          <w:w w:val="100"/>
          <w:position w:val="0"/>
        </w:rPr>
        <w:t>、</w:t>
        <w:tab/>
        <w:t>薪酬与考核委员会</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报告期内，公司董事会薪酬与考核委员会召开会议，对董事和高管薪酬等相关事宜进行了认真研究和核查，为公司董 事会的规范运作提出了合理的建议。</w:t>
      </w:r>
    </w:p>
    <w:p>
      <w:pPr>
        <w:pStyle w:val="Style33"/>
        <w:keepNext w:val="0"/>
        <w:keepLines w:val="0"/>
        <w:widowControl w:val="0"/>
        <w:shd w:val="clear" w:color="auto" w:fill="auto"/>
        <w:tabs>
          <w:tab w:pos="789" w:val="left"/>
        </w:tabs>
        <w:bidi w:val="0"/>
        <w:spacing w:before="0" w:after="0" w:line="314" w:lineRule="exact"/>
        <w:ind w:left="0" w:right="0" w:firstLine="440"/>
        <w:jc w:val="both"/>
      </w:pPr>
      <w:bookmarkStart w:id="632" w:name="bookmark632"/>
      <w:r>
        <w:rPr>
          <w:color w:val="000000"/>
          <w:spacing w:val="0"/>
          <w:w w:val="100"/>
          <w:position w:val="0"/>
          <w:sz w:val="18"/>
          <w:szCs w:val="18"/>
        </w:rPr>
        <w:t>4</w:t>
      </w:r>
      <w:bookmarkEnd w:id="632"/>
      <w:r>
        <w:rPr>
          <w:color w:val="000000"/>
          <w:spacing w:val="0"/>
          <w:w w:val="100"/>
          <w:position w:val="0"/>
        </w:rPr>
        <w:t>、</w:t>
        <w:tab/>
        <w:t>提名委员会</w:t>
      </w:r>
    </w:p>
    <w:p>
      <w:pPr>
        <w:pStyle w:val="Style3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报告期内，董事会提名委员会召开会议，对公司拟聘任的董事任职资格等事项进行了认真的核查，并同意提交董事会 审议。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七</w:t>
      </w:r>
      <w:bookmarkEnd w:id="635"/>
      <w:r>
        <w:rPr>
          <w:color w:val="000000"/>
          <w:spacing w:val="0"/>
          <w:w w:val="100"/>
          <w:position w:val="0"/>
          <w:sz w:val="24"/>
          <w:szCs w:val="24"/>
        </w:rPr>
        <w:t>、</w:t>
        <w:tab/>
        <w:t>监事会工作情况</w:t>
      </w:r>
      <w:bookmarkEnd w:id="633"/>
      <w:bookmarkEnd w:id="634"/>
      <w:bookmarkEnd w:id="636"/>
    </w:p>
    <w:p>
      <w:pPr>
        <w:pStyle w:val="Style33"/>
        <w:keepNext w:val="0"/>
        <w:keepLines w:val="0"/>
        <w:widowControl w:val="0"/>
        <w:shd w:val="clear" w:color="auto" w:fill="auto"/>
        <w:bidi w:val="0"/>
        <w:spacing w:before="0" w:after="140" w:line="311"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八</w:t>
      </w:r>
      <w:bookmarkEnd w:id="639"/>
      <w:r>
        <w:rPr>
          <w:color w:val="000000"/>
          <w:spacing w:val="0"/>
          <w:w w:val="100"/>
          <w:position w:val="0"/>
          <w:sz w:val="24"/>
          <w:szCs w:val="24"/>
        </w:rPr>
        <w:t>、</w:t>
        <w:tab/>
        <w:t>高级管理人员的考评及激励情况</w:t>
      </w:r>
      <w:bookmarkEnd w:id="637"/>
      <w:bookmarkEnd w:id="638"/>
      <w:bookmarkEnd w:id="640"/>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公司严格按照《公司章程》及《薪酬与考核委员会工作细则》等制度制订高级管理人员考评及薪酬方案，充分调动和 激发高级管理人员积极性和主动性。在公司任职的高级管理人员按其职务根据公司现行的薪酬制度领取报酬，并依据风险、 责任、利益相一致的原则，年底根据经营业绩和个人绩效，严格按照考核评定程序，由董事会确定其年度奖金和奖惩方式， 相关奖金按各自考核结果进行发放。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年度公司顺利实施了公司第一期员工持股计划，进一步调动了中高层管理人员的积 极性和主动性，实现股东利益最大化。为维护公司本次员工持股计划持有人的利益，公司第四届董事会第二十一次会议通过 了《关于公司第一期员工持股计划存续期展望的议案》，员工持股计划存续期延长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3"/>
        <w:keepNext w:val="0"/>
        <w:keepLines w:val="0"/>
        <w:widowControl w:val="0"/>
        <w:shd w:val="clear" w:color="auto" w:fill="auto"/>
        <w:bidi w:val="0"/>
        <w:spacing w:before="0" w:after="700" w:line="311" w:lineRule="exact"/>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日，公司第一期员工持股计划所持</w:t>
      </w:r>
      <w:r>
        <w:rPr>
          <w:rFonts w:ascii="Times New Roman" w:eastAsia="Times New Roman" w:hAnsi="Times New Roman" w:cs="Times New Roman"/>
          <w:color w:val="000000"/>
          <w:spacing w:val="0"/>
          <w:w w:val="100"/>
          <w:position w:val="0"/>
          <w:sz w:val="18"/>
          <w:szCs w:val="18"/>
        </w:rPr>
        <w:t>58,190,814</w:t>
      </w:r>
      <w:r>
        <w:rPr>
          <w:color w:val="000000"/>
          <w:spacing w:val="0"/>
          <w:w w:val="100"/>
          <w:position w:val="0"/>
        </w:rPr>
        <w:t>股通过集中竞价交易方式已全部出售完毕， 占公司总股本的比例为</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。依据有关规定，终止本员工持股计划，后续将进行相关财产清算和分配工作。</w:t>
      </w:r>
    </w:p>
    <w:p>
      <w:pPr>
        <w:pStyle w:val="Style29"/>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九</w:t>
      </w:r>
      <w:bookmarkEnd w:id="643"/>
      <w:r>
        <w:rPr>
          <w:color w:val="000000"/>
          <w:spacing w:val="0"/>
          <w:w w:val="100"/>
          <w:position w:val="0"/>
          <w:sz w:val="24"/>
          <w:szCs w:val="24"/>
        </w:rPr>
        <w:t>、内部控制评价报告</w:t>
      </w:r>
      <w:bookmarkEnd w:id="641"/>
      <w:bookmarkEnd w:id="642"/>
      <w:bookmarkEnd w:id="644"/>
    </w:p>
    <w:p>
      <w:pPr>
        <w:pStyle w:val="Style36"/>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、报告期内发现的内部控制重大缺陷的具体情况</w:t>
      </w:r>
      <w:bookmarkEnd w:id="645"/>
      <w:bookmarkEnd w:id="646"/>
      <w:bookmarkEnd w:id="64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6"/>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、内控自我评价报告</w:t>
      </w:r>
      <w:bookmarkEnd w:id="649"/>
      <w:bookmarkEnd w:id="650"/>
      <w:bookmarkEnd w:id="652"/>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重大缺陷：是指一个或多个控制缺陷的组 合，可能导致企业严重偏离控制目标。出 现下列情形之一的，认定为重大缺陷：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董事、监事和高级管理人员舞弊行为；</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公司审计委员会和审计部对内部控制的监 督无效；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注册会计师对公司财务报表出 具无保留意见以外的其他三种意见审计报 告。重要缺陷：是指一个或多个控制缺陷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重要业务缺乏制度控制或 制度体系失效；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内部控制重大缺陷未 得到整改。重要缺陷：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重要业务制度 体系存在缺陷；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内部控制重要缺陷未 得到整改。一般缺陷：不属于重大缺陷、 重要缺陷的其他内部控制缺陷。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的组合，其严重程度和经济后果低于重大 缺陷，但是仍有可能导致企业偏离控制目 标。出现下列情形之一的，认定为重大缺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公司内部审计机构未能有效发挥监督职 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公司以前的财务报告出现重大错报 需要进行追溯调整。一般缺陷：不属于重 大缺陷、重要缺陷的其他内部控制缺陷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219" w:val="left"/>
              </w:tabs>
              <w:bidi w:val="0"/>
              <w:spacing w:before="0" w:after="0" w:line="310" w:lineRule="exact"/>
              <w:ind w:left="0" w:right="0" w:firstLine="0"/>
              <w:jc w:val="both"/>
            </w:pPr>
            <w:r>
              <w:rPr>
                <w:color w:val="000000"/>
                <w:spacing w:val="0"/>
                <w:w w:val="100"/>
                <w:position w:val="0"/>
              </w:rPr>
              <w:t>财务报表的错报金额落在如下区间的为重 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合并报表营业收入的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财务报表的错报金额落在如下区间的为重 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合并报表营业收入的</w:t>
            </w:r>
            <w:r>
              <w:rPr>
                <w:rFonts w:ascii="Times New Roman" w:eastAsia="Times New Roman" w:hAnsi="Times New Roman" w:cs="Times New Roman"/>
                <w:color w:val="000000"/>
                <w:spacing w:val="0"/>
                <w:w w:val="100"/>
                <w:position w:val="0"/>
                <w:sz w:val="18"/>
                <w:szCs w:val="18"/>
              </w:rPr>
              <w:t xml:space="preserve">0.25% </w:t>
            </w:r>
            <w:r>
              <w:rPr>
                <w:i/>
                <w:iCs/>
                <w:color w:val="000000"/>
                <w:spacing w:val="0"/>
                <w:w w:val="100"/>
                <w:position w:val="0"/>
              </w:rPr>
              <w:t>M</w:t>
            </w:r>
            <w:r>
              <w:rPr>
                <w:i/>
                <w:iCs/>
                <w:color w:val="000000"/>
                <w:spacing w:val="0"/>
                <w:w w:val="100"/>
                <w:position w:val="0"/>
              </w:rPr>
              <w:t xml:space="preserve">错 </w:t>
            </w:r>
            <w:r>
              <w:rPr>
                <w:color w:val="000000"/>
                <w:spacing w:val="0"/>
                <w:w w:val="100"/>
                <w:position w:val="0"/>
              </w:rPr>
              <w:t>报</w:t>
            </w:r>
            <w:r>
              <w:rPr>
                <w:color w:val="000000"/>
                <w:spacing w:val="0"/>
                <w:w w:val="100"/>
                <w:position w:val="0"/>
                <w:sz w:val="18"/>
                <w:szCs w:val="18"/>
              </w:rPr>
              <w:t>〈</w:t>
            </w:r>
            <w:r>
              <w:rPr>
                <w:color w:val="000000"/>
                <w:spacing w:val="0"/>
                <w:w w:val="100"/>
                <w:position w:val="0"/>
              </w:rPr>
              <w:t>合并报表营业收入的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合并报表 资产总额的</w:t>
            </w:r>
            <w:r>
              <w:rPr>
                <w:rFonts w:ascii="Times New Roman" w:eastAsia="Times New Roman" w:hAnsi="Times New Roman" w:cs="Times New Roman"/>
                <w:color w:val="000000"/>
                <w:spacing w:val="0"/>
                <w:w w:val="100"/>
                <w:position w:val="0"/>
                <w:sz w:val="18"/>
                <w:szCs w:val="18"/>
              </w:rPr>
              <w:t xml:space="preserve">0.25% </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错报</w:t>
            </w:r>
            <w:r>
              <w:rPr>
                <w:color w:val="000000"/>
                <w:spacing w:val="0"/>
                <w:w w:val="100"/>
                <w:position w:val="0"/>
                <w:sz w:val="18"/>
                <w:szCs w:val="18"/>
              </w:rPr>
              <w:t>〈</w:t>
            </w:r>
            <w:r>
              <w:rPr>
                <w:color w:val="000000"/>
                <w:spacing w:val="0"/>
                <w:w w:val="100"/>
                <w:position w:val="0"/>
              </w:rPr>
              <w:t>合并报表资产总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。财务报表的错报金额落在如下 区间的为一般缺陷：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color w:val="000000"/>
                <w:spacing w:val="0"/>
                <w:w w:val="100"/>
                <w:position w:val="0"/>
                <w:sz w:val="18"/>
                <w:szCs w:val="18"/>
              </w:rPr>
              <w:t>〈</w:t>
            </w:r>
            <w:r>
              <w:rPr>
                <w:color w:val="000000"/>
                <w:spacing w:val="0"/>
                <w:w w:val="100"/>
                <w:position w:val="0"/>
              </w:rPr>
              <w:t>合并报表营业 收入的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w:t>
            </w:r>
            <w:r>
              <w:rPr>
                <w:color w:val="000000"/>
                <w:spacing w:val="0"/>
                <w:w w:val="100"/>
                <w:position w:val="0"/>
                <w:sz w:val="18"/>
                <w:szCs w:val="18"/>
              </w:rPr>
              <w:t>〈</w:t>
            </w:r>
            <w:r>
              <w:rPr>
                <w:color w:val="000000"/>
                <w:spacing w:val="0"/>
                <w:w w:val="100"/>
                <w:position w:val="0"/>
              </w:rPr>
              <w:t>合并报表资产总额</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重大缺陷：直接财产损失金额</w:t>
            </w:r>
            <w:r>
              <w:rPr>
                <w:color w:val="000000"/>
                <w:spacing w:val="0"/>
                <w:w w:val="100"/>
                <w:position w:val="0"/>
                <w:sz w:val="18"/>
                <w:szCs w:val="18"/>
              </w:rPr>
              <w:t>〉</w:t>
            </w:r>
            <w:r>
              <w:rPr>
                <w:color w:val="000000"/>
                <w:spacing w:val="0"/>
                <w:w w:val="100"/>
                <w:position w:val="0"/>
              </w:rPr>
              <w:t>合并报 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；重要缺陷：合并 报表资产总额的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8"/>
                <w:szCs w:val="18"/>
              </w:rPr>
              <w:t>〈</w:t>
            </w:r>
            <w:r>
              <w:rPr>
                <w:color w:val="000000"/>
                <w:spacing w:val="0"/>
                <w:w w:val="100"/>
                <w:position w:val="0"/>
              </w:rPr>
              <w:t>直接财产损失 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 缺陷：直接财产损失金额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合并报表资 产总额的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r>
        <w:rPr>
          <w:color w:val="000000"/>
          <w:spacing w:val="0"/>
          <w:w w:val="100"/>
          <w:position w:val="0"/>
          <w:sz w:val="24"/>
          <w:szCs w:val="24"/>
        </w:rPr>
        <w:t>十、内部控制审计报告或鉴证报告</w:t>
      </w:r>
      <w:bookmarkEnd w:id="653"/>
      <w:bookmarkEnd w:id="654"/>
      <w:bookmarkEnd w:id="655"/>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69" w:right="1040" w:bottom="1489" w:left="1088" w:header="0" w:footer="3" w:gutter="0"/>
          <w:cols w:space="720"/>
          <w:noEndnote/>
          <w:rtlGutter w:val="0"/>
          <w:docGrid w:linePitch="360"/>
        </w:sectPr>
      </w:pP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656" w:name="bookmark656"/>
      <w:bookmarkStart w:id="657" w:name="bookmark657"/>
      <w:bookmarkStart w:id="658" w:name="bookmark658"/>
      <w:r>
        <w:rPr>
          <w:color w:val="000000"/>
          <w:spacing w:val="0"/>
          <w:w w:val="100"/>
          <w:position w:val="0"/>
        </w:rPr>
        <w:t>第十一节公司债券相关情况</w:t>
      </w:r>
      <w:bookmarkEnd w:id="656"/>
      <w:bookmarkEnd w:id="657"/>
      <w:bookmarkEnd w:id="658"/>
    </w:p>
    <w:p>
      <w:pPr>
        <w:pStyle w:val="Style33"/>
        <w:keepNext w:val="0"/>
        <w:keepLines w:val="0"/>
        <w:widowControl w:val="0"/>
        <w:shd w:val="clear" w:color="auto" w:fill="auto"/>
        <w:bidi w:val="0"/>
        <w:spacing w:before="0" w:after="140" w:line="240" w:lineRule="auto"/>
        <w:ind w:left="0" w:right="0" w:firstLine="0"/>
        <w:jc w:val="left"/>
      </w:pPr>
      <w:bookmarkStart w:id="659" w:name="bookmark659"/>
      <w:r>
        <w:rPr>
          <w:color w:val="000000"/>
          <w:spacing w:val="0"/>
          <w:w w:val="100"/>
          <w:position w:val="0"/>
        </w:rPr>
        <w:t>公司是否存在公开发行并在证券交易所上市，且在年度报告批准报出日未到期或到期未能全额兑付的公司债券</w:t>
      </w:r>
      <w:bookmarkEnd w:id="659"/>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720" w:after="560" w:line="240" w:lineRule="auto"/>
        <w:ind w:left="0" w:right="0" w:firstLine="0"/>
        <w:jc w:val="center"/>
      </w:pPr>
      <w:bookmarkStart w:id="660" w:name="bookmark660"/>
      <w:bookmarkStart w:id="661" w:name="bookmark661"/>
      <w:bookmarkStart w:id="662" w:name="bookmark662"/>
      <w:r>
        <w:rPr>
          <w:color w:val="000000"/>
          <w:spacing w:val="0"/>
          <w:w w:val="100"/>
          <w:position w:val="0"/>
        </w:rPr>
        <w:t>第十二节财务报告</w:t>
      </w:r>
      <w:bookmarkEnd w:id="660"/>
      <w:bookmarkEnd w:id="661"/>
      <w:bookmarkEnd w:id="662"/>
    </w:p>
    <w:p>
      <w:pPr>
        <w:pStyle w:val="Style29"/>
        <w:keepNext/>
        <w:keepLines/>
        <w:widowControl w:val="0"/>
        <w:shd w:val="clear" w:color="auto" w:fill="auto"/>
        <w:bidi w:val="0"/>
        <w:spacing w:before="0" w:after="320" w:line="240" w:lineRule="auto"/>
        <w:ind w:left="0" w:right="0" w:firstLine="0"/>
        <w:jc w:val="left"/>
      </w:pPr>
      <w:bookmarkStart w:id="663" w:name="bookmark663"/>
      <w:bookmarkStart w:id="664" w:name="bookmark664"/>
      <w:bookmarkStart w:id="665" w:name="bookmark665"/>
      <w:bookmarkStart w:id="666" w:name="bookmark666"/>
      <w:bookmarkStart w:id="667" w:name="bookmark667"/>
      <w:r>
        <w:rPr>
          <w:color w:val="000000"/>
          <w:spacing w:val="0"/>
          <w:w w:val="100"/>
          <w:position w:val="0"/>
          <w:sz w:val="24"/>
          <w:szCs w:val="24"/>
        </w:rPr>
        <w:t>一</w:t>
      </w:r>
      <w:bookmarkEnd w:id="666"/>
      <w:r>
        <w:rPr>
          <w:color w:val="000000"/>
          <w:spacing w:val="0"/>
          <w:w w:val="100"/>
          <w:position w:val="0"/>
          <w:sz w:val="24"/>
          <w:szCs w:val="24"/>
        </w:rPr>
        <w:t>、审计报告</w:t>
      </w:r>
      <w:bookmarkEnd w:id="664"/>
      <w:bookmarkEnd w:id="665"/>
      <w:bookmarkEnd w:id="667"/>
      <w:bookmarkEnd w:id="66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希会审字</w:t>
            </w:r>
            <w:r>
              <w:rPr>
                <w:rFonts w:ascii="Times New Roman" w:eastAsia="Times New Roman" w:hAnsi="Times New Roman" w:cs="Times New Roman"/>
                <w:color w:val="000000"/>
                <w:spacing w:val="0"/>
                <w:w w:val="100"/>
                <w:position w:val="0"/>
                <w:sz w:val="18"/>
                <w:szCs w:val="18"/>
              </w:rPr>
              <w:t>（2021）3636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刘一锋、胡笳妮</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审计报告正文</w:t>
      </w:r>
    </w:p>
    <w:p>
      <w:pPr>
        <w:pStyle w:val="Style36"/>
        <w:keepNext/>
        <w:keepLines/>
        <w:widowControl w:val="0"/>
        <w:shd w:val="clear" w:color="auto" w:fill="auto"/>
        <w:bidi w:val="0"/>
        <w:spacing w:before="0" w:after="0" w:line="240" w:lineRule="auto"/>
        <w:ind w:left="0" w:right="0" w:firstLine="0"/>
        <w:jc w:val="center"/>
      </w:pPr>
      <w:bookmarkStart w:id="668" w:name="bookmark668"/>
      <w:bookmarkStart w:id="669" w:name="bookmark669"/>
      <w:bookmarkStart w:id="670" w:name="bookmark670"/>
      <w:r>
        <w:rPr>
          <w:color w:val="000000"/>
          <w:spacing w:val="0"/>
          <w:w w:val="100"/>
          <w:position w:val="0"/>
        </w:rPr>
        <w:t>希格玛会计师事务所（特殊普通合伙）</w:t>
      </w:r>
      <w:bookmarkEnd w:id="668"/>
      <w:bookmarkEnd w:id="669"/>
      <w:bookmarkEnd w:id="670"/>
    </w:p>
    <w:p>
      <w:pPr>
        <w:pStyle w:val="Style26"/>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Xigema Cpas（Special General Partnership）</w:t>
      </w:r>
    </w:p>
    <w:p>
      <w:pPr>
        <w:pStyle w:val="Style4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val="0"/>
          <w:bCs w:val="0"/>
          <w:color w:val="000000"/>
          <w:spacing w:val="0"/>
          <w:w w:val="100"/>
          <w:position w:val="0"/>
          <w:sz w:val="17"/>
          <w:szCs w:val="17"/>
        </w:rPr>
        <w:t>希会审字</w:t>
      </w:r>
      <w:r>
        <w:rPr>
          <w:b w:val="0"/>
          <w:bCs w:val="0"/>
          <w:color w:val="000000"/>
          <w:spacing w:val="0"/>
          <w:w w:val="100"/>
          <w:position w:val="0"/>
          <w:sz w:val="18"/>
          <w:szCs w:val="18"/>
        </w:rPr>
        <w:t>（2021）3636</w:t>
      </w:r>
      <w:r>
        <w:rPr>
          <w:rFonts w:ascii="SimSun" w:eastAsia="SimSun" w:hAnsi="SimSun" w:cs="SimSun"/>
          <w:b w:val="0"/>
          <w:bCs w:val="0"/>
          <w:color w:val="000000"/>
          <w:spacing w:val="0"/>
          <w:w w:val="100"/>
          <w:position w:val="0"/>
          <w:sz w:val="17"/>
          <w:szCs w:val="17"/>
        </w:rPr>
        <w:t>号</w:t>
      </w:r>
    </w:p>
    <w:p>
      <w:pPr>
        <w:pStyle w:val="Style36"/>
        <w:keepNext/>
        <w:keepLines/>
        <w:widowControl w:val="0"/>
        <w:shd w:val="clear" w:color="auto" w:fill="auto"/>
        <w:bidi w:val="0"/>
        <w:spacing w:before="0" w:after="120" w:line="240" w:lineRule="auto"/>
        <w:ind w:left="0" w:right="0" w:firstLine="0"/>
        <w:jc w:val="center"/>
      </w:pPr>
      <w:bookmarkStart w:id="671" w:name="bookmark671"/>
      <w:bookmarkStart w:id="672" w:name="bookmark672"/>
      <w:bookmarkStart w:id="673" w:name="bookmark673"/>
      <w:r>
        <w:rPr>
          <w:color w:val="000000"/>
          <w:spacing w:val="0"/>
          <w:w w:val="100"/>
          <w:position w:val="0"/>
        </w:rPr>
        <w:t>审计报告</w:t>
      </w:r>
      <w:bookmarkEnd w:id="671"/>
      <w:bookmarkEnd w:id="672"/>
      <w:bookmarkEnd w:id="673"/>
    </w:p>
    <w:p>
      <w:pPr>
        <w:pStyle w:val="Style33"/>
        <w:keepNext w:val="0"/>
        <w:keepLines w:val="0"/>
        <w:widowControl w:val="0"/>
        <w:shd w:val="clear" w:color="auto" w:fill="auto"/>
        <w:bidi w:val="0"/>
        <w:spacing w:before="0" w:after="120" w:line="313" w:lineRule="exact"/>
        <w:ind w:left="0" w:right="0" w:firstLine="0"/>
        <w:jc w:val="left"/>
      </w:pPr>
      <w:r>
        <w:rPr>
          <w:b/>
          <w:bCs/>
          <w:color w:val="000000"/>
          <w:spacing w:val="0"/>
          <w:w w:val="100"/>
          <w:position w:val="0"/>
        </w:rPr>
        <w:t>上海美特斯邦威服饰股份有限公司全体股东：</w:t>
      </w:r>
    </w:p>
    <w:p>
      <w:pPr>
        <w:pStyle w:val="Style33"/>
        <w:keepNext w:val="0"/>
        <w:keepLines w:val="0"/>
        <w:widowControl w:val="0"/>
        <w:shd w:val="clear" w:color="auto" w:fill="auto"/>
        <w:tabs>
          <w:tab w:pos="880" w:val="left"/>
        </w:tabs>
        <w:bidi w:val="0"/>
        <w:spacing w:before="0" w:after="120" w:line="313" w:lineRule="exact"/>
        <w:ind w:left="0" w:right="0" w:firstLine="440"/>
        <w:jc w:val="both"/>
      </w:pPr>
      <w:bookmarkStart w:id="674" w:name="bookmark674"/>
      <w:r>
        <w:rPr>
          <w:b/>
          <w:bCs/>
          <w:color w:val="000000"/>
          <w:spacing w:val="0"/>
          <w:w w:val="100"/>
          <w:position w:val="0"/>
        </w:rPr>
        <w:t>一</w:t>
      </w:r>
      <w:bookmarkEnd w:id="674"/>
      <w:r>
        <w:rPr>
          <w:b/>
          <w:bCs/>
          <w:color w:val="000000"/>
          <w:spacing w:val="0"/>
          <w:w w:val="100"/>
          <w:position w:val="0"/>
        </w:rPr>
        <w:t>、</w:t>
        <w:tab/>
        <w:t>审计意见</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我们审计了上海美特斯邦威服饰股份有限公司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年度的合并及母公司利润表、现金流量表、股东权益变动表以及相关财务报表附注。</w:t>
      </w:r>
    </w:p>
    <w:p>
      <w:pPr>
        <w:pStyle w:val="Style33"/>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我们认为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后附的财务报表在所有重大方面按照企业会计准则的规定编制，公允反映了贵公司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3"/>
        <w:keepNext w:val="0"/>
        <w:keepLines w:val="0"/>
        <w:widowControl w:val="0"/>
        <w:shd w:val="clear" w:color="auto" w:fill="auto"/>
        <w:tabs>
          <w:tab w:pos="880" w:val="left"/>
        </w:tabs>
        <w:bidi w:val="0"/>
        <w:spacing w:before="0" w:after="120" w:line="313" w:lineRule="exact"/>
        <w:ind w:left="0" w:right="0" w:firstLine="440"/>
        <w:jc w:val="both"/>
      </w:pPr>
      <w:bookmarkStart w:id="675" w:name="bookmark675"/>
      <w:r>
        <w:rPr>
          <w:b/>
          <w:bCs/>
          <w:color w:val="000000"/>
          <w:spacing w:val="0"/>
          <w:w w:val="100"/>
          <w:position w:val="0"/>
        </w:rPr>
        <w:t>二</w:t>
      </w:r>
      <w:bookmarkEnd w:id="675"/>
      <w:r>
        <w:rPr>
          <w:b/>
          <w:bCs/>
          <w:color w:val="000000"/>
          <w:spacing w:val="0"/>
          <w:w w:val="100"/>
          <w:position w:val="0"/>
        </w:rPr>
        <w:t>、</w:t>
        <w:tab/>
        <w:t>形成审计意见的基础</w:t>
      </w:r>
    </w:p>
    <w:p>
      <w:pPr>
        <w:pStyle w:val="Style33"/>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步阐述了我们在这些准则下的责任。按照中国注册会计师职业道德守则，我们独立于贵公司，并履行了职业道德方面的其他 责任。我们相信，我们获取的审计证据是充分、适当的，为发表审计意见提供了基础。</w:t>
      </w:r>
    </w:p>
    <w:p>
      <w:pPr>
        <w:pStyle w:val="Style33"/>
        <w:keepNext w:val="0"/>
        <w:keepLines w:val="0"/>
        <w:widowControl w:val="0"/>
        <w:shd w:val="clear" w:color="auto" w:fill="auto"/>
        <w:tabs>
          <w:tab w:pos="880" w:val="left"/>
        </w:tabs>
        <w:bidi w:val="0"/>
        <w:spacing w:before="0" w:after="120" w:line="313" w:lineRule="exact"/>
        <w:ind w:left="0" w:right="0" w:firstLine="440"/>
        <w:jc w:val="both"/>
      </w:pPr>
      <w:bookmarkStart w:id="676" w:name="bookmark676"/>
      <w:r>
        <w:rPr>
          <w:b/>
          <w:bCs/>
          <w:color w:val="000000"/>
          <w:spacing w:val="0"/>
          <w:w w:val="100"/>
          <w:position w:val="0"/>
        </w:rPr>
        <w:t>三</w:t>
      </w:r>
      <w:bookmarkEnd w:id="676"/>
      <w:r>
        <w:rPr>
          <w:b/>
          <w:bCs/>
          <w:color w:val="000000"/>
          <w:spacing w:val="0"/>
          <w:w w:val="100"/>
          <w:position w:val="0"/>
        </w:rPr>
        <w:t>、</w:t>
        <w:tab/>
        <w:t>关健审计事项</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33"/>
        <w:keepNext w:val="0"/>
        <w:keepLines w:val="0"/>
        <w:widowControl w:val="0"/>
        <w:shd w:val="clear" w:color="auto" w:fill="auto"/>
        <w:bidi w:val="0"/>
        <w:spacing w:before="0" w:after="120" w:line="313" w:lineRule="exact"/>
        <w:ind w:left="0" w:right="0" w:firstLine="300"/>
        <w:jc w:val="both"/>
      </w:pPr>
      <w:bookmarkStart w:id="677" w:name="bookmark677"/>
      <w:r>
        <w:rPr>
          <w:color w:val="000000"/>
          <w:spacing w:val="0"/>
          <w:w w:val="100"/>
          <w:position w:val="0"/>
        </w:rPr>
        <w:t>（</w:t>
      </w:r>
      <w:bookmarkEnd w:id="677"/>
      <w:r>
        <w:rPr>
          <w:color w:val="000000"/>
          <w:spacing w:val="0"/>
          <w:w w:val="100"/>
          <w:position w:val="0"/>
        </w:rPr>
        <w:t>一）收入确认</w:t>
      </w:r>
    </w:p>
    <w:p>
      <w:pPr>
        <w:pStyle w:val="Style33"/>
        <w:keepNext w:val="0"/>
        <w:keepLines w:val="0"/>
        <w:widowControl w:val="0"/>
        <w:numPr>
          <w:ilvl w:val="0"/>
          <w:numId w:val="11"/>
        </w:numPr>
        <w:shd w:val="clear" w:color="auto" w:fill="auto"/>
        <w:bidi w:val="0"/>
        <w:spacing w:before="0" w:after="0" w:line="360" w:lineRule="auto"/>
        <w:ind w:left="0" w:right="0" w:firstLine="440"/>
        <w:jc w:val="both"/>
      </w:pPr>
      <w:bookmarkStart w:id="678" w:name="bookmark678"/>
      <w:bookmarkEnd w:id="678"/>
      <w:r>
        <w:rPr>
          <w:color w:val="000000"/>
          <w:spacing w:val="0"/>
          <w:w w:val="100"/>
          <w:position w:val="0"/>
        </w:rPr>
        <w:t>事项描述</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四、重要会计政策和会计估计（二十）收入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六、合并财务报表项目注释（三十一）营业收 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shd w:val="clear" w:color="auto" w:fill="FFFFFF"/>
        </w:rPr>
        <w:t>贵公司</w:t>
      </w:r>
      <w:r>
        <w:rPr>
          <w:rFonts w:ascii="Times New Roman" w:eastAsia="Times New Roman" w:hAnsi="Times New Roman" w:cs="Times New Roman"/>
          <w:color w:val="000000"/>
          <w:spacing w:val="0"/>
          <w:w w:val="100"/>
          <w:position w:val="0"/>
          <w:sz w:val="18"/>
          <w:szCs w:val="18"/>
          <w:shd w:val="clear" w:color="auto" w:fill="FFFFFF"/>
        </w:rPr>
        <w:t>2020</w:t>
      </w:r>
      <w:r>
        <w:rPr>
          <w:color w:val="000000"/>
          <w:spacing w:val="0"/>
          <w:w w:val="100"/>
          <w:position w:val="0"/>
          <w:shd w:val="clear" w:color="auto" w:fill="FFFFFF"/>
        </w:rPr>
        <w:t>年度合并财务报表营业收入为人民币</w:t>
      </w:r>
      <w:r>
        <w:rPr>
          <w:rFonts w:ascii="Times New Roman" w:eastAsia="Times New Roman" w:hAnsi="Times New Roman" w:cs="Times New Roman"/>
          <w:color w:val="000000"/>
          <w:spacing w:val="0"/>
          <w:w w:val="100"/>
          <w:position w:val="0"/>
          <w:sz w:val="18"/>
          <w:szCs w:val="18"/>
          <w:shd w:val="clear" w:color="auto" w:fill="FFFFFF"/>
        </w:rPr>
        <w:t>3,819,038,467.8</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元，其中零售业务收入金额为人民币</w:t>
      </w:r>
      <w:r>
        <w:rPr>
          <w:rFonts w:ascii="Times New Roman" w:eastAsia="Times New Roman" w:hAnsi="Times New Roman" w:cs="Times New Roman"/>
          <w:color w:val="000000"/>
          <w:spacing w:val="0"/>
          <w:w w:val="100"/>
          <w:position w:val="0"/>
          <w:sz w:val="18"/>
          <w:szCs w:val="18"/>
          <w:shd w:val="clear" w:color="auto" w:fill="FFFFFF"/>
        </w:rPr>
        <w:t>2</w:t>
      </w:r>
      <w:r>
        <w:rPr>
          <w:rFonts w:ascii="Times New Roman" w:eastAsia="Times New Roman" w:hAnsi="Times New Roman" w:cs="Times New Roman"/>
          <w:color w:val="000000"/>
          <w:spacing w:val="0"/>
          <w:w w:val="100"/>
          <w:position w:val="0"/>
          <w:sz w:val="18"/>
          <w:szCs w:val="18"/>
          <w:shd w:val="clear" w:color="auto" w:fill="FFFFFF"/>
        </w:rPr>
        <w:t xml:space="preserve">,272,189,015.26 </w:t>
      </w:r>
      <w:r>
        <w:rPr>
          <w:color w:val="000000"/>
          <w:spacing w:val="0"/>
          <w:w w:val="100"/>
          <w:position w:val="0"/>
          <w:shd w:val="clear" w:color="auto" w:fill="FFFFFF"/>
        </w:rPr>
        <w:t>元，批发业务收入金额为人民币</w:t>
      </w:r>
      <w:r>
        <w:rPr>
          <w:rFonts w:ascii="Times New Roman" w:eastAsia="Times New Roman" w:hAnsi="Times New Roman" w:cs="Times New Roman"/>
          <w:color w:val="000000"/>
          <w:spacing w:val="0"/>
          <w:w w:val="100"/>
          <w:position w:val="0"/>
          <w:sz w:val="18"/>
          <w:szCs w:val="18"/>
          <w:shd w:val="clear" w:color="auto" w:fill="FFFFFF"/>
        </w:rPr>
        <w:t>1,502,308,574.36</w:t>
      </w:r>
      <w:r>
        <w:rPr>
          <w:color w:val="000000"/>
          <w:spacing w:val="0"/>
          <w:w w:val="100"/>
          <w:position w:val="0"/>
          <w:shd w:val="clear" w:color="auto" w:fill="FFFFFF"/>
        </w:rPr>
        <w:t>元。零售业务主要通过直营店、专柜和电商平台销售服饰产品获取收入，批 发业务主要为向加盟商销售服饰产品获取的收入。根据贵公司的收入确认政策，于商品控制权转移时确认收入。由于收入是 贵公司的关键业绩指标之一，收入确认的准确性和完整性对贵公司的利润影响较大，因此我们将收入确认作为关键审计事项。</w:t>
      </w:r>
    </w:p>
    <w:p>
      <w:pPr>
        <w:pStyle w:val="Style33"/>
        <w:keepNext w:val="0"/>
        <w:keepLines w:val="0"/>
        <w:widowControl w:val="0"/>
        <w:numPr>
          <w:ilvl w:val="0"/>
          <w:numId w:val="11"/>
        </w:numPr>
        <w:shd w:val="clear" w:color="auto" w:fill="auto"/>
        <w:bidi w:val="0"/>
        <w:spacing w:before="0" w:after="120" w:line="313" w:lineRule="exact"/>
        <w:ind w:left="0" w:right="0" w:firstLine="0"/>
        <w:jc w:val="left"/>
      </w:pPr>
      <w:bookmarkStart w:id="679" w:name="bookmark679"/>
      <w:bookmarkEnd w:id="679"/>
      <w:r>
        <w:rPr>
          <w:color w:val="000000"/>
          <w:spacing w:val="0"/>
          <w:w w:val="100"/>
          <w:position w:val="0"/>
        </w:rPr>
        <w:t>审计应对</w:t>
      </w:r>
    </w:p>
    <w:p>
      <w:pPr>
        <w:pStyle w:val="Style33"/>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我们了解及评估管理层对零售及批发收入相关的内部控制的设计，并测试关键控制执行的有效性。我们对零售及批发 收入执行分析性复核程序。我们获取了分客户销售清单，按业务类型抽样检查了销售合同，识别合同中约定的履约业务。我 们通过抽查发货记录、物流记录等原始单据执行了零售及批发收入确认细节测试。我们抽样选取若干加盟店铺执行实地走访， 与加盟商进行访谈，核实收入确认的真实性。我们抽样向加盟商函证了收入金额，并就未回函部分执行替代测试。我们对零 售及批发收入的销售执行截止性测试，查看期后应收账款的回款情况。我们获取并复核管理层对退货估计的计算表，结合销 售协议相关约定、历史退货情况等评估管理层估计销售退回金额的合理性。</w:t>
      </w:r>
    </w:p>
    <w:p>
      <w:pPr>
        <w:pStyle w:val="Style33"/>
        <w:keepNext w:val="0"/>
        <w:keepLines w:val="0"/>
        <w:widowControl w:val="0"/>
        <w:shd w:val="clear" w:color="auto" w:fill="auto"/>
        <w:tabs>
          <w:tab w:pos="918" w:val="left"/>
        </w:tabs>
        <w:bidi w:val="0"/>
        <w:spacing w:before="0" w:after="0" w:line="313"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二）</w:t>
        <w:tab/>
        <w:t>应收账款坏账准备</w:t>
      </w:r>
    </w:p>
    <w:p>
      <w:pPr>
        <w:pStyle w:val="Style33"/>
        <w:keepNext w:val="0"/>
        <w:keepLines w:val="0"/>
        <w:widowControl w:val="0"/>
        <w:numPr>
          <w:ilvl w:val="0"/>
          <w:numId w:val="13"/>
        </w:numPr>
        <w:shd w:val="clear" w:color="auto" w:fill="auto"/>
        <w:tabs>
          <w:tab w:pos="851" w:val="left"/>
        </w:tabs>
        <w:bidi w:val="0"/>
        <w:spacing w:before="0" w:after="0" w:line="313" w:lineRule="exact"/>
        <w:ind w:left="0" w:right="0" w:firstLine="440"/>
        <w:jc w:val="both"/>
      </w:pPr>
      <w:bookmarkStart w:id="681" w:name="bookmark681"/>
      <w:bookmarkEnd w:id="681"/>
      <w:r>
        <w:rPr>
          <w:color w:val="000000"/>
          <w:spacing w:val="0"/>
          <w:w w:val="100"/>
          <w:position w:val="0"/>
        </w:rPr>
        <w:t>事项描述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四、重要会计政策和会计估计（八）金融工具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六、合并财务报表项目注释（二）应收账款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120" w:line="313" w:lineRule="exact"/>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日，贵公司应收账款账面余额为人民币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229,943,776.66</w:t>
      </w:r>
      <w:r>
        <w:rPr>
          <w:color w:val="000000"/>
          <w:spacing w:val="0"/>
          <w:w w:val="100"/>
          <w:position w:val="0"/>
        </w:rPr>
        <w:t>元，计提坏账准备为人民币</w:t>
      </w:r>
      <w:r>
        <w:rPr>
          <w:rFonts w:ascii="Times New Roman" w:eastAsia="Times New Roman" w:hAnsi="Times New Roman" w:cs="Times New Roman"/>
          <w:color w:val="000000"/>
          <w:spacing w:val="0"/>
          <w:w w:val="100"/>
          <w:position w:val="0"/>
          <w:sz w:val="18"/>
          <w:szCs w:val="18"/>
        </w:rPr>
        <w:t xml:space="preserve">352,299,811.22 </w:t>
      </w:r>
      <w:r>
        <w:rPr>
          <w:color w:val="000000"/>
          <w:spacing w:val="0"/>
          <w:w w:val="100"/>
          <w:position w:val="0"/>
        </w:rPr>
        <w:t>元。贵公司应收账款主要来自加盟商，其运营绩效和财务能力将直接影响其应收账款的偿还。贵公司以存续期内预期信用损 失金额计提应收账款坏账准备。管理层运用判断评估预期信用损失。在估计预期信用损失时，应收账款根据不同客户的风险 特征分组计提坏账准备。预期信用损失率基于类似应收账款的历史损失经验，并根据前瞻性信息做出调整。</w:t>
      </w:r>
    </w:p>
    <w:p>
      <w:pPr>
        <w:pStyle w:val="Style33"/>
        <w:keepNext w:val="0"/>
        <w:keepLines w:val="0"/>
        <w:widowControl w:val="0"/>
        <w:numPr>
          <w:ilvl w:val="0"/>
          <w:numId w:val="13"/>
        </w:numPr>
        <w:shd w:val="clear" w:color="auto" w:fill="auto"/>
        <w:tabs>
          <w:tab w:pos="707" w:val="left"/>
        </w:tabs>
        <w:bidi w:val="0"/>
        <w:spacing w:before="0" w:after="0" w:line="360" w:lineRule="auto"/>
        <w:ind w:left="0" w:right="0" w:firstLine="440"/>
        <w:jc w:val="both"/>
      </w:pPr>
      <w:bookmarkStart w:id="682" w:name="bookmark682"/>
      <w:bookmarkEnd w:id="682"/>
      <w:r>
        <w:rPr>
          <w:color w:val="000000"/>
          <w:spacing w:val="0"/>
          <w:w w:val="100"/>
          <w:position w:val="0"/>
        </w:rPr>
        <w:t>审计应对</w:t>
      </w:r>
    </w:p>
    <w:p>
      <w:pPr>
        <w:pStyle w:val="Style33"/>
        <w:keepNext w:val="0"/>
        <w:keepLines w:val="0"/>
        <w:widowControl w:val="0"/>
        <w:shd w:val="clear" w:color="auto" w:fill="auto"/>
        <w:bidi w:val="0"/>
        <w:spacing w:before="0" w:after="300" w:line="313" w:lineRule="exact"/>
        <w:ind w:left="0" w:right="0" w:firstLine="480"/>
        <w:jc w:val="both"/>
      </w:pPr>
      <w:r>
        <w:rPr>
          <w:color w:val="000000"/>
          <w:spacing w:val="0"/>
          <w:w w:val="100"/>
          <w:position w:val="0"/>
        </w:rPr>
        <w:t>我们了解并评估管理层对于应收账款坏账准备估计和计提相关的内部控制的设计。我们查询并对比了同行业坏账准备 计提政策，评估管理层制定坏账政策的合理性，评估管理层对应收账款预期信用损失估计的合理性，具体考虑基于前瞻性因 素修正后的损失率。我们获取并检查了管理层编制的应收账款坏账准备计算表，复核管理层计提坏账准备时作出会计估计的 依据，考虑客户的财务状况、逾期情况，检查并分析应收账款的期后回款情况，判断其坏账计提的合理性。我们对应收账款 余额执行实质性分析程序，抽样进行函证，并就未回函部分执行替代测试。</w:t>
      </w:r>
    </w:p>
    <w:p>
      <w:pPr>
        <w:pStyle w:val="Style33"/>
        <w:keepNext w:val="0"/>
        <w:keepLines w:val="0"/>
        <w:widowControl w:val="0"/>
        <w:shd w:val="clear" w:color="auto" w:fill="auto"/>
        <w:tabs>
          <w:tab w:pos="918" w:val="left"/>
        </w:tabs>
        <w:bidi w:val="0"/>
        <w:spacing w:before="0" w:after="120" w:line="314" w:lineRule="exact"/>
        <w:ind w:left="0" w:right="0" w:firstLine="440"/>
        <w:jc w:val="both"/>
      </w:pPr>
      <w:bookmarkStart w:id="683" w:name="bookmark683"/>
      <w:r>
        <w:rPr>
          <w:color w:val="000000"/>
          <w:spacing w:val="0"/>
          <w:w w:val="100"/>
          <w:position w:val="0"/>
        </w:rPr>
        <w:t>（</w:t>
      </w:r>
      <w:bookmarkEnd w:id="683"/>
      <w:r>
        <w:rPr>
          <w:color w:val="000000"/>
          <w:spacing w:val="0"/>
          <w:w w:val="100"/>
          <w:position w:val="0"/>
        </w:rPr>
        <w:t>三）</w:t>
        <w:tab/>
        <w:t>存货跌价准备</w:t>
      </w:r>
    </w:p>
    <w:p>
      <w:pPr>
        <w:pStyle w:val="Style33"/>
        <w:keepNext w:val="0"/>
        <w:keepLines w:val="0"/>
        <w:widowControl w:val="0"/>
        <w:numPr>
          <w:ilvl w:val="0"/>
          <w:numId w:val="15"/>
        </w:numPr>
        <w:shd w:val="clear" w:color="auto" w:fill="auto"/>
        <w:tabs>
          <w:tab w:pos="688" w:val="left"/>
        </w:tabs>
        <w:bidi w:val="0"/>
        <w:spacing w:before="0" w:after="0" w:line="360" w:lineRule="auto"/>
        <w:ind w:left="0" w:right="0" w:firstLine="440"/>
        <w:jc w:val="both"/>
      </w:pPr>
      <w:bookmarkStart w:id="684" w:name="bookmark684"/>
      <w:bookmarkEnd w:id="684"/>
      <w:r>
        <w:rPr>
          <w:color w:val="000000"/>
          <w:spacing w:val="0"/>
          <w:w w:val="100"/>
          <w:position w:val="0"/>
        </w:rPr>
        <w:t>事项描述</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四、重要会计政策和会计估计（十）存货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六、合并财务报表项目注释（五）存货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120" w:line="314"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日，贵公司的存货余额为人民币</w:t>
      </w:r>
      <w:r>
        <w:rPr>
          <w:rFonts w:ascii="Times New Roman" w:eastAsia="Times New Roman" w:hAnsi="Times New Roman" w:cs="Times New Roman"/>
          <w:color w:val="000000"/>
          <w:spacing w:val="0"/>
          <w:w w:val="100"/>
          <w:position w:val="0"/>
          <w:sz w:val="18"/>
          <w:szCs w:val="18"/>
        </w:rPr>
        <w:t>1,984,745,161.48</w:t>
      </w:r>
      <w:r>
        <w:rPr>
          <w:color w:val="000000"/>
          <w:spacing w:val="0"/>
          <w:w w:val="100"/>
          <w:position w:val="0"/>
        </w:rPr>
        <w:t>元，存货跌价准备余额为</w:t>
      </w:r>
      <w:r>
        <w:rPr>
          <w:rFonts w:ascii="Times New Roman" w:eastAsia="Times New Roman" w:hAnsi="Times New Roman" w:cs="Times New Roman"/>
          <w:color w:val="000000"/>
          <w:spacing w:val="0"/>
          <w:w w:val="100"/>
          <w:position w:val="0"/>
          <w:sz w:val="18"/>
          <w:szCs w:val="18"/>
        </w:rPr>
        <w:t>394,376,624.80</w:t>
      </w:r>
      <w:r>
        <w:rPr>
          <w:color w:val="000000"/>
          <w:spacing w:val="0"/>
          <w:w w:val="100"/>
          <w:position w:val="0"/>
        </w:rPr>
        <w:t xml:space="preserve">元，账面价值为 </w:t>
      </w:r>
      <w:r>
        <w:rPr>
          <w:rFonts w:ascii="Times New Roman" w:eastAsia="Times New Roman" w:hAnsi="Times New Roman" w:cs="Times New Roman"/>
          <w:color w:val="000000"/>
          <w:spacing w:val="0"/>
          <w:w w:val="100"/>
          <w:position w:val="0"/>
          <w:sz w:val="18"/>
          <w:szCs w:val="18"/>
        </w:rPr>
        <w:t>1,590,368,536.68</w:t>
      </w:r>
      <w:r>
        <w:rPr>
          <w:color w:val="000000"/>
          <w:spacing w:val="0"/>
          <w:w w:val="100"/>
          <w:position w:val="0"/>
        </w:rPr>
        <w:t>元。存货按照成本与可变现净值孰低计量，存货跌价准备计提是否充分对财务报表影响较大。贵公司产品的 售价受服装的季节性和时尚性影响很大，其可变现净值随着库龄增加而降低，因此管理层结合实际销售情况、预计销售计划、 存货库龄、存货是否陈旧、滞销等因素，以存货的估计售价减去估计的销售费用和相关税费后的金额确定存货的可变现净值。 由于存货账面余额重大，且确定可变现净值的过程涉及重大判断和会计估计,因此我们将存货跌价准备认定为关键审计事项。</w:t>
      </w:r>
    </w:p>
    <w:p>
      <w:pPr>
        <w:pStyle w:val="Style33"/>
        <w:keepNext w:val="0"/>
        <w:keepLines w:val="0"/>
        <w:widowControl w:val="0"/>
        <w:numPr>
          <w:ilvl w:val="0"/>
          <w:numId w:val="15"/>
        </w:numPr>
        <w:shd w:val="clear" w:color="auto" w:fill="auto"/>
        <w:tabs>
          <w:tab w:pos="707" w:val="left"/>
        </w:tabs>
        <w:bidi w:val="0"/>
        <w:spacing w:before="0" w:after="0" w:line="360" w:lineRule="auto"/>
        <w:ind w:left="0" w:right="0" w:firstLine="440"/>
        <w:jc w:val="both"/>
      </w:pPr>
      <w:bookmarkStart w:id="685" w:name="bookmark685"/>
      <w:bookmarkEnd w:id="685"/>
      <w:r>
        <w:rPr>
          <w:color w:val="000000"/>
          <w:spacing w:val="0"/>
          <w:w w:val="100"/>
          <w:position w:val="0"/>
        </w:rPr>
        <w:t>审计应对</w:t>
      </w:r>
    </w:p>
    <w:p>
      <w:pPr>
        <w:pStyle w:val="Style33"/>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我们了解并评估管理层对于存货跌价的内部控制的设计。我们对管理层的存货盘点流程进行测试，实施存货的监盘和抽 盘程序，关注存货的状态，特别是毁损的存货。我们获取了存货的库龄明细表，并进行测试。我们检查管理层编制的存货跌 价准备计算表，复核该计算表中数据的来源、完整性和准确性。我们对管理层采用的存货可变现净值的计算方法和商业依据 进行评估，我们检查存货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年的销售价格及期后实际销售价格，评估预计销售费用以及相关税费的合理性，对存货的可变 现净值进行了重新测算。</w:t>
      </w:r>
    </w:p>
    <w:p>
      <w:pPr>
        <w:pStyle w:val="Style33"/>
        <w:keepNext w:val="0"/>
        <w:keepLines w:val="0"/>
        <w:widowControl w:val="0"/>
        <w:shd w:val="clear" w:color="auto" w:fill="auto"/>
        <w:bidi w:val="0"/>
        <w:spacing w:before="0" w:after="120" w:line="314" w:lineRule="exact"/>
        <w:ind w:left="0" w:right="0" w:firstLine="440"/>
        <w:jc w:val="both"/>
      </w:pPr>
      <w:bookmarkStart w:id="686" w:name="bookmark686"/>
      <w:r>
        <w:rPr>
          <w:b/>
          <w:bCs/>
          <w:color w:val="000000"/>
          <w:spacing w:val="0"/>
          <w:w w:val="100"/>
          <w:position w:val="0"/>
        </w:rPr>
        <w:t>四</w:t>
      </w:r>
      <w:bookmarkEnd w:id="686"/>
      <w:r>
        <w:rPr>
          <w:b/>
          <w:bCs/>
          <w:color w:val="000000"/>
          <w:spacing w:val="0"/>
          <w:w w:val="100"/>
          <w:position w:val="0"/>
        </w:rPr>
        <w:t>、其他信息</w:t>
      </w:r>
    </w:p>
    <w:p>
      <w:pPr>
        <w:pStyle w:val="Style3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贵公司管理层对其他信息负责。其他信息包括贵公司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 报告。</w:t>
      </w:r>
    </w:p>
    <w:p>
      <w:pPr>
        <w:pStyle w:val="Style3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3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3"/>
        <w:keepNext w:val="0"/>
        <w:keepLines w:val="0"/>
        <w:widowControl w:val="0"/>
        <w:shd w:val="clear" w:color="auto" w:fill="auto"/>
        <w:bidi w:val="0"/>
        <w:spacing w:before="0" w:after="120" w:line="318"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3"/>
        <w:keepNext w:val="0"/>
        <w:keepLines w:val="0"/>
        <w:widowControl w:val="0"/>
        <w:shd w:val="clear" w:color="auto" w:fill="auto"/>
        <w:tabs>
          <w:tab w:pos="949" w:val="left"/>
        </w:tabs>
        <w:bidi w:val="0"/>
        <w:spacing w:before="0" w:after="140" w:line="312" w:lineRule="exact"/>
        <w:ind w:left="0" w:right="0" w:firstLine="500"/>
        <w:jc w:val="both"/>
      </w:pPr>
      <w:bookmarkStart w:id="687" w:name="bookmark687"/>
      <w:r>
        <w:rPr>
          <w:b/>
          <w:bCs/>
          <w:color w:val="000000"/>
          <w:spacing w:val="0"/>
          <w:w w:val="100"/>
          <w:position w:val="0"/>
        </w:rPr>
        <w:t>五</w:t>
      </w:r>
      <w:bookmarkEnd w:id="687"/>
      <w:r>
        <w:rPr>
          <w:b/>
          <w:bCs/>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140" w:line="307" w:lineRule="exact"/>
        <w:ind w:left="0" w:right="0" w:firstLine="500"/>
        <w:jc w:val="both"/>
      </w:pPr>
      <w:r>
        <w:rPr>
          <w:color w:val="000000"/>
          <w:spacing w:val="0"/>
          <w:w w:val="100"/>
          <w:position w:val="0"/>
        </w:rPr>
        <w:t>贵公司管理层（以下简称管理层）负责按照企业会计准则的规定编制财务报表，使其实现公允反映，并设计、执行和 维护必要的内部控制，以使财务报表不存在由于舞弊或错误导致的重大错报。</w:t>
      </w:r>
    </w:p>
    <w:p>
      <w:pPr>
        <w:pStyle w:val="Style33"/>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在编制财务报表时，管理层负责评估贵公司的持续经营能力，披露与持续经营相关的事项（如适用），并运用持续经 营假设，除非管理层计划清算贵公司、终止运营或别无其他现实的选择。</w:t>
      </w:r>
    </w:p>
    <w:p>
      <w:pPr>
        <w:pStyle w:val="Style33"/>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治理层负责监督贵公司的财务报告过程。</w:t>
      </w:r>
    </w:p>
    <w:p>
      <w:pPr>
        <w:pStyle w:val="Style33"/>
        <w:keepNext w:val="0"/>
        <w:keepLines w:val="0"/>
        <w:widowControl w:val="0"/>
        <w:shd w:val="clear" w:color="auto" w:fill="auto"/>
        <w:tabs>
          <w:tab w:pos="949" w:val="left"/>
        </w:tabs>
        <w:bidi w:val="0"/>
        <w:spacing w:before="0" w:after="140" w:line="312" w:lineRule="exact"/>
        <w:ind w:left="0" w:right="0" w:firstLine="500"/>
        <w:jc w:val="both"/>
      </w:pPr>
      <w:bookmarkStart w:id="688" w:name="bookmark688"/>
      <w:r>
        <w:rPr>
          <w:b/>
          <w:bCs/>
          <w:color w:val="000000"/>
          <w:spacing w:val="0"/>
          <w:w w:val="100"/>
          <w:position w:val="0"/>
        </w:rPr>
        <w:t>六</w:t>
      </w:r>
      <w:bookmarkEnd w:id="688"/>
      <w:r>
        <w:rPr>
          <w:b/>
          <w:bCs/>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在按照审计准则执行审计工作的过程中，我们运用职业判断，并保持职业怀疑。同时，我们也执行以下工作：</w:t>
      </w:r>
    </w:p>
    <w:p>
      <w:pPr>
        <w:pStyle w:val="Style33"/>
        <w:keepNext w:val="0"/>
        <w:keepLines w:val="0"/>
        <w:widowControl w:val="0"/>
        <w:shd w:val="clear" w:color="auto" w:fill="auto"/>
        <w:tabs>
          <w:tab w:pos="1095" w:val="left"/>
        </w:tabs>
        <w:bidi w:val="0"/>
        <w:spacing w:before="0" w:after="0" w:line="312" w:lineRule="exact"/>
        <w:ind w:left="0" w:right="0" w:firstLine="500"/>
        <w:jc w:val="both"/>
      </w:pPr>
      <w:bookmarkStart w:id="689" w:name="bookmark689"/>
      <w:r>
        <w:rPr>
          <w:color w:val="000000"/>
          <w:spacing w:val="0"/>
          <w:w w:val="100"/>
          <w:position w:val="0"/>
        </w:rPr>
        <w:t>（</w:t>
      </w:r>
      <w:bookmarkEnd w:id="68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3"/>
        <w:keepNext w:val="0"/>
        <w:keepLines w:val="0"/>
        <w:widowControl w:val="0"/>
        <w:shd w:val="clear" w:color="auto" w:fill="auto"/>
        <w:tabs>
          <w:tab w:pos="1019" w:val="left"/>
        </w:tabs>
        <w:bidi w:val="0"/>
        <w:spacing w:before="0" w:after="0" w:line="312" w:lineRule="exact"/>
        <w:ind w:left="0" w:right="0" w:firstLine="500"/>
        <w:jc w:val="both"/>
      </w:pPr>
      <w:bookmarkStart w:id="690" w:name="bookmark690"/>
      <w:r>
        <w:rPr>
          <w:color w:val="000000"/>
          <w:spacing w:val="0"/>
          <w:w w:val="100"/>
          <w:position w:val="0"/>
        </w:rPr>
        <w:t>（</w:t>
      </w:r>
      <w:bookmarkEnd w:id="690"/>
      <w:r>
        <w:rPr>
          <w:color w:val="000000"/>
          <w:spacing w:val="0"/>
          <w:w w:val="100"/>
          <w:position w:val="0"/>
        </w:rPr>
        <w:t>二）</w:t>
        <w:tab/>
        <w:t>了解与审计相关的内部控制，以设计恰当的审计程序。</w:t>
      </w:r>
    </w:p>
    <w:p>
      <w:pPr>
        <w:pStyle w:val="Style33"/>
        <w:keepNext w:val="0"/>
        <w:keepLines w:val="0"/>
        <w:widowControl w:val="0"/>
        <w:shd w:val="clear" w:color="auto" w:fill="auto"/>
        <w:tabs>
          <w:tab w:pos="1019" w:val="left"/>
        </w:tabs>
        <w:bidi w:val="0"/>
        <w:spacing w:before="0" w:after="0" w:line="312" w:lineRule="exact"/>
        <w:ind w:left="0" w:right="0" w:firstLine="500"/>
        <w:jc w:val="both"/>
      </w:pPr>
      <w:bookmarkStart w:id="691" w:name="bookmark691"/>
      <w:r>
        <w:rPr>
          <w:color w:val="000000"/>
          <w:spacing w:val="0"/>
          <w:w w:val="100"/>
          <w:position w:val="0"/>
        </w:rPr>
        <w:t>（</w:t>
      </w:r>
      <w:bookmarkEnd w:id="691"/>
      <w:r>
        <w:rPr>
          <w:color w:val="000000"/>
          <w:spacing w:val="0"/>
          <w:w w:val="100"/>
          <w:position w:val="0"/>
        </w:rPr>
        <w:t>三）</w:t>
        <w:tab/>
        <w:t>评价管理层选用会计政策的恰当性和作出会计估计及相关披露的合理性。</w:t>
      </w:r>
    </w:p>
    <w:p>
      <w:pPr>
        <w:pStyle w:val="Style33"/>
        <w:keepNext w:val="0"/>
        <w:keepLines w:val="0"/>
        <w:widowControl w:val="0"/>
        <w:shd w:val="clear" w:color="auto" w:fill="auto"/>
        <w:tabs>
          <w:tab w:pos="1095" w:val="left"/>
        </w:tabs>
        <w:bidi w:val="0"/>
        <w:spacing w:before="0" w:after="0" w:line="312" w:lineRule="exact"/>
        <w:ind w:left="0" w:right="0" w:firstLine="500"/>
        <w:jc w:val="both"/>
      </w:pPr>
      <w:bookmarkStart w:id="692" w:name="bookmark692"/>
      <w:r>
        <w:rPr>
          <w:color w:val="000000"/>
          <w:spacing w:val="0"/>
          <w:w w:val="100"/>
          <w:position w:val="0"/>
        </w:rPr>
        <w:t>（</w:t>
      </w:r>
      <w:bookmarkEnd w:id="692"/>
      <w:r>
        <w:rPr>
          <w:color w:val="000000"/>
          <w:spacing w:val="0"/>
          <w:w w:val="100"/>
          <w:position w:val="0"/>
        </w:rPr>
        <w:t>四）</w:t>
        <w:tab/>
        <w:t>对管理层使用持续经营假设的恰当性得出结论。同时，根据获取的审计证据，就可能导致对贵公司持续经营能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于截至审计报告日可获得的信息。然而，未来的事项或情况可能导致贵公司不能持续经营。</w:t>
      </w:r>
    </w:p>
    <w:p>
      <w:pPr>
        <w:pStyle w:val="Style33"/>
        <w:keepNext w:val="0"/>
        <w:keepLines w:val="0"/>
        <w:widowControl w:val="0"/>
        <w:shd w:val="clear" w:color="auto" w:fill="auto"/>
        <w:tabs>
          <w:tab w:pos="1019" w:val="left"/>
        </w:tabs>
        <w:bidi w:val="0"/>
        <w:spacing w:before="0" w:after="0" w:line="312" w:lineRule="exact"/>
        <w:ind w:left="0" w:right="0" w:firstLine="500"/>
        <w:jc w:val="both"/>
      </w:pPr>
      <w:bookmarkStart w:id="693" w:name="bookmark693"/>
      <w:r>
        <w:rPr>
          <w:color w:val="000000"/>
          <w:spacing w:val="0"/>
          <w:w w:val="100"/>
          <w:position w:val="0"/>
        </w:rPr>
        <w:t>（</w:t>
      </w:r>
      <w:bookmarkEnd w:id="693"/>
      <w:r>
        <w:rPr>
          <w:color w:val="000000"/>
          <w:spacing w:val="0"/>
          <w:w w:val="100"/>
          <w:position w:val="0"/>
        </w:rPr>
        <w:t>五）</w:t>
        <w:tab/>
        <w:t>评价财务报表的总体列报、结构和内容，并评价财务报表是否公允反映相关交易和事项。</w:t>
      </w:r>
    </w:p>
    <w:p>
      <w:pPr>
        <w:pStyle w:val="Style33"/>
        <w:keepNext w:val="0"/>
        <w:keepLines w:val="0"/>
        <w:widowControl w:val="0"/>
        <w:shd w:val="clear" w:color="auto" w:fill="auto"/>
        <w:tabs>
          <w:tab w:pos="1091" w:val="left"/>
        </w:tabs>
        <w:bidi w:val="0"/>
        <w:spacing w:before="0" w:after="0" w:line="312" w:lineRule="exact"/>
        <w:ind w:left="0" w:right="0" w:firstLine="500"/>
        <w:jc w:val="both"/>
      </w:pPr>
      <w:bookmarkStart w:id="694" w:name="bookmark694"/>
      <w:r>
        <w:rPr>
          <w:color w:val="000000"/>
          <w:spacing w:val="0"/>
          <w:w w:val="100"/>
          <w:position w:val="0"/>
        </w:rPr>
        <w:t>（</w:t>
      </w:r>
      <w:bookmarkEnd w:id="694"/>
      <w:r>
        <w:rPr>
          <w:color w:val="000000"/>
          <w:spacing w:val="0"/>
          <w:w w:val="100"/>
          <w:position w:val="0"/>
        </w:rPr>
        <w:t>六）</w:t>
        <w:tab/>
        <w:t>就贵公司中实体或业务活动的财务信息获取充分、恰当的审计证据，以对财务报表发表审计意见。我们负责指 导、监督和执行集团审计，并对审计意见承担全部责任。</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我们还就遵守与独立性相关的职业道德要求向治理层提供声明，并与治理层沟通可能被合理认为影响我们独立性的所 有关系和其他事项，以及相关的防范措施（如适用）。</w:t>
      </w:r>
    </w:p>
    <w:p>
      <w:pPr>
        <w:pStyle w:val="Style33"/>
        <w:keepNext w:val="0"/>
        <w:keepLines w:val="0"/>
        <w:widowControl w:val="0"/>
        <w:shd w:val="clear" w:color="auto" w:fill="auto"/>
        <w:bidi w:val="0"/>
        <w:spacing w:before="0" w:after="1040" w:line="312"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3"/>
        <w:keepNext w:val="0"/>
        <w:keepLines w:val="0"/>
        <w:widowControl w:val="0"/>
        <w:shd w:val="clear" w:color="auto" w:fill="auto"/>
        <w:tabs>
          <w:tab w:pos="3580" w:val="left"/>
        </w:tabs>
        <w:bidi w:val="0"/>
        <w:spacing w:before="0" w:after="420" w:line="240" w:lineRule="auto"/>
        <w:ind w:left="0" w:right="0" w:firstLine="0"/>
        <w:jc w:val="left"/>
      </w:pPr>
      <w:r>
        <w:rPr>
          <w:color w:val="000000"/>
          <w:spacing w:val="0"/>
          <w:w w:val="100"/>
          <w:position w:val="0"/>
        </w:rPr>
        <w:t>希格玛会计师事务所（特殊普通合伙）</w:t>
        <w:tab/>
        <w:t>中国注册会计师：刘一锋</w:t>
      </w:r>
    </w:p>
    <w:p>
      <w:pPr>
        <w:pStyle w:val="Style33"/>
        <w:keepNext w:val="0"/>
        <w:keepLines w:val="0"/>
        <w:widowControl w:val="0"/>
        <w:shd w:val="clear" w:color="auto" w:fill="auto"/>
        <w:tabs>
          <w:tab w:pos="1698" w:val="left"/>
          <w:tab w:pos="3580" w:val="left"/>
        </w:tabs>
        <w:bidi w:val="0"/>
        <w:spacing w:before="0" w:after="560" w:line="240" w:lineRule="auto"/>
        <w:ind w:left="0" w:right="0" w:firstLine="920"/>
        <w:jc w:val="both"/>
      </w:pPr>
      <w:r>
        <w:rPr>
          <w:color w:val="000000"/>
          <w:spacing w:val="0"/>
          <w:w w:val="100"/>
          <w:position w:val="0"/>
        </w:rPr>
        <w:t>中国</w:t>
        <w:tab/>
        <w:t>西安市</w:t>
        <w:tab/>
        <w:t>中国注册会计师：胡笳妮</w:t>
      </w:r>
    </w:p>
    <w:p>
      <w:pPr>
        <w:pStyle w:val="Style48"/>
        <w:keepNext w:val="0"/>
        <w:keepLines w:val="0"/>
        <w:widowControl w:val="0"/>
        <w:shd w:val="clear" w:color="auto" w:fill="auto"/>
        <w:bidi w:val="0"/>
        <w:spacing w:before="0" w:after="140" w:line="240" w:lineRule="auto"/>
        <w:ind w:left="3600" w:right="0" w:firstLine="0"/>
        <w:jc w:val="left"/>
        <w:rPr>
          <w:sz w:val="17"/>
          <w:szCs w:val="17"/>
        </w:rPr>
      </w:pP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26</w:t>
      </w:r>
      <w:r>
        <w:rPr>
          <w:rFonts w:ascii="SimSun" w:eastAsia="SimSun" w:hAnsi="SimSun" w:cs="SimSun"/>
          <w:b w:val="0"/>
          <w:bCs w:val="0"/>
          <w:color w:val="000000"/>
          <w:spacing w:val="0"/>
          <w:w w:val="100"/>
          <w:position w:val="0"/>
          <w:sz w:val="17"/>
          <w:szCs w:val="17"/>
        </w:rPr>
        <w:t>日</w:t>
      </w:r>
      <w:r>
        <w:br w:type="page"/>
      </w:r>
    </w:p>
    <w:p>
      <w:pPr>
        <w:pStyle w:val="Style29"/>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二</w:t>
      </w:r>
      <w:bookmarkEnd w:id="697"/>
      <w:r>
        <w:rPr>
          <w:color w:val="000000"/>
          <w:spacing w:val="0"/>
          <w:w w:val="100"/>
          <w:position w:val="0"/>
          <w:sz w:val="24"/>
          <w:szCs w:val="24"/>
        </w:rPr>
        <w:t>、财务报表</w:t>
      </w:r>
      <w:bookmarkEnd w:id="695"/>
      <w:bookmarkEnd w:id="696"/>
      <w:bookmarkEnd w:id="6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、合并资产负债表</w:t>
      </w:r>
      <w:bookmarkEnd w:id="699"/>
      <w:bookmarkEnd w:id="700"/>
      <w:bookmarkEnd w:id="70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48"/>
        <w:keepNext w:val="0"/>
        <w:keepLines w:val="0"/>
        <w:widowControl w:val="0"/>
        <w:shd w:val="clear" w:color="auto" w:fill="auto"/>
        <w:bidi w:val="0"/>
        <w:spacing w:before="0" w:after="140" w:line="240" w:lineRule="auto"/>
        <w:ind w:left="0" w:right="0" w:firstLine="0"/>
        <w:jc w:val="center"/>
        <w:rPr>
          <w:sz w:val="17"/>
          <w:szCs w:val="17"/>
        </w:rPr>
      </w:pP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04</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26</w:t>
      </w:r>
      <w:r>
        <w:rPr>
          <w:rFonts w:ascii="SimSun" w:eastAsia="SimSun" w:hAnsi="SimSun" w:cs="SimSun"/>
          <w:b w:val="0"/>
          <w:bCs w:val="0"/>
          <w:color w:val="000000"/>
          <w:spacing w:val="0"/>
          <w:w w:val="100"/>
          <w:position w:val="0"/>
          <w:sz w:val="17"/>
          <w:szCs w:val="17"/>
        </w:rPr>
        <w:t>日</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181,348,156.26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375,122,903.82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877,643,965.44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932,682,022.17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104,387,806.91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167,635,844.63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227,887,465.89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166,797,913.93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1,590,368,536.68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2,052,546,752.40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44,006,659.70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208,279,318.24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100,277,909.43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75,487,856.71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3,125,920,500.31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3,978,552,611.90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156,244,591.63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598,281,749.94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289,308,020.96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1,066,423,081.87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1,105,730,715.17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32,065,507.22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37,070,223.93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94,682,066.95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165,633,223.30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2,172,604,719.10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2,399,245,981.58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6,377,798,593.48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1,346,225,575.47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1,178,000,000.00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476,801,566.16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982,793,949.37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1,162,857,117.79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1,248,709,601.97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75,405,946.39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61,175,604.39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116,933,297.65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86,043,182.77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198,051,451.54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144,036,872.82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622,988,949.27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4,118,267,651.67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4,337,978,502.59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4,118,267,651.67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4,337,978,502.59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2,512,500,000.00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161,473,544.98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523,409,141.71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-1,157,993,533.31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2,039,820,090.89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2,039,820,090.89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6,377,798,593.48</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697230</wp:posOffset>
                </wp:positionH>
                <wp:positionV relativeFrom="margin">
                  <wp:posOffset>2185670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wps:txbx>
                      <wps:bodyPr wrap="none" lIns="0" tIns="0" rIns="0" bIns="0">
                        <a:noAutoFit/>
                      </wps:bodyPr>
                    </wps:wsp>
                  </a:graphicData>
                </a:graphic>
              </wp:anchor>
            </w:drawing>
          </mc:Choice>
          <mc:Fallback>
            <w:pict>
              <v:shape id="_x0000_s1040" type="#_x0000_t202" style="position:absolute;margin-left:54.899999999999999pt;margin-top:172.09999999999999pt;width:83.049999999999997pt;height:11.75pt;z-index:-125829373;mso-wrap-distance-left:9.pt;mso-wrap-distance-top:12.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v:textbox>
                <w10:wrap type="topAndBottom" anchorx="page" anchory="margin"/>
              </v:shape>
            </w:pict>
          </mc:Fallback>
        </mc:AlternateContent>
      </w:r>
      <w:r>
        <mc:AlternateContent>
          <mc:Choice Requires="wps">
            <w:drawing>
              <wp:anchor distT="152400" distB="3175" distL="2348230" distR="2574290" simplePos="0" relativeHeight="125829382" behindDoc="0" locked="0" layoutInCell="1" allowOverlap="1">
                <wp:simplePos x="0" y="0"/>
                <wp:positionH relativeFrom="page">
                  <wp:posOffset>2931160</wp:posOffset>
                </wp:positionH>
                <wp:positionV relativeFrom="margin">
                  <wp:posOffset>2185670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w:t>
                            </w:r>
                          </w:p>
                        </w:txbxContent>
                      </wps:txbx>
                      <wps:bodyPr wrap="none" lIns="0" tIns="0" rIns="0" bIns="0">
                        <a:noAutoFit/>
                      </wps:bodyPr>
                    </wps:wsp>
                  </a:graphicData>
                </a:graphic>
              </wp:anchor>
            </w:drawing>
          </mc:Choice>
          <mc:Fallback>
            <w:pict>
              <v:shape id="_x0000_s1042" type="#_x0000_t202" style="position:absolute;margin-left:230.80000000000001pt;margin-top:172.09999999999999pt;width:109.7pt;height:11.5pt;z-index:-125829371;mso-wrap-distance-left:184.90000000000001pt;mso-wrap-distance-top:12.pt;mso-wrap-distance-right:202.70000000000002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5497830</wp:posOffset>
                </wp:positionH>
                <wp:positionV relativeFrom="margin">
                  <wp:posOffset>2185670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wps:txbx>
                      <wps:bodyPr wrap="none" lIns="0" tIns="0" rIns="0" bIns="0">
                        <a:noAutoFit/>
                      </wps:bodyPr>
                    </wps:wsp>
                  </a:graphicData>
                </a:graphic>
              </wp:anchor>
            </w:drawing>
          </mc:Choice>
          <mc:Fallback>
            <w:pict>
              <v:shape id="_x0000_s1044" type="#_x0000_t202" style="position:absolute;margin-left:432.90000000000003pt;margin-top:172.09999999999999pt;width:101.3pt;height:11.75pt;z-index:-125829369;mso-wrap-distance-left:387.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v:textbox>
                <w10:wrap type="topAndBottom" anchorx="page" anchory="margin"/>
              </v:shape>
            </w:pict>
          </mc:Fallback>
        </mc:AlternateContent>
      </w: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、母公司资产负债表</w:t>
      </w:r>
      <w:bookmarkEnd w:id="703"/>
      <w:bookmarkEnd w:id="704"/>
      <w:bookmarkEnd w:id="7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137,305,183.92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279,253,807.33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2,994,783,633.15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3,435,025,436.10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69,090,174.35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87,789,246.09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984,912,705.79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836,549,031.87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920,626,926.62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1,294,056,847.84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3,392,353.13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4,626,774.02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19,958,381.49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5,555,069,358.45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6,082,301,143.25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34,483,200.24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1,346,452,460.95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1,324,082,467.94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1,001,384,787.05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1,046,551,397.79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43,430,363.18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43,454,633.41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2,593,763.29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16,283,207.01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20,522,529.38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36,822,606.52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46,043,937.33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2,458,534,305.64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2,525,567,653.79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8,013,603,664.09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8,607,868,797.04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1,309,225,575.47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464,957,285.16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1,182,849,747.22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1,228,811,181.12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1,473,284,755.12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6,752,895.20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128,200,493.83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174,313,996.72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70,528,743.91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37,937,924.70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153,203,597.71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108,876,724.76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800,016,784.59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675,046,976.74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49,141,328.96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4,256,951,388.84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4,569,196,622.37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4,256,951,388.84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4,569,196,622.37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2,512,500,000.00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420,734,370.35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420,734,370.35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736,873,710.20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1,018,698,047.83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3,756,652,275.25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4,038,672,174.67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8,013,603,664.09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8,607,868,797.04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、合并利润表</w:t>
      </w:r>
      <w:bookmarkEnd w:id="707"/>
      <w:bookmarkEnd w:id="708"/>
      <w:bookmarkEnd w:id="71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4,261,726,604.32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5,879,439,043.35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2,499,591,561.31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3,376,080,032.34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13,651,980.42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28,663,627.34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1,469,284,465.31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2,128,197,247.18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133,242,628.95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147,517,125.38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108,913,316.89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77,400,378.01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90,067,694.22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73,538,857.77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90,728,975.60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1,806,338.61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2,059,575.21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23,197,493.31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27,616,969.37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42,713,656.38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40,223,578.38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-210,576,335.42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-130,131,736.12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-201,730,876.71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-314,255,964.99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4,349,379.12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-808,113,478.10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-785,854,763.01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2,222,408.29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7,511,566.27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15,505,548.29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41,265,824.72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-821,396,618.10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-819,609,021.46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37,970,343.26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5,863,829.08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-859,562,523.15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-825,226,423.36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-859,562,523.15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-825,226,423.36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法定代表人：胡佳佳</w:t>
        <w:tab/>
        <w:t>主管会计工作负责人：张利</w:t>
        <w:tab/>
        <w:t>会计机构负责人：曾焕滨</w:t>
      </w:r>
    </w:p>
    <w:p>
      <w:pPr>
        <w:pStyle w:val="Style36"/>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、母公司利润表</w:t>
      </w:r>
      <w:bookmarkEnd w:id="711"/>
      <w:bookmarkEnd w:id="712"/>
      <w:bookmarkEnd w:id="71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3,166,580,680.70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4,425,089,802.97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2,447,913,148.65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3,336,808,208.65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6,127,354.37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11,752,106.39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596,931,047.35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741,637,920.73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172,874,977.50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273,775,966.95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46,620,805.47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78,314,681.13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75,404,068.63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86,022,380.31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71,247,530.73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81,766,319.92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803,195.33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1,305,796.86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15,866,709.54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11,753,467.15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60,628,854.80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99,623,578.38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40,223,578.38</w:t>
            </w:r>
          </w:p>
        </w:tc>
      </w:tr>
      <w:tr>
        <w:trPr>
          <w:trHeight w:val="6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4,098,211.09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-259,551,002.48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-172,823,132.42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-196,362,324.25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-5,063,189.00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75,542.00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-276,583,267.26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-447,682,200.39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2,317,652.80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2,345,229.32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7,558,723.17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1,445,694.83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-446,782,665.90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-446,782,665.90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-446,782,665.90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246,427.18</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-282,019,899.42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-446,536,238.72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、合并现金流量表</w:t>
      </w:r>
      <w:bookmarkEnd w:id="715"/>
      <w:bookmarkEnd w:id="716"/>
      <w:bookmarkEnd w:id="71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4,424,988,477.18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6,872,588,342.33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10,739,347.10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256,934,295.58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127,224,556.70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4,682,682,026.74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7,010,552,246.13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2,790,699,275.88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4,273,851,815.60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502,860,549.51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845,320,653.71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75,176,341.28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395,156,734.72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1,069,161,758.45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1,379,614,914.49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4,437,897,925.12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6,893,944,118.52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116,608,127.61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18,407,485.76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8,970,005.76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18,407,485.76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8,970,005.76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60,120,665.60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138,393,407.68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60,120,665.60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138,393,407.68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-41,713,179.84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-129,423,401.92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1,590,972,343.06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2,557,304,623.00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224,622,870.64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1,181,740.00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1,815,595,213.70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2,558,486,363.00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2,079,592,725.99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2,463,143,763.00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50,910,086.74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87,885,646.43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85,070,461.00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2,130,502,812.73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2,636,099,870.43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-314,907,599.03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-77,613,507.43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-112,151,876.92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-90,428,781.74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290,052,443.29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380,481,225.03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290,052,443.29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、母公司现金流量表</w:t>
      </w:r>
      <w:bookmarkEnd w:id="719"/>
      <w:bookmarkEnd w:id="720"/>
      <w:bookmarkEnd w:id="72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3,700,438,941.56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5,201,935,070.23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1,522,732.89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64,240,339.24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48,706,497.28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3,765,353,939.38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5,252,164,300.40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2,779,062,062.48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3,777,362,688.29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211,290,133.44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253,100,363.59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25,200,485.56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130,978,544.81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691,978,728.35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889,866,145.71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3,707,531,409.83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5,051,307,742.40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57,822,529.55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200,856,558.00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4,669,527.40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771,463.01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42,732,827.40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60,771,463.01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25,245,560.47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16,224,514.75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25,245,560.47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16,224,514.75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17,487,266.93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44,546,948.26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1,524,402,219.28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2,067,304,622.53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224,622,870.60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1,749,025,089.88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2,067,304,622.53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1,833,592,725.99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2,163,143,762.76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50,752,713.51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78,922,990.52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83,888,721.00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1,884,345,439.50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2,325,955,474.28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-135,320,349.62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-258,650,851.75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-60,325,752.81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-13,247,345.49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194,183,346.84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207,430,692.33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133,857,594.03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194,183,346.84</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、合并所有者权益变动表</w:t>
      </w:r>
      <w:bookmarkEnd w:id="723"/>
      <w:bookmarkEnd w:id="724"/>
      <w:bookmarkEnd w:id="72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71,958</w:t>
            </w:r>
          </w:p>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184,51</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20,682</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046,51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72,850</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72,850</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、母公司所有者权益变动表</w:t>
      </w:r>
      <w:bookmarkEnd w:id="727"/>
      <w:bookmarkEnd w:id="728"/>
      <w:bookmarkEnd w:id="73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430,937.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1,018,6</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430,937.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1,018,6</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184,510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4,488,531,4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-3,323,001.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184,510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4,485,208,4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246,427</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-446,536,23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-446,536,23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4,038,672,1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sz w:val="24"/>
          <w:szCs w:val="24"/>
        </w:rPr>
        <w:t>三</w:t>
      </w:r>
      <w:bookmarkEnd w:id="733"/>
      <w:r>
        <w:rPr>
          <w:color w:val="000000"/>
          <w:spacing w:val="0"/>
          <w:w w:val="100"/>
          <w:position w:val="0"/>
          <w:sz w:val="24"/>
          <w:szCs w:val="24"/>
        </w:rPr>
        <w:t>、公司基本情况</w:t>
      </w:r>
      <w:bookmarkEnd w:id="731"/>
      <w:bookmarkEnd w:id="732"/>
      <w:bookmarkEnd w:id="734"/>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上海美特斯邦威服饰股份有限公司（以下简称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）系由上海美特斯邦威服饰有限公司整体变更而设立的股份有 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日由上海市工商行政管理局核准注册登记。经中国证券监督管理委员会于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日签发的证监 许可（</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号文批准，本公司于中国境内首次公开发行人民币普通股股票，并于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日在深圳证券交易所上市。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日，本公司累计发行股本总数为</w:t>
      </w:r>
      <w:r>
        <w:rPr>
          <w:rFonts w:ascii="Times New Roman" w:eastAsia="Times New Roman" w:hAnsi="Times New Roman" w:cs="Times New Roman"/>
          <w:color w:val="000000"/>
          <w:spacing w:val="0"/>
          <w:w w:val="100"/>
          <w:position w:val="0"/>
          <w:sz w:val="18"/>
          <w:szCs w:val="18"/>
        </w:rPr>
        <w:t>2,512,500,000</w:t>
      </w:r>
      <w:r>
        <w:rPr>
          <w:color w:val="000000"/>
          <w:spacing w:val="0"/>
          <w:w w:val="100"/>
          <w:position w:val="0"/>
        </w:rPr>
        <w:t>股。</w:t>
      </w:r>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日换领了由上海市市场监督管理局核发的统一社会信用代码为</w:t>
      </w:r>
      <w:r>
        <w:rPr>
          <w:rFonts w:ascii="Times New Roman" w:eastAsia="Times New Roman" w:hAnsi="Times New Roman" w:cs="Times New Roman"/>
          <w:color w:val="000000"/>
          <w:spacing w:val="0"/>
          <w:w w:val="100"/>
          <w:position w:val="0"/>
          <w:sz w:val="18"/>
          <w:szCs w:val="18"/>
        </w:rPr>
        <w:t>913100001321787408</w:t>
      </w:r>
      <w:r>
        <w:rPr>
          <w:color w:val="000000"/>
          <w:spacing w:val="0"/>
          <w:w w:val="100"/>
          <w:position w:val="0"/>
        </w:rPr>
        <w:t>的《营业执 照》。注册资本为人民币</w:t>
      </w:r>
      <w:r>
        <w:rPr>
          <w:rFonts w:ascii="Times New Roman" w:eastAsia="Times New Roman" w:hAnsi="Times New Roman" w:cs="Times New Roman"/>
          <w:color w:val="000000"/>
          <w:spacing w:val="0"/>
          <w:w w:val="100"/>
          <w:position w:val="0"/>
          <w:sz w:val="18"/>
          <w:szCs w:val="18"/>
        </w:rPr>
        <w:t>2,512,500,000</w:t>
      </w:r>
      <w:r>
        <w:rPr>
          <w:color w:val="000000"/>
          <w:spacing w:val="0"/>
          <w:w w:val="100"/>
          <w:position w:val="0"/>
        </w:rPr>
        <w:t>元，法定代表人为胡佳佳，公司总部注册地址及办公场所为中国（上海）自由贸易试 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本公司及其子公司（统称为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）主要从事服饰产品的设计、推广和销售。</w:t>
      </w:r>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本公司的母公司为上海华服投资有限公司，最终控制人为周成建先生。</w:t>
      </w:r>
    </w:p>
    <w:p>
      <w:pPr>
        <w:pStyle w:val="Style33"/>
        <w:keepNext w:val="0"/>
        <w:keepLines w:val="0"/>
        <w:widowControl w:val="0"/>
        <w:shd w:val="clear" w:color="auto" w:fill="auto"/>
        <w:bidi w:val="0"/>
        <w:spacing w:before="0" w:after="280" w:line="310" w:lineRule="exact"/>
        <w:ind w:left="0" w:right="0" w:firstLine="500"/>
        <w:jc w:val="left"/>
      </w:pPr>
      <w:r>
        <w:rPr>
          <w:color w:val="000000"/>
          <w:spacing w:val="0"/>
          <w:w w:val="100"/>
          <w:position w:val="0"/>
        </w:rPr>
        <w:t>本报告业经本公司董事会于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日决议批准报出。根据本公司章程，本财务报表将提交股东大会审议。</w:t>
      </w:r>
    </w:p>
    <w:p>
      <w:pPr>
        <w:pStyle w:val="Style33"/>
        <w:keepNext w:val="0"/>
        <w:keepLines w:val="0"/>
        <w:widowControl w:val="0"/>
        <w:shd w:val="clear" w:color="auto" w:fill="auto"/>
        <w:bidi w:val="0"/>
        <w:spacing w:before="0" w:after="680" w:line="310" w:lineRule="exact"/>
        <w:ind w:left="0" w:right="0" w:firstLine="500"/>
        <w:jc w:val="left"/>
      </w:pPr>
      <w:r>
        <w:rPr>
          <w:color w:val="000000"/>
          <w:spacing w:val="0"/>
          <w:w w:val="100"/>
          <w:position w:val="0"/>
        </w:rPr>
        <w:t>本年度合并财务报表的合并范围比上年减少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家，详见本附注八、合并范围的变更。</w:t>
      </w:r>
    </w:p>
    <w:p>
      <w:pPr>
        <w:pStyle w:val="Style29"/>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四</w:t>
      </w:r>
      <w:bookmarkEnd w:id="737"/>
      <w:r>
        <w:rPr>
          <w:color w:val="000000"/>
          <w:spacing w:val="0"/>
          <w:w w:val="100"/>
          <w:position w:val="0"/>
          <w:sz w:val="24"/>
          <w:szCs w:val="24"/>
        </w:rPr>
        <w:t>、财务报表的编制基础</w:t>
      </w:r>
      <w:bookmarkEnd w:id="735"/>
      <w:bookmarkEnd w:id="736"/>
      <w:bookmarkEnd w:id="738"/>
    </w:p>
    <w:p>
      <w:pPr>
        <w:pStyle w:val="Style36"/>
        <w:keepNext/>
        <w:keepLines/>
        <w:widowControl w:val="0"/>
        <w:shd w:val="clear" w:color="auto" w:fill="auto"/>
        <w:tabs>
          <w:tab w:pos="361"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t>编制基础</w:t>
      </w:r>
      <w:bookmarkEnd w:id="739"/>
      <w:bookmarkEnd w:id="740"/>
      <w:bookmarkEnd w:id="742"/>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w:t>
      </w:r>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6"/>
        <w:keepNext/>
        <w:keepLines/>
        <w:widowControl w:val="0"/>
        <w:shd w:val="clear" w:color="auto" w:fill="auto"/>
        <w:tabs>
          <w:tab w:pos="371"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持续经营</w:t>
      </w:r>
      <w:bookmarkEnd w:id="743"/>
      <w:bookmarkEnd w:id="744"/>
      <w:bookmarkEnd w:id="746"/>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年度归属于上市公司股东的净亏损为</w:t>
      </w:r>
      <w:r>
        <w:rPr>
          <w:rFonts w:ascii="Times New Roman" w:eastAsia="Times New Roman" w:hAnsi="Times New Roman" w:cs="Times New Roman"/>
          <w:color w:val="000000"/>
          <w:spacing w:val="0"/>
          <w:w w:val="100"/>
          <w:position w:val="0"/>
          <w:sz w:val="18"/>
          <w:szCs w:val="18"/>
        </w:rPr>
        <w:t>859,366,961.36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年度：净亏损</w:t>
      </w:r>
      <w:r>
        <w:rPr>
          <w:rFonts w:ascii="Times New Roman" w:eastAsia="Times New Roman" w:hAnsi="Times New Roman" w:cs="Times New Roman"/>
          <w:color w:val="000000"/>
          <w:spacing w:val="0"/>
          <w:w w:val="100"/>
          <w:position w:val="0"/>
          <w:sz w:val="18"/>
          <w:szCs w:val="18"/>
        </w:rPr>
        <w:t>825,472,850.54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日止，本公司流动负债合计金额超过流动资产合计金额</w:t>
      </w:r>
      <w:r>
        <w:rPr>
          <w:rFonts w:ascii="Times New Roman" w:eastAsia="Times New Roman" w:hAnsi="Times New Roman" w:cs="Times New Roman"/>
          <w:color w:val="000000"/>
          <w:spacing w:val="0"/>
          <w:w w:val="100"/>
          <w:position w:val="0"/>
          <w:sz w:val="18"/>
          <w:szCs w:val="18"/>
        </w:rPr>
        <w:t>992,347,151.36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日：净流动负债</w:t>
      </w:r>
      <w:r>
        <w:rPr>
          <w:rFonts w:ascii="Times New Roman" w:eastAsia="Times New Roman" w:hAnsi="Times New Roman" w:cs="Times New Roman"/>
          <w:color w:val="000000"/>
          <w:spacing w:val="0"/>
          <w:w w:val="100"/>
          <w:position w:val="0"/>
          <w:sz w:val="18"/>
          <w:szCs w:val="18"/>
        </w:rPr>
        <w:t xml:space="preserve">359,425,890.69 </w:t>
      </w:r>
      <w:r>
        <w:rPr>
          <w:color w:val="000000"/>
          <w:spacing w:val="0"/>
          <w:w w:val="100"/>
          <w:position w:val="0"/>
        </w:rPr>
        <w:t>元）。这些事项或情况表明存在可能导致本公司的持续经营能力产生重大疑虑的重大不确定性。</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根据目前的实际经营情况，本公司董事会正在积极主动采取措施，以确保本公司于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个月能够清 偿到期债务并持续经营，主要措施如下：</w:t>
      </w:r>
    </w:p>
    <w:p>
      <w:pPr>
        <w:pStyle w:val="Style33"/>
        <w:keepNext w:val="0"/>
        <w:keepLines w:val="0"/>
        <w:widowControl w:val="0"/>
        <w:shd w:val="clear" w:color="auto" w:fill="auto"/>
        <w:bidi w:val="0"/>
        <w:spacing w:before="0" w:after="0" w:line="313" w:lineRule="exact"/>
        <w:ind w:left="0" w:right="0" w:firstLine="860"/>
        <w:jc w:val="both"/>
      </w:pPr>
      <w:bookmarkStart w:id="747" w:name="bookmark747"/>
      <w:r>
        <w:rPr>
          <w:color w:val="000000"/>
          <w:spacing w:val="0"/>
          <w:w w:val="100"/>
          <w:position w:val="0"/>
        </w:rPr>
        <w:t>（</w:t>
      </w:r>
      <w:bookmarkEnd w:id="747"/>
      <w:r>
        <w:rPr>
          <w:color w:val="000000"/>
          <w:spacing w:val="0"/>
          <w:w w:val="100"/>
          <w:position w:val="0"/>
        </w:rPr>
        <w:t>一）盘活长期资产，缓解本公司流动性压力，为主营业务发展提供流动资金支持。</w:t>
      </w:r>
    </w:p>
    <w:p>
      <w:pPr>
        <w:pStyle w:val="Style33"/>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日，本公司第五届董事会第六次会议审议通过了《关于出售股权资产的议案》，以人民币</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亿元的交易对 价出售全资子公司上海模共实业有限公司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股权，扣除以该子公司持有物业为抵押的银行贷款以及相关交易税费后，预 计将为本公司带来净现金流入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亿元。</w:t>
      </w:r>
    </w:p>
    <w:p>
      <w:pPr>
        <w:pStyle w:val="Style33"/>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日，本公司第五届董事会第七次会议审议通过了《上海美特斯邦威服饰股份有限公司重大资产出售预案》 </w:t>
      </w:r>
      <w:r>
        <w:rPr>
          <w:color w:val="000000"/>
          <w:spacing w:val="0"/>
          <w:w w:val="100"/>
          <w:position w:val="0"/>
        </w:rPr>
        <w:t>及其摘要等与本次交易相关的预案。本公司拟将持有的上海华瑞银行股份有限公司</w:t>
      </w:r>
      <w:r>
        <w:rPr>
          <w:rFonts w:ascii="Times New Roman" w:eastAsia="Times New Roman" w:hAnsi="Times New Roman" w:cs="Times New Roman"/>
          <w:color w:val="000000"/>
          <w:spacing w:val="0"/>
          <w:w w:val="100"/>
          <w:position w:val="0"/>
          <w:sz w:val="18"/>
          <w:szCs w:val="18"/>
        </w:rPr>
        <w:t>10.10%</w:t>
      </w:r>
      <w:r>
        <w:rPr>
          <w:color w:val="000000"/>
          <w:spacing w:val="0"/>
          <w:w w:val="100"/>
          <w:position w:val="0"/>
        </w:rPr>
        <w:t>的股份转让给上海凯泉泵业（集 团）有限公司。</w:t>
      </w:r>
    </w:p>
    <w:p>
      <w:pPr>
        <w:pStyle w:val="Style33"/>
        <w:keepNext w:val="0"/>
        <w:keepLines w:val="0"/>
        <w:widowControl w:val="0"/>
        <w:shd w:val="clear" w:color="auto" w:fill="auto"/>
        <w:tabs>
          <w:tab w:pos="1031" w:val="left"/>
        </w:tabs>
        <w:bidi w:val="0"/>
        <w:spacing w:before="0" w:after="0" w:line="312" w:lineRule="exact"/>
        <w:ind w:left="0" w:right="0" w:firstLine="500"/>
        <w:jc w:val="both"/>
      </w:pPr>
      <w:bookmarkStart w:id="748" w:name="bookmark748"/>
      <w:r>
        <w:rPr>
          <w:color w:val="000000"/>
          <w:spacing w:val="0"/>
          <w:w w:val="100"/>
          <w:position w:val="0"/>
        </w:rPr>
        <w:t>（</w:t>
      </w:r>
      <w:bookmarkEnd w:id="748"/>
      <w:r>
        <w:rPr>
          <w:color w:val="000000"/>
          <w:spacing w:val="0"/>
          <w:w w:val="100"/>
          <w:position w:val="0"/>
        </w:rPr>
        <w:t>二）</w:t>
        <w:tab/>
        <w:t>与供应商进一步洽谈以获取付款折让或调整付款周期，与上下游价值链伙伴以合作共赢方式实现有机增长。</w:t>
      </w:r>
    </w:p>
    <w:p>
      <w:pPr>
        <w:pStyle w:val="Style33"/>
        <w:keepNext w:val="0"/>
        <w:keepLines w:val="0"/>
        <w:widowControl w:val="0"/>
        <w:shd w:val="clear" w:color="auto" w:fill="auto"/>
        <w:tabs>
          <w:tab w:pos="1107" w:val="left"/>
        </w:tabs>
        <w:bidi w:val="0"/>
        <w:spacing w:before="0" w:after="0" w:line="341" w:lineRule="exact"/>
        <w:ind w:left="0" w:right="0" w:firstLine="500"/>
        <w:jc w:val="left"/>
      </w:pPr>
      <w:bookmarkStart w:id="749" w:name="bookmark749"/>
      <w:r>
        <w:rPr>
          <w:color w:val="000000"/>
          <w:spacing w:val="0"/>
          <w:w w:val="100"/>
          <w:position w:val="0"/>
        </w:rPr>
        <w:t>（</w:t>
      </w:r>
      <w:bookmarkEnd w:id="749"/>
      <w:r>
        <w:rPr>
          <w:color w:val="000000"/>
          <w:spacing w:val="0"/>
          <w:w w:val="100"/>
          <w:position w:val="0"/>
        </w:rPr>
        <w:t>三）</w:t>
        <w:tab/>
        <w:t>本公司母公司上海华服投资有限公司与本公司签订了《财务资助协议》，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年将继续为本公司提供必要的财 务支援，以维持本公司的持续经营。</w:t>
      </w:r>
    </w:p>
    <w:p>
      <w:pPr>
        <w:pStyle w:val="Style33"/>
        <w:keepNext w:val="0"/>
        <w:keepLines w:val="0"/>
        <w:widowControl w:val="0"/>
        <w:shd w:val="clear" w:color="auto" w:fill="auto"/>
        <w:tabs>
          <w:tab w:pos="1093" w:val="left"/>
        </w:tabs>
        <w:bidi w:val="0"/>
        <w:spacing w:before="0" w:after="0" w:line="307" w:lineRule="exact"/>
        <w:ind w:left="0" w:right="0" w:firstLine="500"/>
        <w:jc w:val="left"/>
      </w:pPr>
      <w:bookmarkStart w:id="750" w:name="bookmark750"/>
      <w:r>
        <w:rPr>
          <w:color w:val="000000"/>
          <w:spacing w:val="0"/>
          <w:w w:val="100"/>
          <w:position w:val="0"/>
        </w:rPr>
        <w:t>（</w:t>
      </w:r>
      <w:bookmarkEnd w:id="750"/>
      <w:r>
        <w:rPr>
          <w:color w:val="000000"/>
          <w:spacing w:val="0"/>
          <w:w w:val="100"/>
          <w:position w:val="0"/>
        </w:rPr>
        <w:t>四）</w:t>
        <w:tab/>
        <w:t>继续收缩经营资源专注核心业务发展，提升库存周转速度和资金周转效率，降低固定成本费用，控制不合理支 出。</w:t>
      </w:r>
    </w:p>
    <w:p>
      <w:pPr>
        <w:pStyle w:val="Style33"/>
        <w:keepNext w:val="0"/>
        <w:keepLines w:val="0"/>
        <w:widowControl w:val="0"/>
        <w:shd w:val="clear" w:color="auto" w:fill="auto"/>
        <w:bidi w:val="0"/>
        <w:spacing w:before="0" w:after="0" w:line="307" w:lineRule="exact"/>
        <w:ind w:left="0" w:right="0" w:firstLine="500"/>
        <w:jc w:val="left"/>
      </w:pPr>
      <w:r>
        <w:rPr>
          <w:color w:val="000000"/>
          <w:spacing w:val="0"/>
          <w:w w:val="100"/>
          <w:position w:val="0"/>
        </w:rPr>
        <w:t>管理层已编制本公司现金流量预测，涵盖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日起不少于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个月的期间，在此期间本公司能够获得足够的营 运资金以确保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个月内能够清偿到期债务并保持核心业务持续运营。</w:t>
      </w:r>
    </w:p>
    <w:p>
      <w:pPr>
        <w:pStyle w:val="Style33"/>
        <w:keepNext w:val="0"/>
        <w:keepLines w:val="0"/>
        <w:widowControl w:val="0"/>
        <w:shd w:val="clear" w:color="auto" w:fill="auto"/>
        <w:bidi w:val="0"/>
        <w:spacing w:before="0" w:after="380" w:line="307" w:lineRule="exact"/>
        <w:ind w:left="0" w:right="0" w:firstLine="500"/>
        <w:jc w:val="left"/>
      </w:pPr>
      <w:r>
        <w:rPr>
          <w:color w:val="000000"/>
          <w:spacing w:val="0"/>
          <w:w w:val="100"/>
          <w:position w:val="0"/>
        </w:rPr>
        <w:t>上述措施有助于维持集团持续经营，其执行不存在重大障碍及不确定性，本公司以持续经营为基础编制本财务报表是 恰当的。</w:t>
      </w:r>
    </w:p>
    <w:p>
      <w:pPr>
        <w:pStyle w:val="Style29"/>
        <w:keepNext/>
        <w:keepLines/>
        <w:widowControl w:val="0"/>
        <w:shd w:val="clear" w:color="auto" w:fill="auto"/>
        <w:bidi w:val="0"/>
        <w:spacing w:before="0" w:after="26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sz w:val="24"/>
          <w:szCs w:val="24"/>
        </w:rPr>
        <w:t>五</w:t>
      </w:r>
      <w:bookmarkEnd w:id="753"/>
      <w:r>
        <w:rPr>
          <w:color w:val="000000"/>
          <w:spacing w:val="0"/>
          <w:w w:val="100"/>
          <w:position w:val="0"/>
          <w:sz w:val="24"/>
          <w:szCs w:val="24"/>
        </w:rPr>
        <w:t>、重要会计政策及会计估计</w:t>
      </w:r>
      <w:bookmarkEnd w:id="751"/>
      <w:bookmarkEnd w:id="752"/>
      <w:bookmarkEnd w:id="754"/>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tabs>
          <w:tab w:pos="368"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color w:val="000000"/>
          <w:spacing w:val="0"/>
          <w:w w:val="100"/>
          <w:position w:val="0"/>
        </w:rPr>
        <w:t>、</w:t>
        <w:tab/>
        <w:t>遵循企业会计准则的声明</w:t>
      </w:r>
      <w:bookmarkEnd w:id="755"/>
      <w:bookmarkEnd w:id="756"/>
      <w:bookmarkEnd w:id="758"/>
    </w:p>
    <w:p>
      <w:pPr>
        <w:pStyle w:val="Style33"/>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本财务报表符合企业会计准则的要求，真实、完整地反映了本公司及本公司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 经营成果和现金流量等有关信息。</w:t>
      </w:r>
    </w:p>
    <w:p>
      <w:pPr>
        <w:pStyle w:val="Style36"/>
        <w:keepNext/>
        <w:keepLines/>
        <w:widowControl w:val="0"/>
        <w:shd w:val="clear" w:color="auto" w:fill="auto"/>
        <w:tabs>
          <w:tab w:pos="378"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w:t>
        <w:tab/>
        <w:t>会计期间</w:t>
      </w:r>
      <w:bookmarkEnd w:id="759"/>
      <w:bookmarkEnd w:id="760"/>
      <w:bookmarkEnd w:id="762"/>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本公司会计年度采用公历年度，即每年自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w:t>
        <w:tab/>
        <w:t>营业周期</w:t>
      </w:r>
      <w:bookmarkEnd w:id="763"/>
      <w:bookmarkEnd w:id="764"/>
      <w:bookmarkEnd w:id="766"/>
    </w:p>
    <w:p>
      <w:pPr>
        <w:pStyle w:val="Style33"/>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78"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w:t>
        <w:tab/>
        <w:t>记账本位币</w:t>
      </w:r>
      <w:bookmarkEnd w:id="767"/>
      <w:bookmarkEnd w:id="768"/>
      <w:bookmarkEnd w:id="770"/>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36"/>
        <w:keepNext/>
        <w:keepLines/>
        <w:widowControl w:val="0"/>
        <w:shd w:val="clear" w:color="auto" w:fill="auto"/>
        <w:tabs>
          <w:tab w:pos="378"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w:t>
        <w:tab/>
        <w:t>同一控制下和非同一控制下企业合并的会计处理方法</w:t>
      </w:r>
      <w:bookmarkEnd w:id="771"/>
      <w:bookmarkEnd w:id="772"/>
      <w:bookmarkEnd w:id="774"/>
    </w:p>
    <w:p>
      <w:pPr>
        <w:pStyle w:val="Style33"/>
        <w:keepNext w:val="0"/>
        <w:keepLines w:val="0"/>
        <w:widowControl w:val="0"/>
        <w:shd w:val="clear" w:color="auto" w:fill="auto"/>
        <w:tabs>
          <w:tab w:pos="1031" w:val="left"/>
        </w:tabs>
        <w:bidi w:val="0"/>
        <w:spacing w:before="0" w:after="0" w:line="312" w:lineRule="exact"/>
        <w:ind w:left="0" w:right="0" w:firstLine="500"/>
        <w:jc w:val="both"/>
      </w:pPr>
      <w:bookmarkStart w:id="775" w:name="bookmark775"/>
      <w:r>
        <w:rPr>
          <w:color w:val="000000"/>
          <w:spacing w:val="0"/>
          <w:w w:val="100"/>
          <w:position w:val="0"/>
        </w:rPr>
        <w:t>（</w:t>
      </w:r>
      <w:bookmarkEnd w:id="775"/>
      <w:r>
        <w:rPr>
          <w:color w:val="000000"/>
          <w:spacing w:val="0"/>
          <w:w w:val="100"/>
          <w:position w:val="0"/>
        </w:rPr>
        <w:t>一）</w:t>
        <w:tab/>
        <w:t>同一控制下的企业合并</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同一控制下企业合并形成的长期股权投资合并方以支付现金、转让非现金资产或承担债务方式作为合并对价的，本公 司在合并日按照被合并方所有者权益在最终控制方合并财务报表中的账面价值的份额作为长期股权投资的初始投资成本。合 并方以发行权益性工具作为合并对价的，按发行股份的面值总额作为股本。长期股权投资的初始投资成本与合并对价账面价 值（或发行股份面值总额）的差额，应当调整资本公积；资本公积不足冲减的，调整留存收益。</w:t>
      </w:r>
    </w:p>
    <w:p>
      <w:pPr>
        <w:pStyle w:val="Style33"/>
        <w:keepNext w:val="0"/>
        <w:keepLines w:val="0"/>
        <w:widowControl w:val="0"/>
        <w:shd w:val="clear" w:color="auto" w:fill="auto"/>
        <w:tabs>
          <w:tab w:pos="1031" w:val="left"/>
        </w:tabs>
        <w:bidi w:val="0"/>
        <w:spacing w:before="0" w:after="0" w:line="312" w:lineRule="exact"/>
        <w:ind w:left="0" w:right="0" w:firstLine="500"/>
        <w:jc w:val="both"/>
      </w:pPr>
      <w:bookmarkStart w:id="776" w:name="bookmark776"/>
      <w:r>
        <w:rPr>
          <w:color w:val="000000"/>
          <w:spacing w:val="0"/>
          <w:w w:val="100"/>
          <w:position w:val="0"/>
        </w:rPr>
        <w:t>（</w:t>
      </w:r>
      <w:bookmarkEnd w:id="776"/>
      <w:r>
        <w:rPr>
          <w:color w:val="000000"/>
          <w:spacing w:val="0"/>
          <w:w w:val="100"/>
          <w:position w:val="0"/>
        </w:rPr>
        <w:t>二）</w:t>
        <w:tab/>
        <w:t>非同一控制下的企业合并</w:t>
      </w:r>
    </w:p>
    <w:p>
      <w:pPr>
        <w:pStyle w:val="Style33"/>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 xml:space="preserve">对于非同一控制下的企业合并，合并成本为购买方在购买日为取得对被购买方的控制权而付出的资产、发生或承担的 </w:t>
      </w:r>
      <w:r>
        <w:rPr>
          <w:color w:val="000000"/>
          <w:spacing w:val="0"/>
          <w:w w:val="100"/>
          <w:position w:val="0"/>
        </w:rPr>
        <w:t>负债以及发行的权益性证券的公允价值之和。非同一控制下企业合并中所取得的被购买方符合确认条件的可辨认资产、负债 及或有负债，在购买日以公允价值计量。购买方对合并成本大于合并中取得的被购买方可辨认净资产公允价值份额的差额， 体现为商誉价值。购买方对合并成本小于合并中取得的被购买方可辨认净资产公允价值份额的，经复核后合并成本仍小于合 并中取得的被购买方可辨认净资产公允价值份额的差额，计入当期营业外收入。</w:t>
      </w:r>
    </w:p>
    <w:p>
      <w:pPr>
        <w:pStyle w:val="Style36"/>
        <w:keepNext/>
        <w:keepLines/>
        <w:widowControl w:val="0"/>
        <w:shd w:val="clear" w:color="auto" w:fill="auto"/>
        <w:tabs>
          <w:tab w:pos="329" w:val="left"/>
        </w:tabs>
        <w:bidi w:val="0"/>
        <w:spacing w:before="0" w:after="28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w:t>
        <w:tab/>
        <w:t>合并财务报表的编制方法</w:t>
      </w:r>
      <w:bookmarkEnd w:id="777"/>
      <w:bookmarkEnd w:id="778"/>
      <w:bookmarkEnd w:id="780"/>
    </w:p>
    <w:p>
      <w:pPr>
        <w:pStyle w:val="Style33"/>
        <w:keepNext w:val="0"/>
        <w:keepLines w:val="0"/>
        <w:widowControl w:val="0"/>
        <w:shd w:val="clear" w:color="auto" w:fill="auto"/>
        <w:tabs>
          <w:tab w:pos="983" w:val="left"/>
        </w:tabs>
        <w:bidi w:val="0"/>
        <w:spacing w:before="0" w:after="0" w:line="317" w:lineRule="exact"/>
        <w:ind w:left="0" w:right="0" w:firstLine="500"/>
        <w:jc w:val="both"/>
      </w:pPr>
      <w:bookmarkStart w:id="781" w:name="bookmark781"/>
      <w:r>
        <w:rPr>
          <w:color w:val="000000"/>
          <w:spacing w:val="0"/>
          <w:w w:val="100"/>
          <w:position w:val="0"/>
        </w:rPr>
        <w:t>（</w:t>
      </w:r>
      <w:bookmarkEnd w:id="781"/>
      <w:r>
        <w:rPr>
          <w:color w:val="000000"/>
          <w:spacing w:val="0"/>
          <w:w w:val="100"/>
          <w:position w:val="0"/>
        </w:rPr>
        <w:t>一）</w:t>
        <w:tab/>
        <w:t>合并财务报表范围</w:t>
      </w:r>
    </w:p>
    <w:p>
      <w:pPr>
        <w:pStyle w:val="Style33"/>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本公司将全部子公司（包括本公司所控制的单独主体）纳入合并财务报表范围，包括被本公司控制的企业、被投资单 位中可分割的部分以及结构化主体。</w:t>
      </w:r>
    </w:p>
    <w:p>
      <w:pPr>
        <w:pStyle w:val="Style33"/>
        <w:keepNext w:val="0"/>
        <w:keepLines w:val="0"/>
        <w:widowControl w:val="0"/>
        <w:shd w:val="clear" w:color="auto" w:fill="auto"/>
        <w:tabs>
          <w:tab w:pos="983" w:val="left"/>
        </w:tabs>
        <w:bidi w:val="0"/>
        <w:spacing w:before="0" w:after="0" w:line="317" w:lineRule="exact"/>
        <w:ind w:left="0" w:right="0" w:firstLine="500"/>
        <w:jc w:val="both"/>
      </w:pPr>
      <w:bookmarkStart w:id="782" w:name="bookmark782"/>
      <w:r>
        <w:rPr>
          <w:color w:val="000000"/>
          <w:spacing w:val="0"/>
          <w:w w:val="100"/>
          <w:position w:val="0"/>
        </w:rPr>
        <w:t>（</w:t>
      </w:r>
      <w:bookmarkEnd w:id="782"/>
      <w:r>
        <w:rPr>
          <w:color w:val="000000"/>
          <w:spacing w:val="0"/>
          <w:w w:val="100"/>
          <w:position w:val="0"/>
        </w:rPr>
        <w:t>二）</w:t>
        <w:tab/>
        <w:t>统一母子公司的会计政策、统一母子公司的资产负债表日及会计期间</w:t>
      </w:r>
    </w:p>
    <w:p>
      <w:pPr>
        <w:pStyle w:val="Style33"/>
        <w:keepNext w:val="0"/>
        <w:keepLines w:val="0"/>
        <w:widowControl w:val="0"/>
        <w:shd w:val="clear" w:color="auto" w:fill="auto"/>
        <w:bidi w:val="0"/>
        <w:spacing w:before="0" w:after="0" w:line="336" w:lineRule="exact"/>
        <w:ind w:left="0" w:right="0" w:firstLine="50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33"/>
        <w:keepNext w:val="0"/>
        <w:keepLines w:val="0"/>
        <w:widowControl w:val="0"/>
        <w:shd w:val="clear" w:color="auto" w:fill="auto"/>
        <w:tabs>
          <w:tab w:pos="983" w:val="left"/>
        </w:tabs>
        <w:bidi w:val="0"/>
        <w:spacing w:before="0" w:after="0" w:line="313" w:lineRule="exact"/>
        <w:ind w:left="0" w:right="0" w:firstLine="500"/>
        <w:jc w:val="both"/>
      </w:pPr>
      <w:bookmarkStart w:id="783" w:name="bookmark783"/>
      <w:r>
        <w:rPr>
          <w:color w:val="000000"/>
          <w:spacing w:val="0"/>
          <w:w w:val="100"/>
          <w:position w:val="0"/>
        </w:rPr>
        <w:t>（</w:t>
      </w:r>
      <w:bookmarkEnd w:id="783"/>
      <w:r>
        <w:rPr>
          <w:color w:val="000000"/>
          <w:spacing w:val="0"/>
          <w:w w:val="100"/>
          <w:position w:val="0"/>
        </w:rPr>
        <w:t>三）</w:t>
        <w:tab/>
        <w:t>合并财务报表抵销事项</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合并财务报表以本公司和子公司的财务报表为基础，已抵销了本公司与子公司、子公司相互之间发生的内部交易。子 公司所有者权益中不属于本公司的份额，作为少数股东权益，在合并资产负债表中股东权益项目下以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 示。子公司持有本公司的长期股权投资，视为本公司的库存股，作为股东权益的减项，在合并资产负债表中股东权益项目下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3"/>
        <w:keepNext w:val="0"/>
        <w:keepLines w:val="0"/>
        <w:widowControl w:val="0"/>
        <w:shd w:val="clear" w:color="auto" w:fill="auto"/>
        <w:tabs>
          <w:tab w:pos="983" w:val="left"/>
        </w:tabs>
        <w:bidi w:val="0"/>
        <w:spacing w:before="0" w:after="0" w:line="313" w:lineRule="exact"/>
        <w:ind w:left="0" w:right="0" w:firstLine="500"/>
        <w:jc w:val="both"/>
      </w:pPr>
      <w:bookmarkStart w:id="784" w:name="bookmark784"/>
      <w:r>
        <w:rPr>
          <w:color w:val="000000"/>
          <w:spacing w:val="0"/>
          <w:w w:val="100"/>
          <w:position w:val="0"/>
        </w:rPr>
        <w:t>（</w:t>
      </w:r>
      <w:bookmarkEnd w:id="784"/>
      <w:r>
        <w:rPr>
          <w:color w:val="000000"/>
          <w:spacing w:val="0"/>
          <w:w w:val="100"/>
          <w:position w:val="0"/>
        </w:rPr>
        <w:t>四）</w:t>
        <w:tab/>
        <w:t>合并取得子公司会计处理</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对于同一控制下企业合并取得的子公司，视同该企业合并于自最终控制方开始实施控制时已经发生，从合并当期的期 初起将其资产、负债、经营成果和现金流量纳入合并财务报表；对于非同一控制下企业合并取得的子公司，在编制合并财务 报表时，以购买日可辨认净资产公允价值为基础对其个别财务报表进行调整。</w:t>
      </w:r>
    </w:p>
    <w:p>
      <w:pPr>
        <w:pStyle w:val="Style33"/>
        <w:keepNext w:val="0"/>
        <w:keepLines w:val="0"/>
        <w:widowControl w:val="0"/>
        <w:shd w:val="clear" w:color="auto" w:fill="auto"/>
        <w:tabs>
          <w:tab w:pos="983" w:val="left"/>
        </w:tabs>
        <w:bidi w:val="0"/>
        <w:spacing w:before="0" w:after="0" w:line="313" w:lineRule="exact"/>
        <w:ind w:left="0" w:right="0" w:firstLine="500"/>
        <w:jc w:val="both"/>
      </w:pPr>
      <w:bookmarkStart w:id="785" w:name="bookmark785"/>
      <w:r>
        <w:rPr>
          <w:color w:val="000000"/>
          <w:spacing w:val="0"/>
          <w:w w:val="100"/>
          <w:position w:val="0"/>
        </w:rPr>
        <w:t>（</w:t>
      </w:r>
      <w:bookmarkEnd w:id="785"/>
      <w:r>
        <w:rPr>
          <w:color w:val="000000"/>
          <w:spacing w:val="0"/>
          <w:w w:val="100"/>
          <w:position w:val="0"/>
        </w:rPr>
        <w:t>五）</w:t>
        <w:tab/>
        <w:t>处置子公司的会计处理</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在不丧失控制权的情况下部分处置对子公司的长期股权投资，在合并财务报表中，处置价款与处置长期股权投资相对 应享有子公司自购买日或合并日开始持续计算的净资产份额之间的差额，调整资本公积（资本溢价或股本溢价），资本公积 不足冲减的，调整留存收益。</w:t>
      </w:r>
    </w:p>
    <w:p>
      <w:pPr>
        <w:pStyle w:val="Style33"/>
        <w:keepNext w:val="0"/>
        <w:keepLines w:val="0"/>
        <w:widowControl w:val="0"/>
        <w:shd w:val="clear" w:color="auto" w:fill="auto"/>
        <w:bidi w:val="0"/>
        <w:spacing w:before="0" w:after="400" w:line="313" w:lineRule="exact"/>
        <w:ind w:left="0" w:right="0" w:firstLine="500"/>
        <w:jc w:val="both"/>
      </w:pPr>
      <w:r>
        <w:rPr>
          <w:color w:val="000000"/>
          <w:spacing w:val="0"/>
          <w:w w:val="100"/>
          <w:position w:val="0"/>
        </w:rPr>
        <w:t>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自购买日或合并日开始持续计算的净资产的份额之间的差额，计入丧失控制权当期的投资收益，同时冲减商誉。与原有子公 司股权投资相关的其他综合收益等，在丧失控制权时转为当期投资收益。</w:t>
      </w:r>
    </w:p>
    <w:p>
      <w:pPr>
        <w:pStyle w:val="Style36"/>
        <w:keepNext/>
        <w:keepLines/>
        <w:widowControl w:val="0"/>
        <w:shd w:val="clear" w:color="auto" w:fill="auto"/>
        <w:tabs>
          <w:tab w:pos="324"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w:t>
        <w:tab/>
        <w:t>现金及现金等价物的确定标准</w:t>
      </w:r>
      <w:bookmarkEnd w:id="786"/>
      <w:bookmarkEnd w:id="787"/>
      <w:bookmarkEnd w:id="789"/>
    </w:p>
    <w:p>
      <w:pPr>
        <w:pStyle w:val="Style33"/>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6"/>
        <w:keepNext/>
        <w:keepLines/>
        <w:widowControl w:val="0"/>
        <w:shd w:val="clear" w:color="auto" w:fill="auto"/>
        <w:tabs>
          <w:tab w:pos="329"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w:t>
        <w:tab/>
        <w:t>外币业务和外币报表折算</w:t>
      </w:r>
      <w:bookmarkEnd w:id="790"/>
      <w:bookmarkEnd w:id="791"/>
      <w:bookmarkEnd w:id="793"/>
    </w:p>
    <w:p>
      <w:pPr>
        <w:pStyle w:val="Style33"/>
        <w:keepNext w:val="0"/>
        <w:keepLines w:val="0"/>
        <w:widowControl w:val="0"/>
        <w:shd w:val="clear" w:color="auto" w:fill="auto"/>
        <w:bidi w:val="0"/>
        <w:spacing w:before="0" w:after="340" w:line="313" w:lineRule="exact"/>
        <w:ind w:left="0" w:right="0" w:firstLine="500"/>
        <w:jc w:val="both"/>
      </w:pPr>
      <w:r>
        <w:rPr>
          <w:color w:val="000000"/>
          <w:spacing w:val="0"/>
          <w:w w:val="100"/>
          <w:position w:val="0"/>
        </w:rPr>
        <w:t>本公司对发生的外币交易，采用与交易发生日即期汇率折合本位币入账。资产负债表日外币货币性项目按资产负债表 日即期汇率折算，因该日的即期汇率与初始确认时或者前一资产负债表日即期汇率不同而产生的汇兑差额，除符合资本化条 件的外币专门借款的汇兑差额在资本化期间予以资本化计入相关资产的成本外，均计入当期损益。以历史成本计量的外币非 货币性项目，仍采用交易发生日的即期汇率折算，不改变其记账本位币金额。以公允价值计量的外币非货币性项目，采用公 允价值确定日的即期汇率折算，折算后的记账本位币金额与原记账本位币金额的差额，作为公允价值变动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 计入当期损益或确认为其他综合收益。</w:t>
      </w:r>
    </w:p>
    <w:p>
      <w:pPr>
        <w:pStyle w:val="Style36"/>
        <w:keepNext/>
        <w:keepLines/>
        <w:widowControl w:val="0"/>
        <w:shd w:val="clear" w:color="auto" w:fill="auto"/>
        <w:bidi w:val="0"/>
        <w:spacing w:before="0" w:after="30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9</w:t>
      </w:r>
      <w:bookmarkEnd w:id="796"/>
      <w:r>
        <w:rPr>
          <w:color w:val="000000"/>
          <w:spacing w:val="0"/>
          <w:w w:val="100"/>
          <w:position w:val="0"/>
        </w:rPr>
        <w:t>、金融工具</w:t>
      </w:r>
      <w:bookmarkEnd w:id="794"/>
      <w:bookmarkEnd w:id="795"/>
      <w:bookmarkEnd w:id="797"/>
    </w:p>
    <w:p>
      <w:pPr>
        <w:pStyle w:val="Style33"/>
        <w:keepNext w:val="0"/>
        <w:keepLines w:val="0"/>
        <w:widowControl w:val="0"/>
        <w:shd w:val="clear" w:color="auto" w:fill="auto"/>
        <w:tabs>
          <w:tab w:pos="1008" w:val="left"/>
        </w:tabs>
        <w:bidi w:val="0"/>
        <w:spacing w:before="0" w:after="0" w:line="312" w:lineRule="exact"/>
        <w:ind w:left="0" w:right="0" w:firstLine="500"/>
        <w:jc w:val="both"/>
      </w:pPr>
      <w:bookmarkStart w:id="798" w:name="bookmark798"/>
      <w:r>
        <w:rPr>
          <w:color w:val="000000"/>
          <w:spacing w:val="0"/>
          <w:w w:val="100"/>
          <w:position w:val="0"/>
        </w:rPr>
        <w:t>（</w:t>
      </w:r>
      <w:bookmarkEnd w:id="798"/>
      <w:r>
        <w:rPr>
          <w:color w:val="000000"/>
          <w:spacing w:val="0"/>
          <w:w w:val="100"/>
          <w:position w:val="0"/>
        </w:rPr>
        <w:t>一）</w:t>
        <w:tab/>
        <w:t>金融工具的分类及重分类</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金融工具，是指形成一方的金融资产并形成其他方的金融负债或权益工具的合同。</w:t>
      </w:r>
    </w:p>
    <w:p>
      <w:pPr>
        <w:pStyle w:val="Style33"/>
        <w:keepNext w:val="0"/>
        <w:keepLines w:val="0"/>
        <w:widowControl w:val="0"/>
        <w:shd w:val="clear" w:color="auto" w:fill="auto"/>
        <w:tabs>
          <w:tab w:pos="922" w:val="left"/>
        </w:tabs>
        <w:bidi w:val="0"/>
        <w:spacing w:before="0" w:after="0" w:line="312" w:lineRule="exact"/>
        <w:ind w:left="0" w:right="0" w:firstLine="50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本公司将同时符合下列条件的金融资产分类为以摊余成本计量的金融资产：①本公司管理金融资产的业务模式是以收 取合同现金流量为目标；②该金融资产的合同条款规定，在特定日期产生的现金流量仅为对本金和以未偿付本金金额为基础 的利息的支付。</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本公司将同时符合下列条件的金融资产分类为以公允价值计量且其变动计入其他综合收益的金融资产：①本公司管理 金融资产的业务模式既以收取合同现金流量又以出售该金融资产为目标；；②该金融资产的合同条款规定，在特定日期产生 的现金流量仅为对本金和以未偿付本金金额为基础的利息的支付。</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对于非交易性权益工具投资，本公司可在初始确认时将其不可撤销地指定为以公允价值计量且其变动计入其他综合收 益的金融资产。该指定在单项投资的基础工作上作出，且相关投资从发行者的角度符合权益工具的定义。</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除分类为以摊余成本计量的金融资产和以公允价值计量且其变动计入其他综合收益的金融资产之外的金融资产，本公 司将其分类为以公允价值计量且其变动计入当期损益的金融资产。在初始确认时，如果能消除或减少会计错配，本公司可以 将金融资产不可撤销地指定为以公允价值计量且其变动计入当期损益的金融资产。</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本公司改变管理金融资产的业务模式时，将对其所受影响的相关金融资产在业务模式发生变更后的首个报告期间的第 一天进行重分类，且自重分类日起采用未来适用法进行相关会计处理，不对以前已经确认的利得、损失（包括减值损失或利 得）或利息进行追溯调整。</w:t>
      </w:r>
    </w:p>
    <w:p>
      <w:pPr>
        <w:pStyle w:val="Style33"/>
        <w:keepNext w:val="0"/>
        <w:keepLines w:val="0"/>
        <w:widowControl w:val="0"/>
        <w:shd w:val="clear" w:color="auto" w:fill="auto"/>
        <w:tabs>
          <w:tab w:pos="922" w:val="left"/>
        </w:tabs>
        <w:bidi w:val="0"/>
        <w:spacing w:before="0" w:after="0" w:line="312" w:lineRule="exact"/>
        <w:ind w:left="0" w:right="0" w:firstLine="50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33"/>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金融负债于初始确认时分类为：以摊余成本计量的金融负债。所有的金融负债不进行重分类。</w:t>
      </w:r>
    </w:p>
    <w:p>
      <w:pPr>
        <w:pStyle w:val="Style33"/>
        <w:keepNext w:val="0"/>
        <w:keepLines w:val="0"/>
        <w:widowControl w:val="0"/>
        <w:shd w:val="clear" w:color="auto" w:fill="auto"/>
        <w:tabs>
          <w:tab w:pos="1008" w:val="left"/>
        </w:tabs>
        <w:bidi w:val="0"/>
        <w:spacing w:before="0" w:after="300" w:line="311" w:lineRule="exact"/>
        <w:ind w:left="0" w:right="0" w:firstLine="500"/>
        <w:jc w:val="both"/>
      </w:pPr>
      <w:bookmarkStart w:id="801" w:name="bookmark801"/>
      <w:r>
        <w:rPr>
          <w:color w:val="000000"/>
          <w:spacing w:val="0"/>
          <w:w w:val="100"/>
          <w:position w:val="0"/>
        </w:rPr>
        <w:t>（</w:t>
      </w:r>
      <w:bookmarkEnd w:id="801"/>
      <w:r>
        <w:rPr>
          <w:color w:val="000000"/>
          <w:spacing w:val="0"/>
          <w:w w:val="100"/>
          <w:position w:val="0"/>
        </w:rPr>
        <w:t>二）</w:t>
        <w:tab/>
        <w:t>金融工具的计量</w:t>
      </w:r>
    </w:p>
    <w:p>
      <w:pPr>
        <w:pStyle w:val="Style33"/>
        <w:keepNext w:val="0"/>
        <w:keepLines w:val="0"/>
        <w:widowControl w:val="0"/>
        <w:shd w:val="clear" w:color="auto" w:fill="auto"/>
        <w:tabs>
          <w:tab w:pos="922" w:val="left"/>
        </w:tabs>
        <w:bidi w:val="0"/>
        <w:spacing w:before="0" w:after="0" w:line="310" w:lineRule="exact"/>
        <w:ind w:left="0" w:right="0" w:firstLine="50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本公司金融资产在初始确认时以公允价值计量。对于以公允价值计量且其变动计入当期损益的金融资产，相关交易费 用直接计入当期损益；对于其他类别的金融资产，相关交易费用计入初始确认金额。因销售产品或提供劳务而产生的、未包 含或不考虑重大融资成分的应收账款或应收票据，本公司按照预期有权收取的对价金额作为初始确认金额。金融工具的后续 计量取决于其分类。</w:t>
      </w:r>
    </w:p>
    <w:p>
      <w:pPr>
        <w:pStyle w:val="Style33"/>
        <w:keepNext w:val="0"/>
        <w:keepLines w:val="0"/>
        <w:widowControl w:val="0"/>
        <w:numPr>
          <w:ilvl w:val="0"/>
          <w:numId w:val="17"/>
        </w:numPr>
        <w:shd w:val="clear" w:color="auto" w:fill="auto"/>
        <w:tabs>
          <w:tab w:pos="825" w:val="left"/>
        </w:tabs>
        <w:bidi w:val="0"/>
        <w:spacing w:before="0" w:after="0" w:line="310" w:lineRule="exact"/>
        <w:ind w:left="0" w:right="0" w:firstLine="500"/>
        <w:jc w:val="both"/>
      </w:pPr>
      <w:bookmarkStart w:id="803" w:name="bookmark803"/>
      <w:bookmarkEnd w:id="803"/>
      <w:r>
        <w:rPr>
          <w:color w:val="000000"/>
          <w:spacing w:val="0"/>
          <w:w w:val="100"/>
          <w:position w:val="0"/>
        </w:rPr>
        <w:t>以摊余成本计量的金融资产。初始确认后，对于该类金融资产采用实际利率法以摊余成本计量。以摊余成本计量且 不属于任何套期关系的金融资产所产生的利得或损失，在终止确认、重分类、按照实际利率法摊销或确认减值时，计入当期 损益。</w:t>
      </w:r>
    </w:p>
    <w:p>
      <w:pPr>
        <w:pStyle w:val="Style33"/>
        <w:keepNext w:val="0"/>
        <w:keepLines w:val="0"/>
        <w:widowControl w:val="0"/>
        <w:numPr>
          <w:ilvl w:val="0"/>
          <w:numId w:val="17"/>
        </w:numPr>
        <w:shd w:val="clear" w:color="auto" w:fill="auto"/>
        <w:tabs>
          <w:tab w:pos="820" w:val="left"/>
        </w:tabs>
        <w:bidi w:val="0"/>
        <w:spacing w:before="0" w:after="0" w:line="310" w:lineRule="exact"/>
        <w:ind w:left="0" w:right="0" w:firstLine="500"/>
        <w:jc w:val="both"/>
      </w:pPr>
      <w:bookmarkStart w:id="804" w:name="bookmark804"/>
      <w:bookmarkEnd w:id="804"/>
      <w:r>
        <w:rPr>
          <w:color w:val="000000"/>
          <w:spacing w:val="0"/>
          <w:w w:val="100"/>
          <w:position w:val="0"/>
        </w:rPr>
        <w:t>以公允价值计量且其变动计入当期损益的金融资产。初始确认后，对于该类金融资产（除属于淘气关系的一部分金 融资产外），以公允价值进行后续计量，产生的利得或损失（包括利息和股利收入）计入当期损益。</w:t>
      </w:r>
    </w:p>
    <w:p>
      <w:pPr>
        <w:pStyle w:val="Style33"/>
        <w:keepNext w:val="0"/>
        <w:keepLines w:val="0"/>
        <w:widowControl w:val="0"/>
        <w:numPr>
          <w:ilvl w:val="0"/>
          <w:numId w:val="17"/>
        </w:numPr>
        <w:shd w:val="clear" w:color="auto" w:fill="auto"/>
        <w:tabs>
          <w:tab w:pos="825" w:val="left"/>
        </w:tabs>
        <w:bidi w:val="0"/>
        <w:spacing w:before="0" w:after="300" w:line="310" w:lineRule="exact"/>
        <w:ind w:left="0" w:right="0" w:firstLine="500"/>
        <w:jc w:val="both"/>
      </w:pPr>
      <w:bookmarkStart w:id="805" w:name="bookmark805"/>
      <w:bookmarkEnd w:id="805"/>
      <w:r>
        <w:rPr>
          <w:color w:val="000000"/>
          <w:spacing w:val="0"/>
          <w:w w:val="100"/>
          <w:position w:val="0"/>
        </w:rPr>
        <w:t>以公允价值计量且其变动计入其他综合收益的债务工具投资。初始确认后，对于该类金融资产以公允价值进行后续 计量。采用实际利率法计算的利息、减值损失或利得及汇兑损益计入当期损益，其他利得或损失均计入其他综合收益。终止 确认时，将之前计入其他综合收益的累计利得或损失从其他综合收益中转出，计入当期损益。</w:t>
      </w:r>
    </w:p>
    <w:p>
      <w:pPr>
        <w:pStyle w:val="Style33"/>
        <w:keepNext w:val="0"/>
        <w:keepLines w:val="0"/>
        <w:widowControl w:val="0"/>
        <w:shd w:val="clear" w:color="auto" w:fill="auto"/>
        <w:tabs>
          <w:tab w:pos="922" w:val="left"/>
        </w:tabs>
        <w:bidi w:val="0"/>
        <w:spacing w:before="0" w:after="0" w:line="310" w:lineRule="exact"/>
        <w:ind w:left="0" w:right="0" w:firstLine="50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①以公允价值计量且其变动计入当期损益的金融负债</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33"/>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3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3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②以摊余成本计量的金融负债</w:t>
      </w:r>
    </w:p>
    <w:p>
      <w:pPr>
        <w:pStyle w:val="Style33"/>
        <w:keepNext w:val="0"/>
        <w:keepLines w:val="0"/>
        <w:widowControl w:val="0"/>
        <w:shd w:val="clear" w:color="auto" w:fill="auto"/>
        <w:bidi w:val="0"/>
        <w:spacing w:before="0" w:after="80" w:line="311" w:lineRule="exact"/>
        <w:ind w:left="0" w:right="0" w:firstLine="48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分类为以摊余成本计量的金融负债，按摊余成本进行后续计量，终止确认或摊销产生的利得或损失计入当期损益。初始确认 后，对此类金融负债采用实际利率法以摊余成本计量。</w:t>
      </w:r>
    </w:p>
    <w:p>
      <w:pPr>
        <w:pStyle w:val="Style33"/>
        <w:keepNext w:val="0"/>
        <w:keepLines w:val="0"/>
        <w:widowControl w:val="0"/>
        <w:shd w:val="clear" w:color="auto" w:fill="auto"/>
        <w:bidi w:val="0"/>
        <w:spacing w:before="0" w:after="0" w:line="240" w:lineRule="auto"/>
        <w:ind w:left="0" w:right="0" w:firstLine="480"/>
        <w:jc w:val="both"/>
      </w:pPr>
      <w:bookmarkStart w:id="807" w:name="bookmark807"/>
      <w:r>
        <w:rPr>
          <w:color w:val="000000"/>
          <w:spacing w:val="0"/>
          <w:w w:val="100"/>
          <w:position w:val="0"/>
        </w:rPr>
        <w:t>（</w:t>
      </w:r>
      <w:bookmarkEnd w:id="807"/>
      <w:r>
        <w:rPr>
          <w:color w:val="000000"/>
          <w:spacing w:val="0"/>
          <w:w w:val="100"/>
          <w:position w:val="0"/>
        </w:rPr>
        <w:t>三）本公司对金融工具的公允价值的确认方法</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如存在活跃市场的金融工具，以活跃市场中的报价确定其公允价值；如不存在活跃市场的金融工具，采用估值技术确 定其公允价值。估值技术主要包括市场法、收益法和成本法。在有限情况下，如果用以确定公允价值的近期信息不足，或者 公允价值可能估计金额分布范围很广，而成本代表了该范围内对公允价值的最佳估计的，该成本可代表其在该分部范围内对 公允价值的恰当估计。本公司利用初始确认日后可获得的关于被投资方业绩和经营的所有信息，判断成本能否代表公允价值。</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金融资产和金融负债转移的确认依据和计量方法</w:t>
      </w:r>
    </w:p>
    <w:p>
      <w:pPr>
        <w:pStyle w:val="Style33"/>
        <w:keepNext w:val="0"/>
        <w:keepLines w:val="0"/>
        <w:widowControl w:val="0"/>
        <w:shd w:val="clear" w:color="auto" w:fill="auto"/>
        <w:tabs>
          <w:tab w:pos="889" w:val="left"/>
        </w:tabs>
        <w:bidi w:val="0"/>
        <w:spacing w:before="0" w:after="0" w:line="313" w:lineRule="exact"/>
        <w:ind w:left="0" w:right="0" w:firstLine="48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本公司金融资产满足下列条件之一的，予以终止确认：①收取该金融资产现金流量的合同权利终止；②该金融资产 已转移，且将金融资产所有权上几乎所有的风险和报酬转移给转入方；③该金融资产已转移，虽然企业既没有转移也没有保 留金融资产所有权上几乎所有的风险和报酬，但是放弃了对该金融资产的控制。</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本公司既没有转移也没有保留金融资产所有权上几乎所有的风险和报酬，且未放弃对该金融资产的控制的，则按照继 续涉入所转移金融资产的程度确认有关金融资产，并相应确认有关负债。</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金融资产整体转移满足终止确认条件的，将以下两项金额的差额计入当期损益：①被转移金融资产在终止确认日的账 面价值；②因转移金融资产而受到的对价，与原直接计入其他综合收益的公允价值变动累计额中对应终止确认部分的金额 （涉及转移的金融资产为分类为以公允价值计量且其变动计入其他综合收益的金融资产）之和。</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分摊的前述账面金额之差额计入当期损益：①终止确认部分在终止确认日的账面价值；②终止确认部分收到的对价，与原计 入其他综合收益的公允价值变动累计额中对应终止确认部分的金额（涉及转移的金融资产为分类为以公允价值计量且其变动 计入其他综合收益的金融资产）之和。</w:t>
      </w:r>
    </w:p>
    <w:p>
      <w:pPr>
        <w:pStyle w:val="Style33"/>
        <w:keepNext w:val="0"/>
        <w:keepLines w:val="0"/>
        <w:widowControl w:val="0"/>
        <w:shd w:val="clear" w:color="auto" w:fill="auto"/>
        <w:tabs>
          <w:tab w:pos="889" w:val="left"/>
        </w:tabs>
        <w:bidi w:val="0"/>
        <w:spacing w:before="0" w:after="0" w:line="313" w:lineRule="exact"/>
        <w:ind w:left="0" w:right="0" w:firstLine="4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金融负债（或其一部分）的现时义务已经解除的，本公司终止确认该金融负债（或该部分金融负债）。</w:t>
      </w:r>
    </w:p>
    <w:p>
      <w:pPr>
        <w:pStyle w:val="Style33"/>
        <w:keepNext w:val="0"/>
        <w:keepLines w:val="0"/>
        <w:widowControl w:val="0"/>
        <w:shd w:val="clear" w:color="auto" w:fill="auto"/>
        <w:bidi w:val="0"/>
        <w:spacing w:before="0" w:after="700" w:line="313" w:lineRule="exact"/>
        <w:ind w:left="0" w:right="0" w:firstLine="48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6"/>
        <w:keepNext/>
        <w:keepLines/>
        <w:widowControl w:val="0"/>
        <w:shd w:val="clear" w:color="auto" w:fill="auto"/>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810"/>
      <w:bookmarkEnd w:id="811"/>
      <w:bookmarkEnd w:id="813"/>
    </w:p>
    <w:p>
      <w:pPr>
        <w:pStyle w:val="Style33"/>
        <w:keepNext w:val="0"/>
        <w:keepLines w:val="0"/>
        <w:widowControl w:val="0"/>
        <w:shd w:val="clear" w:color="auto" w:fill="auto"/>
        <w:bidi w:val="0"/>
        <w:spacing w:before="0" w:after="0" w:line="315" w:lineRule="exact"/>
        <w:ind w:left="0" w:right="0" w:firstLine="480"/>
        <w:jc w:val="both"/>
      </w:pPr>
      <w:bookmarkStart w:id="814" w:name="bookmark814"/>
      <w:r>
        <w:rPr>
          <w:color w:val="000000"/>
          <w:spacing w:val="0"/>
          <w:w w:val="100"/>
          <w:position w:val="0"/>
        </w:rPr>
        <w:t>（</w:t>
      </w:r>
      <w:bookmarkEnd w:id="814"/>
      <w:r>
        <w:rPr>
          <w:color w:val="000000"/>
          <w:spacing w:val="0"/>
          <w:w w:val="100"/>
          <w:position w:val="0"/>
        </w:rPr>
        <w:t>一）预期信用损失的确定方法</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本公司以预期信用损失为基础，对以摊余成本计量的金融资产（含应收款项）、分类为以公允价值计量且其变动计入 其他综合收益的金融资产（含应收款项融资）、租赁应收款进行减值会计处理并确认损失准备。</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本公司在每个资产负债表日评估相关金融工具的信用风险自初始确认后是否显著增加，将金融工具发生信用减值的过 程分为三个阶段，对于不同阶段的金融工具减值采用不同的会计处理方法：</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第一阶段，金融工具的信用风险自初始确认后未显著增加的，本公司按照该金融工具未来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 损失准备，并按照其账面余额（即未扣除减值准备）和实际利率计算利息收入；</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 xml:space="preserve">第二阶段，金融工具的信用风险自初始确认后已显著增加但未发生信用减值的，本公司按照该金融工具整个存续期的 </w:t>
      </w:r>
      <w:r>
        <w:rPr>
          <w:color w:val="000000"/>
          <w:spacing w:val="0"/>
          <w:w w:val="100"/>
          <w:position w:val="0"/>
        </w:rPr>
        <w:t>预期信用损失计量损失准备，并按照其账面余额和实际利率计算利息收入；</w:t>
      </w:r>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第三阶段，初始确认后发生信用减值的，本公司按照该金融工具整个存续期的预期信用损失计量损失准备，并按照其 摊余成本（账面余额已计提减值准备）和实际利率计算利息收入。</w:t>
      </w:r>
    </w:p>
    <w:p>
      <w:pPr>
        <w:pStyle w:val="Style33"/>
        <w:keepNext w:val="0"/>
        <w:keepLines w:val="0"/>
        <w:widowControl w:val="0"/>
        <w:shd w:val="clear" w:color="auto" w:fill="auto"/>
        <w:tabs>
          <w:tab w:pos="945" w:val="left"/>
        </w:tabs>
        <w:bidi w:val="0"/>
        <w:spacing w:before="0" w:after="0" w:line="307" w:lineRule="exact"/>
        <w:ind w:left="0" w:right="0" w:firstLine="50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较低信用风险的金融工具计量损失准备的方法</w:t>
      </w:r>
    </w:p>
    <w:p>
      <w:pPr>
        <w:pStyle w:val="Style33"/>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对于在资产负债表日具有较低信用风险的金融工具，本公司可以不用与其初始确认时的信用分险进行比较，而直接做 出该工具的信用风险自初始确认后未显著增加的假定。</w:t>
      </w:r>
    </w:p>
    <w:p>
      <w:pPr>
        <w:pStyle w:val="Style33"/>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如果金融工具的违约风险较低，债务人在短期内履行其合同现金流量义务的能力很强，并且即便较长时期内经济形势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33"/>
        <w:keepNext w:val="0"/>
        <w:keepLines w:val="0"/>
        <w:widowControl w:val="0"/>
        <w:shd w:val="clear" w:color="auto" w:fill="auto"/>
        <w:tabs>
          <w:tab w:pos="945" w:val="left"/>
        </w:tabs>
        <w:bidi w:val="0"/>
        <w:spacing w:before="0" w:after="0" w:line="322" w:lineRule="exact"/>
        <w:ind w:left="0" w:right="0" w:firstLine="50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应收款项、合同资产、租赁应收款计量损失准备的方法</w:t>
      </w:r>
    </w:p>
    <w:p>
      <w:pPr>
        <w:pStyle w:val="Style33"/>
        <w:keepNext w:val="0"/>
        <w:keepLines w:val="0"/>
        <w:widowControl w:val="0"/>
        <w:numPr>
          <w:ilvl w:val="0"/>
          <w:numId w:val="19"/>
        </w:numPr>
        <w:shd w:val="clear" w:color="auto" w:fill="auto"/>
        <w:tabs>
          <w:tab w:pos="848" w:val="left"/>
        </w:tabs>
        <w:bidi w:val="0"/>
        <w:spacing w:before="0" w:after="0" w:line="322" w:lineRule="exact"/>
        <w:ind w:left="0" w:right="0" w:firstLine="500"/>
        <w:jc w:val="both"/>
      </w:pPr>
      <w:bookmarkStart w:id="817" w:name="bookmark817"/>
      <w:bookmarkEnd w:id="817"/>
      <w:r>
        <w:rPr>
          <w:color w:val="000000"/>
          <w:spacing w:val="0"/>
          <w:w w:val="100"/>
          <w:position w:val="0"/>
        </w:rPr>
        <w:t>不包含重大融资成分的应收款项。对于由《企业会计准则第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号——收入》规范的交易形成的不含重大融资成分的 应收款项，本公司采用简化方法，即始终按整个存续期预期信用损失计量损失准备。</w:t>
      </w:r>
    </w:p>
    <w:p>
      <w:pPr>
        <w:pStyle w:val="Style33"/>
        <w:keepNext w:val="0"/>
        <w:keepLines w:val="0"/>
        <w:widowControl w:val="0"/>
        <w:numPr>
          <w:ilvl w:val="0"/>
          <w:numId w:val="19"/>
        </w:numPr>
        <w:shd w:val="clear" w:color="auto" w:fill="auto"/>
        <w:tabs>
          <w:tab w:pos="873" w:val="left"/>
        </w:tabs>
        <w:bidi w:val="0"/>
        <w:spacing w:before="0" w:after="0" w:line="322" w:lineRule="exact"/>
        <w:ind w:left="0" w:right="0" w:firstLine="500"/>
        <w:jc w:val="both"/>
      </w:pPr>
      <w:bookmarkStart w:id="818" w:name="bookmark818"/>
      <w:bookmarkEnd w:id="818"/>
      <w:r>
        <w:rPr>
          <w:color w:val="000000"/>
          <w:spacing w:val="0"/>
          <w:w w:val="100"/>
          <w:position w:val="0"/>
        </w:rPr>
        <w:t>包含重大融资成分的应收款项和租赁应收款。</w:t>
      </w:r>
    </w:p>
    <w:p>
      <w:pPr>
        <w:pStyle w:val="Style33"/>
        <w:keepNext w:val="0"/>
        <w:keepLines w:val="0"/>
        <w:widowControl w:val="0"/>
        <w:shd w:val="clear" w:color="auto" w:fill="auto"/>
        <w:bidi w:val="0"/>
        <w:spacing w:before="0" w:after="0" w:line="288" w:lineRule="exact"/>
        <w:ind w:left="0" w:right="0" w:firstLine="500"/>
        <w:jc w:val="both"/>
      </w:pPr>
      <w:r>
        <w:rPr>
          <w:color w:val="000000"/>
          <w:spacing w:val="0"/>
          <w:w w:val="100"/>
          <w:position w:val="0"/>
        </w:rPr>
        <w:t>对于包含重大融资成分的应收款项和《企业会计准则第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号——租赁》规范的租赁应收款，本公司按照一般方法，即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模型计量损失准备。</w:t>
      </w:r>
    </w:p>
    <w:p>
      <w:pPr>
        <w:pStyle w:val="Style33"/>
        <w:keepNext w:val="0"/>
        <w:keepLines w:val="0"/>
        <w:widowControl w:val="0"/>
        <w:shd w:val="clear" w:color="auto" w:fill="auto"/>
        <w:tabs>
          <w:tab w:pos="945" w:val="left"/>
        </w:tabs>
        <w:bidi w:val="0"/>
        <w:spacing w:before="0" w:after="0" w:line="313" w:lineRule="exact"/>
        <w:ind w:left="0" w:right="0" w:firstLine="50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其他金融资产计量损失准备的方法</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对于除上述以外的金融资产，如：债权投资、其他债权投资、其他应收款、除租赁应收款以外的长期应收款等，本公 司按照一般方法，即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模型计量损失准备。</w:t>
      </w:r>
    </w:p>
    <w:p>
      <w:pPr>
        <w:pStyle w:val="Style33"/>
        <w:keepNext w:val="0"/>
        <w:keepLines w:val="0"/>
        <w:widowControl w:val="0"/>
        <w:shd w:val="clear" w:color="auto" w:fill="auto"/>
        <w:bidi w:val="0"/>
        <w:spacing w:before="0" w:after="0" w:line="313" w:lineRule="exact"/>
        <w:ind w:left="0" w:right="0" w:firstLine="500"/>
        <w:jc w:val="both"/>
      </w:pPr>
      <w:bookmarkStart w:id="820" w:name="bookmark820"/>
      <w:r>
        <w:rPr>
          <w:color w:val="000000"/>
          <w:spacing w:val="0"/>
          <w:w w:val="100"/>
          <w:position w:val="0"/>
        </w:rPr>
        <w:t>（</w:t>
      </w:r>
      <w:bookmarkEnd w:id="820"/>
      <w:r>
        <w:rPr>
          <w:color w:val="000000"/>
          <w:spacing w:val="0"/>
          <w:w w:val="100"/>
          <w:position w:val="0"/>
        </w:rPr>
        <w:t>二）预期信用损失的会计处理方法</w:t>
      </w:r>
    </w:p>
    <w:p>
      <w:pPr>
        <w:pStyle w:val="Style33"/>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失准备的增加或转回金额，应当作为减值损失或利得计入当期损益，并根据金融工具的种类，抵减该金融资产在资产负债表 中列示的账面价值或计入预计负债（贷款承诺或财务担保合同）或计入其他综合收益（以公允价值计量且其变动计入其他综 合收益的债权投资）。</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其他应收款</w:t>
      </w:r>
      <w:bookmarkEnd w:id="821"/>
      <w:bookmarkEnd w:id="822"/>
      <w:bookmarkEnd w:id="824"/>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其他应收款的预期信用损失的确定方法及会计处理方法 请参见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、应收账款。</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25"/>
      <w:bookmarkEnd w:id="826"/>
      <w:bookmarkEnd w:id="828"/>
    </w:p>
    <w:p>
      <w:pPr>
        <w:pStyle w:val="Style33"/>
        <w:keepNext w:val="0"/>
        <w:keepLines w:val="0"/>
        <w:widowControl w:val="0"/>
        <w:shd w:val="clear" w:color="auto" w:fill="auto"/>
        <w:tabs>
          <w:tab w:pos="1031" w:val="left"/>
        </w:tabs>
        <w:bidi w:val="0"/>
        <w:spacing w:before="0" w:after="0" w:line="311" w:lineRule="exact"/>
        <w:ind w:left="0" w:right="0" w:firstLine="500"/>
        <w:jc w:val="left"/>
      </w:pPr>
      <w:bookmarkStart w:id="829" w:name="bookmark829"/>
      <w:r>
        <w:rPr>
          <w:color w:val="000000"/>
          <w:spacing w:val="0"/>
          <w:w w:val="100"/>
          <w:position w:val="0"/>
        </w:rPr>
        <w:t>（</w:t>
      </w:r>
      <w:bookmarkEnd w:id="829"/>
      <w:r>
        <w:rPr>
          <w:color w:val="000000"/>
          <w:spacing w:val="0"/>
          <w:w w:val="100"/>
          <w:position w:val="0"/>
        </w:rPr>
        <w:t>一）</w:t>
        <w:tab/>
        <w:t>存货的分类</w:t>
      </w:r>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存货主要包括原材料、库存商品和低值易耗品。</w:t>
      </w:r>
    </w:p>
    <w:p>
      <w:pPr>
        <w:pStyle w:val="Style33"/>
        <w:keepNext w:val="0"/>
        <w:keepLines w:val="0"/>
        <w:widowControl w:val="0"/>
        <w:shd w:val="clear" w:color="auto" w:fill="auto"/>
        <w:tabs>
          <w:tab w:pos="1031" w:val="left"/>
        </w:tabs>
        <w:bidi w:val="0"/>
        <w:spacing w:before="0" w:after="0" w:line="311" w:lineRule="exact"/>
        <w:ind w:left="0" w:right="0" w:firstLine="500"/>
        <w:jc w:val="both"/>
      </w:pPr>
      <w:bookmarkStart w:id="830" w:name="bookmark830"/>
      <w:r>
        <w:rPr>
          <w:color w:val="000000"/>
          <w:spacing w:val="0"/>
          <w:w w:val="100"/>
          <w:position w:val="0"/>
        </w:rPr>
        <w:t>（</w:t>
      </w:r>
      <w:bookmarkEnd w:id="830"/>
      <w:r>
        <w:rPr>
          <w:color w:val="000000"/>
          <w:spacing w:val="0"/>
          <w:w w:val="100"/>
          <w:position w:val="0"/>
        </w:rPr>
        <w:t>二）</w:t>
        <w:tab/>
        <w:t>存货取得和发出的计价方法</w:t>
      </w:r>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存货取得时按实际成本计价。存货成本包括采购成本和其他成本。原材料、产成品发出采用加权平均法核算。包装物、 低值易耗品等在领用时按一次转销法进行摊销。</w:t>
      </w:r>
    </w:p>
    <w:p>
      <w:pPr>
        <w:pStyle w:val="Style33"/>
        <w:keepNext w:val="0"/>
        <w:keepLines w:val="0"/>
        <w:widowControl w:val="0"/>
        <w:shd w:val="clear" w:color="auto" w:fill="auto"/>
        <w:tabs>
          <w:tab w:pos="1031" w:val="left"/>
        </w:tabs>
        <w:bidi w:val="0"/>
        <w:spacing w:before="0" w:after="0" w:line="311" w:lineRule="exact"/>
        <w:ind w:left="0" w:right="0" w:firstLine="500"/>
        <w:jc w:val="both"/>
      </w:pPr>
      <w:bookmarkStart w:id="831" w:name="bookmark831"/>
      <w:r>
        <w:rPr>
          <w:color w:val="000000"/>
          <w:spacing w:val="0"/>
          <w:w w:val="100"/>
          <w:position w:val="0"/>
        </w:rPr>
        <w:t>（</w:t>
      </w:r>
      <w:bookmarkEnd w:id="831"/>
      <w:r>
        <w:rPr>
          <w:color w:val="000000"/>
          <w:spacing w:val="0"/>
          <w:w w:val="100"/>
          <w:position w:val="0"/>
        </w:rPr>
        <w:t>三）</w:t>
        <w:tab/>
        <w:t>存货跌价准备计提方法</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可变现净值是指在日常活动中，存货的估计售价减去估计的销售费用以及相关税费后的金额。在确定存货的可变现净 值时，以取得的确凿证据为基础，同时考虑持有存货的目的以及资产负债表日后事项的影响。</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33"/>
        <w:keepNext w:val="0"/>
        <w:keepLines w:val="0"/>
        <w:widowControl w:val="0"/>
        <w:shd w:val="clear" w:color="auto" w:fill="auto"/>
        <w:bidi w:val="0"/>
        <w:spacing w:before="0" w:after="140" w:line="311" w:lineRule="exact"/>
        <w:ind w:left="0" w:right="0" w:firstLine="50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3"/>
        <w:keepNext w:val="0"/>
        <w:keepLines w:val="0"/>
        <w:widowControl w:val="0"/>
        <w:shd w:val="clear" w:color="auto" w:fill="auto"/>
        <w:bidi w:val="0"/>
        <w:spacing w:before="0" w:after="400" w:line="313" w:lineRule="exact"/>
        <w:ind w:left="0" w:right="0" w:firstLine="500"/>
        <w:jc w:val="left"/>
      </w:pPr>
      <w:bookmarkStart w:id="832" w:name="bookmark832"/>
      <w:r>
        <w:rPr>
          <w:color w:val="000000"/>
          <w:spacing w:val="0"/>
          <w:w w:val="100"/>
          <w:position w:val="0"/>
        </w:rPr>
        <w:t>（</w:t>
      </w:r>
      <w:bookmarkEnd w:id="832"/>
      <w:r>
        <w:rPr>
          <w:color w:val="000000"/>
          <w:spacing w:val="0"/>
          <w:w w:val="100"/>
          <w:position w:val="0"/>
        </w:rPr>
        <w:t>四）存货的盘存制度为永续盘存制。</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33"/>
      <w:bookmarkEnd w:id="834"/>
      <w:bookmarkEnd w:id="836"/>
    </w:p>
    <w:p>
      <w:pPr>
        <w:pStyle w:val="Style33"/>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合同资产，是指本公司已向客户转让商品而有权收取对价的权利，且该权利取决于时间流逝之外的其他因素。</w:t>
      </w:r>
    </w:p>
    <w:p>
      <w:pPr>
        <w:pStyle w:val="Style33"/>
        <w:keepNext w:val="0"/>
        <w:keepLines w:val="0"/>
        <w:widowControl w:val="0"/>
        <w:shd w:val="clear" w:color="auto" w:fill="auto"/>
        <w:bidi w:val="0"/>
        <w:spacing w:before="0" w:after="400" w:line="317" w:lineRule="exact"/>
        <w:ind w:left="0" w:right="0" w:firstLine="500"/>
        <w:jc w:val="both"/>
      </w:pPr>
      <w:r>
        <w:rPr>
          <w:color w:val="000000"/>
          <w:spacing w:val="0"/>
          <w:w w:val="100"/>
          <w:position w:val="0"/>
        </w:rPr>
        <w:t>合同资产的减值准备计提参照金融工具预期信用损失法。对于不包含重大融资成分的合同资产，本公司采用简化方法 计量损失准备。对于包含重大融资成分的合同资产，本公司按照一般方法计量损失准备。</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37"/>
      <w:bookmarkEnd w:id="838"/>
      <w:bookmarkEnd w:id="840"/>
    </w:p>
    <w:p>
      <w:pPr>
        <w:pStyle w:val="Style33"/>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本公司的合同成本包括为取得合同发生的增量成本及合同履约成本。为取得合同发生的增量成本（合同取得成本）是 指不取得合同就不会发生的成本。该成本预期能够收回的，本公司将其作为合同取得成本确认为一项资产。</w:t>
      </w:r>
    </w:p>
    <w:p>
      <w:pPr>
        <w:pStyle w:val="Style33"/>
        <w:keepNext w:val="0"/>
        <w:keepLines w:val="0"/>
        <w:widowControl w:val="0"/>
        <w:shd w:val="clear" w:color="auto" w:fill="auto"/>
        <w:bidi w:val="0"/>
        <w:spacing w:before="0" w:after="0" w:line="313" w:lineRule="exact"/>
        <w:ind w:left="0" w:right="0" w:firstLine="400"/>
        <w:jc w:val="both"/>
        <w:rPr>
          <w:sz w:val="18"/>
          <w:szCs w:val="18"/>
        </w:rPr>
      </w:pPr>
      <w:r>
        <w:rPr>
          <w:b/>
          <w:bCs/>
          <w:color w:val="000000"/>
          <w:spacing w:val="0"/>
          <w:w w:val="100"/>
          <w:position w:val="0"/>
          <w:sz w:val="18"/>
          <w:szCs w:val="18"/>
        </w:rPr>
        <w:t>本公司为履行合同发生的成本，不属于存货等其他企业会计准则规范范围且同时满足下列条件的，作为合同履约 成本确认为一项资产：</w:t>
      </w:r>
    </w:p>
    <w:p>
      <w:pPr>
        <w:pStyle w:val="Style33"/>
        <w:keepNext w:val="0"/>
        <w:keepLines w:val="0"/>
        <w:widowControl w:val="0"/>
        <w:shd w:val="clear" w:color="auto" w:fill="auto"/>
        <w:tabs>
          <w:tab w:pos="1107" w:val="left"/>
        </w:tabs>
        <w:bidi w:val="0"/>
        <w:spacing w:before="0" w:after="0" w:line="313" w:lineRule="exact"/>
        <w:ind w:left="0" w:right="0" w:firstLine="500"/>
        <w:jc w:val="both"/>
      </w:pPr>
      <w:bookmarkStart w:id="841" w:name="bookmark841"/>
      <w:r>
        <w:rPr>
          <w:color w:val="000000"/>
          <w:spacing w:val="0"/>
          <w:w w:val="100"/>
          <w:position w:val="0"/>
        </w:rPr>
        <w:t>（</w:t>
      </w:r>
      <w:bookmarkEnd w:id="841"/>
      <w:r>
        <w:rPr>
          <w:color w:val="000000"/>
          <w:spacing w:val="0"/>
          <w:w w:val="100"/>
          <w:position w:val="0"/>
        </w:rPr>
        <w:t>一）</w:t>
        <w:tab/>
        <w:t>该成本与一份当前或预期取得的合同直接相关，包括直接人工、直接材料、制造费用（或类似费用）、明确由 用户承担的成本以及仅因该合同而发生的其他成本；</w:t>
      </w:r>
    </w:p>
    <w:p>
      <w:pPr>
        <w:pStyle w:val="Style33"/>
        <w:keepNext w:val="0"/>
        <w:keepLines w:val="0"/>
        <w:widowControl w:val="0"/>
        <w:shd w:val="clear" w:color="auto" w:fill="auto"/>
        <w:tabs>
          <w:tab w:pos="1031" w:val="left"/>
        </w:tabs>
        <w:bidi w:val="0"/>
        <w:spacing w:before="0" w:after="0" w:line="313" w:lineRule="exact"/>
        <w:ind w:left="0" w:right="0" w:firstLine="500"/>
        <w:jc w:val="both"/>
      </w:pPr>
      <w:bookmarkStart w:id="842" w:name="bookmark842"/>
      <w:r>
        <w:rPr>
          <w:color w:val="000000"/>
          <w:spacing w:val="0"/>
          <w:w w:val="100"/>
          <w:position w:val="0"/>
        </w:rPr>
        <w:t>（</w:t>
      </w:r>
      <w:bookmarkEnd w:id="842"/>
      <w:r>
        <w:rPr>
          <w:color w:val="000000"/>
          <w:spacing w:val="0"/>
          <w:w w:val="100"/>
          <w:position w:val="0"/>
        </w:rPr>
        <w:t>二）</w:t>
        <w:tab/>
        <w:t>该成本增加了本公司未来用于履行履约义务的资源；</w:t>
      </w:r>
    </w:p>
    <w:p>
      <w:pPr>
        <w:pStyle w:val="Style33"/>
        <w:keepNext w:val="0"/>
        <w:keepLines w:val="0"/>
        <w:widowControl w:val="0"/>
        <w:shd w:val="clear" w:color="auto" w:fill="auto"/>
        <w:tabs>
          <w:tab w:pos="1031" w:val="left"/>
        </w:tabs>
        <w:bidi w:val="0"/>
        <w:spacing w:before="0" w:after="0" w:line="313" w:lineRule="exact"/>
        <w:ind w:left="0" w:right="0" w:firstLine="500"/>
        <w:jc w:val="both"/>
      </w:pPr>
      <w:bookmarkStart w:id="843" w:name="bookmark843"/>
      <w:r>
        <w:rPr>
          <w:color w:val="000000"/>
          <w:spacing w:val="0"/>
          <w:w w:val="100"/>
          <w:position w:val="0"/>
        </w:rPr>
        <w:t>（</w:t>
      </w:r>
      <w:bookmarkEnd w:id="843"/>
      <w:r>
        <w:rPr>
          <w:color w:val="000000"/>
          <w:spacing w:val="0"/>
          <w:w w:val="100"/>
          <w:position w:val="0"/>
        </w:rPr>
        <w:t>三）</w:t>
        <w:tab/>
        <w:t>该成本预期能够收回。</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本公司将确认为资产的合同履约成本，初始确认时摊销期限不超过一年或一个正常营业周期的，在资产负债表计入存 货项目；初始确认时摊销期限在一年或一个正常营业周期以上的，在资产负债表中计入其他非流动资产项目。</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本公司将确认为资产的合同取得成本，初始确认时摊销期限不超过一年或一个正常营业周期的，在资产负债表计入其 他流动资产项目；初始确认时摊销期限在一年或一个正常营业周期以上的，在资产负债表中计入其他非流动资产项目。</w:t>
      </w:r>
    </w:p>
    <w:p>
      <w:pPr>
        <w:pStyle w:val="Style33"/>
        <w:keepNext w:val="0"/>
        <w:keepLines w:val="0"/>
        <w:widowControl w:val="0"/>
        <w:shd w:val="clear" w:color="auto" w:fill="auto"/>
        <w:bidi w:val="0"/>
        <w:spacing w:before="0" w:after="640" w:line="313" w:lineRule="exact"/>
        <w:ind w:left="0" w:right="0" w:firstLine="500"/>
        <w:jc w:val="both"/>
      </w:pPr>
      <w:r>
        <w:rPr>
          <w:color w:val="000000"/>
          <w:spacing w:val="0"/>
          <w:w w:val="100"/>
          <w:position w:val="0"/>
        </w:rPr>
        <w:t xml:space="preserve">本公司对合同取得成本、合同履约成本确认的资产（以下简称与合同成本有关的资产）采用与该资产相关的商品收入 确认相同的基础进行摊销，计入当期损益。取得合同的增量成本形成的资产的摊销年限不超过一年的，在发生时计入当期损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0" w:line="317" w:lineRule="exact"/>
        <w:ind w:left="0" w:right="0" w:firstLine="400"/>
        <w:jc w:val="both"/>
        <w:rPr>
          <w:sz w:val="18"/>
          <w:szCs w:val="18"/>
        </w:rPr>
      </w:pPr>
      <w:r>
        <w:rPr>
          <w:b/>
          <w:bCs/>
          <w:color w:val="000000"/>
          <w:spacing w:val="0"/>
          <w:w w:val="100"/>
          <w:position w:val="0"/>
          <w:sz w:val="18"/>
          <w:szCs w:val="18"/>
        </w:rPr>
        <w:t>与合同成本有关的资产的账面价值高于下列两项的差额时，本公司将超出部分计提减值准备并确认为资产减值损 失：</w:t>
      </w:r>
    </w:p>
    <w:p>
      <w:pPr>
        <w:pStyle w:val="Style33"/>
        <w:keepNext w:val="0"/>
        <w:keepLines w:val="0"/>
        <w:widowControl w:val="0"/>
        <w:shd w:val="clear" w:color="auto" w:fill="auto"/>
        <w:tabs>
          <w:tab w:pos="1031" w:val="left"/>
        </w:tabs>
        <w:bidi w:val="0"/>
        <w:spacing w:before="0" w:after="0" w:line="312" w:lineRule="exact"/>
        <w:ind w:left="0" w:right="0" w:firstLine="500"/>
        <w:jc w:val="left"/>
      </w:pPr>
      <w:bookmarkStart w:id="844" w:name="bookmark844"/>
      <w:r>
        <w:rPr>
          <w:color w:val="000000"/>
          <w:spacing w:val="0"/>
          <w:w w:val="100"/>
          <w:position w:val="0"/>
        </w:rPr>
        <w:t>（</w:t>
      </w:r>
      <w:bookmarkEnd w:id="844"/>
      <w:r>
        <w:rPr>
          <w:color w:val="000000"/>
          <w:spacing w:val="0"/>
          <w:w w:val="100"/>
          <w:position w:val="0"/>
        </w:rPr>
        <w:t>一）</w:t>
        <w:tab/>
        <w:t>因转让与该资产相关的商品预期能够取得的剩余对价；</w:t>
      </w:r>
    </w:p>
    <w:p>
      <w:pPr>
        <w:pStyle w:val="Style33"/>
        <w:keepNext w:val="0"/>
        <w:keepLines w:val="0"/>
        <w:widowControl w:val="0"/>
        <w:shd w:val="clear" w:color="auto" w:fill="auto"/>
        <w:tabs>
          <w:tab w:pos="1031" w:val="left"/>
        </w:tabs>
        <w:bidi w:val="0"/>
        <w:spacing w:before="0" w:after="0" w:line="312" w:lineRule="exact"/>
        <w:ind w:left="0" w:right="0" w:firstLine="500"/>
        <w:jc w:val="left"/>
      </w:pPr>
      <w:bookmarkStart w:id="845" w:name="bookmark845"/>
      <w:r>
        <w:rPr>
          <w:color w:val="000000"/>
          <w:spacing w:val="0"/>
          <w:w w:val="100"/>
          <w:position w:val="0"/>
        </w:rPr>
        <w:t>（</w:t>
      </w:r>
      <w:bookmarkEnd w:id="845"/>
      <w:r>
        <w:rPr>
          <w:color w:val="000000"/>
          <w:spacing w:val="0"/>
          <w:w w:val="100"/>
          <w:position w:val="0"/>
        </w:rPr>
        <w:t>二）</w:t>
        <w:tab/>
        <w:t>为转让该相关商品估计将要发生的成本。</w:t>
      </w:r>
    </w:p>
    <w:p>
      <w:pPr>
        <w:pStyle w:val="Style33"/>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以前期间减值的因素之后发生变化，使得前述两项差额高于该资产账面价值的，应当转回原已计提的资产减值准备， 并计入当期损益，但转回后的资产账面价值不超过假定不计提减值准备情况的下该资产在转回日的账面价值。</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5</w:t>
      </w:r>
      <w:r>
        <w:rPr>
          <w:color w:val="000000"/>
          <w:spacing w:val="0"/>
          <w:w w:val="100"/>
          <w:position w:val="0"/>
        </w:rPr>
        <w:t>、</w:t>
        <w:tab/>
        <w:t>长期应收款</w:t>
      </w:r>
      <w:bookmarkEnd w:id="846"/>
      <w:bookmarkEnd w:id="847"/>
      <w:bookmarkEnd w:id="849"/>
    </w:p>
    <w:p>
      <w:pPr>
        <w:pStyle w:val="Style3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请参见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、应收账款。</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w:t>
      </w:r>
      <w:bookmarkEnd w:id="850"/>
      <w:bookmarkEnd w:id="851"/>
      <w:bookmarkEnd w:id="853"/>
    </w:p>
    <w:p>
      <w:pPr>
        <w:pStyle w:val="Style33"/>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（一）投资成本的确定</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对于同一控制下的企业合并取得的长期股权投资，在合并日按照被合并方所有者权益在最终控制方合并财务报表中的 账面价值的份额作为长期股权投资的初始投资成本。长期股权投资初始投资成本与支付的现金、转让的非现金资产以及所承 担债务账面价值之间的差额，调整资本公积；资本公积不足冲减的，调整留存收益。以发行权益性证券作为合并对价的，在 </w:t>
      </w:r>
      <w:r>
        <w:rPr>
          <w:color w:val="000000"/>
          <w:spacing w:val="0"/>
          <w:w w:val="100"/>
          <w:position w:val="0"/>
        </w:rPr>
        <w:t>合并日按照被合并方所有者权益在最终控制方合并财务报表中的账面价值的份额作为长期股权投资的初始投资成本,按照发 行股份的面值总额作为股本，长期股权投资初始投资成本与所发行股份面值总额之间的差额，调整资本公积；资本公积不足 冲减的，调整留存收益。</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 上新增投资成本之和。</w:t>
      </w:r>
    </w:p>
    <w:p>
      <w:pPr>
        <w:pStyle w:val="Style33"/>
        <w:keepNext w:val="0"/>
        <w:keepLines w:val="0"/>
        <w:widowControl w:val="0"/>
        <w:shd w:val="clear" w:color="auto" w:fill="auto"/>
        <w:tabs>
          <w:tab w:pos="992" w:val="left"/>
        </w:tabs>
        <w:bidi w:val="0"/>
        <w:spacing w:before="0" w:after="0" w:line="312" w:lineRule="exact"/>
        <w:ind w:left="0" w:right="0" w:firstLine="500"/>
        <w:jc w:val="both"/>
      </w:pPr>
      <w:bookmarkStart w:id="854" w:name="bookmark854"/>
      <w:r>
        <w:rPr>
          <w:color w:val="000000"/>
          <w:spacing w:val="0"/>
          <w:w w:val="100"/>
          <w:position w:val="0"/>
        </w:rPr>
        <w:t>（</w:t>
      </w:r>
      <w:bookmarkEnd w:id="854"/>
      <w:r>
        <w:rPr>
          <w:color w:val="000000"/>
          <w:spacing w:val="0"/>
          <w:w w:val="100"/>
          <w:position w:val="0"/>
        </w:rPr>
        <w:t>二）</w:t>
        <w:tab/>
        <w:t>后续计量及损益确认方法</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本公司能够对被投资单位实施控制的长期股权投资采用成本法核算，对联营企业和合营企业的长期股权投资采用权益 法核算。本公司对联营企业的权益性投资，其中一部分通过风险投资机构、共同基金、信托公司或包括连险基金在内的类似 主体间接持有的，无论以上主体是否对这部分投资具有重大影响，本公司按照《企业会计准则第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 的有关规定处理，并对其余部分采用权益法核算。</w:t>
      </w:r>
    </w:p>
    <w:p>
      <w:pPr>
        <w:pStyle w:val="Style33"/>
        <w:keepNext w:val="0"/>
        <w:keepLines w:val="0"/>
        <w:widowControl w:val="0"/>
        <w:shd w:val="clear" w:color="auto" w:fill="auto"/>
        <w:tabs>
          <w:tab w:pos="992" w:val="left"/>
        </w:tabs>
        <w:bidi w:val="0"/>
        <w:spacing w:before="0" w:after="0" w:line="312" w:lineRule="exact"/>
        <w:ind w:left="0" w:right="0" w:firstLine="500"/>
        <w:jc w:val="both"/>
      </w:pPr>
      <w:bookmarkStart w:id="855" w:name="bookmark855"/>
      <w:r>
        <w:rPr>
          <w:color w:val="000000"/>
          <w:spacing w:val="0"/>
          <w:w w:val="100"/>
          <w:position w:val="0"/>
        </w:rPr>
        <w:t>（</w:t>
      </w:r>
      <w:bookmarkEnd w:id="855"/>
      <w:r>
        <w:rPr>
          <w:color w:val="000000"/>
          <w:spacing w:val="0"/>
          <w:w w:val="100"/>
          <w:position w:val="0"/>
        </w:rPr>
        <w:t>三）</w:t>
        <w:tab/>
        <w:t>确定对被投资单位具有共同控制、重大影响的依据</w:t>
      </w:r>
    </w:p>
    <w:p>
      <w:pPr>
        <w:pStyle w:val="Style33"/>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对被投资单位具有控制，是指对某项安排的回报产生重大影响的活动必须经过分享控制权的参与方一致同意后才能决 策，包括商品或劳务的销售和购买、金融资产的管理、资产的购买和处置、研究与开发活动以及融资活动等；对被投资单位 具有重大影响，是指当持有被投资单位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,但符合下列条件之 一时，具有重大影响；在被投资单位派出管理人员；被投资单位依赖投资公司的技术或技术资料；与被投资单位之间发生重 要交易。</w:t>
      </w:r>
    </w:p>
    <w:p>
      <w:pPr>
        <w:pStyle w:val="Style36"/>
        <w:keepNext/>
        <w:keepLines/>
        <w:widowControl w:val="0"/>
        <w:shd w:val="clear" w:color="auto" w:fill="auto"/>
        <w:tabs>
          <w:tab w:pos="435" w:val="left"/>
        </w:tabs>
        <w:bidi w:val="0"/>
        <w:spacing w:before="0" w:after="26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7</w:t>
      </w:r>
      <w:r>
        <w:rPr>
          <w:color w:val="000000"/>
          <w:spacing w:val="0"/>
          <w:w w:val="100"/>
          <w:position w:val="0"/>
        </w:rPr>
        <w:t>、</w:t>
        <w:tab/>
        <w:t>投资性房地产</w:t>
      </w:r>
      <w:bookmarkEnd w:id="856"/>
      <w:bookmarkEnd w:id="857"/>
      <w:bookmarkEnd w:id="859"/>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成本法计量</w:t>
      </w:r>
    </w:p>
    <w:p>
      <w:pPr>
        <w:pStyle w:val="Style33"/>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折旧或摊销方法</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本公司投资性房地产的类别，包括出租的土地使用权、出租的建筑物、持有并准备增值后转让的土地使用权。投资性 房地产按照成本进行初始计量，采用成本模式进行后续计量。</w:t>
      </w:r>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本公司投资性房地产中出租的建筑物采用年限平均法计提折旧，具体核算政策与固定资产部分相同。投资性房地产中 出租的土地使用权、持有并准备增值后转让的土地使用权采用直线法摊销，具体核算政策与无形资产部分相同。</w:t>
      </w:r>
    </w:p>
    <w:p>
      <w:pPr>
        <w:pStyle w:val="Style33"/>
        <w:keepNext w:val="0"/>
        <w:keepLines w:val="0"/>
        <w:widowControl w:val="0"/>
        <w:shd w:val="clear" w:color="auto" w:fill="auto"/>
        <w:bidi w:val="0"/>
        <w:spacing w:before="0" w:after="400" w:line="310" w:lineRule="exact"/>
        <w:ind w:left="0" w:right="0" w:firstLine="500"/>
        <w:jc w:val="left"/>
      </w:pPr>
      <w:r>
        <w:rPr>
          <w:color w:val="000000"/>
          <w:spacing w:val="0"/>
          <w:w w:val="100"/>
          <w:position w:val="0"/>
        </w:rPr>
        <w:t>本公司投资性房地产的使用年限为</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年，预计净残值率为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,年折旧率为</w:t>
      </w:r>
      <w:r>
        <w:rPr>
          <w:rFonts w:ascii="Times New Roman" w:eastAsia="Times New Roman" w:hAnsi="Times New Roman" w:cs="Times New Roman"/>
          <w:color w:val="000000"/>
          <w:spacing w:val="0"/>
          <w:w w:val="100"/>
          <w:position w:val="0"/>
          <w:sz w:val="18"/>
          <w:szCs w:val="18"/>
        </w:rPr>
        <w:t>1.90%-2.38%</w:t>
      </w:r>
      <w:r>
        <w:rPr>
          <w:color w:val="000000"/>
          <w:spacing w:val="0"/>
          <w:w w:val="100"/>
          <w:position w:val="0"/>
        </w:rPr>
        <w:t>。</w:t>
      </w:r>
    </w:p>
    <w:p>
      <w:pPr>
        <w:pStyle w:val="Style36"/>
        <w:keepNext/>
        <w:keepLines/>
        <w:widowControl w:val="0"/>
        <w:shd w:val="clear" w:color="auto" w:fill="auto"/>
        <w:tabs>
          <w:tab w:pos="435" w:val="left"/>
        </w:tabs>
        <w:bidi w:val="0"/>
        <w:spacing w:before="0" w:after="40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8</w:t>
      </w:r>
      <w:r>
        <w:rPr>
          <w:color w:val="000000"/>
          <w:spacing w:val="0"/>
          <w:w w:val="100"/>
          <w:position w:val="0"/>
        </w:rPr>
        <w:t>、</w:t>
        <w:tab/>
        <w:t>固定资产</w:t>
      </w:r>
      <w:bookmarkEnd w:id="860"/>
      <w:bookmarkEnd w:id="861"/>
      <w:bookmarkEnd w:id="863"/>
    </w:p>
    <w:p>
      <w:pPr>
        <w:pStyle w:val="Style36"/>
        <w:keepNext/>
        <w:keepLines/>
        <w:widowControl w:val="0"/>
        <w:shd w:val="clear" w:color="auto" w:fill="auto"/>
        <w:bidi w:val="0"/>
        <w:spacing w:before="0" w:after="260" w:line="240" w:lineRule="auto"/>
        <w:ind w:left="0" w:right="0" w:firstLine="0"/>
        <w:jc w:val="left"/>
      </w:pPr>
      <w:bookmarkStart w:id="860" w:name="bookmark860"/>
      <w:bookmarkStart w:id="861" w:name="bookmark861"/>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0"/>
      <w:bookmarkEnd w:id="861"/>
      <w:bookmarkEnd w:id="865"/>
    </w:p>
    <w:p>
      <w:pPr>
        <w:pStyle w:val="Style33"/>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36"/>
        <w:keepNext/>
        <w:keepLines/>
        <w:widowControl w:val="0"/>
        <w:shd w:val="clear" w:color="auto" w:fill="auto"/>
        <w:bidi w:val="0"/>
        <w:spacing w:before="0" w:after="340" w:line="240" w:lineRule="auto"/>
        <w:ind w:left="0" w:right="0" w:firstLine="14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6"/>
      <w:bookmarkEnd w:id="867"/>
      <w:bookmarkEnd w:id="869"/>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办工设备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 得的扣除预计处置费用后的金额。</w:t>
      </w:r>
    </w:p>
    <w:p>
      <w:pPr>
        <w:widowControl w:val="0"/>
        <w:spacing w:after="339" w:line="1" w:lineRule="exact"/>
      </w:pPr>
    </w:p>
    <w:p>
      <w:pPr>
        <w:pStyle w:val="Style36"/>
        <w:keepNext/>
        <w:keepLines/>
        <w:widowControl w:val="0"/>
        <w:shd w:val="clear" w:color="auto" w:fill="auto"/>
        <w:bidi w:val="0"/>
        <w:spacing w:before="0" w:after="28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0"/>
      <w:bookmarkEnd w:id="871"/>
      <w:bookmarkEnd w:id="873"/>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6"/>
        <w:keepNext/>
        <w:keepLines/>
        <w:widowControl w:val="0"/>
        <w:shd w:val="clear" w:color="auto" w:fill="auto"/>
        <w:tabs>
          <w:tab w:pos="467" w:val="left"/>
        </w:tabs>
        <w:bidi w:val="0"/>
        <w:spacing w:before="0" w:after="2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74"/>
      <w:bookmarkEnd w:id="875"/>
      <w:bookmarkEnd w:id="877"/>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资本化期间内，外币专门借款的汇兑差额全部予以资本化；外币一般借款的汇兑差额计入当期损益。</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33"/>
        <w:keepNext w:val="0"/>
        <w:keepLines w:val="0"/>
        <w:widowControl w:val="0"/>
        <w:shd w:val="clear" w:color="auto" w:fill="auto"/>
        <w:bidi w:val="0"/>
        <w:spacing w:before="0" w:after="380" w:line="311" w:lineRule="exact"/>
        <w:ind w:left="0" w:right="0" w:firstLine="5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 资本化，直至资产的购建或生产活动重新开始。</w:t>
      </w:r>
    </w:p>
    <w:p>
      <w:pPr>
        <w:pStyle w:val="Style36"/>
        <w:keepNext/>
        <w:keepLines/>
        <w:widowControl w:val="0"/>
        <w:shd w:val="clear" w:color="auto" w:fill="auto"/>
        <w:tabs>
          <w:tab w:pos="476" w:val="left"/>
        </w:tabs>
        <w:bidi w:val="0"/>
        <w:spacing w:before="0" w:after="3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78"/>
      <w:bookmarkEnd w:id="879"/>
      <w:bookmarkEnd w:id="881"/>
    </w:p>
    <w:p>
      <w:pPr>
        <w:pStyle w:val="Style36"/>
        <w:keepNext/>
        <w:keepLines/>
        <w:widowControl w:val="0"/>
        <w:shd w:val="clear" w:color="auto" w:fill="auto"/>
        <w:bidi w:val="0"/>
        <w:spacing w:before="0" w:after="280" w:line="240" w:lineRule="auto"/>
        <w:ind w:left="0" w:right="0" w:firstLine="0"/>
        <w:jc w:val="left"/>
      </w:pPr>
      <w:bookmarkStart w:id="878" w:name="bookmark878"/>
      <w:bookmarkStart w:id="879" w:name="bookmark879"/>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8"/>
      <w:bookmarkEnd w:id="879"/>
      <w:bookmarkEnd w:id="883"/>
    </w:p>
    <w:p>
      <w:pPr>
        <w:pStyle w:val="Style33"/>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无形资产包括土地使用权、软件、专利权及非专利技术等，按成本进行初始计量。</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w:t>
      </w:r>
    </w:p>
    <w:p>
      <w:pPr>
        <w:pStyle w:val="Style33"/>
        <w:keepNext w:val="0"/>
        <w:keepLines w:val="0"/>
        <w:widowControl w:val="0"/>
        <w:shd w:val="clear" w:color="auto" w:fill="auto"/>
        <w:bidi w:val="0"/>
        <w:spacing w:before="0" w:after="400" w:line="314" w:lineRule="exact"/>
        <w:ind w:left="0" w:right="0" w:firstLine="500"/>
        <w:jc w:val="both"/>
      </w:pPr>
      <w:r>
        <w:rPr>
          <w:color w:val="000000"/>
          <w:spacing w:val="0"/>
          <w:w w:val="100"/>
          <w:position w:val="0"/>
        </w:rPr>
        <w:t xml:space="preserve">期末，对使用寿命有限的无形资产的使用寿命和摊销方法进行复核，如发生变更则作为会计估计变更处理。此外，还 </w:t>
      </w:r>
      <w:r>
        <w:rPr>
          <w:color w:val="000000"/>
          <w:spacing w:val="0"/>
          <w:w w:val="100"/>
          <w:position w:val="0"/>
        </w:rPr>
        <w:t>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36"/>
        <w:keepNext/>
        <w:keepLines/>
        <w:widowControl w:val="0"/>
        <w:shd w:val="clear" w:color="auto" w:fill="auto"/>
        <w:bidi w:val="0"/>
        <w:spacing w:before="0" w:after="28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4"/>
      <w:bookmarkEnd w:id="885"/>
      <w:bookmarkEnd w:id="887"/>
    </w:p>
    <w:p>
      <w:pPr>
        <w:pStyle w:val="Style3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本公司内部研究开发项目的支出分为研究阶段支出与开发阶段支出。</w:t>
      </w:r>
    </w:p>
    <w:p>
      <w:pPr>
        <w:pStyle w:val="Style3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研究阶段的支出，于发生时计入当期损益。</w:t>
      </w:r>
    </w:p>
    <w:p>
      <w:pPr>
        <w:pStyle w:val="Style3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开发阶段的支出同时满足下列条件的，确认为无形资产，不能满足下述条件的开发阶段的支出计入当期损益：</w:t>
      </w:r>
    </w:p>
    <w:p>
      <w:pPr>
        <w:pStyle w:val="Style33"/>
        <w:keepNext w:val="0"/>
        <w:keepLines w:val="0"/>
        <w:widowControl w:val="0"/>
        <w:shd w:val="clear" w:color="auto" w:fill="auto"/>
        <w:tabs>
          <w:tab w:pos="1007" w:val="left"/>
        </w:tabs>
        <w:bidi w:val="0"/>
        <w:spacing w:before="0" w:after="0" w:line="312" w:lineRule="exact"/>
        <w:ind w:left="0" w:right="0" w:firstLine="500"/>
        <w:jc w:val="left"/>
      </w:pPr>
      <w:bookmarkStart w:id="888" w:name="bookmark888"/>
      <w:r>
        <w:rPr>
          <w:color w:val="000000"/>
          <w:spacing w:val="0"/>
          <w:w w:val="100"/>
          <w:position w:val="0"/>
        </w:rPr>
        <w:t>（</w:t>
      </w:r>
      <w:bookmarkEnd w:id="888"/>
      <w:r>
        <w:rPr>
          <w:color w:val="000000"/>
          <w:spacing w:val="0"/>
          <w:w w:val="100"/>
          <w:position w:val="0"/>
        </w:rPr>
        <w:t>一）</w:t>
        <w:tab/>
        <w:t>完成该无形资产以使其能够使用或出售在技术上具有可行性；</w:t>
      </w:r>
    </w:p>
    <w:p>
      <w:pPr>
        <w:pStyle w:val="Style33"/>
        <w:keepNext w:val="0"/>
        <w:keepLines w:val="0"/>
        <w:widowControl w:val="0"/>
        <w:shd w:val="clear" w:color="auto" w:fill="auto"/>
        <w:tabs>
          <w:tab w:pos="1007" w:val="left"/>
        </w:tabs>
        <w:bidi w:val="0"/>
        <w:spacing w:before="0" w:after="0" w:line="312" w:lineRule="exact"/>
        <w:ind w:left="0" w:right="0" w:firstLine="500"/>
        <w:jc w:val="left"/>
      </w:pPr>
      <w:bookmarkStart w:id="889" w:name="bookmark889"/>
      <w:r>
        <w:rPr>
          <w:color w:val="000000"/>
          <w:spacing w:val="0"/>
          <w:w w:val="100"/>
          <w:position w:val="0"/>
        </w:rPr>
        <w:t>（</w:t>
      </w:r>
      <w:bookmarkEnd w:id="889"/>
      <w:r>
        <w:rPr>
          <w:color w:val="000000"/>
          <w:spacing w:val="0"/>
          <w:w w:val="100"/>
          <w:position w:val="0"/>
        </w:rPr>
        <w:t>二）</w:t>
        <w:tab/>
        <w:t>具有完成该无形资产并使用或出售的意图；</w:t>
      </w:r>
    </w:p>
    <w:p>
      <w:pPr>
        <w:pStyle w:val="Style33"/>
        <w:keepNext w:val="0"/>
        <w:keepLines w:val="0"/>
        <w:widowControl w:val="0"/>
        <w:shd w:val="clear" w:color="auto" w:fill="auto"/>
        <w:tabs>
          <w:tab w:pos="1083" w:val="left"/>
        </w:tabs>
        <w:bidi w:val="0"/>
        <w:spacing w:before="0" w:after="0" w:line="312" w:lineRule="exact"/>
        <w:ind w:left="0" w:right="0" w:firstLine="500"/>
        <w:jc w:val="both"/>
      </w:pPr>
      <w:bookmarkStart w:id="890" w:name="bookmark890"/>
      <w:r>
        <w:rPr>
          <w:color w:val="000000"/>
          <w:spacing w:val="0"/>
          <w:w w:val="100"/>
          <w:position w:val="0"/>
        </w:rPr>
        <w:t>（</w:t>
      </w:r>
      <w:bookmarkEnd w:id="890"/>
      <w:r>
        <w:rPr>
          <w:color w:val="000000"/>
          <w:spacing w:val="0"/>
          <w:w w:val="100"/>
          <w:position w:val="0"/>
        </w:rPr>
        <w:t>三）</w:t>
        <w:tab/>
        <w:t>无形资产产生经济利益的方式，包括能够证明运用该无形资产生产的产品存在市场或无形资产自身存在市场， 无形资产将在内部使用的，能够证明其有用性；</w:t>
      </w:r>
    </w:p>
    <w:p>
      <w:pPr>
        <w:pStyle w:val="Style33"/>
        <w:keepNext w:val="0"/>
        <w:keepLines w:val="0"/>
        <w:widowControl w:val="0"/>
        <w:shd w:val="clear" w:color="auto" w:fill="auto"/>
        <w:tabs>
          <w:tab w:pos="1007" w:val="left"/>
        </w:tabs>
        <w:bidi w:val="0"/>
        <w:spacing w:before="0" w:after="0" w:line="312" w:lineRule="exact"/>
        <w:ind w:left="0" w:right="0" w:firstLine="500"/>
        <w:jc w:val="left"/>
      </w:pPr>
      <w:bookmarkStart w:id="891" w:name="bookmark891"/>
      <w:r>
        <w:rPr>
          <w:color w:val="000000"/>
          <w:spacing w:val="0"/>
          <w:w w:val="100"/>
          <w:position w:val="0"/>
        </w:rPr>
        <w:t>（</w:t>
      </w:r>
      <w:bookmarkEnd w:id="891"/>
      <w:r>
        <w:rPr>
          <w:color w:val="000000"/>
          <w:spacing w:val="0"/>
          <w:w w:val="100"/>
          <w:position w:val="0"/>
        </w:rPr>
        <w:t>四）</w:t>
        <w:tab/>
        <w:t>有足够的技术、财务资源和其他资源支持，以完成该无形资产的开发，并有能力使用或出售该无形资产；</w:t>
      </w:r>
    </w:p>
    <w:p>
      <w:pPr>
        <w:pStyle w:val="Style33"/>
        <w:keepNext w:val="0"/>
        <w:keepLines w:val="0"/>
        <w:widowControl w:val="0"/>
        <w:shd w:val="clear" w:color="auto" w:fill="auto"/>
        <w:tabs>
          <w:tab w:pos="1007" w:val="left"/>
        </w:tabs>
        <w:bidi w:val="0"/>
        <w:spacing w:before="0" w:after="0" w:line="312" w:lineRule="exact"/>
        <w:ind w:left="0" w:right="0" w:firstLine="500"/>
        <w:jc w:val="left"/>
      </w:pPr>
      <w:bookmarkStart w:id="892" w:name="bookmark892"/>
      <w:r>
        <w:rPr>
          <w:color w:val="000000"/>
          <w:spacing w:val="0"/>
          <w:w w:val="100"/>
          <w:position w:val="0"/>
        </w:rPr>
        <w:t>（</w:t>
      </w:r>
      <w:bookmarkEnd w:id="892"/>
      <w:r>
        <w:rPr>
          <w:color w:val="000000"/>
          <w:spacing w:val="0"/>
          <w:w w:val="100"/>
          <w:position w:val="0"/>
        </w:rPr>
        <w:t>五）</w:t>
        <w:tab/>
        <w:t>归属于该无形资产开发阶段的支出能够可靠地计量。</w:t>
      </w:r>
    </w:p>
    <w:p>
      <w:pPr>
        <w:pStyle w:val="Style33"/>
        <w:keepNext w:val="0"/>
        <w:keepLines w:val="0"/>
        <w:widowControl w:val="0"/>
        <w:shd w:val="clear" w:color="auto" w:fill="auto"/>
        <w:tabs>
          <w:tab w:pos="1007" w:val="left"/>
        </w:tabs>
        <w:bidi w:val="0"/>
        <w:spacing w:before="0" w:after="400" w:line="312" w:lineRule="exact"/>
        <w:ind w:left="0" w:right="0" w:firstLine="500"/>
        <w:jc w:val="left"/>
      </w:pPr>
      <w:bookmarkStart w:id="893" w:name="bookmark893"/>
      <w:r>
        <w:rPr>
          <w:color w:val="000000"/>
          <w:spacing w:val="0"/>
          <w:w w:val="100"/>
          <w:position w:val="0"/>
        </w:rPr>
        <w:t>（</w:t>
      </w:r>
      <w:bookmarkEnd w:id="893"/>
      <w:r>
        <w:rPr>
          <w:color w:val="000000"/>
          <w:spacing w:val="0"/>
          <w:w w:val="100"/>
          <w:position w:val="0"/>
        </w:rPr>
        <w:t>六）</w:t>
        <w:tab/>
        <w:t>无法区分研究阶段支出和开发阶段支出的，将发生的研发支出全部计入当期损益。</w:t>
      </w:r>
    </w:p>
    <w:p>
      <w:pPr>
        <w:pStyle w:val="Style36"/>
        <w:keepNext/>
        <w:keepLines/>
        <w:widowControl w:val="0"/>
        <w:shd w:val="clear" w:color="auto" w:fill="auto"/>
        <w:tabs>
          <w:tab w:pos="459"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94"/>
      <w:bookmarkEnd w:id="895"/>
      <w:bookmarkEnd w:id="897"/>
    </w:p>
    <w:p>
      <w:pPr>
        <w:pStyle w:val="Style33"/>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33"/>
        <w:keepNext w:val="0"/>
        <w:keepLines w:val="0"/>
        <w:widowControl w:val="0"/>
        <w:shd w:val="clear" w:color="auto" w:fill="auto"/>
        <w:bidi w:val="0"/>
        <w:spacing w:before="0" w:after="280" w:line="311"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33"/>
        <w:keepNext w:val="0"/>
        <w:keepLines w:val="0"/>
        <w:widowControl w:val="0"/>
        <w:shd w:val="clear" w:color="auto" w:fill="auto"/>
        <w:bidi w:val="0"/>
        <w:spacing w:before="0" w:after="400" w:line="312" w:lineRule="exact"/>
        <w:ind w:left="0" w:right="0" w:firstLine="50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59"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98"/>
      <w:bookmarkEnd w:id="899"/>
      <w:bookmarkEnd w:id="901"/>
    </w:p>
    <w:p>
      <w:pPr>
        <w:pStyle w:val="Style33"/>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年以上的各项费用。长期待摊费用按 项目的受益期限分期摊销。若长期待摊的费用项目不能使以后会计期间受益，则将尚未摊销的该项目的摊余价值全部转入当 期损益。</w:t>
      </w:r>
    </w:p>
    <w:p>
      <w:pPr>
        <w:pStyle w:val="Style36"/>
        <w:keepNext/>
        <w:keepLines/>
        <w:widowControl w:val="0"/>
        <w:shd w:val="clear" w:color="auto" w:fill="auto"/>
        <w:tabs>
          <w:tab w:pos="483"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02"/>
      <w:bookmarkEnd w:id="903"/>
      <w:bookmarkEnd w:id="905"/>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合同负债，是指企业已收或应收客户对价而应向客户转让商品的义务。</w:t>
      </w:r>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同一合同下的合同资产和合同负债以净额列示。</w:t>
      </w:r>
    </w:p>
    <w:p>
      <w:pPr>
        <w:pStyle w:val="Style36"/>
        <w:keepNext/>
        <w:keepLines/>
        <w:widowControl w:val="0"/>
        <w:shd w:val="clear" w:color="auto" w:fill="auto"/>
        <w:tabs>
          <w:tab w:pos="483" w:val="left"/>
        </w:tabs>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6"/>
      <w:bookmarkEnd w:id="907"/>
      <w:bookmarkEnd w:id="909"/>
    </w:p>
    <w:p>
      <w:pPr>
        <w:pStyle w:val="Style36"/>
        <w:keepNext/>
        <w:keepLines/>
        <w:widowControl w:val="0"/>
        <w:shd w:val="clear" w:color="auto" w:fill="auto"/>
        <w:tabs>
          <w:tab w:pos="493" w:val="left"/>
        </w:tabs>
        <w:bidi w:val="0"/>
        <w:spacing w:before="0" w:after="280" w:line="240" w:lineRule="auto"/>
        <w:ind w:left="0" w:right="0" w:firstLine="0"/>
        <w:jc w:val="left"/>
      </w:pPr>
      <w:bookmarkStart w:id="906" w:name="bookmark906"/>
      <w:bookmarkStart w:id="907" w:name="bookmark907"/>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6"/>
      <w:bookmarkEnd w:id="907"/>
      <w:bookmarkEnd w:id="911"/>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2"/>
      <w:bookmarkEnd w:id="913"/>
      <w:bookmarkEnd w:id="915"/>
    </w:p>
    <w:p>
      <w:pPr>
        <w:pStyle w:val="Style33"/>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离职后福利主要包括基本养老保险和失业保险。离职后福利计划包括设定提存计划及设定受益计划。采用设定提存计 划的，相应的应缴存金额于发生时计入相关资产成本或当期损益。</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6"/>
      <w:bookmarkEnd w:id="917"/>
      <w:bookmarkEnd w:id="919"/>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0"/>
      <w:bookmarkEnd w:id="921"/>
      <w:bookmarkEnd w:id="923"/>
    </w:p>
    <w:p>
      <w:pPr>
        <w:pStyle w:val="Style33"/>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36"/>
        <w:keepNext/>
        <w:keepLines/>
        <w:widowControl w:val="0"/>
        <w:shd w:val="clear" w:color="auto" w:fill="auto"/>
        <w:tabs>
          <w:tab w:pos="48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24"/>
      <w:bookmarkEnd w:id="925"/>
      <w:bookmarkEnd w:id="927"/>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本公司在履行了合同中的履约义务，即在客户取得相关商品或服务控制权时，按照分摊至该项履约义务的交易价格确 认收入。取得相关商品控制权，是指能够主导该商品的使用并从中获得几乎全部的经济利益。履约义务是指合同中本公司向 客户转让可明确区分商品的承诺。交易价格是指本公司因向客户转让商品而预期有权收取的对价金额，不包括代第三方收取 的款项以及本公司预期将退还给客户的款项。</w:t>
      </w:r>
    </w:p>
    <w:p>
      <w:pPr>
        <w:pStyle w:val="Style33"/>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履约义务是在某一时段内履行、还是在某一时点履行，取决于合同条款及相关法律规定。如果履约义务是在某一时段 内履行的，则本公司按照履约进度确认收入。否则，本公司于客户取得相关资产控制权的某一时点确认收入。</w:t>
      </w:r>
    </w:p>
    <w:p>
      <w:pPr>
        <w:pStyle w:val="Style33"/>
        <w:keepNext w:val="0"/>
        <w:keepLines w:val="0"/>
        <w:widowControl w:val="0"/>
        <w:shd w:val="clear" w:color="auto" w:fill="auto"/>
        <w:bidi w:val="0"/>
        <w:spacing w:before="0" w:after="320" w:line="307" w:lineRule="exact"/>
        <w:ind w:left="0" w:right="0" w:firstLine="500"/>
        <w:jc w:val="both"/>
      </w:pPr>
      <w:r>
        <w:rPr>
          <w:color w:val="000000"/>
          <w:spacing w:val="0"/>
          <w:w w:val="100"/>
          <w:position w:val="0"/>
        </w:rPr>
        <w:t>本公司主要销售服饰产品，分为零售和批发销售两种模式。零售，本公司于顾客购买该商品时确认收入；批发销售， 本公司根据合同条款规定，于商品出库或者加盟商验收时确认收入。</w:t>
      </w:r>
    </w:p>
    <w:p>
      <w:pPr>
        <w:pStyle w:val="Style33"/>
        <w:keepNext w:val="0"/>
        <w:keepLines w:val="0"/>
        <w:widowControl w:val="0"/>
        <w:shd w:val="clear" w:color="auto" w:fill="auto"/>
        <w:bidi w:val="0"/>
        <w:spacing w:before="0" w:after="680" w:line="317" w:lineRule="exact"/>
        <w:ind w:left="500" w:right="0" w:firstLine="0"/>
        <w:jc w:val="both"/>
      </w:pPr>
      <w:r>
        <w:rPr>
          <w:color w:val="000000"/>
          <w:spacing w:val="0"/>
          <w:w w:val="100"/>
          <w:position w:val="0"/>
        </w:rPr>
        <w:t>同类业务采用不同经营模式导致收入确认会计政策存在差异的情况 无</w:t>
      </w:r>
    </w:p>
    <w:p>
      <w:pPr>
        <w:pStyle w:val="Style36"/>
        <w:keepNext/>
        <w:keepLines/>
        <w:widowControl w:val="0"/>
        <w:shd w:val="clear" w:color="auto" w:fill="auto"/>
        <w:tabs>
          <w:tab w:pos="423" w:val="left"/>
        </w:tabs>
        <w:bidi w:val="0"/>
        <w:spacing w:before="0" w:after="28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28"/>
      <w:bookmarkEnd w:id="929"/>
      <w:bookmarkEnd w:id="931"/>
    </w:p>
    <w:p>
      <w:pPr>
        <w:pStyle w:val="Style3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政府补助是指本公司从政府无偿取得货币性资产和非货币性资产，不包括政府作为所有者投入的资本。政府补助分为 与资产相关的政府补助和与收益相关的政府补助。本公司将所取得的用于购建或以其他方式形成长期资产的政府补助界定为 与资产相关的政府补助；其余政府补助界定为与收益相关的政府补助。若政府文件未明确规定补助对象，则采用以下方式将 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项目的预算中将形成资产的支出金额和计入费用的支出金额的相对比例进行划分,对该划分比例需在每个资产负债表日进行 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）政府文件中对用途仅作一般性表述，没有指明特定项目的，作为与收益相关的政府补助。</w:t>
      </w:r>
    </w:p>
    <w:p>
      <w:pPr>
        <w:pStyle w:val="Style33"/>
        <w:keepNext w:val="0"/>
        <w:keepLines w:val="0"/>
        <w:widowControl w:val="0"/>
        <w:shd w:val="clear" w:color="auto" w:fill="auto"/>
        <w:bidi w:val="0"/>
        <w:spacing w:before="0" w:after="280" w:line="310"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 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 动公开的财政扶持项目及其财政资金管理办法，且该管理办法应当是普惠性的（任何符合规定条件的企业均可申请），而不 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p>
    <w:p>
      <w:pPr>
        <w:pStyle w:val="Style3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计入当期损益；用于补偿已经发生的相关成本费用或损失的，直接计入当期损益。</w:t>
      </w:r>
    </w:p>
    <w:p>
      <w:pPr>
        <w:pStyle w:val="Style3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33"/>
        <w:keepNext w:val="0"/>
        <w:keepLines w:val="0"/>
        <w:widowControl w:val="0"/>
        <w:shd w:val="clear" w:color="auto" w:fill="auto"/>
        <w:bidi w:val="0"/>
        <w:spacing w:before="0" w:after="380" w:line="316" w:lineRule="exact"/>
        <w:ind w:left="0" w:right="0" w:firstLine="500"/>
        <w:jc w:val="both"/>
      </w:pPr>
      <w:r>
        <w:rPr>
          <w:color w:val="000000"/>
          <w:spacing w:val="0"/>
          <w:w w:val="100"/>
          <w:position w:val="0"/>
        </w:rPr>
        <w:t>与本公司日常活动相关的政府补助，按照经济业务的实质，计入其他收益；与日常活动无关的政府补助，按照经济业 务的实质，计入当期损益。</w:t>
      </w:r>
    </w:p>
    <w:p>
      <w:pPr>
        <w:pStyle w:val="Style36"/>
        <w:keepNext/>
        <w:keepLines/>
        <w:widowControl w:val="0"/>
        <w:shd w:val="clear" w:color="auto" w:fill="auto"/>
        <w:tabs>
          <w:tab w:pos="423" w:val="left"/>
        </w:tabs>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2"/>
      <w:bookmarkEnd w:id="933"/>
      <w:bookmarkEnd w:id="935"/>
    </w:p>
    <w:p>
      <w:pPr>
        <w:pStyle w:val="Style33"/>
        <w:keepNext w:val="0"/>
        <w:keepLines w:val="0"/>
        <w:widowControl w:val="0"/>
        <w:shd w:val="clear" w:color="auto" w:fill="auto"/>
        <w:tabs>
          <w:tab w:pos="971" w:val="left"/>
        </w:tabs>
        <w:bidi w:val="0"/>
        <w:spacing w:before="0" w:after="0" w:line="314" w:lineRule="exact"/>
        <w:ind w:left="0" w:right="0" w:firstLine="500"/>
        <w:jc w:val="both"/>
      </w:pPr>
      <w:bookmarkStart w:id="936" w:name="bookmark936"/>
      <w:r>
        <w:rPr>
          <w:color w:val="000000"/>
          <w:spacing w:val="0"/>
          <w:w w:val="100"/>
          <w:position w:val="0"/>
        </w:rPr>
        <w:t>（</w:t>
      </w:r>
      <w:bookmarkEnd w:id="936"/>
      <w:r>
        <w:rPr>
          <w:color w:val="000000"/>
          <w:spacing w:val="0"/>
          <w:w w:val="100"/>
          <w:position w:val="0"/>
        </w:rPr>
        <w:t>一）</w:t>
        <w:tab/>
        <w:t>当期所得税</w:t>
      </w:r>
    </w:p>
    <w:p>
      <w:pPr>
        <w:pStyle w:val="Style33"/>
        <w:keepNext w:val="0"/>
        <w:keepLines w:val="0"/>
        <w:widowControl w:val="0"/>
        <w:shd w:val="clear" w:color="auto" w:fill="auto"/>
        <w:bidi w:val="0"/>
        <w:spacing w:before="0" w:after="280" w:line="314" w:lineRule="exact"/>
        <w:ind w:left="0" w:right="0" w:firstLine="50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3"/>
        <w:keepNext w:val="0"/>
        <w:keepLines w:val="0"/>
        <w:widowControl w:val="0"/>
        <w:shd w:val="clear" w:color="auto" w:fill="auto"/>
        <w:tabs>
          <w:tab w:pos="971" w:val="left"/>
        </w:tabs>
        <w:bidi w:val="0"/>
        <w:spacing w:before="0" w:after="0" w:line="311" w:lineRule="exact"/>
        <w:ind w:left="0" w:right="0" w:firstLine="500"/>
        <w:jc w:val="both"/>
      </w:pPr>
      <w:bookmarkStart w:id="937" w:name="bookmark937"/>
      <w:r>
        <w:rPr>
          <w:color w:val="000000"/>
          <w:spacing w:val="0"/>
          <w:w w:val="100"/>
          <w:position w:val="0"/>
        </w:rPr>
        <w:t>（</w:t>
      </w:r>
      <w:bookmarkEnd w:id="937"/>
      <w:r>
        <w:rPr>
          <w:color w:val="000000"/>
          <w:spacing w:val="0"/>
          <w:w w:val="100"/>
          <w:position w:val="0"/>
        </w:rPr>
        <w:t>二）</w:t>
        <w:tab/>
        <w:t>递延所得税资产及递延所得税负债</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w:t>
      </w:r>
      <w:r>
        <w:rPr>
          <w:color w:val="000000"/>
          <w:spacing w:val="0"/>
          <w:w w:val="100"/>
          <w:position w:val="0"/>
        </w:rPr>
        <w:t>很可能不会转回，也不予确认有关的递延所得税负债。除上述例外情况，本公司确认其他所有应纳税暂时性差异产生的递延 所得税负债。</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33"/>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33"/>
        <w:keepNext w:val="0"/>
        <w:keepLines w:val="0"/>
        <w:widowControl w:val="0"/>
        <w:shd w:val="clear" w:color="auto" w:fill="auto"/>
        <w:tabs>
          <w:tab w:pos="1012" w:val="left"/>
        </w:tabs>
        <w:bidi w:val="0"/>
        <w:spacing w:before="0" w:after="0" w:line="307" w:lineRule="exact"/>
        <w:ind w:left="0" w:right="0" w:firstLine="500"/>
        <w:jc w:val="left"/>
      </w:pPr>
      <w:bookmarkStart w:id="938" w:name="bookmark938"/>
      <w:r>
        <w:rPr>
          <w:color w:val="000000"/>
          <w:spacing w:val="0"/>
          <w:w w:val="100"/>
          <w:position w:val="0"/>
        </w:rPr>
        <w:t>（</w:t>
      </w:r>
      <w:bookmarkEnd w:id="938"/>
      <w:r>
        <w:rPr>
          <w:color w:val="000000"/>
          <w:spacing w:val="0"/>
          <w:w w:val="100"/>
          <w:position w:val="0"/>
        </w:rPr>
        <w:t>三）</w:t>
        <w:tab/>
        <w:t>所得税费用</w:t>
      </w:r>
    </w:p>
    <w:p>
      <w:pPr>
        <w:pStyle w:val="Style33"/>
        <w:keepNext w:val="0"/>
        <w:keepLines w:val="0"/>
        <w:widowControl w:val="0"/>
        <w:shd w:val="clear" w:color="auto" w:fill="auto"/>
        <w:bidi w:val="0"/>
        <w:spacing w:before="0" w:after="0" w:line="307" w:lineRule="exact"/>
        <w:ind w:left="0" w:right="0" w:firstLine="500"/>
        <w:jc w:val="left"/>
      </w:pPr>
      <w:r>
        <w:rPr>
          <w:color w:val="000000"/>
          <w:spacing w:val="0"/>
          <w:w w:val="100"/>
          <w:position w:val="0"/>
        </w:rPr>
        <w:t>所得税费用包括当期所得税和递延所得税。</w:t>
      </w:r>
    </w:p>
    <w:p>
      <w:pPr>
        <w:pStyle w:val="Style33"/>
        <w:keepNext w:val="0"/>
        <w:keepLines w:val="0"/>
        <w:widowControl w:val="0"/>
        <w:shd w:val="clear" w:color="auto" w:fill="auto"/>
        <w:bidi w:val="0"/>
        <w:spacing w:before="0" w:after="300" w:line="307" w:lineRule="exact"/>
        <w:ind w:left="0" w:right="0" w:firstLine="500"/>
        <w:jc w:val="left"/>
      </w:pPr>
      <w:r>
        <w:rPr>
          <w:color w:val="000000"/>
          <w:spacing w:val="0"/>
          <w:w w:val="100"/>
          <w:position w:val="0"/>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Style33"/>
        <w:keepNext w:val="0"/>
        <w:keepLines w:val="0"/>
        <w:widowControl w:val="0"/>
        <w:shd w:val="clear" w:color="auto" w:fill="auto"/>
        <w:tabs>
          <w:tab w:pos="1012" w:val="left"/>
        </w:tabs>
        <w:bidi w:val="0"/>
        <w:spacing w:before="0" w:after="0" w:line="313" w:lineRule="exact"/>
        <w:ind w:left="0" w:right="0" w:firstLine="500"/>
        <w:jc w:val="left"/>
      </w:pPr>
      <w:bookmarkStart w:id="939" w:name="bookmark939"/>
      <w:r>
        <w:rPr>
          <w:color w:val="000000"/>
          <w:spacing w:val="0"/>
          <w:w w:val="100"/>
          <w:position w:val="0"/>
        </w:rPr>
        <w:t>（</w:t>
      </w:r>
      <w:bookmarkEnd w:id="939"/>
      <w:r>
        <w:rPr>
          <w:color w:val="000000"/>
          <w:spacing w:val="0"/>
          <w:w w:val="100"/>
          <w:position w:val="0"/>
        </w:rPr>
        <w:t>四）</w:t>
        <w:tab/>
        <w:t>所得税的抵消</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所得税负债以抵消后的净额列报。</w:t>
      </w:r>
    </w:p>
    <w:p>
      <w:pPr>
        <w:pStyle w:val="Style33"/>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税资产及递延所得税负债以抵消后的净额列报。</w:t>
      </w:r>
    </w:p>
    <w:p>
      <w:pPr>
        <w:pStyle w:val="Style36"/>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940"/>
      <w:bookmarkEnd w:id="941"/>
      <w:bookmarkEnd w:id="942"/>
    </w:p>
    <w:p>
      <w:pPr>
        <w:pStyle w:val="Style36"/>
        <w:keepNext/>
        <w:keepLines/>
        <w:widowControl w:val="0"/>
        <w:shd w:val="clear" w:color="auto" w:fill="auto"/>
        <w:tabs>
          <w:tab w:pos="474" w:val="left"/>
        </w:tabs>
        <w:bidi w:val="0"/>
        <w:spacing w:before="0" w:after="260" w:line="240" w:lineRule="auto"/>
        <w:ind w:left="0" w:right="0" w:firstLine="0"/>
        <w:jc w:val="left"/>
      </w:pPr>
      <w:bookmarkStart w:id="940" w:name="bookmark940"/>
      <w:bookmarkStart w:id="941" w:name="bookmark941"/>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0"/>
      <w:bookmarkEnd w:id="941"/>
      <w:bookmarkEnd w:id="944"/>
    </w:p>
    <w:p>
      <w:pPr>
        <w:pStyle w:val="Style33"/>
        <w:keepNext w:val="0"/>
        <w:keepLines w:val="0"/>
        <w:widowControl w:val="0"/>
        <w:shd w:val="clear" w:color="auto" w:fill="auto"/>
        <w:tabs>
          <w:tab w:pos="1012" w:val="left"/>
        </w:tabs>
        <w:bidi w:val="0"/>
        <w:spacing w:before="0" w:after="0" w:line="312" w:lineRule="exact"/>
        <w:ind w:left="0" w:right="0" w:firstLine="500"/>
        <w:jc w:val="left"/>
      </w:pPr>
      <w:bookmarkStart w:id="945" w:name="bookmark945"/>
      <w:r>
        <w:rPr>
          <w:color w:val="000000"/>
          <w:spacing w:val="0"/>
          <w:w w:val="100"/>
          <w:position w:val="0"/>
        </w:rPr>
        <w:t>（</w:t>
      </w:r>
      <w:bookmarkEnd w:id="945"/>
      <w:r>
        <w:rPr>
          <w:color w:val="000000"/>
          <w:spacing w:val="0"/>
          <w:w w:val="100"/>
          <w:position w:val="0"/>
        </w:rPr>
        <w:t>一）</w:t>
        <w:tab/>
        <w:t>本公司作为承租人记录经营租赁业务</w:t>
      </w:r>
    </w:p>
    <w:p>
      <w:pPr>
        <w:pStyle w:val="Style33"/>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33"/>
        <w:keepNext w:val="0"/>
        <w:keepLines w:val="0"/>
        <w:widowControl w:val="0"/>
        <w:shd w:val="clear" w:color="auto" w:fill="auto"/>
        <w:tabs>
          <w:tab w:pos="1012" w:val="left"/>
        </w:tabs>
        <w:bidi w:val="0"/>
        <w:spacing w:before="0" w:after="0" w:line="312" w:lineRule="exact"/>
        <w:ind w:left="0" w:right="0" w:firstLine="500"/>
        <w:jc w:val="both"/>
      </w:pPr>
      <w:bookmarkStart w:id="946" w:name="bookmark946"/>
      <w:r>
        <w:rPr>
          <w:color w:val="000000"/>
          <w:spacing w:val="0"/>
          <w:w w:val="100"/>
          <w:position w:val="0"/>
        </w:rPr>
        <w:t>（</w:t>
      </w:r>
      <w:bookmarkEnd w:id="946"/>
      <w:r>
        <w:rPr>
          <w:color w:val="000000"/>
          <w:spacing w:val="0"/>
          <w:w w:val="100"/>
          <w:position w:val="0"/>
        </w:rPr>
        <w:t>二）</w:t>
        <w:tab/>
        <w:t>本公司作为出租人记录经营租赁业务</w:t>
      </w:r>
    </w:p>
    <w:p>
      <w:pPr>
        <w:pStyle w:val="Style33"/>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6"/>
        <w:keepNext/>
        <w:keepLines/>
        <w:widowControl w:val="0"/>
        <w:shd w:val="clear" w:color="auto" w:fill="auto"/>
        <w:tabs>
          <w:tab w:pos="474" w:val="left"/>
        </w:tabs>
        <w:bidi w:val="0"/>
        <w:spacing w:before="0" w:after="26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47"/>
      <w:bookmarkEnd w:id="948"/>
      <w:bookmarkEnd w:id="950"/>
    </w:p>
    <w:p>
      <w:pPr>
        <w:pStyle w:val="Style3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（一）本公司作为承租人记录融资租赁业务</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w:t>
      </w:r>
      <w:r>
        <w:rPr>
          <w:color w:val="000000"/>
          <w:spacing w:val="0"/>
          <w:w w:val="100"/>
          <w:position w:val="0"/>
        </w:rPr>
        <w:t>的，可归属于租赁项目的初始直接费用也计入租入资产价值。最低租赁付款额扣除未确认融资费用后的余额分别长期负债和 一年内到期的长期负债列示。</w:t>
      </w:r>
    </w:p>
    <w:p>
      <w:pPr>
        <w:pStyle w:val="Style33"/>
        <w:keepNext w:val="0"/>
        <w:keepLines w:val="0"/>
        <w:widowControl w:val="0"/>
        <w:shd w:val="clear" w:color="auto" w:fill="auto"/>
        <w:bidi w:val="0"/>
        <w:spacing w:before="0" w:after="260" w:line="317" w:lineRule="exact"/>
        <w:ind w:left="0" w:right="0" w:firstLine="500"/>
        <w:jc w:val="left"/>
      </w:pPr>
      <w:r>
        <w:rPr>
          <w:color w:val="000000"/>
          <w:spacing w:val="0"/>
          <w:w w:val="100"/>
          <w:position w:val="0"/>
        </w:rPr>
        <w:t>未确认融资费用在租赁期内采用实际利率法计算确认当期的融资费用。或有租金于实际发生时计入当期损益。</w:t>
      </w:r>
    </w:p>
    <w:p>
      <w:pPr>
        <w:pStyle w:val="Style3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（二）本公司作为出租人记录融资租赁业务</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33"/>
        <w:keepNext w:val="0"/>
        <w:keepLines w:val="0"/>
        <w:widowControl w:val="0"/>
        <w:shd w:val="clear" w:color="auto" w:fill="auto"/>
        <w:bidi w:val="0"/>
        <w:spacing w:before="0" w:after="380" w:line="314" w:lineRule="exact"/>
        <w:ind w:left="0" w:right="0" w:firstLine="500"/>
        <w:jc w:val="left"/>
      </w:pPr>
      <w:r>
        <w:rPr>
          <w:color w:val="000000"/>
          <w:spacing w:val="0"/>
          <w:w w:val="100"/>
          <w:position w:val="0"/>
        </w:rPr>
        <w:t>未实现融资收益在租赁期内采用实际利率法计算确认当期的融资收入。或有租金于实际发生时计入当期损益。</w:t>
      </w:r>
    </w:p>
    <w:p>
      <w:pPr>
        <w:pStyle w:val="Style36"/>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29</w:t>
      </w:r>
      <w:r>
        <w:rPr>
          <w:color w:val="000000"/>
          <w:spacing w:val="0"/>
          <w:w w:val="100"/>
          <w:position w:val="0"/>
        </w:rPr>
        <w:t>、重要会计政策和会计估计变更</w:t>
      </w:r>
      <w:bookmarkEnd w:id="951"/>
      <w:bookmarkEnd w:id="952"/>
      <w:bookmarkEnd w:id="953"/>
    </w:p>
    <w:p>
      <w:pPr>
        <w:pStyle w:val="Style36"/>
        <w:keepNext/>
        <w:keepLines/>
        <w:widowControl w:val="0"/>
        <w:shd w:val="clear" w:color="auto" w:fill="auto"/>
        <w:bidi w:val="0"/>
        <w:spacing w:before="0" w:after="340" w:line="240" w:lineRule="auto"/>
        <w:ind w:left="0" w:right="0" w:firstLine="0"/>
        <w:jc w:val="left"/>
      </w:pPr>
      <w:bookmarkStart w:id="951" w:name="bookmark951"/>
      <w:bookmarkStart w:id="952" w:name="bookmark952"/>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1"/>
      <w:bookmarkEnd w:id="952"/>
      <w:bookmarkEnd w:id="95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40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收入》（以下简称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日起执行新收入准则以及通知，对会计 政策相关内容进行调整。新收入准则取 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年颁布的《企业会计 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收入》及《企业会计准则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建造合同》</w:t>
            </w:r>
            <w:r>
              <w:rPr>
                <w:color w:val="000000"/>
                <w:spacing w:val="0"/>
                <w:w w:val="100"/>
                <w:position w:val="0"/>
                <w:sz w:val="18"/>
                <w:szCs w:val="18"/>
              </w:rPr>
              <w:t>（</w:t>
            </w:r>
            <w:r>
              <w:rPr>
                <w:color w:val="000000"/>
                <w:spacing w:val="0"/>
                <w:w w:val="100"/>
                <w:position w:val="0"/>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 贝在原收入准则下，本公司以风险报 酬转移作为收入确认时点的判断标准。 新收入准则引入了收入确认计量的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 步法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，并针对特定交易或事项提供了更 多的指引，在新收入准则下，本公司以 控制权转移作为收入确认时点的判断标 准，具体收入确认和计量的会计政策参 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相关议案经第四届董事会第二十四次会 议审议通过。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新收入准则要求首次执行该准则的累积 影响数调整首次执行当年年初（即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 相关项目金额，对可比期间信息不予调 整。根据准则的规定，本公司仅对在首 次执行日尚未完成的合同的累积影响数 进行调整。本公司依据新收入准则有关 特定事项或交易的具体规定调整了相关 会计政策。依据新收入准则的规定，根 据履行履约义务与客户付款之间的关系 在资产负债表中列示合同资产或合同负 债。本公司对收入来源及客户合约流程 进行复核以评估新收入准则对财务报表 的影响。本公司的收入主要为销售服饰 产品取得的收入，收入仍于向客户交付 时点确认。采用新收入准则对本公司除 财务报表列报以外无重大影响。</w:t>
            </w:r>
          </w:p>
        </w:tc>
      </w:tr>
    </w:tbl>
    <w:p>
      <w:pPr>
        <w:pStyle w:val="Style31"/>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本公司执行新收入准则对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日合并资产负债表及母公司资产负债表各项目的影响汇总如下:</w:t>
      </w:r>
    </w:p>
    <w:p>
      <w:pPr>
        <w:widowControl w:val="0"/>
        <w:spacing w:after="339" w:line="1" w:lineRule="exact"/>
      </w:pPr>
    </w:p>
    <w:p>
      <w:pPr>
        <w:widowControl w:val="0"/>
        <w:spacing w:line="1" w:lineRule="exact"/>
      </w:pPr>
    </w:p>
    <w:tbl>
      <w:tblPr>
        <w:tblOverlap w:val="never"/>
        <w:jc w:val="center"/>
        <w:tblLayout w:type="fixed"/>
      </w:tblPr>
      <w:tblGrid>
        <w:gridCol w:w="2587"/>
        <w:gridCol w:w="2232"/>
        <w:gridCol w:w="1795"/>
        <w:gridCol w:w="2448"/>
      </w:tblGrid>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会计政策变更前</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60"/>
              <w:jc w:val="both"/>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会计政策变更后</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75,487,856.71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135,352,186.44</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75,405,946.39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-68,793,310.14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6,612,636.25</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64,666,938.78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64,666,938.78</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622,988,949.27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-38,737,288.97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584,251,660.30</w:t>
            </w:r>
          </w:p>
        </w:tc>
      </w:tr>
    </w:tbl>
    <w:p>
      <w:pPr>
        <w:widowControl w:val="0"/>
        <w:spacing w:line="1" w:lineRule="exact"/>
      </w:pPr>
      <w:r>
        <w:br w:type="page"/>
      </w:r>
    </w:p>
    <w:tbl>
      <w:tblPr>
        <w:tblOverlap w:val="never"/>
        <w:jc w:val="center"/>
        <w:tblLayout w:type="fixed"/>
      </w:tblPr>
      <w:tblGrid>
        <w:gridCol w:w="2587"/>
        <w:gridCol w:w="2232"/>
        <w:gridCol w:w="1795"/>
        <w:gridCol w:w="2448"/>
      </w:tblGrid>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102,727,990.06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102,727,990.06</w:t>
            </w:r>
          </w:p>
        </w:tc>
      </w:tr>
    </w:tbl>
    <w:p>
      <w:pPr>
        <w:widowControl w:val="0"/>
        <w:spacing w:after="299" w:line="1" w:lineRule="exact"/>
      </w:pPr>
    </w:p>
    <w:p>
      <w:pPr>
        <w:widowControl w:val="0"/>
        <w:spacing w:line="1" w:lineRule="exact"/>
      </w:pPr>
    </w:p>
    <w:tbl>
      <w:tblPr>
        <w:tblOverlap w:val="never"/>
        <w:jc w:val="center"/>
        <w:tblLayout w:type="fixed"/>
      </w:tblPr>
      <w:tblGrid>
        <w:gridCol w:w="2558"/>
        <w:gridCol w:w="2270"/>
        <w:gridCol w:w="1843"/>
        <w:gridCol w:w="2419"/>
      </w:tblGrid>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会计政策变更前</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80"/>
              <w:jc w:val="both"/>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会计政策变更后</w:t>
            </w:r>
          </w:p>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28,108,599.41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128,200,493.83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-124,803,926.13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3,396,567.70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114,233,855.59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114,233,855.59</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675,046,976.74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-20,197,980.63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654,848,996.11</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58,876,650.58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58,876,650.58</w:t>
            </w:r>
          </w:p>
        </w:tc>
      </w:tr>
    </w:tbl>
    <w:p>
      <w:pPr>
        <w:widowControl w:val="0"/>
        <w:spacing w:after="939" w:line="1" w:lineRule="exact"/>
      </w:pPr>
    </w:p>
    <w:p>
      <w:pPr>
        <w:pStyle w:val="Style36"/>
        <w:keepNext/>
        <w:keepLines/>
        <w:widowControl w:val="0"/>
        <w:numPr>
          <w:ilvl w:val="0"/>
          <w:numId w:val="21"/>
        </w:numPr>
        <w:shd w:val="clear" w:color="auto" w:fill="auto"/>
        <w:tabs>
          <w:tab w:pos="493" w:val="left"/>
        </w:tabs>
        <w:bidi w:val="0"/>
        <w:spacing w:before="0" w:after="380" w:line="240" w:lineRule="auto"/>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重要会计估计变更</w:t>
      </w:r>
      <w:bookmarkEnd w:id="956"/>
      <w:bookmarkEnd w:id="957"/>
      <w:bookmarkEnd w:id="959"/>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21"/>
        </w:numPr>
        <w:shd w:val="clear" w:color="auto" w:fill="auto"/>
        <w:tabs>
          <w:tab w:pos="493" w:val="left"/>
        </w:tabs>
        <w:bidi w:val="0"/>
        <w:spacing w:before="0" w:after="380" w:line="240" w:lineRule="auto"/>
        <w:ind w:left="0" w:right="0" w:firstLine="0"/>
        <w:jc w:val="both"/>
      </w:pPr>
      <w:bookmarkStart w:id="960" w:name="bookmark960"/>
      <w:bookmarkStart w:id="961" w:name="bookmark961"/>
      <w:bookmarkStart w:id="962" w:name="bookmark962"/>
      <w:bookmarkStart w:id="963" w:name="bookmark963"/>
      <w:bookmarkEnd w:id="96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60"/>
      <w:bookmarkEnd w:id="961"/>
      <w:bookmarkEnd w:id="963"/>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375,122,903.82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375,122,903.82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932,682,022.17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932,682,022.17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167,635,844.63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167,635,844.63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166,797,913.93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166,797,913.93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2,052,546,752.40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2,052,546,752.40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208,279,318.24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208,279,318.24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75,487,856.71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135,352,186.44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3,978,552,611.90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4,038,416,941.63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156,244,591.63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156,244,591.63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598,281,749.94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598,281,749.94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289,308,020.96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289,308,020.96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1,105,730,715.17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1,105,730,715.17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37,070,223.93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37,070,223.93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165,633,223.30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165,633,223.30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2,399,245,981.58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2,399,245,981.58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6,377,798,593.48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6,437,662,923.21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982,793,949.37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982,793,949.37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1,248,709,601.97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1,248,709,601.97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75,405,946.39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6,612,636.25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-68,793,310.14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64,666,938.78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64,666,938.78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86,043,182.77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86,043,182.77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144,036,872.82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144,036,872.82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622,988,949.27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584,251,660.30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-38,737,288.97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102,727,990.06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102,727,990.06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4,337,978,502.59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4,397,842,832.32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4,337,978,502.59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4,397,842,832.32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-1,157,993,533.31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-1,157,993,533.31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2,039,820,090.89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2,039,820,090.89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2,039,820,090.89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6,377,798,593.48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6,437,662,923.21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60" w:line="302" w:lineRule="exact"/>
        <w:ind w:left="0" w:right="0" w:firstLine="480"/>
        <w:jc w:val="both"/>
      </w:pPr>
      <w:r>
        <w:rPr>
          <w:color w:val="000000"/>
          <w:spacing w:val="0"/>
          <w:w w:val="100"/>
          <w:position w:val="0"/>
        </w:rPr>
        <w:t>本公司依据新收入准则有关特定事项或交易的具体规定调整了相关会计政策。依据新收入准则的规定，根据履行履约 义务与客户付款之间的关系在资产负债表中列示合同资产或合同负债。本公司对收入来源及客户合约流程进行复核以评估新 收入准则对财务报表的影响。本公司的收入主要为销售服饰产品取得的收入，收入仍于向客户交付时点确认。采用新收入准 则对本公司除财务报表列报以外无重大影响。</w:t>
      </w:r>
    </w:p>
    <w:p>
      <w:pPr>
        <w:pStyle w:val="Style33"/>
        <w:keepNext w:val="0"/>
        <w:keepLines w:val="0"/>
        <w:widowControl w:val="0"/>
        <w:shd w:val="clear" w:color="auto" w:fill="auto"/>
        <w:bidi w:val="0"/>
        <w:spacing w:before="0" w:after="160" w:line="302" w:lineRule="exact"/>
        <w:ind w:left="0" w:right="0" w:firstLine="0"/>
        <w:jc w:val="both"/>
      </w:pPr>
      <w:r>
        <w:rPr>
          <w:color w:val="000000"/>
          <w:spacing w:val="0"/>
          <w:w w:val="100"/>
          <w:position w:val="0"/>
        </w:rPr>
        <w:t>母公司资产负债表</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279,253,807.33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279,253,807.33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3,435,025,436.10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3,435,025,436.10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87,789,246.09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87,789,246.09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836,549,031.87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836,549,031.87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1,294,056,847.84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1,294,056,847.84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4,626,774.02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4,626,774.02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6,082,301,143.25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6,110,409,742.66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34,483,200.24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34,483,200.24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1,324,082,467.94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1,324,082,467.94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1,046,551,397.79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1,046,551,397.79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43,454,633.41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43,454,633.41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2,593,763.29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2,593,763.29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20,522,529.38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20,522,529.38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46,043,937.33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46,043,937.33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2,525,567,653.79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2,525,567,653.79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8,607,868,797.04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8,635,977,396.45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1,182,849,747.22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1,182,849,747.22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1,473,284,755.12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1,473,284,755.12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128,200,493.83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3,396,567.70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-124,803,926.13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114,233,855.59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114,233,855.59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37,937,924.70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37,937,924.70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108,876,724.76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108,876,724.76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675,046,976.74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654,848,996.11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-20,197,980.63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58,876,650.58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58,876,650.58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4,569,196,622.37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4,637,701,183.04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68,504,560.67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4,569,196,622.37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4,637,701,183.04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68,504,560.67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420,734,370.35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420,734,370.30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1,018,698,047.83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1,018,698,047.83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4,038,672,174.67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4,038,672,174.67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8,607,868,797.04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8,635,977,396.45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28,108,599.41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6"/>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64"/>
      <w:bookmarkEnd w:id="965"/>
      <w:bookmarkEnd w:id="96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sz w:val="24"/>
          <w:szCs w:val="24"/>
        </w:rPr>
        <w:t>六</w:t>
      </w:r>
      <w:bookmarkEnd w:id="970"/>
      <w:r>
        <w:rPr>
          <w:color w:val="000000"/>
          <w:spacing w:val="0"/>
          <w:w w:val="100"/>
          <w:position w:val="0"/>
          <w:sz w:val="24"/>
          <w:szCs w:val="24"/>
        </w:rPr>
        <w:t>、税项</w:t>
      </w:r>
      <w:bookmarkEnd w:id="968"/>
      <w:bookmarkEnd w:id="969"/>
      <w:bookmarkEnd w:id="971"/>
    </w:p>
    <w:p>
      <w:pPr>
        <w:pStyle w:val="Style36"/>
        <w:keepNext/>
        <w:keepLines/>
        <w:widowControl w:val="0"/>
        <w:shd w:val="clear" w:color="auto" w:fill="auto"/>
        <w:bidi w:val="0"/>
        <w:spacing w:before="0" w:after="320" w:line="240" w:lineRule="auto"/>
        <w:ind w:left="0" w:right="0" w:firstLine="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2"/>
      <w:bookmarkEnd w:id="973"/>
      <w:bookmarkEnd w:id="97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销项税额扣除当期允许抵扣的进项税额 后的差额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上海华邦科创信息科技有限公司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5"/>
      <w:bookmarkEnd w:id="976"/>
      <w:bookmarkEnd w:id="977"/>
    </w:p>
    <w:p>
      <w:pPr>
        <w:pStyle w:val="Style33"/>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本公司子公司上海华邦科创信息科技有限公司于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日取得了上海市科学技术委员会、上海市财政局、国家 税务总局上海市税务局批准的有效期三年的高新技术企业证书（证书编号：</w:t>
      </w:r>
      <w:r>
        <w:rPr>
          <w:rFonts w:ascii="Times New Roman" w:eastAsia="Times New Roman" w:hAnsi="Times New Roman" w:cs="Times New Roman"/>
          <w:color w:val="000000"/>
          <w:spacing w:val="0"/>
          <w:w w:val="100"/>
          <w:position w:val="0"/>
          <w:sz w:val="18"/>
          <w:szCs w:val="18"/>
        </w:rPr>
        <w:t>GR201931002323</w:t>
      </w:r>
      <w:r>
        <w:rPr>
          <w:color w:val="000000"/>
          <w:spacing w:val="0"/>
          <w:w w:val="100"/>
          <w:position w:val="0"/>
        </w:rPr>
        <w:t>）,</w:t>
      </w:r>
      <w:r>
        <w:rPr>
          <w:color w:val="000000"/>
          <w:spacing w:val="0"/>
          <w:w w:val="100"/>
          <w:position w:val="0"/>
        </w:rPr>
        <w:t>根据国家税收法规的相关规</w:t>
        <w:br w:type="page"/>
      </w:r>
      <w:r>
        <w:rPr>
          <w:color w:val="000000"/>
          <w:spacing w:val="0"/>
          <w:w w:val="100"/>
          <w:position w:val="0"/>
        </w:rPr>
        <w:t>定，该公司按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的所得税率计缴企业所得税，税收优惠有效期间为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6"/>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、其他</w:t>
      </w:r>
      <w:bookmarkEnd w:id="978"/>
      <w:bookmarkEnd w:id="979"/>
      <w:bookmarkEnd w:id="981"/>
    </w:p>
    <w:p>
      <w:pPr>
        <w:pStyle w:val="Style29"/>
        <w:keepNext/>
        <w:keepLines/>
        <w:widowControl w:val="0"/>
        <w:shd w:val="clear" w:color="auto" w:fill="auto"/>
        <w:bidi w:val="0"/>
        <w:spacing w:before="0" w:after="3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sz w:val="24"/>
          <w:szCs w:val="24"/>
        </w:rPr>
        <w:t>七</w:t>
      </w:r>
      <w:bookmarkEnd w:id="984"/>
      <w:r>
        <w:rPr>
          <w:color w:val="000000"/>
          <w:spacing w:val="0"/>
          <w:w w:val="100"/>
          <w:position w:val="0"/>
          <w:sz w:val="24"/>
          <w:szCs w:val="24"/>
        </w:rPr>
        <w:t>、合并财务报表项目注释</w:t>
      </w:r>
      <w:bookmarkEnd w:id="982"/>
      <w:bookmarkEnd w:id="983"/>
      <w:bookmarkEnd w:id="985"/>
    </w:p>
    <w:p>
      <w:pPr>
        <w:pStyle w:val="Style36"/>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6"/>
      <w:bookmarkEnd w:id="987"/>
      <w:bookmarkEnd w:id="98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1,352,642.22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177,119,699.81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288,699,801.07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3,447,589.89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85,070,460.53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181,348,156.26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375,122,903.82</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3,447,589.89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85,070,460.53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因抵押、质押或冻结等对使用有限制的款项系公司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日综合授信额度保证金和银行承兑汇票保证金。</w:t>
      </w:r>
    </w:p>
    <w:p>
      <w:pPr>
        <w:pStyle w:val="Style36"/>
        <w:keepNext/>
        <w:keepLines/>
        <w:widowControl w:val="0"/>
        <w:shd w:val="clear" w:color="auto" w:fill="auto"/>
        <w:bidi w:val="0"/>
        <w:spacing w:before="0" w:after="380" w:line="240" w:lineRule="auto"/>
        <w:ind w:left="0" w:right="0" w:firstLine="0"/>
        <w:jc w:val="both"/>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89"/>
      <w:bookmarkEnd w:id="990"/>
      <w:bookmarkEnd w:id="991"/>
    </w:p>
    <w:p>
      <w:pPr>
        <w:pStyle w:val="Style36"/>
        <w:keepNext/>
        <w:keepLines/>
        <w:widowControl w:val="0"/>
        <w:shd w:val="clear" w:color="auto" w:fill="auto"/>
        <w:bidi w:val="0"/>
        <w:spacing w:before="0" w:after="380" w:line="240" w:lineRule="auto"/>
        <w:ind w:left="0" w:right="0" w:firstLine="0"/>
        <w:jc w:val="both"/>
      </w:pPr>
      <w:bookmarkStart w:id="989" w:name="bookmark989"/>
      <w:bookmarkStart w:id="990" w:name="bookmark990"/>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89"/>
      <w:bookmarkEnd w:id="990"/>
      <w:bookmarkEnd w:id="99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352,299,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877,643,9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202,479,1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932,682,02</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65.44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直营渠道风险组合</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202,229,2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230,693,9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17,874,16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212,819,81</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43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加盟渠道风险组合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994,911,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675,414,7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904,467,2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184,605,0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719,862,20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37"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352,299,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877,643,9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202,479,1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932,682,02</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65.44</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按组合计提坏账准备：直营渠道风险组合</w:t>
      </w:r>
    </w:p>
    <w:p>
      <w:pPr>
        <w:widowControl w:val="0"/>
        <w:spacing w:after="139" w:line="1" w:lineRule="exact"/>
      </w:pP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139,772,655.54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4,920,540.53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86,509,671.09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23,703,778.99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27.40%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7,611,338.56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3,044,535.42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1,138,482.49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1,134,047.74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99.61%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235,032,147.68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32,802,902.68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按组合计提坏账准备：加盟渠道风险组合</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602,269,449.11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56,344,609.88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285,341,475.48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164,317,629.52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64,163,525.87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55,697,490.62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86.81%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43,137,178.52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43,137,178.52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994,911,628.98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319,496,908.54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742,042,104.65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371,851,146.57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71,774,864.43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44,275,661.01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44,275,661.01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1,229,943,776.66</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4"/>
      <w:bookmarkEnd w:id="995"/>
      <w:bookmarkEnd w:id="99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202,479,166.66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150,758,360.70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937,716.14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352,299,811.22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202,479,166.66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150,758,360.70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937,716.14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352,299,811.22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1"/>
      <w:bookmarkEnd w:id="998"/>
      <w:bookmarkEnd w:id="999"/>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核销无法收回的商场专柜货款和零星加盟商应收账款余额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937,716.14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2"/>
      <w:bookmarkEnd w:id="1003"/>
      <w:bookmarkEnd w:id="1005"/>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82,088,817.30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52,695,235.02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4,929,840.73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38,139,724.60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1,642,524.89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28,243,078.75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13,306,091.49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26,512,367.73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4,884,095.66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227,679,223.40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color w:val="000000"/>
          <w:spacing w:val="0"/>
          <w:w w:val="100"/>
          <w:position w:val="0"/>
        </w:rPr>
        <w:t>、预付款项</w:t>
      </w:r>
      <w:bookmarkEnd w:id="1006"/>
      <w:bookmarkEnd w:id="1007"/>
      <w:bookmarkEnd w:id="1009"/>
    </w:p>
    <w:p>
      <w:pPr>
        <w:pStyle w:val="Style36"/>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6"/>
      <w:bookmarkEnd w:id="1007"/>
      <w:bookmarkEnd w:id="10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100,698,643.61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163,979,530.97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3,689,163.30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3,656,313.66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104,387,806.91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167,635,844.63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14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2"/>
      <w:bookmarkEnd w:id="1013"/>
      <w:bookmarkEnd w:id="1015"/>
    </w:p>
    <w:tbl>
      <w:tblPr>
        <w:tblOverlap w:val="never"/>
        <w:jc w:val="center"/>
        <w:tblLayout w:type="fixed"/>
      </w:tblPr>
      <w:tblGrid>
        <w:gridCol w:w="2218"/>
        <w:gridCol w:w="3595"/>
        <w:gridCol w:w="3418"/>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8,111,917.88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4,857,143.00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24,229,060.88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w:t>
            </w:r>
          </w:p>
        </w:tc>
      </w:tr>
    </w:tbl>
    <w:p>
      <w:pPr>
        <w:widowControl w:val="0"/>
        <w:spacing w:after="3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color w:val="000000"/>
          <w:spacing w:val="0"/>
          <w:w w:val="100"/>
          <w:position w:val="0"/>
        </w:rPr>
        <w:t>、其他应收款</w:t>
      </w:r>
      <w:bookmarkEnd w:id="1016"/>
      <w:bookmarkEnd w:id="1017"/>
      <w:bookmarkEnd w:id="101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227,887,465.89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166,797,913.93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227,887,465.89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166,797,913.93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20"/>
      <w:bookmarkEnd w:id="1021"/>
      <w:bookmarkEnd w:id="1023"/>
    </w:p>
    <w:p>
      <w:pPr>
        <w:pStyle w:val="Style36"/>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color w:val="000000"/>
          <w:spacing w:val="0"/>
          <w:w w:val="100"/>
          <w:position w:val="0"/>
        </w:rPr>
        <w:t>）其他应收款按款项性质分类情况</w:t>
      </w:r>
      <w:bookmarkEnd w:id="1020"/>
      <w:bookmarkEnd w:id="1021"/>
      <w:bookmarkEnd w:id="102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100,759,290.58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89,023,050.74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47,175,415.81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18,890,830.74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个人借款及备用金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5,520,260.03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3,885,678.25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直营店营业款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11,052,400.12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20,451,495.44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28,373,237.69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2,299,978.05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10,582,251.88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253,462,856.11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184,551,033.22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color w:val="000000"/>
          <w:spacing w:val="0"/>
          <w:w w:val="100"/>
          <w:position w:val="0"/>
        </w:rPr>
        <w:t>）坏账准备计提情况</w:t>
      </w:r>
      <w:bookmarkEnd w:id="1026"/>
      <w:bookmarkEnd w:id="1027"/>
      <w:bookmarkEnd w:id="1029"/>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1,236,292.07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16,516,827.22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17,753,119.29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2,484,200.15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6,837,795.35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2,081,856.40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11,403,851.90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3,576,580.97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3,720,492.22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6,837,795.35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15,017,102.65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25,575,390.22</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105,646,876.26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62,121,401.64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26,244,990.37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59,449,587.84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59,449,587.84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253,462,856.11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）本期计提、收回或转回的坏账准备情况</w:t>
      </w:r>
      <w:bookmarkEnd w:id="1030"/>
      <w:bookmarkEnd w:id="1031"/>
      <w:bookmarkEnd w:id="103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5328"/>
        <w:gridCol w:w="173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426"/>
        <w:gridCol w:w="1094"/>
        <w:gridCol w:w="1195"/>
        <w:gridCol w:w="1306"/>
        <w:gridCol w:w="1090"/>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17,753,119.29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11,403,851.90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25,575,390.22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17,753,119.29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11,403,851.90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25,575,390.22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color w:val="000000"/>
          <w:spacing w:val="0"/>
          <w:w w:val="100"/>
          <w:position w:val="0"/>
        </w:rPr>
        <w:t>）本期实际核销的其他应收款情况</w:t>
      </w:r>
      <w:bookmarkEnd w:id="1034"/>
      <w:bookmarkEnd w:id="1035"/>
      <w:bookmarkEnd w:id="103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商场押金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5</w:t>
      </w:r>
      <w:bookmarkEnd w:id="1040"/>
      <w:r>
        <w:rPr>
          <w:color w:val="000000"/>
          <w:spacing w:val="0"/>
          <w:w w:val="100"/>
          <w:position w:val="0"/>
        </w:rPr>
        <w:t>）按欠款方归集的期末余额前五名的其他应收款情况</w:t>
      </w:r>
      <w:bookmarkEnd w:id="1038"/>
      <w:bookmarkEnd w:id="1039"/>
      <w:bookmarkEnd w:id="104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29,395,019.99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17,442,932.53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15,608,333.00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127,446,285.52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6</w:t>
      </w:r>
      <w:bookmarkEnd w:id="1044"/>
      <w:r>
        <w:rPr>
          <w:color w:val="000000"/>
          <w:spacing w:val="0"/>
          <w:w w:val="100"/>
          <w:position w:val="0"/>
        </w:rPr>
        <w:t>）涉及政府补助的应收款项</w:t>
      </w:r>
      <w:bookmarkEnd w:id="1042"/>
      <w:bookmarkEnd w:id="1043"/>
      <w:bookmarkEnd w:id="1045"/>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5</w:t>
      </w:r>
      <w:bookmarkEnd w:id="1048"/>
      <w:r>
        <w:rPr>
          <w:color w:val="000000"/>
          <w:spacing w:val="0"/>
          <w:w w:val="100"/>
          <w:position w:val="0"/>
        </w:rPr>
        <w:t>、存货</w:t>
      </w:r>
      <w:bookmarkEnd w:id="1046"/>
      <w:bookmarkEnd w:id="1047"/>
      <w:bookmarkEnd w:id="1049"/>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0"/>
      <w:bookmarkEnd w:id="1051"/>
      <w:bookmarkEnd w:id="10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9,737,198.54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3,526,990.81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6,210,207.73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10,566,901.47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3,937,979.81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6,628,921.66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1,972,988,359.21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390,849,633.99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1,582,138,725.22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2,495,556,527.84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451,453,581.02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2,044,102,946.82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2,019,603.73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2,019,603.73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1,814,883.92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1,984,745,161.48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394,376,624.80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1,590,368,536.68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2,507,938,313.23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455,391,560.83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2,052,546,752.40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54"/>
      <w:bookmarkEnd w:id="1055"/>
      <w:bookmarkEnd w:id="10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3,937,979.81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3,526,990.81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451,453,581.02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189,217,955.65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249,821,902.68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390,849,633.99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455,391,560.83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189,217,955.65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250,232,891.68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394,376,624.80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6</w:t>
      </w:r>
      <w:bookmarkEnd w:id="1060"/>
      <w:r>
        <w:rPr>
          <w:color w:val="000000"/>
          <w:spacing w:val="0"/>
          <w:w w:val="100"/>
          <w:position w:val="0"/>
        </w:rPr>
        <w:t>、一年内到期的非流动资产</w:t>
      </w:r>
      <w:bookmarkEnd w:id="1058"/>
      <w:bookmarkEnd w:id="1059"/>
      <w:bookmarkEnd w:id="106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加盟商经营性资金支持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8,106,095.68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208,279,318.24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35,900,564.02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44,006,659.70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208,279,318.24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tbl>
      <w:tblPr>
        <w:tblOverlap w:val="never"/>
        <w:jc w:val="center"/>
        <w:tblLayout w:type="fixed"/>
      </w:tblPr>
      <w:tblGrid>
        <w:gridCol w:w="1920"/>
        <w:gridCol w:w="1493"/>
        <w:gridCol w:w="2242"/>
        <w:gridCol w:w="2246"/>
        <w:gridCol w:w="1330"/>
      </w:tblGrid>
      <w:tr>
        <w:trPr>
          <w:trHeight w:val="350"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（未发生信用减值）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（已发生信用减值）</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7,120,285.02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2,644,306.50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6,855,557.00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16,620,148.52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7,120,285.02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7,120,285.02</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12,117,402.75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21,850,172.01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33,967,574.76</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14,761,709.25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28,705,729.01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43,467,438.26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rPr>
          <w:sz w:val="18"/>
          <w:szCs w:val="18"/>
        </w:rPr>
      </w:pPr>
      <w:r>
        <w:rPr>
          <w:color w:val="000000"/>
          <w:spacing w:val="0"/>
          <w:w w:val="100"/>
          <w:position w:val="0"/>
          <w:sz w:val="18"/>
          <w:szCs w:val="18"/>
        </w:rPr>
        <w:t>坏账准备计提情况</w:t>
      </w:r>
    </w:p>
    <w:p>
      <w:pPr>
        <w:pStyle w:val="Style36"/>
        <w:keepNext/>
        <w:keepLines/>
        <w:widowControl w:val="0"/>
        <w:shd w:val="clear" w:color="auto" w:fill="auto"/>
        <w:bidi w:val="0"/>
        <w:spacing w:before="0" w:after="380" w:line="240" w:lineRule="auto"/>
        <w:ind w:left="0" w:right="0" w:firstLine="0"/>
        <w:jc w:val="both"/>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7</w:t>
      </w:r>
      <w:bookmarkEnd w:id="1064"/>
      <w:r>
        <w:rPr>
          <w:color w:val="000000"/>
          <w:spacing w:val="0"/>
          <w:w w:val="100"/>
          <w:position w:val="0"/>
        </w:rPr>
        <w:t>、其他流动资产</w:t>
      </w:r>
      <w:bookmarkEnd w:id="1062"/>
      <w:bookmarkEnd w:id="1063"/>
      <w:bookmarkEnd w:id="106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38,546,209.61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59,864,329.73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61,731,699.82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75,487,856.71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100,277,909.43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135,352,186.44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8</w:t>
      </w:r>
      <w:bookmarkEnd w:id="1068"/>
      <w:r>
        <w:rPr>
          <w:color w:val="000000"/>
          <w:spacing w:val="0"/>
          <w:w w:val="100"/>
          <w:position w:val="0"/>
        </w:rPr>
        <w:t>、长期应收款</w:t>
      </w:r>
      <w:bookmarkEnd w:id="1066"/>
      <w:bookmarkEnd w:id="1067"/>
      <w:bookmarkEnd w:id="1069"/>
    </w:p>
    <w:p>
      <w:pPr>
        <w:pStyle w:val="Style36"/>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70" w:name="bookmark1070"/>
      <w:bookmarkStart w:id="1071" w:name="bookmark1071"/>
      <w:r>
        <w:rPr>
          <w:rFonts w:ascii="Times New Roman" w:eastAsia="Times New Roman" w:hAnsi="Times New Roman" w:cs="Times New Roman"/>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66"/>
      <w:bookmarkEnd w:id="1067"/>
      <w:bookmarkEnd w:id="107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加盟商经营性资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31,306,709.04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25,635,254.12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52,999,920.53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3,644,930.67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49,354,989.86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2.47%-4.90%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74,587,752.69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3,153,090.60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71,434,662.09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106,889,601.7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106,889,601.7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105,894,461.7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28,788,344.72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159,889,522.3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3,644,930.67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156,244,591.6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3,644,930.67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3,644,930.67</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16,652,002.59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46,103,916.89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62,755,919.48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3,644,930.67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3,644,930.67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-12,117,402.75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-21,850,172.01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-33,967,574.76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4,534,599.84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24,253,744.88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28,788,344.72</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9</w:t>
      </w:r>
      <w:bookmarkEnd w:id="1074"/>
      <w:r>
        <w:rPr>
          <w:color w:val="000000"/>
          <w:spacing w:val="0"/>
          <w:w w:val="100"/>
          <w:position w:val="0"/>
        </w:rPr>
        <w:t>、长期股权投资</w:t>
      </w:r>
      <w:bookmarkEnd w:id="1072"/>
      <w:bookmarkEnd w:id="1073"/>
      <w:bookmarkEnd w:id="10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上海华瑞</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76"/>
      <w:bookmarkEnd w:id="1077"/>
      <w:bookmarkEnd w:id="1079"/>
    </w:p>
    <w:p>
      <w:pPr>
        <w:pStyle w:val="Style36"/>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76"/>
      <w:bookmarkEnd w:id="1077"/>
      <w:bookmarkEnd w:id="1081"/>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350,555,503.61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350,555,503.61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5,697,895.00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5,697,895.00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356,253,398.61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356,253,398.61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61,247,482.65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61,247,482.65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16,861,845.15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16,861,845.15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13,986,958.38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13,986,958.38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2,874,886.77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78,109,327.80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78,109,327.80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12,923,910.06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12,923,910.06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12,923,910.06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265,220,160.75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289,308,020.96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289,308,020.96</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82"/>
      <w:bookmarkEnd w:id="1083"/>
      <w:bookmarkEnd w:id="108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086"/>
      <w:bookmarkEnd w:id="1087"/>
      <w:bookmarkEnd w:id="108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90"/>
      <w:bookmarkEnd w:id="1091"/>
      <w:bookmarkEnd w:id="109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1,105,730,715.17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1,105,730,715.17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4"/>
      <w:bookmarkEnd w:id="1095"/>
      <w:bookmarkEnd w:id="109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1,450,314,572.39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35,161,685.80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70,417,925.38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293,733,783.93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30,487,161.58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1,880,115,129.08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2,099,733.93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1,186,535.89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201,513.12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27,220,248.48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2,099,733.93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1,186,535.89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201,513.12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27,220,248.48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23,451,811.06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1,104,542.01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5,437,225.82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45,398,900.90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3,098,097.47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78,490,577.26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17,753,916.06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1,104,542.01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5,437,225.82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45,398,900.90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3,098,097.47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72,792,682.26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）转出至投资 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5,697,895.00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5,697,895.00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1,434,872,761.33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36,156,877.72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66,167,235.45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264,057,348.57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27,590,577.23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1,828,844,800.30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398,286,207.09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32,196,016.95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58,399,586.19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236,469,645.09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18,175,673.27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743,527,128.59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29,381,657.73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273,861.46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1,481,236.10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11,505,865.63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1,513,654.95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44,156,275.87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29,381,657.73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273,861.46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1,481,236.10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11,505,865.63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1,513,654.95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44,156,275.87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4,684,322.81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786,808.71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4,933,106.20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41,823,521.51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1,854,659.12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54,082,418.35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1,809,436.04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786,808.71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4,933,106.20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41,823,521.51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1,854,659.12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51,207,531.58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）转出至投资 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2,874,886.77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2,874,886.77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422,983,542.01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31,683,069.70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54,947,716.09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206,151,989.21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17,834,669.10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733,600,986.11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1,870,499.25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3,470,254.76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20,932,837.83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4,583,693.48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30,857,285.32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283,498.76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1,193,779.66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421,220.85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2,036,553.00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283,498.76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1,193,779.66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421,220.85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2,036,553.00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1,587,000.49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3,332,201.03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19,739,058.17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4,162,472.63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28,820,732.32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1,011,889,219.32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2,886,807.53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7,887,318.33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38,166,301.19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5,593,435.50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1,052,028,365.30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1,095,169.60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8,548,084.43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36,331,301.01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7,727,794.83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1,105,730,715.17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98"/>
      <w:bookmarkEnd w:id="1099"/>
      <w:bookmarkEnd w:id="110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23"/>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通过融资租赁租入的固定资产情况</w:t>
      </w:r>
      <w:bookmarkEnd w:id="1102"/>
      <w:bookmarkEnd w:id="1103"/>
      <w:bookmarkEnd w:id="11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23"/>
        </w:numPr>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通过经营租赁租出的固定资产</w:t>
      </w:r>
      <w:bookmarkEnd w:id="1106"/>
      <w:bookmarkEnd w:id="1107"/>
      <w:bookmarkEnd w:id="110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23"/>
        </w:numPr>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未办妥产权证书的固定资产情况</w:t>
      </w:r>
      <w:bookmarkEnd w:id="1110"/>
      <w:bookmarkEnd w:id="1111"/>
      <w:bookmarkEnd w:id="111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14"/>
      <w:bookmarkEnd w:id="1115"/>
      <w:bookmarkEnd w:id="111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r>
    </w:tbl>
    <w:p>
      <w:pPr>
        <w:widowControl w:val="0"/>
        <w:spacing w:after="319" w:line="1" w:lineRule="exact"/>
      </w:pPr>
    </w:p>
    <w:p>
      <w:pPr>
        <w:pStyle w:val="Style36"/>
        <w:keepNext/>
        <w:keepLines/>
        <w:widowControl w:val="0"/>
        <w:numPr>
          <w:ilvl w:val="0"/>
          <w:numId w:val="25"/>
        </w:numPr>
        <w:shd w:val="clear" w:color="auto" w:fill="auto"/>
        <w:bidi w:val="0"/>
        <w:spacing w:before="0" w:after="380" w:line="240" w:lineRule="auto"/>
        <w:ind w:left="0" w:right="0" w:firstLine="22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在建工程情况</w:t>
      </w:r>
      <w:bookmarkEnd w:id="1118"/>
      <w:bookmarkEnd w:id="1119"/>
      <w:bookmarkEnd w:id="1121"/>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总部办公楼改良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777,146.84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系统升级项目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353,982.30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353,982.30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2,469,298.87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47,109.16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63,949.42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63,949.42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248,598.75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248,598.75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33,898.38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33,898.38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51,120.55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90,566.04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3,434,859.55</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22"/>
      <w:bookmarkEnd w:id="1123"/>
      <w:bookmarkEnd w:id="1125"/>
    </w:p>
    <w:p>
      <w:pPr>
        <w:pStyle w:val="Style36"/>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2"/>
      <w:bookmarkEnd w:id="1123"/>
      <w:bookmarkEnd w:id="11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财务管理软件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23,169,946.00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2,323,122.85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182,339,503.09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6,575,828.04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214,408,399.98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2,547,008.57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3,271,402.55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724,393.98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2,547,008.57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2,547,008.57</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1,130,288.53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1,130,288.53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1,130,288.53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1,130,288.53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23,169,946.00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4,870,131.42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181,933,608.54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6,575,828.04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216,549,514.00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7,193,271.31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1,965,504.90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152,899,490.24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4,433,801.36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166,492,067.81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430,264.68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7,133,039.84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300,700.10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8,203,607.73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430,264.68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7,133,039.84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300,700.10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8,203,607.73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1,019,454.83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1,019,454.83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1,019,454.83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1,019,454.83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7,623,535.99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2,305,108.01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159,013,075.25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4,734,501.46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173,676,220.71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10,078,239.19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730,831.65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10,846,108.24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38,322.17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38,322.17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10,039,917.02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730,831.65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10,807,786.07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15,546,410.01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2,527,986.01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12,880,616.27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1,110,494.93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32,065,507.22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15,976,674.69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320,580.55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19,361,773.66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1,411,195.03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37,070,223.93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28"/>
      <w:bookmarkEnd w:id="1129"/>
      <w:bookmarkEnd w:id="113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32"/>
      <w:bookmarkEnd w:id="1133"/>
      <w:bookmarkEnd w:id="113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转入当期损</w:t>
            </w:r>
          </w:p>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39,857,297.6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39,857,297.6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39,857,297.6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39,857,297.6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通过公司内部研发形成的无形资产占无形资产期末账面价值的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36"/>
      <w:bookmarkEnd w:id="1137"/>
      <w:bookmarkEnd w:id="113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经营租入固定资产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改良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96,786,331.82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23,331,665.05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63,718,670.95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56,399,325.92</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预付一年以上租金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45,148,489.22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1,955,245.96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3,453,798.99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12,058,333.00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31,591,603.19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道具及辅料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23,636,358.21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1,310,548.86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18,335,294.29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6,611,612.78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79,525.06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165,633,223.30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26,665,168.36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85,557,991.71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12,058,333.00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94,682,066.95</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0"/>
      <w:bookmarkEnd w:id="1141"/>
      <w:bookmarkEnd w:id="1143"/>
    </w:p>
    <w:p>
      <w:pPr>
        <w:pStyle w:val="Style36"/>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4" w:name="bookmark114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40"/>
      <w:bookmarkEnd w:id="1141"/>
      <w:bookmarkEnd w:id="11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30,144,649.84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7,536,162.46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33,742,489.16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8,435,622.29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3,799,301.56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949,825.39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75,141,050.20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18,785,262.55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142,827,490.76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35,706,872.69</w:t>
            </w:r>
          </w:p>
        </w:tc>
      </w:tr>
    </w:tbl>
    <w:p>
      <w:pPr>
        <w:widowControl w:val="0"/>
        <w:spacing w:after="359" w:line="1" w:lineRule="exact"/>
      </w:pPr>
    </w:p>
    <w:p>
      <w:pPr>
        <w:pStyle w:val="Style36"/>
        <w:keepNext/>
        <w:keepLines/>
        <w:widowControl w:val="0"/>
        <w:numPr>
          <w:ilvl w:val="0"/>
          <w:numId w:val="27"/>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未经抵销的递延所得税负债</w:t>
      </w:r>
      <w:bookmarkEnd w:id="1145"/>
      <w:bookmarkEnd w:id="1146"/>
      <w:bookmarkEnd w:id="11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59" w:line="1" w:lineRule="exact"/>
      </w:pPr>
    </w:p>
    <w:p>
      <w:pPr>
        <w:pStyle w:val="Style36"/>
        <w:keepNext/>
        <w:keepLines/>
        <w:widowControl w:val="0"/>
        <w:numPr>
          <w:ilvl w:val="0"/>
          <w:numId w:val="27"/>
        </w:numPr>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以抵销后净额列示的递延所得税资产或负债</w:t>
      </w:r>
      <w:bookmarkEnd w:id="1149"/>
      <w:bookmarkEnd w:id="1150"/>
      <w:bookmarkEnd w:id="11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35,706,872.69</w:t>
            </w:r>
          </w:p>
        </w:tc>
      </w:tr>
    </w:tbl>
    <w:p>
      <w:pPr>
        <w:widowControl w:val="0"/>
        <w:spacing w:after="359" w:line="1" w:lineRule="exact"/>
      </w:pPr>
    </w:p>
    <w:p>
      <w:pPr>
        <w:pStyle w:val="Style36"/>
        <w:keepNext/>
        <w:keepLines/>
        <w:widowControl w:val="0"/>
        <w:numPr>
          <w:ilvl w:val="0"/>
          <w:numId w:val="27"/>
        </w:numPr>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未确认递延所得税资产明细</w:t>
      </w:r>
      <w:bookmarkEnd w:id="1153"/>
      <w:bookmarkEnd w:id="1154"/>
      <w:bookmarkEnd w:id="115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1,140,805,209.80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1,238,119,299.20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1,283,203,073.42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1,081,043,261.08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抵消内部交易未实现利润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189,299,541.09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206,237,722.00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2,613,307,824.31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2,525,400,282.28</w:t>
            </w:r>
          </w:p>
        </w:tc>
      </w:tr>
    </w:tbl>
    <w:p>
      <w:pPr>
        <w:widowControl w:val="0"/>
        <w:spacing w:after="319" w:line="1" w:lineRule="exact"/>
      </w:pPr>
    </w:p>
    <w:p>
      <w:pPr>
        <w:pStyle w:val="Style36"/>
        <w:keepNext/>
        <w:keepLines/>
        <w:widowControl w:val="0"/>
        <w:numPr>
          <w:ilvl w:val="0"/>
          <w:numId w:val="27"/>
        </w:numPr>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未确认递延所得税资产的可抵扣亏损将于以下年度到期</w:t>
      </w:r>
      <w:bookmarkEnd w:id="1157"/>
      <w:bookmarkEnd w:id="1158"/>
      <w:bookmarkEnd w:id="116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107,834,886.71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53,695,411.55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50,218,282.76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132,199,166.24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128,648,856.00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132,734,281.35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134,814,121.60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490,645,920.91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659,527,114.01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473,928,293.37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1,283,203,073.42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1,081,043,261.08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61"/>
      <w:bookmarkEnd w:id="1162"/>
      <w:bookmarkEnd w:id="116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博物馆藏品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65"/>
      <w:bookmarkEnd w:id="1166"/>
      <w:bookmarkEnd w:id="1168"/>
    </w:p>
    <w:p>
      <w:pPr>
        <w:pStyle w:val="Style36"/>
        <w:keepNext/>
        <w:keepLines/>
        <w:widowControl w:val="0"/>
        <w:shd w:val="clear" w:color="auto" w:fill="auto"/>
        <w:bidi w:val="0"/>
        <w:spacing w:before="0" w:after="380" w:line="240" w:lineRule="auto"/>
        <w:ind w:left="0" w:right="0" w:firstLine="0"/>
        <w:jc w:val="both"/>
      </w:pPr>
      <w:bookmarkStart w:id="1165" w:name="bookmark1165"/>
      <w:bookmarkStart w:id="1166" w:name="bookmark1166"/>
      <w:bookmarkStart w:id="1169" w:name="bookmark116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65"/>
      <w:bookmarkEnd w:id="1166"/>
      <w:bookmarkEnd w:id="11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650,500,000.00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票据贴现及供应链融资借款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695,725,575.47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1,346,225,575.47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1,178,000,000.00</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短期借款分类的说明：</w:t>
      </w:r>
    </w:p>
    <w:p>
      <w:pPr>
        <w:pStyle w:val="Style33"/>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本集团的抵押借款是以本集团所拥有的投资性房地产、房屋建筑物和土地使用权抵押。 本集团的票据贴现借款是以集团内应收票据贴现获取。</w:t>
      </w:r>
      <w:r>
        <w:br w:type="page"/>
      </w:r>
    </w:p>
    <w:p>
      <w:pPr>
        <w:pStyle w:val="Style36"/>
        <w:keepNext/>
        <w:keepLines/>
        <w:widowControl w:val="0"/>
        <w:numPr>
          <w:ilvl w:val="0"/>
          <w:numId w:val="29"/>
        </w:numPr>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已逾期未偿还的短期借款情况</w:t>
      </w:r>
      <w:bookmarkEnd w:id="1170"/>
      <w:bookmarkEnd w:id="1171"/>
      <w:bookmarkEnd w:id="117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74"/>
      <w:bookmarkEnd w:id="1175"/>
      <w:bookmarkEnd w:id="1177"/>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461,199,137.64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503,975,434.96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478,818,514.41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15,602,428.52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476,801,566.16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982,793,949.37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78"/>
      <w:bookmarkEnd w:id="1179"/>
      <w:bookmarkEnd w:id="1181"/>
    </w:p>
    <w:p>
      <w:pPr>
        <w:pStyle w:val="Style36"/>
        <w:keepNext/>
        <w:keepLines/>
        <w:widowControl w:val="0"/>
        <w:shd w:val="clear" w:color="auto" w:fill="auto"/>
        <w:bidi w:val="0"/>
        <w:spacing w:before="0" w:after="380" w:line="240" w:lineRule="auto"/>
        <w:ind w:left="0" w:right="0" w:firstLine="0"/>
        <w:jc w:val="both"/>
      </w:pPr>
      <w:bookmarkStart w:id="1178" w:name="bookmark1178"/>
      <w:bookmarkStart w:id="1179" w:name="bookmark1179"/>
      <w:bookmarkStart w:id="1182" w:name="bookmark118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8"/>
      <w:bookmarkEnd w:id="1179"/>
      <w:bookmarkEnd w:id="1182"/>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成衣供应商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960,480,662.15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1,139,909,967.00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面辅料供应商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68,226,740.04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15,751,726.97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其他类供应商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134,149,715.60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93,047,908.00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1,162,857,117.79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1,248,709,601.97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83"/>
      <w:bookmarkEnd w:id="1184"/>
      <w:bookmarkEnd w:id="1185"/>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本公司无账龄超过一年的重要应付账款。</w:t>
      </w:r>
      <w:r>
        <w:br w:type="page"/>
      </w:r>
    </w:p>
    <w:p>
      <w:pPr>
        <w:pStyle w:val="Style36"/>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86"/>
      <w:bookmarkEnd w:id="1187"/>
      <w:bookmarkEnd w:id="1189"/>
    </w:p>
    <w:p>
      <w:pPr>
        <w:pStyle w:val="Style36"/>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86"/>
      <w:bookmarkEnd w:id="1187"/>
      <w:bookmarkEnd w:id="1190"/>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6,612,636.25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6,612,636.25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91"/>
      <w:bookmarkEnd w:id="1192"/>
      <w:bookmarkEnd w:id="1193"/>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194"/>
      <w:bookmarkEnd w:id="1195"/>
      <w:bookmarkEnd w:id="1197"/>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预计积分兑换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5,959,340.46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3,787,903.26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55,216,263.93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60,879,035.52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61,175,604.39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64,666,938.78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198"/>
      <w:bookmarkEnd w:id="1199"/>
      <w:bookmarkEnd w:id="1201"/>
    </w:p>
    <w:p>
      <w:pPr>
        <w:pStyle w:val="Style36"/>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8"/>
      <w:bookmarkEnd w:id="1199"/>
      <w:bookmarkEnd w:id="12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81,851,336.95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496,611,926.03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480,657,280.93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97,805,982.05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1,783,306.71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24,888,250.98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10,746,403.20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15,925,154.49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2,408,539.11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11,943,367.62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11,149,745.62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3,202,161.11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86,043,182.77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533,443,544.63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502,553,429.75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116,933,297.65</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03"/>
      <w:bookmarkEnd w:id="1204"/>
      <w:bookmarkEnd w:id="12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56,103,656.24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439,647,724.78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436,405,576.94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59,345,804.08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10,128,746.50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10,245,516.20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1,797,182.01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26,014,469.38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15,139,374.01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12,672,277.38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1,605,596.40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23,161,906.58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13,743,228.93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11,024,274.05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831,577.64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376,242.10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503,994.13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2,020,985.16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1,019,902.98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1,144,009.20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524,333.78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15,979,954.95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15,976,500.23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527,788.50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23,285,021.42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4,841,030.42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2,890,313.55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25,235,738.29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81,851,336.95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496,611,926.03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480,657,280.93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97,805,982.05</w:t>
            </w:r>
          </w:p>
        </w:tc>
      </w:tr>
    </w:tbl>
    <w:p>
      <w:pPr>
        <w:widowControl w:val="0"/>
        <w:spacing w:after="319" w:line="1" w:lineRule="exact"/>
      </w:pPr>
    </w:p>
    <w:p>
      <w:pPr>
        <w:pStyle w:val="Style36"/>
        <w:keepNext/>
        <w:keepLines/>
        <w:widowControl w:val="0"/>
        <w:numPr>
          <w:ilvl w:val="0"/>
          <w:numId w:val="29"/>
        </w:numPr>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设定提存计划列示</w:t>
      </w:r>
      <w:bookmarkEnd w:id="1206"/>
      <w:bookmarkEnd w:id="1207"/>
      <w:bookmarkEnd w:id="12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1,701,300.50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24,312,570.88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10,484,004.93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15,529,866.45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575,680.10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395,288.04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1,783,306.71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24,888,250.98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10,746,403.20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15,925,154.49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10"/>
      <w:bookmarkEnd w:id="1211"/>
      <w:bookmarkEnd w:id="1213"/>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88,316,839.97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34,575,442.64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84,679,776.79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83,641,191.03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1,227,748.37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1,053,519.54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1,257,906.39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19,960,088.97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19,953,087.79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2,451,144.59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2,212,837.04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669,453.07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1,168,659.56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198,051,451.54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144,036,872.82</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14"/>
      <w:bookmarkEnd w:id="1215"/>
      <w:bookmarkEnd w:id="1217"/>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584,251,660.30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584,251,660.30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18"/>
      <w:bookmarkEnd w:id="1219"/>
      <w:bookmarkEnd w:id="1220"/>
    </w:p>
    <w:p>
      <w:pPr>
        <w:pStyle w:val="Style36"/>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1" w:name="bookmark122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18"/>
      <w:bookmarkEnd w:id="1219"/>
      <w:bookmarkEnd w:id="1221"/>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押金及质保金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246,424,276.46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267,539,507.90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16,849,290.57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23,600,186.85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105,179,524.01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86,095,386.06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预提水电、运输等费用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104,023,240.01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131,375,706.72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66,626,872.47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63,813,590.48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11,827,282.29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584,251,660.30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22"/>
      <w:bookmarkEnd w:id="1223"/>
      <w:bookmarkEnd w:id="1225"/>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8"/>
          <w:szCs w:val="18"/>
        </w:rPr>
        <w:t>本公司无账龄超过一年的重要其他应付款。</w:t>
      </w:r>
    </w:p>
    <w:p>
      <w:pPr>
        <w:pStyle w:val="Style36"/>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226"/>
      <w:bookmarkEnd w:id="1227"/>
      <w:bookmarkEnd w:id="1229"/>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52,638,815.64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94,813,715.44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代转销项税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7,178,114.31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7,914,274.62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102,727,990.06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230"/>
      <w:bookmarkEnd w:id="1231"/>
      <w:bookmarkEnd w:id="123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33"/>
      <w:bookmarkEnd w:id="1234"/>
      <w:bookmarkEnd w:id="1236"/>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31,712,189.98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31,712,189.98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129,761,355.00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129,761,355.00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161,473,544.98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37"/>
      <w:bookmarkEnd w:id="1238"/>
      <w:bookmarkEnd w:id="124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430,937.51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41"/>
      <w:bookmarkEnd w:id="1242"/>
      <w:bookmarkEnd w:id="12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45"/>
      <w:bookmarkEnd w:id="1246"/>
      <w:bookmarkEnd w:id="12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-1,157,993,533.31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-319,871,958.18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-12,648,724.59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-1,157,993,533.31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-332,520,682.77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-1,157,993,533.31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40" w:line="240" w:lineRule="auto"/>
        <w:ind w:left="0" w:right="0" w:firstLine="0"/>
        <w:jc w:val="left"/>
      </w:pPr>
      <w:bookmarkStart w:id="1249" w:name="bookmark1249"/>
      <w:r>
        <w:rPr>
          <w:rFonts w:ascii="Times New Roman" w:eastAsia="Times New Roman" w:hAnsi="Times New Roman" w:cs="Times New Roman"/>
          <w:color w:val="000000"/>
          <w:spacing w:val="0"/>
          <w:w w:val="100"/>
          <w:position w:val="0"/>
          <w:sz w:val="18"/>
          <w:szCs w:val="18"/>
        </w:rPr>
        <w:t>1</w:t>
      </w:r>
      <w:bookmarkEnd w:id="12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2</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251" w:name="bookmark1251"/>
      <w:r>
        <w:rPr>
          <w:rFonts w:ascii="Times New Roman" w:eastAsia="Times New Roman" w:hAnsi="Times New Roman" w:cs="Times New Roman"/>
          <w:color w:val="000000"/>
          <w:spacing w:val="0"/>
          <w:w w:val="100"/>
          <w:position w:val="0"/>
          <w:sz w:val="18"/>
          <w:szCs w:val="18"/>
        </w:rPr>
        <w:t>3</w:t>
      </w:r>
      <w:bookmarkEnd w:id="12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252" w:name="bookmark1252"/>
      <w:r>
        <w:rPr>
          <w:rFonts w:ascii="Times New Roman" w:eastAsia="Times New Roman" w:hAnsi="Times New Roman" w:cs="Times New Roman"/>
          <w:color w:val="000000"/>
          <w:spacing w:val="0"/>
          <w:w w:val="100"/>
          <w:position w:val="0"/>
          <w:sz w:val="18"/>
          <w:szCs w:val="18"/>
        </w:rPr>
        <w:t>4</w:t>
      </w:r>
      <w:bookmarkEnd w:id="12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253" w:name="bookmark1253"/>
      <w:r>
        <w:rPr>
          <w:rFonts w:ascii="Times New Roman" w:eastAsia="Times New Roman" w:hAnsi="Times New Roman" w:cs="Times New Roman"/>
          <w:color w:val="000000"/>
          <w:spacing w:val="0"/>
          <w:w w:val="100"/>
          <w:position w:val="0"/>
          <w:sz w:val="18"/>
          <w:szCs w:val="18"/>
        </w:rPr>
        <w:t>5</w:t>
      </w:r>
      <w:bookmarkEnd w:id="12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54"/>
      <w:bookmarkEnd w:id="1255"/>
      <w:bookmarkEnd w:id="125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2,470,854,128.11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5,409,769,552.94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3,328,669,602.49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47,410,429.85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2,499,591,561.31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3,376,080,032.34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89"/>
        <w:gridCol w:w="2640"/>
        <w:gridCol w:w="2578"/>
        <w:gridCol w:w="217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与主营业务无关的业务收 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42,194,422.91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51,809,775.99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2,346,455.28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1,712,647.65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53,522,423.64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与主营业务无关的业务收 入</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5,409,769,552.94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1,502,308,574.36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2,272,189,015.26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无</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元预计将于年度确认 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元预计将于年度确认收入。</w:t>
      </w:r>
    </w:p>
    <w:p>
      <w:pPr>
        <w:pStyle w:val="Style33"/>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58"/>
      <w:bookmarkEnd w:id="1259"/>
      <w:bookmarkEnd w:id="126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3,881,469.23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9,821,389.79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6,154,384.60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10,720,903.23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2,138,950.49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5,486,563.98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378,319.97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506,859.46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518,190.68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447,037.86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580,665.45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1,680,873.02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13,651,980.42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28,663,627.34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62"/>
      <w:bookmarkEnd w:id="1263"/>
      <w:bookmarkEnd w:id="12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租金及物业管理费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457,841,203.66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707,787,715.67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416,737,046.94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674,212,646.22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74,201,721.90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151,493,087.83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28,810,185.14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49,452,985.05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28,102,968.01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45,751,155.70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93,746,669.16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125,337,235.41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联营扣点费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65,824,697.97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33,393,525.97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61,753,197.30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58,732,423.07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78,027,690.49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10,115,867.95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27,032,852.99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30,435,229.26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28,448,863.00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102,667,897.52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115,967,002.62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1,994,212.74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3,375,435.86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66,680,816.02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59,557,379.04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1,469,284,465.31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2,128,197,247.18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66"/>
      <w:bookmarkEnd w:id="1267"/>
      <w:bookmarkEnd w:id="126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71,848,529.35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76,764,348.24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16,281,195.32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21,226,954.13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4,464,145.95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7,971,143.09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3,331,571.71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5,028,541.96</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6,093,315.70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7,211,791.56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3,682,087.66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4,434,703.04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1,818,380.40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2,301,624.59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5,299,705.25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8,598,039.62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20,423,697.61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13,979,979.15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133,242,628.95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147,517,125.38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270"/>
      <w:bookmarkEnd w:id="1271"/>
      <w:bookmarkEnd w:id="127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46,398,679.12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71,582,137.66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9,562,281.88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16,635,097.00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359,115.65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1,933,772.04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5,882,846.53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8,677,873.82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2,619,141.84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7,345,930.30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3,733,525.30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2,738,506.07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108,913,316.89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74"/>
      <w:bookmarkEnd w:id="1275"/>
      <w:bookmarkEnd w:id="127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73,538,857.77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90,728,975.60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1,806,338.61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2,059,575.21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5,352,659.18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1,398,293.83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77,400,378.01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90,067,694.22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278"/>
      <w:bookmarkEnd w:id="1279"/>
      <w:bookmarkEnd w:id="128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22,886,192.24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27,616,969.37</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82"/>
      <w:bookmarkEnd w:id="1283"/>
      <w:bookmarkEnd w:id="12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40,223,578.38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2,490,078.00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42,713,656.38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4</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286"/>
      <w:bookmarkEnd w:id="1287"/>
      <w:bookmarkEnd w:id="12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-7,827,270.93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-4,663,524.36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-59,110,988.81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-16,620,148.51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-150,758,360.70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-107,396,965.32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7,120,285.02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-1,451,097.93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-210,576,335.42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-130,131,736.12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90"/>
      <w:bookmarkEnd w:id="1291"/>
      <w:bookmarkEnd w:id="129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-188,806,966.65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-223,280,603.63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-30,857,285.31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-10,846,106.24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-49,271,969.81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-201,730,876.71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-314,255,964.99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294"/>
      <w:bookmarkEnd w:id="1295"/>
      <w:bookmarkEnd w:id="12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4,349,379.12</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98"/>
      <w:bookmarkEnd w:id="1299"/>
      <w:bookmarkEnd w:id="130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434,197.23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3,421,445.23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434,197.23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1,788,211.06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4,090,121.04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1,788,211.06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2,222,408.29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7,511,566.27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2,222,408.29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02"/>
      <w:bookmarkEnd w:id="1303"/>
      <w:bookmarkEnd w:id="130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1,137,832.46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1,137,832.46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110,833.70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110,833.70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关店损失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4,273,914.54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25,939,333.84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4,273,914.54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1,970,259.35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1,970,259.35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资产毁损损失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2,310,949.37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10,510,605.14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2,310,949.37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5,701,758.87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3,615,523.70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5,701,758.87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15,505,548.29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41,265,824.72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15,505,548.29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06"/>
      <w:bookmarkEnd w:id="1307"/>
      <w:bookmarkEnd w:id="1309"/>
    </w:p>
    <w:p>
      <w:pPr>
        <w:pStyle w:val="Style36"/>
        <w:keepNext/>
        <w:keepLines/>
        <w:widowControl w:val="0"/>
        <w:shd w:val="clear" w:color="auto" w:fill="auto"/>
        <w:bidi w:val="0"/>
        <w:spacing w:before="0" w:after="380" w:line="240" w:lineRule="auto"/>
        <w:ind w:left="0" w:right="0" w:firstLine="140"/>
        <w:jc w:val="left"/>
      </w:pPr>
      <w:bookmarkStart w:id="1306" w:name="bookmark1306"/>
      <w:bookmarkStart w:id="1307" w:name="bookmark1307"/>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06"/>
      <w:bookmarkEnd w:id="1307"/>
      <w:bookmarkEnd w:id="131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2,263,470.57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6,515,058.06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-651,228.98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37,970,343.26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5,863,829.08</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1"/>
      <w:bookmarkEnd w:id="1312"/>
      <w:bookmarkEnd w:id="1313"/>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-821,396,618.10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-205,349,154.53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-3,253,996.22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-52,867.98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1,893,354.09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252,354,273.40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权益法确认投资收益的影响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-7,621,265.50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37,970,343.26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14"/>
      <w:bookmarkEnd w:id="1315"/>
      <w:bookmarkEnd w:id="131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18"/>
      <w:bookmarkEnd w:id="1319"/>
      <w:bookmarkEnd w:id="1321"/>
    </w:p>
    <w:p>
      <w:pPr>
        <w:pStyle w:val="Style36"/>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18"/>
      <w:bookmarkEnd w:id="1319"/>
      <w:bookmarkEnd w:id="1322"/>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收到经营性往来款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191,165,429.37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74,331,219.64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39,302,439.98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22,437,679.33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27,616,969.37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4,028,746.90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25,276,367.69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256,934,295.58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127,224,556.70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23"/>
      <w:bookmarkEnd w:id="1324"/>
      <w:bookmarkEnd w:id="132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549,515,197.23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617,309,819.80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463,525,185.41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737,888,253.51</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43,037,610.59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13,083,765.22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24,416,841.18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1,069,161,758.45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1,379,614,914.49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26"/>
      <w:bookmarkEnd w:id="1327"/>
      <w:bookmarkEnd w:id="1329"/>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30"/>
      <w:bookmarkEnd w:id="1331"/>
      <w:bookmarkEnd w:id="1333"/>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34"/>
      <w:bookmarkEnd w:id="1335"/>
      <w:bookmarkEnd w:id="1337"/>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收回银行综合授信额度保证金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81,622,870.64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1,181,740.00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收到关联方资金拆借款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224,622,870.64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1,181,740.00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38"/>
      <w:bookmarkEnd w:id="1339"/>
      <w:bookmarkEnd w:id="1341"/>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支付银行综合授信额度保证金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85,070,461.00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85,070,461.00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42"/>
      <w:bookmarkEnd w:id="1343"/>
      <w:bookmarkEnd w:id="1345"/>
    </w:p>
    <w:p>
      <w:pPr>
        <w:pStyle w:val="Style36"/>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6" w:name="bookmark134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42"/>
      <w:bookmarkEnd w:id="1343"/>
      <w:bookmarkEnd w:id="1346"/>
    </w:p>
    <w:p>
      <w:pPr>
        <w:pStyle w:val="Style33"/>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412,307,212.13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444,387,701.11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58,143,234.25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70,186,313.00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8,203,607.73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13,426,892.69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85,557,991.71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232,092,256.63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-4,349,379.12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110,833.70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73,854,057.44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90,728,975.60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-42,713,656.38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-651,229.13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273,371,249.07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72,993,852.09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77,299,620.51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195,867,441.47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103,280,760.98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-129,888,189.81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116,608,127.61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290,052,443.29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290,052,443.29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380,481,225.03</w:t>
            </w:r>
          </w:p>
        </w:tc>
      </w:tr>
    </w:tbl>
    <w:p>
      <w:pPr>
        <w:widowControl w:val="0"/>
        <w:spacing w:line="1" w:lineRule="exact"/>
      </w:pP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-112,151,876.92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-90,428,781.74</w:t>
            </w:r>
          </w:p>
        </w:tc>
      </w:tr>
    </w:tbl>
    <w:p>
      <w:pPr>
        <w:widowControl w:val="0"/>
        <w:spacing w:after="379" w:line="1" w:lineRule="exact"/>
      </w:pPr>
    </w:p>
    <w:p>
      <w:pPr>
        <w:pStyle w:val="Style36"/>
        <w:keepNext/>
        <w:keepLines/>
        <w:widowControl w:val="0"/>
        <w:shd w:val="clear" w:color="auto" w:fill="auto"/>
        <w:tabs>
          <w:tab w:pos="493"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347"/>
      <w:bookmarkEnd w:id="1348"/>
      <w:bookmarkEnd w:id="135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351"/>
      <w:bookmarkEnd w:id="1352"/>
      <w:bookmarkEnd w:id="135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14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355"/>
      <w:bookmarkEnd w:id="1356"/>
      <w:bookmarkEnd w:id="13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290,052,443.29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1,352,642.22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177,119,699.81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288,699,801.07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290,052,443.29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359"/>
      <w:bookmarkEnd w:id="1360"/>
      <w:bookmarkEnd w:id="13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3,447,589.89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990,372,662.47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15,546,410.01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235,835,616.80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1,245,202,279.17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63"/>
      <w:bookmarkEnd w:id="1364"/>
      <w:bookmarkEnd w:id="1366"/>
    </w:p>
    <w:p>
      <w:pPr>
        <w:pStyle w:val="Style36"/>
        <w:keepNext/>
        <w:keepLines/>
        <w:widowControl w:val="0"/>
        <w:shd w:val="clear" w:color="auto" w:fill="auto"/>
        <w:bidi w:val="0"/>
        <w:spacing w:before="0" w:after="380" w:line="240" w:lineRule="auto"/>
        <w:ind w:left="0" w:right="0" w:firstLine="140"/>
        <w:jc w:val="left"/>
      </w:pPr>
      <w:bookmarkStart w:id="1363" w:name="bookmark1363"/>
      <w:bookmarkStart w:id="1364" w:name="bookmark1364"/>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63"/>
      <w:bookmarkEnd w:id="1364"/>
      <w:bookmarkEnd w:id="1367"/>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326" w:lineRule="exact"/>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68"/>
      <w:bookmarkEnd w:id="1369"/>
      <w:bookmarkEnd w:id="1370"/>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26" w:lineRule="exact"/>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371"/>
      <w:bookmarkEnd w:id="1372"/>
      <w:bookmarkEnd w:id="1374"/>
    </w:p>
    <w:p>
      <w:pPr>
        <w:pStyle w:val="Style36"/>
        <w:keepNext/>
        <w:keepLines/>
        <w:widowControl w:val="0"/>
        <w:shd w:val="clear" w:color="auto" w:fill="auto"/>
        <w:bidi w:val="0"/>
        <w:spacing w:before="0" w:after="380" w:line="326" w:lineRule="exact"/>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71"/>
      <w:bookmarkEnd w:id="1372"/>
      <w:bookmarkEnd w:id="13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19,873,750.65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19,873,750.65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313,118.63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313,118.63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119,139.52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119,139.52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759,253.98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759,253.98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1,177,145.93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1,177,145.93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643,783.53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643,783.53</w:t>
            </w:r>
          </w:p>
        </w:tc>
      </w:tr>
    </w:tbl>
    <w:p>
      <w:pPr>
        <w:pStyle w:val="Style36"/>
        <w:keepNext/>
        <w:keepLines/>
        <w:widowControl w:val="0"/>
        <w:shd w:val="clear" w:color="auto" w:fill="auto"/>
        <w:bidi w:val="0"/>
        <w:spacing w:before="0" w:after="28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76"/>
      <w:bookmarkEnd w:id="1377"/>
      <w:bookmarkEnd w:id="1378"/>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8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52</w:t>
      </w:r>
      <w:r>
        <w:rPr>
          <w:color w:val="000000"/>
          <w:spacing w:val="0"/>
          <w:w w:val="100"/>
          <w:position w:val="0"/>
        </w:rPr>
        <w:t>、其他</w:t>
      </w:r>
      <w:bookmarkEnd w:id="1379"/>
      <w:bookmarkEnd w:id="1380"/>
      <w:bookmarkEnd w:id="1381"/>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517"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sz w:val="24"/>
          <w:szCs w:val="24"/>
        </w:rPr>
        <w:t>八</w:t>
      </w:r>
      <w:bookmarkEnd w:id="1384"/>
      <w:r>
        <w:rPr>
          <w:color w:val="000000"/>
          <w:spacing w:val="0"/>
          <w:w w:val="100"/>
          <w:position w:val="0"/>
          <w:sz w:val="24"/>
          <w:szCs w:val="24"/>
        </w:rPr>
        <w:t>、</w:t>
        <w:tab/>
        <w:t>合并范围的变更</w:t>
      </w:r>
      <w:bookmarkEnd w:id="1382"/>
      <w:bookmarkEnd w:id="1383"/>
      <w:bookmarkEnd w:id="1385"/>
    </w:p>
    <w:p>
      <w:pPr>
        <w:pStyle w:val="Style36"/>
        <w:keepNext/>
        <w:keepLines/>
        <w:widowControl w:val="0"/>
        <w:shd w:val="clear" w:color="auto" w:fill="auto"/>
        <w:tabs>
          <w:tab w:pos="395" w:val="left"/>
        </w:tabs>
        <w:bidi w:val="0"/>
        <w:spacing w:before="0" w:after="2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color w:val="000000"/>
          <w:spacing w:val="0"/>
          <w:w w:val="100"/>
          <w:position w:val="0"/>
        </w:rPr>
        <w:t>、</w:t>
        <w:tab/>
        <w:t>其他原因的合并范围变动</w:t>
      </w:r>
      <w:bookmarkEnd w:id="1386"/>
      <w:bookmarkEnd w:id="1387"/>
      <w:bookmarkEnd w:id="1389"/>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日注销子公司太原美特斯邦威服饰有限公司，注册资本为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日注销子公司沈阳贸邦服饰商贸有限公司，注册资本为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万元，本公司实际出资为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万元。</w:t>
      </w:r>
    </w:p>
    <w:p>
      <w:pPr>
        <w:pStyle w:val="Style36"/>
        <w:keepNext/>
        <w:keepLines/>
        <w:widowControl w:val="0"/>
        <w:shd w:val="clear" w:color="auto" w:fill="auto"/>
        <w:tabs>
          <w:tab w:pos="395" w:val="left"/>
        </w:tabs>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color w:val="000000"/>
          <w:spacing w:val="0"/>
          <w:w w:val="100"/>
          <w:position w:val="0"/>
        </w:rPr>
        <w:t>、</w:t>
        <w:tab/>
        <w:t>其他</w:t>
      </w:r>
      <w:bookmarkEnd w:id="1390"/>
      <w:bookmarkEnd w:id="1391"/>
      <w:bookmarkEnd w:id="1393"/>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517"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sz w:val="24"/>
          <w:szCs w:val="24"/>
        </w:rPr>
        <w:t>九</w:t>
      </w:r>
      <w:bookmarkEnd w:id="1396"/>
      <w:r>
        <w:rPr>
          <w:color w:val="000000"/>
          <w:spacing w:val="0"/>
          <w:w w:val="100"/>
          <w:position w:val="0"/>
          <w:sz w:val="24"/>
          <w:szCs w:val="24"/>
        </w:rPr>
        <w:t>、</w:t>
        <w:tab/>
        <w:t>在其他主体中的权益</w:t>
      </w:r>
      <w:bookmarkEnd w:id="1394"/>
      <w:bookmarkEnd w:id="1395"/>
      <w:bookmarkEnd w:id="1397"/>
    </w:p>
    <w:p>
      <w:pPr>
        <w:pStyle w:val="Style36"/>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98"/>
      <w:bookmarkEnd w:id="1399"/>
      <w:bookmarkEnd w:id="1400"/>
    </w:p>
    <w:p>
      <w:pPr>
        <w:pStyle w:val="Style36"/>
        <w:keepNext/>
        <w:keepLines/>
        <w:widowControl w:val="0"/>
        <w:shd w:val="clear" w:color="auto" w:fill="auto"/>
        <w:bidi w:val="0"/>
        <w:spacing w:before="0" w:after="280" w:line="240" w:lineRule="auto"/>
        <w:ind w:left="0" w:right="0" w:firstLine="140"/>
        <w:jc w:val="left"/>
      </w:pPr>
      <w:bookmarkStart w:id="1398" w:name="bookmark1398"/>
      <w:bookmarkStart w:id="1399" w:name="bookmark1399"/>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98"/>
      <w:bookmarkEnd w:id="1399"/>
      <w:bookmarkEnd w:id="1401"/>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上海美特斯邦威 服饰博物馆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批发零售业非营 利性组织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设立</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哈尔滨美特斯邦 威服饰有限公司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温州美特斯邦威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广西美特斯邦威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长春美特斯邦威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兰州美特斯邦威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服饰有限责任公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上海米安斯迪服 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苏州美特斯邦威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上海邦购信息科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上海霓尚服饰有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乌鲁木齐美特斯 邦威服饰有限公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上海华邦科创信 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上海祺格服饰有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上海邦彤实业有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西宁美特斯邦威 服饰有限责任公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贵阳美特斯邦威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上海美邦邦购网 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上海美潮国际贸 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有范网络科技有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上海库升服饰有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上海模共实业有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上海潮范电子商 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丹东市贸邦商贸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上海美特斯邦威 服饰销售有限公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成都美特斯邦威 服饰有限责任公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沈阳美特斯邦威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济南美特斯邦威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福州美特斯邦威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昆明美特斯邦威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南昌美特斯邦威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西安美特斯邦威 服饰有限责任公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杭州邦威服饰有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北京美特斯邦威 服饰有限公司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重庆美特斯邦威 服饰有限责任公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广州美特斯邦威 服装有限公司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南京美特斯邦威 服饰有限公司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同一控制下的企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2"/>
      <w:bookmarkEnd w:id="1403"/>
      <w:bookmarkEnd w:id="1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子公司少数股东的持股比例不同于表决权比例的说明: 无</w:t>
      </w:r>
    </w:p>
    <w:p>
      <w:pPr>
        <w:pStyle w:val="Style33"/>
        <w:keepNext w:val="0"/>
        <w:keepLines w:val="0"/>
        <w:widowControl w:val="0"/>
        <w:shd w:val="clear" w:color="auto" w:fill="auto"/>
        <w:bidi w:val="0"/>
        <w:spacing w:before="0" w:after="380" w:line="370" w:lineRule="exact"/>
        <w:ind w:left="0" w:right="0" w:firstLine="0"/>
        <w:jc w:val="left"/>
      </w:pPr>
      <w:r>
        <w:rPr>
          <w:color w:val="000000"/>
          <w:spacing w:val="0"/>
          <w:w w:val="100"/>
          <w:position w:val="0"/>
        </w:rPr>
        <w:t>其他说明： 无</w:t>
      </w:r>
    </w:p>
    <w:p>
      <w:pPr>
        <w:pStyle w:val="Style36"/>
        <w:keepNext/>
        <w:keepLines/>
        <w:widowControl w:val="0"/>
        <w:numPr>
          <w:ilvl w:val="0"/>
          <w:numId w:val="31"/>
        </w:numPr>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重要非全资子公司的主要财务信息</w:t>
      </w:r>
      <w:bookmarkEnd w:id="1405"/>
      <w:bookmarkEnd w:id="1406"/>
      <w:bookmarkEnd w:id="14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409"/>
      <w:bookmarkEnd w:id="1410"/>
      <w:bookmarkEnd w:id="1412"/>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13"/>
      <w:bookmarkEnd w:id="1414"/>
      <w:bookmarkEnd w:id="1416"/>
    </w:p>
    <w:p>
      <w:pPr>
        <w:pStyle w:val="Style33"/>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17"/>
      <w:bookmarkEnd w:id="1418"/>
      <w:bookmarkEnd w:id="1419"/>
    </w:p>
    <w:p>
      <w:pPr>
        <w:pStyle w:val="Style36"/>
        <w:keepNext/>
        <w:keepLines/>
        <w:widowControl w:val="0"/>
        <w:shd w:val="clear" w:color="auto" w:fill="auto"/>
        <w:bidi w:val="0"/>
        <w:spacing w:before="0" w:after="300" w:line="240" w:lineRule="auto"/>
        <w:ind w:left="0" w:right="0" w:firstLine="140"/>
        <w:jc w:val="left"/>
      </w:pPr>
      <w:bookmarkStart w:id="1417" w:name="bookmark1417"/>
      <w:bookmarkStart w:id="1418" w:name="bookmark1418"/>
      <w:bookmarkStart w:id="1420" w:name="bookmark142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17"/>
      <w:bookmarkEnd w:id="1418"/>
      <w:bookmarkEnd w:id="142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上海华瑞银行股 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金融银行业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本公司持有上海华瑞银行股份有限公司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华瑞银行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的股份，系该银行的第二大股东，并且除第一和第三 大股东的持股比例分别占</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外，其余股东持股比例都在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以下。本公司由一位高管人员行使表决权，每一股份享有 一票表决权。股东大会和董事会对于公司决议表决需要达到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以上，重大决议表决需要达到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以上，各股东在董事会拥 有席位不超过</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。综上，本公司认为能够对该银行的运营实施重大影响，故而本公司将对该银行的投资作为对联营企业的 长期股权投资来确认和计量。</w:t>
      </w:r>
    </w:p>
    <w:p>
      <w:pPr>
        <w:pStyle w:val="Style36"/>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21"/>
      <w:bookmarkEnd w:id="1422"/>
      <w:bookmarkEnd w:id="14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华瑞银行</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华瑞银行</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43,393,804,768.63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39,627,260,862.83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39,203,329,770.05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35,638,715,865.80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4,190,474,998.58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3,988,544,997.03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598,281,749.94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598,281,749.94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1,157,738,816.77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992,989,901.83</w:t>
            </w:r>
          </w:p>
        </w:tc>
      </w:tr>
    </w:tbl>
    <w:p>
      <w:pPr>
        <w:widowControl w:val="0"/>
        <w:spacing w:line="1" w:lineRule="exact"/>
      </w:pP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203,233,746.53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268,157,189.18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-1,303,744.98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1,642,847.86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201,930,001.55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269,800,037.04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240" w:line="240" w:lineRule="auto"/>
        <w:ind w:left="0" w:right="0" w:firstLine="0"/>
        <w:jc w:val="left"/>
      </w:pPr>
      <w:bookmarkStart w:id="1424" w:name="bookmark1424"/>
      <w:bookmarkStart w:id="1425" w:name="bookmark1425"/>
      <w:bookmarkStart w:id="1426" w:name="bookmark1426"/>
      <w:r>
        <w:rPr>
          <w:color w:val="000000"/>
          <w:spacing w:val="0"/>
          <w:w w:val="100"/>
          <w:position w:val="0"/>
          <w:sz w:val="24"/>
          <w:szCs w:val="24"/>
        </w:rPr>
        <w:t>十、与金融工具相关的风险</w:t>
      </w:r>
      <w:bookmarkEnd w:id="1424"/>
      <w:bookmarkEnd w:id="1425"/>
      <w:bookmarkEnd w:id="1426"/>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本公司的主要金融工具包括借款、应收账款、应付账款等，各项金融工具的详细情况说明见本附注六相关项目。与这 些金融工具有关的风险，以及本公司为降低这些风险所采取的风险管理政策如下所述。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董事会负责规划并建立本公司的风险管理架构，制定本公司的风险管理政策和相关指引并监督其执行情况。风险管理 政策中对特定风险进行了明确规定，涵盖了信用风险和流动性风险管理等诸多方面。本公司定期评估市场环境及经营活动的 变化以决定是否对风险管理政策及系统进行更新。本公司的风险管理由风险管理委员会按照董事会批准的政策开展。风险管 理委员会通过与本公司其他业务部门的紧密合作来识别、评价和规避相关风险。本公司内部审计部门就风险管理控制及程序 进行定期的审核，并将审核结果上报本公司的审计委员会。</w:t>
      </w:r>
    </w:p>
    <w:p>
      <w:pPr>
        <w:pStyle w:val="Style33"/>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33"/>
        <w:keepNext w:val="0"/>
        <w:keepLines w:val="0"/>
        <w:widowControl w:val="0"/>
        <w:numPr>
          <w:ilvl w:val="0"/>
          <w:numId w:val="33"/>
        </w:numPr>
        <w:shd w:val="clear" w:color="auto" w:fill="auto"/>
        <w:tabs>
          <w:tab w:pos="685" w:val="left"/>
        </w:tabs>
        <w:bidi w:val="0"/>
        <w:spacing w:before="0" w:after="0" w:line="360" w:lineRule="auto"/>
        <w:ind w:left="0" w:right="0" w:firstLine="440"/>
        <w:jc w:val="left"/>
      </w:pPr>
      <w:bookmarkStart w:id="1427" w:name="bookmark1427"/>
      <w:bookmarkEnd w:id="1427"/>
      <w:r>
        <w:rPr>
          <w:color w:val="000000"/>
          <w:spacing w:val="0"/>
          <w:w w:val="100"/>
          <w:position w:val="0"/>
        </w:rPr>
        <w:t>信用风险</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本公司信用风险主要为合同另一方未能履行义务而导致本公司金融资产产生损失的风险。截止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 引起本公司财务损失的最大信用风险敞口具体为合并资产负债表中已确认的金融资产的账面金额。</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本公司仅与经认可的、信誉良好的第三方进行交易。按照本公司的政策，需对所有要求采用信用方式进行交易的客户 进行信用审核审批，同时执行其他监控程序以确保采取必要的措施回收过期债权。此外，本公司于每个资产负债表日审核应 收款的回收情况，以确保就无法回收的款项计提充分的坏账准备。因此，本公司管理层认为本公司所承担的信用风险已经大 为降低。</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本公司的流动资金存放在信用评级较高的银行，故流动资金的信用风险较低。</w:t>
      </w:r>
    </w:p>
    <w:p>
      <w:pPr>
        <w:pStyle w:val="Style33"/>
        <w:keepNext w:val="0"/>
        <w:keepLines w:val="0"/>
        <w:widowControl w:val="0"/>
        <w:numPr>
          <w:ilvl w:val="0"/>
          <w:numId w:val="33"/>
        </w:numPr>
        <w:shd w:val="clear" w:color="auto" w:fill="auto"/>
        <w:tabs>
          <w:tab w:pos="704" w:val="left"/>
        </w:tabs>
        <w:bidi w:val="0"/>
        <w:spacing w:before="0" w:after="0" w:line="360" w:lineRule="auto"/>
        <w:ind w:left="0" w:right="0" w:firstLine="440"/>
        <w:jc w:val="both"/>
      </w:pPr>
      <w:bookmarkStart w:id="1428" w:name="bookmark1428"/>
      <w:bookmarkEnd w:id="1428"/>
      <w:r>
        <w:rPr>
          <w:color w:val="000000"/>
          <w:spacing w:val="0"/>
          <w:w w:val="100"/>
          <w:position w:val="0"/>
        </w:rPr>
        <w:t>市场风险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金融工具的市场风险是指金融工具的公允价值或未来现金流量因市场价格变动而产生的风险。本公司金融工具的市场 风险为利率风险，因利率变动引起金融工具现金流量变动的风险主要与浮动利率银行借款有关。本公司的政策是保持这些借 款的浮动利率。</w:t>
      </w:r>
    </w:p>
    <w:p>
      <w:pPr>
        <w:pStyle w:val="Style33"/>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市场利率变化影响可变利率金融工具的利息收入或费用，在其他变量不变的情况下，利率可能发生的合理变动对当期 损益和股东权益的税前影响如下：</w:t>
      </w:r>
    </w:p>
    <w:tbl>
      <w:tblPr>
        <w:tblOverlap w:val="never"/>
        <w:jc w:val="center"/>
        <w:tblLayout w:type="fixed"/>
      </w:tblPr>
      <w:tblGrid>
        <w:gridCol w:w="1714"/>
        <w:gridCol w:w="1795"/>
        <w:gridCol w:w="1843"/>
        <w:gridCol w:w="1973"/>
        <w:gridCol w:w="1728"/>
      </w:tblGrid>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短期借款 利率变动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对股东权益的影响</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-14,584,191.69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-14,584,191.69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-19,960,374.63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-19,960,374.63</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14,461,292.42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14,461,292.42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19,053,084.88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19,053,084.88</w:t>
            </w:r>
          </w:p>
        </w:tc>
      </w:tr>
    </w:tbl>
    <w:p>
      <w:pPr>
        <w:pStyle w:val="Style3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上述敏感性分析显示，利率风险不会对本公司的利润总额和股东权益产生重大影响。</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.流动风险</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本公司采用循环流动性计划工具管理资金短缺风险。该工具既考虑其金融工具的到期日，也考虑本公司运营产生的预 计现金流量。本公司的目标是运用银行借款和票据贴现等多种融资手段以保持融资的持续性与灵活性的平衡。</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本公司持有的金融负债按未折现剩余合同义务的到期期限分析如下：</w:t>
      </w:r>
    </w:p>
    <w:p>
      <w:pPr>
        <w:widowControl w:val="0"/>
        <w:spacing w:line="1" w:lineRule="exact"/>
      </w:pPr>
    </w:p>
    <w:tbl>
      <w:tblPr>
        <w:tblOverlap w:val="never"/>
        <w:jc w:val="left"/>
        <w:tblLayout w:type="fixed"/>
      </w:tblPr>
      <w:tblGrid>
        <w:gridCol w:w="1714"/>
        <w:gridCol w:w="1800"/>
        <w:gridCol w:w="2386"/>
        <w:gridCol w:w="2458"/>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1,266,036,962.25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80,188,613.22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1,346,225,575.47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329,879,070.28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146,922,495.88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476,801,566.16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700,977,429.82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461,879,687.97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1,162,857,117.79</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226,052,054.59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456,051,148.93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682,103,203.52</w:t>
            </w: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r>
        <w:rPr>
          <w:color w:val="000000"/>
          <w:spacing w:val="0"/>
          <w:w w:val="100"/>
          <w:position w:val="0"/>
          <w:sz w:val="24"/>
          <w:szCs w:val="24"/>
        </w:rPr>
        <w:t>十^一、公允价值的披露</w:t>
      </w:r>
      <w:bookmarkEnd w:id="1429"/>
      <w:bookmarkEnd w:id="1430"/>
      <w:bookmarkEnd w:id="1431"/>
    </w:p>
    <w:p>
      <w:pPr>
        <w:pStyle w:val="Style36"/>
        <w:keepNext/>
        <w:keepLines/>
        <w:widowControl w:val="0"/>
        <w:shd w:val="clear" w:color="auto" w:fill="auto"/>
        <w:bidi w:val="0"/>
        <w:spacing w:before="0" w:after="24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32"/>
      <w:bookmarkEnd w:id="1433"/>
      <w:bookmarkEnd w:id="1434"/>
    </w:p>
    <w:p>
      <w:pPr>
        <w:pStyle w:val="Style33"/>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本公司长期应收款采用未来现金流量折现法确定公允价值，其他金融工具（货币资金、应收账款、应付票据、应付账 款等），因剩余期限不长，账面价值与公允价值的差异很小。</w:t>
      </w:r>
    </w:p>
    <w:p>
      <w:pPr>
        <w:pStyle w:val="Style29"/>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r>
        <w:rPr>
          <w:color w:val="000000"/>
          <w:spacing w:val="0"/>
          <w:w w:val="100"/>
          <w:position w:val="0"/>
          <w:sz w:val="24"/>
          <w:szCs w:val="24"/>
        </w:rPr>
        <w:t>十二、关联方及关联交易</w:t>
      </w:r>
      <w:bookmarkEnd w:id="1435"/>
      <w:bookmarkEnd w:id="1436"/>
      <w:bookmarkEnd w:id="1437"/>
    </w:p>
    <w:p>
      <w:pPr>
        <w:pStyle w:val="Style36"/>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38"/>
      <w:bookmarkEnd w:id="1439"/>
      <w:bookmarkEnd w:id="144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上海华服投资有限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实业投资投资管理 企业管理咨询投资、 信息咨询企业策划 景观设计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335,285,714.00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480" w:line="240" w:lineRule="auto"/>
        <w:ind w:left="0" w:right="0" w:firstLine="0"/>
        <w:jc w:val="left"/>
      </w:pPr>
      <w:r>
        <w:rPr>
          <w:color w:val="000000"/>
          <w:spacing w:val="0"/>
          <w:w w:val="100"/>
          <w:position w:val="0"/>
        </w:rPr>
        <w:t>周成建先生持有华服投资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的股权，是本公司的实际控制人。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本企业最终控制方是周成建。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本企业的子公司情况</w:t>
      </w:r>
      <w:bookmarkEnd w:id="1441"/>
      <w:bookmarkEnd w:id="1442"/>
      <w:bookmarkEnd w:id="144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color w:val="000000"/>
          <w:spacing w:val="0"/>
          <w:w w:val="100"/>
          <w:position w:val="0"/>
        </w:rPr>
        <w:t>、</w:t>
        <w:tab/>
        <w:t>本企业合营和联营企业情况</w:t>
      </w:r>
      <w:bookmarkEnd w:id="1445"/>
      <w:bookmarkEnd w:id="1446"/>
      <w:bookmarkEnd w:id="144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color w:val="000000"/>
          <w:spacing w:val="0"/>
          <w:w w:val="100"/>
          <w:position w:val="0"/>
        </w:rPr>
        <w:t>、其他关联方情况</w:t>
      </w:r>
      <w:bookmarkEnd w:id="1449"/>
      <w:bookmarkEnd w:id="1450"/>
      <w:bookmarkEnd w:id="14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本公司的董事长，持有本公司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以上表决权股份，本公司最 终控股股东的女儿</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美特斯邦威集团有限公司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与本公司受同一最终控股股东控制的公司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本公司最终控股股东的姐姐</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本公司最终控股股东的妹夫</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本公司的关键高级管理人员</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color w:val="000000"/>
          <w:spacing w:val="0"/>
          <w:w w:val="100"/>
          <w:position w:val="0"/>
        </w:rPr>
        <w:t>、关联交易情况</w:t>
      </w:r>
      <w:bookmarkEnd w:id="1453"/>
      <w:bookmarkEnd w:id="1454"/>
      <w:bookmarkEnd w:id="1456"/>
    </w:p>
    <w:p>
      <w:pPr>
        <w:pStyle w:val="Style36"/>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53"/>
      <w:bookmarkEnd w:id="1454"/>
      <w:bookmarkEnd w:id="145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42,259,248.77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31,077,928.69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-1,946,440.18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14,171,396.28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1,293,242.11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3,932,376.76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58"/>
      <w:bookmarkEnd w:id="1459"/>
      <w:bookmarkEnd w:id="146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3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美特斯邦威集团有限公司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3,783,320.00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13,730,000.00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61"/>
      <w:bookmarkEnd w:id="1462"/>
      <w:bookmarkEnd w:id="146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465"/>
      <w:bookmarkEnd w:id="1466"/>
      <w:bookmarkEnd w:id="1468"/>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469"/>
      <w:bookmarkEnd w:id="1470"/>
      <w:bookmarkEnd w:id="1472"/>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5,656,855.00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9,646,314.00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473"/>
      <w:bookmarkEnd w:id="1474"/>
      <w:bookmarkEnd w:id="147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日，本公司在联营企业华瑞银行办理存款业务形成的货币资金余额为</w:t>
      </w:r>
      <w:r>
        <w:rPr>
          <w:color w:val="000000"/>
          <w:spacing w:val="0"/>
          <w:w w:val="100"/>
          <w:position w:val="0"/>
          <w:sz w:val="18"/>
          <w:szCs w:val="18"/>
        </w:rPr>
        <w:t xml:space="preserve">47, </w:t>
      </w:r>
      <w:r>
        <w:rPr>
          <w:color w:val="000000"/>
          <w:spacing w:val="0"/>
          <w:w w:val="100"/>
          <w:position w:val="0"/>
          <w:sz w:val="18"/>
          <w:szCs w:val="18"/>
        </w:rPr>
        <w:t>219.48</w:t>
      </w:r>
      <w:r>
        <w:rPr>
          <w:color w:val="000000"/>
          <w:spacing w:val="0"/>
          <w:w w:val="100"/>
          <w:position w:val="0"/>
        </w:rPr>
        <w:t>元，利息为</w:t>
      </w:r>
      <w:r>
        <w:rPr>
          <w:color w:val="000000"/>
          <w:spacing w:val="0"/>
          <w:w w:val="100"/>
          <w:position w:val="0"/>
          <w:sz w:val="18"/>
          <w:szCs w:val="18"/>
        </w:rPr>
        <w:t xml:space="preserve">166. </w:t>
      </w:r>
      <w:r>
        <w:rPr>
          <w:color w:val="000000"/>
          <w:spacing w:val="0"/>
          <w:w w:val="100"/>
          <w:position w:val="0"/>
          <w:sz w:val="18"/>
          <w:szCs w:val="18"/>
        </w:rPr>
        <w:t>04</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color w:val="000000"/>
          <w:spacing w:val="0"/>
          <w:w w:val="100"/>
          <w:position w:val="0"/>
        </w:rPr>
        <w:t>、关联方应收应付款项</w:t>
      </w:r>
      <w:bookmarkEnd w:id="1477"/>
      <w:bookmarkEnd w:id="1478"/>
      <w:bookmarkEnd w:id="1480"/>
    </w:p>
    <w:p>
      <w:pPr>
        <w:pStyle w:val="Style36"/>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77"/>
      <w:bookmarkEnd w:id="1478"/>
      <w:bookmarkEnd w:id="14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82,088,817.30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7,679,722.74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36,037,954.29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3,862,416.04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370,492.75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6,785,133.01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813,137.52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2,976,978.20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both"/>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82"/>
      <w:bookmarkEnd w:id="1483"/>
      <w:bookmarkEnd w:id="148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95,113,133.33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360,769.00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781,053.00</w:t>
            </w:r>
          </w:p>
        </w:tc>
      </w:tr>
    </w:tbl>
    <w:p>
      <w:pPr>
        <w:widowControl w:val="0"/>
        <w:spacing w:after="319" w:line="1" w:lineRule="exact"/>
      </w:pPr>
    </w:p>
    <w:p>
      <w:pPr>
        <w:pStyle w:val="Style36"/>
        <w:keepNext/>
        <w:keepLines/>
        <w:widowControl w:val="0"/>
        <w:shd w:val="clear" w:color="auto" w:fill="auto"/>
        <w:tabs>
          <w:tab w:pos="373" w:val="left"/>
        </w:tabs>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7</w:t>
      </w:r>
      <w:bookmarkEnd w:id="1487"/>
      <w:r>
        <w:rPr>
          <w:color w:val="000000"/>
          <w:spacing w:val="0"/>
          <w:w w:val="100"/>
          <w:position w:val="0"/>
        </w:rPr>
        <w:t>、</w:t>
        <w:tab/>
        <w:t>关联方承诺</w:t>
      </w:r>
      <w:bookmarkEnd w:id="1485"/>
      <w:bookmarkEnd w:id="1486"/>
      <w:bookmarkEnd w:id="148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8</w:t>
      </w:r>
      <w:bookmarkEnd w:id="1491"/>
      <w:r>
        <w:rPr>
          <w:color w:val="000000"/>
          <w:spacing w:val="0"/>
          <w:w w:val="100"/>
          <w:position w:val="0"/>
        </w:rPr>
        <w:t>、</w:t>
        <w:tab/>
        <w:t>其他</w:t>
      </w:r>
      <w:bookmarkEnd w:id="1489"/>
      <w:bookmarkEnd w:id="1490"/>
      <w:bookmarkEnd w:id="1492"/>
    </w:p>
    <w:p>
      <w:pPr>
        <w:pStyle w:val="Style33"/>
        <w:keepNext w:val="0"/>
        <w:keepLines w:val="0"/>
        <w:widowControl w:val="0"/>
        <w:shd w:val="clear" w:color="auto" w:fill="auto"/>
        <w:bidi w:val="0"/>
        <w:spacing w:before="0" w:after="66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r>
        <w:rPr>
          <w:color w:val="000000"/>
          <w:spacing w:val="0"/>
          <w:w w:val="100"/>
          <w:position w:val="0"/>
          <w:sz w:val="24"/>
          <w:szCs w:val="24"/>
        </w:rPr>
        <w:t>十三、承诺及或有事项</w:t>
      </w:r>
      <w:bookmarkEnd w:id="1493"/>
      <w:bookmarkEnd w:id="1494"/>
      <w:bookmarkEnd w:id="1495"/>
    </w:p>
    <w:p>
      <w:pPr>
        <w:pStyle w:val="Style36"/>
        <w:keepNext/>
        <w:keepLines/>
        <w:widowControl w:val="0"/>
        <w:shd w:val="clear" w:color="auto" w:fill="auto"/>
        <w:tabs>
          <w:tab w:pos="368" w:val="left"/>
        </w:tabs>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1</w:t>
      </w:r>
      <w:bookmarkEnd w:id="1498"/>
      <w:r>
        <w:rPr>
          <w:color w:val="000000"/>
          <w:spacing w:val="0"/>
          <w:w w:val="100"/>
          <w:position w:val="0"/>
        </w:rPr>
        <w:t>、</w:t>
        <w:tab/>
        <w:t>重要承诺事项</w:t>
      </w:r>
      <w:bookmarkEnd w:id="1496"/>
      <w:bookmarkEnd w:id="1497"/>
      <w:bookmarkEnd w:id="1499"/>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截至资产负债表日本集团并无需作披露的主要承诺事项。</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color w:val="000000"/>
          <w:spacing w:val="0"/>
          <w:w w:val="100"/>
          <w:position w:val="0"/>
        </w:rPr>
        <w:t>、</w:t>
        <w:tab/>
        <w:t>或有事项</w:t>
      </w:r>
      <w:bookmarkEnd w:id="1500"/>
      <w:bookmarkEnd w:id="1501"/>
      <w:bookmarkEnd w:id="1503"/>
    </w:p>
    <w:p>
      <w:pPr>
        <w:pStyle w:val="Style36"/>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00"/>
      <w:bookmarkEnd w:id="1501"/>
      <w:bookmarkEnd w:id="1504"/>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截至资产负债表日，本集团并无需作披露的或有事项。</w:t>
      </w:r>
    </w:p>
    <w:p>
      <w:pPr>
        <w:pStyle w:val="Style36"/>
        <w:keepNext/>
        <w:keepLines/>
        <w:widowControl w:val="0"/>
        <w:shd w:val="clear" w:color="auto" w:fill="auto"/>
        <w:bidi w:val="0"/>
        <w:spacing w:before="0" w:after="0" w:line="614" w:lineRule="exact"/>
        <w:ind w:left="0" w:right="0" w:firstLine="0"/>
        <w:jc w:val="left"/>
        <w:rPr>
          <w:sz w:val="17"/>
          <w:szCs w:val="17"/>
        </w:rPr>
      </w:pPr>
      <w:bookmarkStart w:id="1505" w:name="bookmark1505"/>
      <w:bookmarkStart w:id="1506" w:name="bookmark1506"/>
      <w:bookmarkStart w:id="1507" w:name="bookmark1507"/>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）公司没有需要披露的重要或有事项，也应予以说明 </w:t>
      </w:r>
      <w:r>
        <w:rPr>
          <w:b w:val="0"/>
          <w:bCs w:val="0"/>
          <w:color w:val="000000"/>
          <w:spacing w:val="0"/>
          <w:w w:val="100"/>
          <w:position w:val="0"/>
          <w:sz w:val="17"/>
          <w:szCs w:val="17"/>
        </w:rPr>
        <w:t>公司不存在需要披露的重要或有事项。</w:t>
      </w:r>
      <w:bookmarkEnd w:id="1505"/>
      <w:bookmarkEnd w:id="1506"/>
      <w:bookmarkEnd w:id="1507"/>
    </w:p>
    <w:p>
      <w:pPr>
        <w:pStyle w:val="Style36"/>
        <w:keepNext/>
        <w:keepLines/>
        <w:widowControl w:val="0"/>
        <w:shd w:val="clear" w:color="auto" w:fill="auto"/>
        <w:bidi w:val="0"/>
        <w:spacing w:before="0" w:after="0" w:line="614" w:lineRule="exact"/>
        <w:ind w:left="0" w:right="0" w:firstLine="0"/>
        <w:jc w:val="left"/>
      </w:pPr>
      <w:bookmarkStart w:id="1505" w:name="bookmark1505"/>
      <w:bookmarkStart w:id="1506" w:name="bookmark1506"/>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color w:val="000000"/>
          <w:spacing w:val="0"/>
          <w:w w:val="100"/>
          <w:position w:val="0"/>
        </w:rPr>
        <w:t>、其他</w:t>
      </w:r>
      <w:bookmarkEnd w:id="1505"/>
      <w:bookmarkEnd w:id="1506"/>
      <w:bookmarkEnd w:id="1509"/>
    </w:p>
    <w:p>
      <w:pPr>
        <w:pStyle w:val="Style33"/>
        <w:keepNext w:val="0"/>
        <w:keepLines w:val="0"/>
        <w:widowControl w:val="0"/>
        <w:shd w:val="clear" w:color="auto" w:fill="auto"/>
        <w:bidi w:val="0"/>
        <w:spacing w:before="0" w:after="380" w:line="614"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0" w:line="240" w:lineRule="auto"/>
        <w:ind w:left="0" w:right="0" w:firstLine="0"/>
        <w:jc w:val="left"/>
      </w:pPr>
      <w:bookmarkStart w:id="1510" w:name="bookmark1510"/>
      <w:bookmarkStart w:id="1511" w:name="bookmark1511"/>
      <w:bookmarkStart w:id="1512" w:name="bookmark1512"/>
      <w:r>
        <w:rPr>
          <w:color w:val="000000"/>
          <w:spacing w:val="0"/>
          <w:w w:val="100"/>
          <w:position w:val="0"/>
          <w:sz w:val="24"/>
          <w:szCs w:val="24"/>
        </w:rPr>
        <w:t>十四、资产负债表日后事项</w:t>
      </w:r>
      <w:bookmarkEnd w:id="1510"/>
      <w:bookmarkEnd w:id="1511"/>
      <w:bookmarkEnd w:id="1512"/>
    </w:p>
    <w:p>
      <w:pPr>
        <w:pStyle w:val="Style36"/>
        <w:keepNext/>
        <w:keepLines/>
        <w:widowControl w:val="0"/>
        <w:shd w:val="clear" w:color="auto" w:fill="auto"/>
        <w:bidi w:val="0"/>
        <w:spacing w:before="0" w:after="380" w:line="614" w:lineRule="exact"/>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13"/>
      <w:bookmarkEnd w:id="1514"/>
      <w:bookmarkEnd w:id="151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16"/>
      <w:bookmarkEnd w:id="1517"/>
      <w:bookmarkEnd w:id="151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tabs>
          <w:tab w:pos="378" w:val="left"/>
        </w:tabs>
        <w:bidi w:val="0"/>
        <w:spacing w:before="0" w:after="2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w:t>
        <w:tab/>
        <w:t>销售退回</w:t>
      </w:r>
      <w:bookmarkEnd w:id="1519"/>
      <w:bookmarkEnd w:id="1520"/>
      <w:bookmarkEnd w:id="1522"/>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26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color w:val="000000"/>
          <w:spacing w:val="0"/>
          <w:w w:val="100"/>
          <w:position w:val="0"/>
        </w:rPr>
        <w:t>、</w:t>
        <w:tab/>
        <w:t>其他资产负债表日后事项说明</w:t>
      </w:r>
      <w:bookmarkEnd w:id="1523"/>
      <w:bookmarkEnd w:id="1524"/>
      <w:bookmarkEnd w:id="1526"/>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日，本公司第五届董事会第六次会议审议通过了《关于出售股权资产的议案》</w:t>
      </w:r>
      <w:r>
        <w:rPr>
          <w:color w:val="000000"/>
          <w:spacing w:val="0"/>
          <w:w w:val="100"/>
          <w:position w:val="0"/>
          <w:sz w:val="18"/>
          <w:szCs w:val="18"/>
        </w:rPr>
        <w:t>，</w:t>
      </w:r>
      <w:r>
        <w:rPr>
          <w:color w:val="000000"/>
          <w:spacing w:val="0"/>
          <w:w w:val="100"/>
          <w:position w:val="0"/>
        </w:rPr>
        <w:t>本公司与子公司上海邦购信 息科技有限公司（“邦购信息”</w:t>
      </w:r>
      <w:r>
        <w:rPr>
          <w:color w:val="000000"/>
          <w:spacing w:val="0"/>
          <w:w w:val="100"/>
          <w:position w:val="0"/>
          <w:sz w:val="18"/>
          <w:szCs w:val="18"/>
        </w:rPr>
        <w:t>）</w:t>
      </w:r>
      <w:r>
        <w:rPr>
          <w:color w:val="000000"/>
          <w:spacing w:val="0"/>
          <w:w w:val="100"/>
          <w:position w:val="0"/>
        </w:rPr>
        <w:t>将共同持有的上海模共实业有限公司（“目标公司”</w:t>
      </w:r>
      <w:r>
        <w:rPr>
          <w:color w:val="000000"/>
          <w:spacing w:val="0"/>
          <w:w w:val="100"/>
          <w:position w:val="0"/>
          <w:sz w:val="18"/>
          <w:szCs w:val="18"/>
        </w:rPr>
        <w:t>）100%</w:t>
      </w:r>
      <w:r>
        <w:rPr>
          <w:color w:val="000000"/>
          <w:spacing w:val="0"/>
          <w:w w:val="100"/>
          <w:position w:val="0"/>
        </w:rPr>
        <w:t>股权转让给上海巴克斯酒业有 限公司（“巴克斯酒业”）。同日，本公司及子公司邦购信息与巴克斯酒业签订了《股权转让协议》，协议约定股权转让价 格为人民币</w:t>
      </w:r>
      <w:r>
        <w:rPr>
          <w:color w:val="000000"/>
          <w:spacing w:val="0"/>
          <w:w w:val="100"/>
          <w:position w:val="0"/>
          <w:sz w:val="18"/>
          <w:szCs w:val="18"/>
        </w:rPr>
        <w:t xml:space="preserve">4. </w:t>
      </w:r>
      <w:r>
        <w:rPr>
          <w:color w:val="000000"/>
          <w:spacing w:val="0"/>
          <w:w w:val="100"/>
          <w:position w:val="0"/>
          <w:sz w:val="18"/>
          <w:szCs w:val="18"/>
        </w:rPr>
        <w:t>48</w:t>
      </w:r>
      <w:r>
        <w:rPr>
          <w:color w:val="000000"/>
          <w:spacing w:val="0"/>
          <w:w w:val="100"/>
          <w:position w:val="0"/>
        </w:rPr>
        <w:t>亿元。截止本财务报表报出日，目标公司的股权转让登记、备案手续已完成，本公司已按约定收到巴克斯酒 业支付的部分股权转让价款人民币</w:t>
      </w:r>
      <w:r>
        <w:rPr>
          <w:color w:val="000000"/>
          <w:spacing w:val="0"/>
          <w:w w:val="100"/>
          <w:position w:val="0"/>
          <w:sz w:val="18"/>
          <w:szCs w:val="18"/>
        </w:rPr>
        <w:t xml:space="preserve">4. </w:t>
      </w:r>
      <w:r>
        <w:rPr>
          <w:color w:val="000000"/>
          <w:spacing w:val="0"/>
          <w:w w:val="100"/>
          <w:position w:val="0"/>
          <w:sz w:val="18"/>
          <w:szCs w:val="18"/>
        </w:rPr>
        <w:t>032</w:t>
      </w:r>
      <w:r>
        <w:rPr>
          <w:color w:val="000000"/>
          <w:spacing w:val="0"/>
          <w:w w:val="100"/>
          <w:position w:val="0"/>
        </w:rPr>
        <w:t>亿元。</w:t>
      </w:r>
    </w:p>
    <w:p>
      <w:pPr>
        <w:pStyle w:val="Style33"/>
        <w:keepNext w:val="0"/>
        <w:keepLines w:val="0"/>
        <w:widowControl w:val="0"/>
        <w:shd w:val="clear" w:color="auto" w:fill="auto"/>
        <w:bidi w:val="0"/>
        <w:spacing w:before="0" w:after="360" w:line="311"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日，本公司第五届董事会第七次会议审议通过了《上海美特斯邦威服饰股份有限公司重大资产出售预案》 及其摘要等与本次交易相关的预案。本公司拟将持有的上海华瑞银行股份有限公司</w:t>
      </w:r>
      <w:r>
        <w:rPr>
          <w:color w:val="000000"/>
          <w:spacing w:val="0"/>
          <w:w w:val="100"/>
          <w:position w:val="0"/>
          <w:sz w:val="18"/>
          <w:szCs w:val="18"/>
        </w:rPr>
        <w:t>10.10%</w:t>
      </w:r>
      <w:r>
        <w:rPr>
          <w:color w:val="000000"/>
          <w:spacing w:val="0"/>
          <w:w w:val="100"/>
          <w:position w:val="0"/>
        </w:rPr>
        <w:t>的股份（以下简称“交易标的”） 转让给上海凯泉泵业（集团）有限公司（以下简称“凯泉泵业”），凯泉泵业以现金支付对价。根据格律评估有限公司出具 的格律沪咨报字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005</w:t>
      </w:r>
      <w:r>
        <w:rPr>
          <w:color w:val="000000"/>
          <w:spacing w:val="0"/>
          <w:w w:val="100"/>
          <w:position w:val="0"/>
        </w:rPr>
        <w:t>号《估值报告》</w:t>
      </w:r>
      <w:r>
        <w:rPr>
          <w:color w:val="000000"/>
          <w:spacing w:val="0"/>
          <w:w w:val="100"/>
          <w:position w:val="0"/>
          <w:sz w:val="18"/>
          <w:szCs w:val="18"/>
        </w:rPr>
        <w:t>，</w:t>
      </w:r>
      <w:r>
        <w:rPr>
          <w:color w:val="000000"/>
          <w:spacing w:val="0"/>
          <w:w w:val="100"/>
          <w:position w:val="0"/>
        </w:rPr>
        <w:t>截至估值基准日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日，交易标的的估值为</w:t>
      </w:r>
      <w:r>
        <w:rPr>
          <w:color w:val="000000"/>
          <w:spacing w:val="0"/>
          <w:w w:val="100"/>
          <w:position w:val="0"/>
          <w:sz w:val="18"/>
          <w:szCs w:val="18"/>
        </w:rPr>
        <w:t xml:space="preserve">41, </w:t>
      </w:r>
      <w:r>
        <w:rPr>
          <w:color w:val="000000"/>
          <w:spacing w:val="0"/>
          <w:w w:val="100"/>
          <w:position w:val="0"/>
          <w:sz w:val="18"/>
          <w:szCs w:val="18"/>
        </w:rPr>
        <w:t xml:space="preserve">114. </w:t>
      </w:r>
      <w:r>
        <w:rPr>
          <w:color w:val="000000"/>
          <w:spacing w:val="0"/>
          <w:w w:val="100"/>
          <w:position w:val="0"/>
          <w:sz w:val="18"/>
          <w:szCs w:val="18"/>
        </w:rPr>
        <w:t>45</w:t>
      </w:r>
      <w:r>
        <w:rPr>
          <w:color w:val="000000"/>
          <w:spacing w:val="0"/>
          <w:w w:val="100"/>
          <w:position w:val="0"/>
        </w:rPr>
        <w:t xml:space="preserve">万元。参照 </w:t>
      </w:r>
      <w:r>
        <w:rPr>
          <w:color w:val="000000"/>
          <w:spacing w:val="0"/>
          <w:w w:val="100"/>
          <w:position w:val="0"/>
        </w:rPr>
        <w:t>上述估值并经交易双方友好协商，本次股份转让价格确定为</w:t>
      </w:r>
      <w:r>
        <w:rPr>
          <w:color w:val="000000"/>
          <w:spacing w:val="0"/>
          <w:w w:val="100"/>
          <w:position w:val="0"/>
          <w:sz w:val="18"/>
          <w:szCs w:val="18"/>
        </w:rPr>
        <w:t>L4</w:t>
      </w:r>
      <w:r>
        <w:rPr>
          <w:color w:val="000000"/>
          <w:spacing w:val="0"/>
          <w:w w:val="100"/>
          <w:position w:val="0"/>
        </w:rPr>
        <w:t>元/股，股份转让价款合计为人民币</w:t>
      </w:r>
      <w:r>
        <w:rPr>
          <w:color w:val="000000"/>
          <w:spacing w:val="0"/>
          <w:w w:val="100"/>
          <w:position w:val="0"/>
          <w:sz w:val="18"/>
          <w:szCs w:val="18"/>
        </w:rPr>
        <w:t>42, 420</w:t>
      </w:r>
      <w:r>
        <w:rPr>
          <w:color w:val="000000"/>
          <w:spacing w:val="0"/>
          <w:w w:val="100"/>
          <w:position w:val="0"/>
        </w:rPr>
        <w:t>万元。根据《上市 公司重大资产重组管理办法》的规定，本次交易构成上市公司重大资产重组。本次交易尚需本公司召开股东大会审议，尚需 获得相关主管部门的批准或核准方可实施。</w:t>
      </w:r>
    </w:p>
    <w:p>
      <w:pPr>
        <w:pStyle w:val="Style29"/>
        <w:keepNext/>
        <w:keepLines/>
        <w:widowControl w:val="0"/>
        <w:shd w:val="clear" w:color="auto" w:fill="auto"/>
        <w:bidi w:val="0"/>
        <w:spacing w:before="0" w:line="240" w:lineRule="auto"/>
        <w:ind w:left="0" w:right="0" w:firstLine="0"/>
        <w:jc w:val="both"/>
      </w:pPr>
      <w:bookmarkStart w:id="1527" w:name="bookmark1527"/>
      <w:bookmarkStart w:id="1528" w:name="bookmark1528"/>
      <w:bookmarkStart w:id="1529" w:name="bookmark1529"/>
      <w:r>
        <w:rPr>
          <w:color w:val="000000"/>
          <w:spacing w:val="0"/>
          <w:w w:val="100"/>
          <w:position w:val="0"/>
          <w:sz w:val="24"/>
          <w:szCs w:val="24"/>
        </w:rPr>
        <w:t>十五、其他重要事项</w:t>
      </w:r>
      <w:bookmarkEnd w:id="1527"/>
      <w:bookmarkEnd w:id="1528"/>
      <w:bookmarkEnd w:id="1529"/>
    </w:p>
    <w:p>
      <w:pPr>
        <w:pStyle w:val="Style36"/>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30"/>
      <w:bookmarkEnd w:id="1531"/>
      <w:bookmarkEnd w:id="1532"/>
    </w:p>
    <w:p>
      <w:pPr>
        <w:pStyle w:val="Style36"/>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530"/>
      <w:bookmarkEnd w:id="1531"/>
      <w:bookmarkEnd w:id="15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534"/>
      <w:bookmarkEnd w:id="1535"/>
      <w:bookmarkEnd w:id="1536"/>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color w:val="000000"/>
          <w:spacing w:val="0"/>
          <w:w w:val="100"/>
          <w:position w:val="0"/>
        </w:rPr>
        <w:t>、</w:t>
        <w:tab/>
        <w:t>债务重组</w:t>
      </w:r>
      <w:bookmarkEnd w:id="1537"/>
      <w:bookmarkEnd w:id="1538"/>
      <w:bookmarkEnd w:id="1540"/>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both"/>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color w:val="000000"/>
          <w:spacing w:val="0"/>
          <w:w w:val="100"/>
          <w:position w:val="0"/>
        </w:rPr>
        <w:t>、</w:t>
        <w:tab/>
        <w:t>资产置换</w:t>
      </w:r>
      <w:bookmarkEnd w:id="1541"/>
      <w:bookmarkEnd w:id="1542"/>
      <w:bookmarkEnd w:id="1544"/>
    </w:p>
    <w:p>
      <w:pPr>
        <w:pStyle w:val="Style36"/>
        <w:keepNext/>
        <w:keepLines/>
        <w:widowControl w:val="0"/>
        <w:shd w:val="clear" w:color="auto" w:fill="auto"/>
        <w:tabs>
          <w:tab w:pos="493" w:val="left"/>
        </w:tabs>
        <w:bidi w:val="0"/>
        <w:spacing w:before="0" w:line="240" w:lineRule="auto"/>
        <w:ind w:left="0" w:right="0" w:firstLine="0"/>
        <w:jc w:val="both"/>
      </w:pPr>
      <w:bookmarkStart w:id="1541" w:name="bookmark1541"/>
      <w:bookmarkStart w:id="1542" w:name="bookmark1542"/>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541"/>
      <w:bookmarkEnd w:id="1542"/>
      <w:bookmarkEnd w:id="1546"/>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547"/>
      <w:bookmarkEnd w:id="1548"/>
      <w:bookmarkEnd w:id="1550"/>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color w:val="000000"/>
          <w:spacing w:val="0"/>
          <w:w w:val="100"/>
          <w:position w:val="0"/>
        </w:rPr>
        <w:t>、</w:t>
        <w:tab/>
        <w:t>年金计划</w:t>
      </w:r>
      <w:bookmarkEnd w:id="1551"/>
      <w:bookmarkEnd w:id="1552"/>
      <w:bookmarkEnd w:id="1554"/>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color w:val="000000"/>
          <w:spacing w:val="0"/>
          <w:w w:val="100"/>
          <w:position w:val="0"/>
        </w:rPr>
        <w:t>、</w:t>
        <w:tab/>
        <w:t>终止经营</w:t>
      </w:r>
      <w:bookmarkEnd w:id="1555"/>
      <w:bookmarkEnd w:id="1556"/>
      <w:bookmarkEnd w:id="15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 有者的终止经营</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沈阳贸邦服饰商 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2,040,641.41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-2,040,641.41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-2,040,641.41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-2,040,641.41</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太原美特斯邦威 服饰有限公司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-1,914,411.04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1,914,411.04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1,914,411.04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1,914,411.04</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本公司子公司太原美特斯邦威服饰有限公司，于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年终止经营，于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日注销工商登记。 本公司子公司沈阳贸邦服饰商贸有限公司，于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年终止经营，于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日注销工商登记。</w:t>
      </w:r>
    </w:p>
    <w:p>
      <w:pPr>
        <w:pStyle w:val="Style36"/>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color w:val="000000"/>
          <w:spacing w:val="0"/>
          <w:w w:val="100"/>
          <w:position w:val="0"/>
        </w:rPr>
        <w:t>、分部信息</w:t>
      </w:r>
      <w:bookmarkEnd w:id="1559"/>
      <w:bookmarkEnd w:id="1560"/>
      <w:bookmarkEnd w:id="1562"/>
    </w:p>
    <w:p>
      <w:pPr>
        <w:pStyle w:val="Style36"/>
        <w:keepNext/>
        <w:keepLines/>
        <w:widowControl w:val="0"/>
        <w:shd w:val="clear" w:color="auto" w:fill="auto"/>
        <w:bidi w:val="0"/>
        <w:spacing w:before="0" w:after="240" w:line="240" w:lineRule="auto"/>
        <w:ind w:left="0" w:right="0" w:firstLine="0"/>
        <w:jc w:val="left"/>
      </w:pPr>
      <w:bookmarkStart w:id="1559" w:name="bookmark1559"/>
      <w:bookmarkStart w:id="1560" w:name="bookmark1560"/>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559"/>
      <w:bookmarkEnd w:id="1560"/>
      <w:bookmarkEnd w:id="1563"/>
    </w:p>
    <w:p>
      <w:pPr>
        <w:pStyle w:val="Style33"/>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本公司的经营业务根据业务的性质以及所提供的产品和劳务的方式分开组织和管理，分为批发业务和零售业务。每个 业务分部提供面临不同于其他业务分部的风险并取得不同于其他业务分部的报酬的产品和服务。批发业务为主要向加盟商销 售服饰产品；零售业务为主要通过直营店、专柜和电商平台销售服饰产品。</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分部间交易的价格为成本加成。</w:t>
      </w:r>
    </w:p>
    <w:p>
      <w:pPr>
        <w:pStyle w:val="Style33"/>
        <w:keepNext w:val="0"/>
        <w:keepLines w:val="0"/>
        <w:widowControl w:val="0"/>
        <w:shd w:val="clear" w:color="auto" w:fill="auto"/>
        <w:bidi w:val="0"/>
        <w:spacing w:before="0" w:after="1000" w:line="312" w:lineRule="exact"/>
        <w:ind w:left="0" w:right="0" w:firstLine="440"/>
        <w:jc w:val="both"/>
      </w:pPr>
      <w:r>
        <w:rPr>
          <w:color w:val="000000"/>
          <w:spacing w:val="0"/>
          <w:w w:val="100"/>
          <w:position w:val="0"/>
        </w:rPr>
        <w:t>零售业务系直营渠道的销售交易；批发业务系除直营渠道外的销售交易，包括加盟渠道及集团合并范围内公司之间的 销售交易，其中合并范围内各公司间的销售交易、资产及负债已全额抵消。销售费用与管理费用扣除直接归属于直营渠道的 费用后的金额按收入比重在分部间分配，财务费用、营业外收支等不进行分配。</w:t>
      </w:r>
    </w:p>
    <w:p>
      <w:pPr>
        <w:pStyle w:val="Style36"/>
        <w:keepNext/>
        <w:keepLines/>
        <w:widowControl w:val="0"/>
        <w:shd w:val="clear" w:color="auto" w:fill="auto"/>
        <w:bidi w:val="0"/>
        <w:spacing w:before="0" w:after="380" w:line="240" w:lineRule="auto"/>
        <w:ind w:left="0" w:right="0" w:firstLine="14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564"/>
      <w:bookmarkEnd w:id="1565"/>
      <w:bookmarkEnd w:id="15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批发业务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零售业务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1,502,308,574.36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2,272,189,015.26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3,819,038,467.81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1,038,390,748.46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1,432,463,379.65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2,499,591,561.31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-263,700,085.77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-600,975,482.54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56,562,090.21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-808,113,478.10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20,642,064.30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31,220,398.09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51,862,462.39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60,460,479.50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91,444,354.19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151,904,833.69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195,647,598.75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14,928,736.67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210,576,335.42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75,148,100.68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113,658,865.97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201,730,876.71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1567"/>
      <w:bookmarkEnd w:id="1568"/>
      <w:bookmarkEnd w:id="1570"/>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numPr>
          <w:ilvl w:val="0"/>
          <w:numId w:val="31"/>
        </w:numPr>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其他说明</w:t>
      </w:r>
      <w:bookmarkEnd w:id="1571"/>
      <w:bookmarkEnd w:id="1572"/>
      <w:bookmarkEnd w:id="157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3"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color w:val="000000"/>
          <w:spacing w:val="0"/>
          <w:w w:val="100"/>
          <w:position w:val="0"/>
        </w:rPr>
        <w:t>、</w:t>
        <w:tab/>
        <w:t>其他对投资者决策有影响的重要交易和事项</w:t>
      </w:r>
      <w:bookmarkEnd w:id="1575"/>
      <w:bookmarkEnd w:id="1576"/>
      <w:bookmarkEnd w:id="157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8</w:t>
      </w:r>
      <w:bookmarkEnd w:id="1581"/>
      <w:r>
        <w:rPr>
          <w:color w:val="000000"/>
          <w:spacing w:val="0"/>
          <w:w w:val="100"/>
          <w:position w:val="0"/>
        </w:rPr>
        <w:t>、</w:t>
        <w:tab/>
        <w:t>其他</w:t>
      </w:r>
      <w:bookmarkEnd w:id="1579"/>
      <w:bookmarkEnd w:id="1580"/>
      <w:bookmarkEnd w:id="158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r>
        <w:rPr>
          <w:color w:val="000000"/>
          <w:spacing w:val="0"/>
          <w:w w:val="100"/>
          <w:position w:val="0"/>
          <w:sz w:val="24"/>
          <w:szCs w:val="24"/>
        </w:rPr>
        <w:t>十六、母公司财务报表主要项目注释</w:t>
      </w:r>
      <w:bookmarkEnd w:id="1583"/>
      <w:bookmarkEnd w:id="1584"/>
      <w:bookmarkEnd w:id="1585"/>
    </w:p>
    <w:p>
      <w:pPr>
        <w:pStyle w:val="Style36"/>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6"/>
      <w:bookmarkEnd w:id="1587"/>
      <w:bookmarkEnd w:id="1588"/>
    </w:p>
    <w:p>
      <w:pPr>
        <w:pStyle w:val="Style36"/>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6"/>
      <w:bookmarkEnd w:id="1587"/>
      <w:bookmarkEnd w:id="158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3,435,025,4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加盟渠道风险组合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69,014,48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256,780,40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直营渠道风险组合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42,474,39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544,401.0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41,929,992.</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293"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子公司风险组合</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2,834,596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3,136,315,0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91.70%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r>
      <w:tr>
        <w:trPr>
          <w:trHeight w:val="437"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3,435,025,4</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,633.15</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按组合计提坏账准备：加盟渠道风险组合</w:t>
      </w:r>
      <w:r>
        <w:br w:type="page"/>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120,106,663.54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11,236,437.63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70,256,343.91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45,512,174.74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24,219,783.47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21,024,112.13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25,575,919.83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25,575,919.83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240,158,710.75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103,348,644.33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按组合计提坏账准备：直营渠道风险组合</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23,377,034.70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23,377,034.70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按组合计提坏账准备：子公司渠道风险组合</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风险组合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75,209,771.15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75,209,771.15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风险组合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2,834,596,532.03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2,909,806,303.18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75,209,771.15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1,558,162,861.13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1,249,215,246.97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340,388,020.70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25,575,919.83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25,575,919.83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3,173,342,048.63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0"/>
      <w:bookmarkEnd w:id="1591"/>
      <w:bookmarkEnd w:id="159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应收销货款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209,047,694.17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30,314,562.95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174,715.74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178,558,415.48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209,047,694.17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30,314,562.95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174,715.74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178,558,415.48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93"/>
      <w:bookmarkEnd w:id="1594"/>
      <w:bookmarkEnd w:id="1596"/>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核销无法收回零星加盟商应收账款余额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174,715.74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97"/>
      <w:bookmarkEnd w:id="1598"/>
      <w:bookmarkEnd w:id="1600"/>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332,427,596.42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221,166,184.44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210,128,501.23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185,106,219.86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176,219,322.72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1,125,047,824.67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both"/>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01"/>
      <w:bookmarkEnd w:id="1602"/>
      <w:bookmarkEnd w:id="1604"/>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05"/>
      <w:bookmarkEnd w:id="1606"/>
      <w:bookmarkEnd w:id="1608"/>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9"/>
      <w:bookmarkEnd w:id="1610"/>
      <w:bookmarkEnd w:id="161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984,912,705.79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836,549,031.87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984,912,705.79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836,549,031.87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12"/>
      <w:bookmarkEnd w:id="1613"/>
      <w:bookmarkEnd w:id="1614"/>
    </w:p>
    <w:p>
      <w:pPr>
        <w:pStyle w:val="Style36"/>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5" w:name="bookmark16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12"/>
      <w:bookmarkEnd w:id="1613"/>
      <w:bookmarkEnd w:id="161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956,431,828.18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816,157,809.17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62,029,797.49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56,969,593.03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7,098,884.87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10,679,277.00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6,416,699.16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2,255,247.04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644,105.11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1,084,232,456.74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934,450,784.31</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16"/>
      <w:bookmarkEnd w:id="1617"/>
      <w:bookmarkEnd w:id="1618"/>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97,901,752.44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97,901,752.44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2,981,253.80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2,981,253.80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1,563,255.29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1,563,255.29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99,319,750.95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99,319,750.95</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357,623,759.72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439,531,666.08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166,162,295.43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120,914,735.51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120,914,735.51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1,084,232,456.74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color w:val="000000"/>
          <w:spacing w:val="0"/>
          <w:w w:val="100"/>
          <w:position w:val="0"/>
        </w:rPr>
        <w:t>）本期计提、收回或转回的坏账准备情况</w:t>
      </w:r>
      <w:bookmarkEnd w:id="1619"/>
      <w:bookmarkEnd w:id="1620"/>
      <w:bookmarkEnd w:id="162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97,901,752.4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2,981,253.80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1,563,255.29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99,319,750.95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97,901,752.4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2,981,253.80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1,563,255.29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99,319,750.95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color w:val="000000"/>
          <w:spacing w:val="0"/>
          <w:w w:val="100"/>
          <w:position w:val="0"/>
        </w:rPr>
        <w:t>）本期实际核销的其他应收款情况</w:t>
      </w:r>
      <w:bookmarkEnd w:id="1623"/>
      <w:bookmarkEnd w:id="1624"/>
      <w:bookmarkEnd w:id="162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6"/>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311,377,982.77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135,071,833.62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106,763,445.05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71,401,043.65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50,946,088.46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50,946,088.46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675,560,393.55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50,946,088.46</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627"/>
      <w:bookmarkEnd w:id="1628"/>
      <w:bookmarkEnd w:id="16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、长期股权投资</w:t>
      </w:r>
      <w:bookmarkEnd w:id="1630"/>
      <w:bookmarkEnd w:id="1631"/>
      <w:bookmarkEnd w:id="16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722,831,210.82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717,881,210.82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731,150,718.00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725,800,718.00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598,281,749.94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598,281,749.94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1,351,402,460.95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1,346,452,460.95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1,329,432,467.94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1,324,082,467.94</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4"/>
      <w:bookmarkEnd w:id="1635"/>
      <w:bookmarkEnd w:id="16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4709"/>
        <w:gridCol w:w="1214"/>
        <w:gridCol w:w="122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w:t>
            </w: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面价值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7"/>
                <w:szCs w:val="17"/>
              </w:rPr>
              <w:t>价值</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太原美特斯邦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沈阳贸邦服饰 商贸有限公司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丹东市贸邦商 贸有限公司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20,582,100.00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上海库升服饰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180,870,000.0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179,061,300.00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上海模共实业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207,670,000.0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205,593,300.00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贵阳美特斯邦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西宁美特斯邦 威服饰有限责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上海邦彤实业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上海祺格服饰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上海华邦科创 信息科技有限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乌鲁木齐美特 斯邦威服饰有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苏州美特斯邦 威服饰有限公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兰州美特斯邦 威服饰有限责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广州美特斯邦 威服装有限公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重庆美特斯邦 威服饰有限责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杭州邦威服饰</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3,707,383.00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37,073.83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3,670,309.17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西安美特斯邦 威服饰有限责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2,570,026.00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25,700.26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2,544,325.74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3,099,917.00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30,999.17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3,068,917.83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南昌美特斯邦</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威服饰有限公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9,242,077.00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92,420.77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9,149,656.23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哈尔滨美特斯 邦威服饰有限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8,518,137.00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85,181.37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8,432,955.63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6,595,832.00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65,958.32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6,529,873.68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7,288,749.00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72,887.49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7,215,861.51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沈阳美特斯邦 威服饰有限公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6,624,104.00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66,241.04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6,557,862.96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成都美特斯邦 威服饰有限责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上海霓尚服饰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上海美特斯邦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威服饰销售有</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12,874,493.00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128,744.93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12,745,748.07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上海邦购信息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上海米安斯迪 信息科技有限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上海美特斯邦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威服饰博物馆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725,800,718.0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8,319,507.18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717,881,210.82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7"/>
      <w:bookmarkEnd w:id="1638"/>
      <w:bookmarkEnd w:id="1639"/>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华瑞银行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598,281,7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40"/>
      <w:bookmarkEnd w:id="1641"/>
      <w:bookmarkEnd w:id="164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color w:val="000000"/>
          <w:spacing w:val="0"/>
          <w:w w:val="100"/>
          <w:position w:val="0"/>
        </w:rPr>
        <w:t>、营业收入和营业成本</w:t>
      </w:r>
      <w:bookmarkEnd w:id="1644"/>
      <w:bookmarkEnd w:id="1645"/>
      <w:bookmarkEnd w:id="16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3,138,190,368.77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2,410,571,357.59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4,364,443,798.55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3,287,415,827.77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28,390,311.93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37,341,791.06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60,646,004.42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49,392,380.88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3,166,580,680.70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2,447,913,148.65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4,425,089,802.97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3,336,808,208.65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3,138,190,368.77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3,138,190,368.77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28,390,311.93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28,390,311.93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3,138,190,368.77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28,390,311.93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3,166,580,680.70</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22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color w:val="000000"/>
          <w:spacing w:val="0"/>
          <w:w w:val="100"/>
          <w:position w:val="0"/>
        </w:rPr>
        <w:t>、投资收益</w:t>
      </w:r>
      <w:bookmarkEnd w:id="1648"/>
      <w:bookmarkEnd w:id="1649"/>
      <w:bookmarkEnd w:id="16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30,485,061.98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40,223,578.38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60,628,854.80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99,623,578.38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color w:val="000000"/>
          <w:spacing w:val="0"/>
          <w:w w:val="100"/>
          <w:position w:val="0"/>
        </w:rPr>
        <w:t>、其他</w:t>
      </w:r>
      <w:bookmarkEnd w:id="1652"/>
      <w:bookmarkEnd w:id="1653"/>
      <w:bookmarkEnd w:id="16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20" w:line="240" w:lineRule="auto"/>
        <w:ind w:left="0" w:right="0" w:firstLine="0"/>
        <w:jc w:val="left"/>
      </w:pPr>
      <w:bookmarkStart w:id="1656" w:name="bookmark1656"/>
      <w:bookmarkStart w:id="1657" w:name="bookmark1657"/>
      <w:bookmarkStart w:id="1658" w:name="bookmark1658"/>
      <w:r>
        <w:rPr>
          <w:color w:val="000000"/>
          <w:spacing w:val="0"/>
          <w:w w:val="100"/>
          <w:position w:val="0"/>
          <w:sz w:val="24"/>
          <w:szCs w:val="24"/>
        </w:rPr>
        <w:t>十七、补充资料</w:t>
      </w:r>
      <w:bookmarkEnd w:id="1656"/>
      <w:bookmarkEnd w:id="1657"/>
      <w:bookmarkEnd w:id="1658"/>
    </w:p>
    <w:p>
      <w:pPr>
        <w:pStyle w:val="Style36"/>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9"/>
      <w:bookmarkEnd w:id="1660"/>
      <w:bookmarkEnd w:id="166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22,886,192.24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172,966.53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6,517,283.00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3"/>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62"/>
      <w:bookmarkEnd w:id="1663"/>
      <w:bookmarkEnd w:id="1664"/>
    </w:p>
    <w:tbl>
      <w:tblPr>
        <w:tblOverlap w:val="never"/>
        <w:jc w:val="center"/>
        <w:tblLayout w:type="fixed"/>
      </w:tblPr>
      <w:tblGrid>
        <w:gridCol w:w="2669"/>
        <w:gridCol w:w="3082"/>
        <w:gridCol w:w="383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widowControl w:val="0"/>
        <w:spacing w:line="1" w:lineRule="exact"/>
      </w:pPr>
      <w:r>
        <w:br w:type="page"/>
      </w:r>
    </w:p>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color w:val="000000"/>
          <w:spacing w:val="0"/>
          <w:w w:val="100"/>
          <w:position w:val="0"/>
        </w:rPr>
        <w:t>、其他</w:t>
      </w:r>
      <w:bookmarkEnd w:id="1665"/>
      <w:bookmarkEnd w:id="1666"/>
      <w:bookmarkEnd w:id="1668"/>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67" w:right="1074" w:bottom="1436" w:left="1048" w:header="0" w:footer="3" w:gutter="0"/>
          <w:cols w:space="720"/>
          <w:noEndnote/>
          <w:rtlGutter w:val="0"/>
          <w:docGrid w:linePitch="360"/>
        </w:sectPr>
      </w:pPr>
      <w:r>
        <w:rPr>
          <w:color w:val="000000"/>
          <w:spacing w:val="0"/>
          <w:w w:val="100"/>
          <w:position w:val="0"/>
        </w:rPr>
        <w:t>无</w:t>
      </w:r>
    </w:p>
    <w:p>
      <w:pPr>
        <w:pStyle w:val="Style18"/>
        <w:keepNext/>
        <w:keepLines/>
        <w:widowControl w:val="0"/>
        <w:shd w:val="clear" w:color="auto" w:fill="auto"/>
        <w:bidi w:val="0"/>
        <w:spacing w:before="0" w:after="480" w:line="240" w:lineRule="auto"/>
        <w:ind w:left="0" w:right="0" w:firstLine="0"/>
        <w:jc w:val="center"/>
      </w:pPr>
      <w:bookmarkStart w:id="1669" w:name="bookmark1669"/>
      <w:bookmarkStart w:id="1670" w:name="bookmark1670"/>
      <w:bookmarkStart w:id="1671" w:name="bookmark1671"/>
      <w:r>
        <w:rPr>
          <w:color w:val="000000"/>
          <w:spacing w:val="0"/>
          <w:w w:val="100"/>
          <w:position w:val="0"/>
        </w:rPr>
        <w:t>第十三节备查文件目录</w:t>
      </w:r>
      <w:bookmarkEnd w:id="1669"/>
      <w:bookmarkEnd w:id="1670"/>
      <w:bookmarkEnd w:id="1671"/>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672" w:name="bookmark1672"/>
      <w:r>
        <w:rPr>
          <w:color w:val="000000"/>
          <w:spacing w:val="0"/>
          <w:w w:val="100"/>
          <w:position w:val="0"/>
        </w:rPr>
        <w:t>（</w:t>
      </w:r>
      <w:bookmarkEnd w:id="1672"/>
      <w:r>
        <w:rPr>
          <w:color w:val="000000"/>
          <w:spacing w:val="0"/>
          <w:w w:val="100"/>
          <w:position w:val="0"/>
        </w:rPr>
        <w:t>一）</w:t>
        <w:tab/>
        <w:t>载有法定代表人、财务负责人、会计机构负责人签名并盖章的会计报表。</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673" w:name="bookmark1673"/>
      <w:r>
        <w:rPr>
          <w:color w:val="000000"/>
          <w:spacing w:val="0"/>
          <w:w w:val="100"/>
          <w:position w:val="0"/>
        </w:rPr>
        <w:t>（</w:t>
      </w:r>
      <w:bookmarkEnd w:id="1673"/>
      <w:r>
        <w:rPr>
          <w:color w:val="000000"/>
          <w:spacing w:val="0"/>
          <w:w w:val="100"/>
          <w:position w:val="0"/>
        </w:rPr>
        <w:t>二）</w:t>
        <w:tab/>
        <w:t>载有会计师事务所盖章、注册会计师签名并盖章的审计报告原件。</w:t>
      </w:r>
    </w:p>
    <w:p>
      <w:pPr>
        <w:pStyle w:val="Style33"/>
        <w:keepNext w:val="0"/>
        <w:keepLines w:val="0"/>
        <w:widowControl w:val="0"/>
        <w:shd w:val="clear" w:color="auto" w:fill="auto"/>
        <w:tabs>
          <w:tab w:pos="622" w:val="left"/>
        </w:tabs>
        <w:bidi w:val="0"/>
        <w:spacing w:before="0" w:after="0" w:line="317" w:lineRule="exact"/>
        <w:ind w:left="0" w:right="0" w:firstLine="0"/>
        <w:jc w:val="left"/>
      </w:pPr>
      <w:bookmarkStart w:id="1674" w:name="bookmark1674"/>
      <w:r>
        <w:rPr>
          <w:color w:val="000000"/>
          <w:spacing w:val="0"/>
          <w:w w:val="100"/>
          <w:position w:val="0"/>
        </w:rPr>
        <w:t>（</w:t>
      </w:r>
      <w:bookmarkEnd w:id="1674"/>
      <w:r>
        <w:rPr>
          <w:color w:val="000000"/>
          <w:spacing w:val="0"/>
          <w:w w:val="100"/>
          <w:position w:val="0"/>
        </w:rPr>
        <w:t>三）</w:t>
        <w:tab/>
        <w:t>报告期内在《证券时报》、《上海证券报》、《中国证券报》及《证券日报》公开披露过的所有公司文件的正本及公 告的原稿。</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675" w:name="bookmark1675"/>
      <w:r>
        <w:rPr>
          <w:color w:val="000000"/>
          <w:spacing w:val="0"/>
          <w:w w:val="100"/>
          <w:position w:val="0"/>
        </w:rPr>
        <w:t>（</w:t>
      </w:r>
      <w:bookmarkEnd w:id="1675"/>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sectPr>
      <w:footnotePr>
        <w:pos w:val="pageBottom"/>
        <w:numFmt w:val="decimal"/>
        <w:numRestart w:val="continuous"/>
      </w:footnotePr>
      <w:pgSz w:w="11900" w:h="16840"/>
      <w:pgMar w:top="1959" w:right="1109" w:bottom="1959"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6750685</wp:posOffset>
              </wp:positionH>
              <wp:positionV relativeFrom="page">
                <wp:posOffset>9958070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5499999999999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6804025</wp:posOffset>
              </wp:positionH>
              <wp:positionV relativeFrom="page">
                <wp:posOffset>10184130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75pt;margin-top:801.8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4062095</wp:posOffset>
              </wp:positionH>
              <wp:positionV relativeFrom="page">
                <wp:posOffset>534035</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9.85000000000002pt;margin-top:42.050000000000004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4054475</wp:posOffset>
              </wp:positionH>
              <wp:positionV relativeFrom="page">
                <wp:posOffset>534035</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9.25pt;margin-top:42.050000000000004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678815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3.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val="0"/>
      <w:iCs w:val="0"/>
      <w:smallCaps w:val="0"/>
      <w:strike w:val="0"/>
      <w:color w:val="3E3632"/>
      <w:sz w:val="116"/>
      <w:szCs w:val="116"/>
      <w:u w:val="none"/>
      <w:shd w:val="clear" w:color="auto" w:fill="FFFFFF"/>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Hei" w:eastAsia="SimHei" w:hAnsi="SimHei" w:cs="SimHei"/>
      <w:b w:val="0"/>
      <w:bCs w:val="0"/>
      <w:i w:val="0"/>
      <w:iCs w:val="0"/>
      <w:smallCaps w:val="0"/>
      <w:strike w:val="0"/>
      <w:color w:val="3E3632"/>
      <w:sz w:val="76"/>
      <w:szCs w:val="76"/>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5)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6)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5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3)_"/>
    <w:basedOn w:val="DefaultParagraphFont"/>
    <w:link w:val="Style48"/>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2840" w:after="60" w:line="864" w:lineRule="exact"/>
      <w:jc w:val="center"/>
      <w:outlineLvl w:val="0"/>
    </w:pPr>
    <w:rPr>
      <w:rFonts w:ascii="Arial" w:eastAsia="Arial" w:hAnsi="Arial" w:cs="Arial"/>
      <w:b w:val="0"/>
      <w:bCs w:val="0"/>
      <w:i w:val="0"/>
      <w:iCs w:val="0"/>
      <w:smallCaps w:val="0"/>
      <w:strike w:val="0"/>
      <w:color w:val="3E3632"/>
      <w:sz w:val="116"/>
      <w:szCs w:val="116"/>
      <w:u w:val="none"/>
      <w:shd w:val="clear" w:color="auto" w:fill="FFFFFF"/>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840" w:line="864" w:lineRule="exact"/>
      <w:jc w:val="center"/>
      <w:outlineLvl w:val="1"/>
    </w:pPr>
    <w:rPr>
      <w:rFonts w:ascii="SimHei" w:eastAsia="SimHei" w:hAnsi="SimHei" w:cs="SimHei"/>
      <w:b w:val="0"/>
      <w:bCs w:val="0"/>
      <w:i w:val="0"/>
      <w:iCs w:val="0"/>
      <w:smallCaps w:val="0"/>
      <w:strike w:val="0"/>
      <w:color w:val="3E3632"/>
      <w:sz w:val="76"/>
      <w:szCs w:val="76"/>
      <w:u w:val="none"/>
      <w:shd w:val="clear" w:color="auto" w:fill="auto"/>
    </w:rPr>
  </w:style>
  <w:style w:type="paragraph" w:customStyle="1" w:styleId="Style10">
    <w:name w:val="正文文本 (4)"/>
    <w:basedOn w:val="Normal"/>
    <w:link w:val="CharStyle11"/>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5)"/>
    <w:basedOn w:val="Normal"/>
    <w:link w:val="CharStyle13"/>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6)"/>
    <w:basedOn w:val="Normal"/>
    <w:link w:val="CharStyle16"/>
    <w:pPr>
      <w:widowControl w:val="0"/>
      <w:shd w:val="clear" w:color="auto" w:fill="auto"/>
      <w:spacing w:after="6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3"/>
    <w:basedOn w:val="Normal"/>
    <w:link w:val="CharStyle19"/>
    <w:pPr>
      <w:widowControl w:val="0"/>
      <w:shd w:val="clear" w:color="auto" w:fill="auto"/>
      <w:spacing w:before="26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4"/>
    <w:basedOn w:val="Normal"/>
    <w:link w:val="CharStyle30"/>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after="100"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5"/>
    <w:basedOn w:val="Normal"/>
    <w:link w:val="CharStyle3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3)"/>
    <w:basedOn w:val="Normal"/>
    <w:link w:val="CharStyle49"/>
    <w:pPr>
      <w:widowControl w:val="0"/>
      <w:shd w:val="clear" w:color="auto" w:fill="auto"/>
      <w:spacing w:line="360" w:lineRule="auto"/>
    </w:pPr>
    <w:rPr>
      <w:rFonts w:ascii="Times New Roman" w:eastAsia="Times New Roman" w:hAnsi="Times New Roman" w:cs="Times New Roma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上海美特斯邦威服饰股份有限公司2020年年度报告全文</dc:title>
  <dc:subject/>
  <dc:creator>上海美特斯邦威服饰股份有限公司</dc:creator>
  <cp:keywords/>
</cp:coreProperties>
</file>