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0.xml" ContentType="application/vnd.openxmlformats-officedocument.wordprocessingml.head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539" w:lineRule="exact" w:before="0"/>
        <w:ind w:left="5" w:right="1" w:firstLine="0"/>
        <w:jc w:val="center"/>
        <w:rPr>
          <w:rFonts w:ascii="宋体" w:hAnsi="宋体" w:cs="宋体" w:eastAsia="宋体" w:hint="default"/>
          <w:sz w:val="44"/>
          <w:szCs w:val="44"/>
        </w:rPr>
      </w:pPr>
      <w:r>
        <w:rPr>
          <w:rFonts w:ascii="宋体" w:hAnsi="宋体" w:cs="宋体" w:eastAsia="宋体" w:hint="default"/>
          <w:b/>
          <w:bCs/>
          <w:sz w:val="44"/>
          <w:szCs w:val="44"/>
        </w:rPr>
        <w:t>浙江万马股份有限公司</w:t>
      </w:r>
      <w:r>
        <w:rPr>
          <w:rFonts w:ascii="宋体" w:hAnsi="宋体" w:cs="宋体" w:eastAsia="宋体" w:hint="default"/>
          <w:sz w:val="44"/>
          <w:szCs w:val="44"/>
        </w:rPr>
      </w:r>
    </w:p>
    <w:p>
      <w:pPr>
        <w:spacing w:before="107"/>
        <w:ind w:left="4" w:right="1" w:firstLine="0"/>
        <w:jc w:val="center"/>
        <w:rPr>
          <w:rFonts w:ascii="Times New Roman" w:hAnsi="Times New Roman" w:cs="Times New Roman" w:eastAsia="Times New Roman" w:hint="default"/>
          <w:sz w:val="32"/>
          <w:szCs w:val="32"/>
        </w:rPr>
      </w:pPr>
      <w:r>
        <w:rPr>
          <w:rFonts w:ascii="Times New Roman"/>
          <w:sz w:val="32"/>
        </w:rPr>
        <w:t>Zhejiang </w:t>
      </w:r>
      <w:r>
        <w:rPr>
          <w:rFonts w:ascii="Times New Roman"/>
          <w:spacing w:val="-7"/>
          <w:sz w:val="32"/>
        </w:rPr>
        <w:t>Wanma </w:t>
      </w:r>
      <w:r>
        <w:rPr>
          <w:rFonts w:ascii="Times New Roman"/>
          <w:sz w:val="32"/>
        </w:rPr>
        <w:t>Co., Ltd.</w:t>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42"/>
          <w:szCs w:val="42"/>
        </w:rPr>
      </w:pPr>
    </w:p>
    <w:p>
      <w:pPr>
        <w:spacing w:before="0"/>
        <w:ind w:left="1" w:right="1"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2015</w:t>
      </w:r>
      <w:r>
        <w:rPr>
          <w:rFonts w:ascii="Times New Roman" w:hAnsi="Times New Roman" w:cs="Times New Roman" w:eastAsia="Times New Roman" w:hint="default"/>
          <w:b/>
          <w:bCs/>
          <w:spacing w:val="-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268" w:lineRule="exact"/>
        <w:ind w:left="3796"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1440180" cy="14401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440180" cy="1440179"/>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before="0"/>
        <w:ind w:left="1" w:right="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25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76"/>
        <w:ind w:left="2" w:right="1" w:firstLine="0"/>
        <w:jc w:val="center"/>
        <w:rPr>
          <w:rFonts w:ascii="Times New Roman" w:hAnsi="Times New Roman" w:cs="Times New Roman" w:eastAsia="Times New Roman" w:hint="default"/>
          <w:sz w:val="18"/>
          <w:szCs w:val="18"/>
        </w:rPr>
      </w:pPr>
      <w:r>
        <w:rPr>
          <w:rFonts w:ascii="Times New Roman"/>
          <w:sz w:val="18"/>
        </w:rPr>
        <w:t>1</w:t>
      </w:r>
    </w:p>
    <w:p>
      <w:pPr>
        <w:spacing w:after="0"/>
        <w:jc w:val="center"/>
        <w:rPr>
          <w:rFonts w:ascii="Times New Roman" w:hAnsi="Times New Roman" w:cs="Times New Roman" w:eastAsia="Times New Roman" w:hint="default"/>
          <w:sz w:val="18"/>
          <w:szCs w:val="18"/>
        </w:rPr>
        <w:sectPr>
          <w:headerReference w:type="default" r:id="rId5"/>
          <w:type w:val="continuous"/>
          <w:pgSz w:w="11910" w:h="16840"/>
          <w:pgMar w:header="850" w:top="1440" w:bottom="28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before="0"/>
        <w:ind w:left="3328" w:right="96" w:firstLine="0"/>
        <w:jc w:val="left"/>
        <w:rPr>
          <w:rFonts w:ascii="宋体" w:hAnsi="宋体" w:cs="宋体" w:eastAsia="宋体" w:hint="default"/>
          <w:sz w:val="32"/>
          <w:szCs w:val="32"/>
        </w:rPr>
      </w:pPr>
      <w:r>
        <w:rPr>
          <w:rFonts w:ascii="宋体" w:hAnsi="宋体" w:cs="宋体" w:eastAsia="宋体" w:hint="default"/>
          <w:b/>
          <w:bCs/>
          <w:sz w:val="32"/>
          <w:szCs w:val="32"/>
        </w:rPr>
        <w:t>变，是永远不变的真理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93" w:lineRule="auto" w:before="172"/>
        <w:ind w:left="674" w:right="96" w:hanging="562"/>
        <w:jc w:val="left"/>
        <w:rPr>
          <w:rFonts w:ascii="仿宋" w:hAnsi="仿宋" w:cs="仿宋" w:eastAsia="仿宋" w:hint="default"/>
          <w:sz w:val="28"/>
          <w:szCs w:val="28"/>
        </w:rPr>
      </w:pPr>
      <w:r>
        <w:rPr>
          <w:rFonts w:ascii="仿宋" w:hAnsi="仿宋" w:cs="仿宋" w:eastAsia="仿宋" w:hint="default"/>
          <w:sz w:val="28"/>
          <w:szCs w:val="28"/>
        </w:rPr>
        <w:t>致万马股份投资人：</w:t>
      </w:r>
      <w:r>
        <w:rPr>
          <w:rFonts w:ascii="仿宋" w:hAnsi="仿宋" w:cs="仿宋" w:eastAsia="仿宋" w:hint="default"/>
          <w:w w:val="100"/>
          <w:sz w:val="28"/>
          <w:szCs w:val="28"/>
        </w:rPr>
        <w:t> </w:t>
      </w:r>
      <w:r>
        <w:rPr>
          <w:rFonts w:ascii="仿宋" w:hAnsi="仿宋" w:cs="仿宋" w:eastAsia="仿宋" w:hint="default"/>
          <w:spacing w:val="2"/>
          <w:sz w:val="28"/>
          <w:szCs w:val="28"/>
        </w:rPr>
        <w:t>或许您已经是我们忠实的股东，或许您正在考虑投资我们，希望借此方式</w:t>
      </w:r>
    </w:p>
    <w:p>
      <w:pPr>
        <w:spacing w:line="393" w:lineRule="auto" w:before="13"/>
        <w:ind w:left="674" w:right="96" w:hanging="562"/>
        <w:jc w:val="left"/>
        <w:rPr>
          <w:rFonts w:ascii="仿宋" w:hAnsi="仿宋" w:cs="仿宋" w:eastAsia="仿宋" w:hint="default"/>
          <w:sz w:val="28"/>
          <w:szCs w:val="28"/>
        </w:rPr>
      </w:pPr>
      <w:r>
        <w:rPr>
          <w:rFonts w:ascii="仿宋" w:hAnsi="仿宋" w:cs="仿宋" w:eastAsia="仿宋" w:hint="default"/>
          <w:sz w:val="28"/>
          <w:szCs w:val="28"/>
        </w:rPr>
        <w:t>与您共同探讨我们对公司发展的信念与想法。</w:t>
      </w:r>
      <w:r>
        <w:rPr>
          <w:rFonts w:ascii="仿宋" w:hAnsi="仿宋" w:cs="仿宋" w:eastAsia="仿宋" w:hint="default"/>
          <w:w w:val="100"/>
          <w:sz w:val="28"/>
          <w:szCs w:val="28"/>
        </w:rPr>
        <w:t> </w:t>
      </w:r>
      <w:r>
        <w:rPr>
          <w:rFonts w:ascii="仿宋" w:hAnsi="仿宋" w:cs="仿宋" w:eastAsia="仿宋" w:hint="default"/>
          <w:spacing w:val="2"/>
          <w:sz w:val="28"/>
          <w:szCs w:val="28"/>
        </w:rPr>
        <w:t>信息技术，尤其是互联网技术的飞速发展，正以前所未有的广度和深度，</w:t>
      </w:r>
    </w:p>
    <w:p>
      <w:pPr>
        <w:spacing w:line="367" w:lineRule="auto" w:before="13"/>
        <w:ind w:left="112" w:right="250" w:firstLine="0"/>
        <w:jc w:val="both"/>
        <w:rPr>
          <w:rFonts w:ascii="仿宋" w:hAnsi="仿宋" w:cs="仿宋" w:eastAsia="仿宋" w:hint="default"/>
          <w:sz w:val="28"/>
          <w:szCs w:val="28"/>
        </w:rPr>
      </w:pPr>
      <w:r>
        <w:rPr>
          <w:rFonts w:ascii="仿宋" w:hAnsi="仿宋" w:cs="仿宋" w:eastAsia="仿宋" w:hint="default"/>
          <w:spacing w:val="2"/>
          <w:sz w:val="28"/>
          <w:szCs w:val="28"/>
        </w:rPr>
        <w:t>加快推进传统制造业的深刻变革。互联网与传统企业、不同产业之间的碰撞与</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融合如春笋破竹，互联大潮正以前所未有之势席卷而来。而这新一轮改革的深</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入，亦酝酿着中国经济新的增长动力。“春江水暖鸭先知”，万马股份顺应时</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3"/>
          <w:sz w:val="28"/>
          <w:szCs w:val="28"/>
        </w:rPr>
        <w:t>代变革，运用互联网思维，在这股“互联网+”的浪潮中，如春蚕一般，在阵痛</w:t>
      </w:r>
      <w:r>
        <w:rPr>
          <w:rFonts w:ascii="仿宋" w:hAnsi="仿宋" w:cs="仿宋" w:eastAsia="仿宋" w:hint="default"/>
          <w:spacing w:val="-74"/>
          <w:sz w:val="28"/>
          <w:szCs w:val="28"/>
        </w:rPr>
        <w:t> </w:t>
      </w:r>
      <w:r>
        <w:rPr>
          <w:rFonts w:ascii="仿宋" w:hAnsi="仿宋" w:cs="仿宋" w:eastAsia="仿宋" w:hint="default"/>
          <w:spacing w:val="-74"/>
          <w:sz w:val="28"/>
          <w:szCs w:val="28"/>
        </w:rPr>
      </w:r>
      <w:r>
        <w:rPr>
          <w:rFonts w:ascii="仿宋" w:hAnsi="仿宋" w:cs="仿宋" w:eastAsia="仿宋" w:hint="default"/>
          <w:sz w:val="28"/>
          <w:szCs w:val="28"/>
        </w:rPr>
        <w:t>中实现蜕变。</w:t>
      </w:r>
    </w:p>
    <w:p>
      <w:pPr>
        <w:spacing w:line="367" w:lineRule="auto" w:before="85"/>
        <w:ind w:left="112" w:right="250" w:firstLine="561"/>
        <w:jc w:val="both"/>
        <w:rPr>
          <w:rFonts w:ascii="仿宋" w:hAnsi="仿宋" w:cs="仿宋" w:eastAsia="仿宋" w:hint="default"/>
          <w:sz w:val="28"/>
          <w:szCs w:val="28"/>
        </w:rPr>
      </w:pPr>
      <w:r>
        <w:rPr>
          <w:rFonts w:ascii="仿宋" w:hAnsi="仿宋" w:cs="仿宋" w:eastAsia="仿宋" w:hint="default"/>
          <w:b/>
          <w:bCs/>
          <w:spacing w:val="2"/>
          <w:sz w:val="28"/>
          <w:szCs w:val="28"/>
        </w:rPr>
        <w:t>变，才得生存。</w:t>
      </w:r>
      <w:r>
        <w:rPr>
          <w:rFonts w:ascii="仿宋" w:hAnsi="仿宋" w:cs="仿宋" w:eastAsia="仿宋" w:hint="default"/>
          <w:spacing w:val="2"/>
          <w:sz w:val="28"/>
          <w:szCs w:val="28"/>
        </w:rPr>
        <w:t>改变企业，为了顺应潮流，关键是改变自己，改变理念。</w:t>
      </w:r>
      <w:r>
        <w:rPr>
          <w:rFonts w:ascii="仿宋" w:hAnsi="仿宋" w:cs="仿宋" w:eastAsia="仿宋" w:hint="default"/>
          <w:w w:val="100"/>
          <w:sz w:val="28"/>
          <w:szCs w:val="28"/>
        </w:rPr>
        <w:t> </w:t>
      </w:r>
      <w:r>
        <w:rPr>
          <w:rFonts w:ascii="仿宋" w:hAnsi="仿宋" w:cs="仿宋" w:eastAsia="仿宋" w:hint="default"/>
          <w:spacing w:val="2"/>
          <w:sz w:val="28"/>
          <w:szCs w:val="28"/>
        </w:rPr>
        <w:t>我们正引导企业适应时代变革，实现转型升级。由批量生产向客户定制化生产</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转变，产品型企业向资源型企业转变，传统制造向智能智造转变。我们不做简</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单的复制，而要做有价值的创造。通过转变，把握创新者、创造者、创业者带</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z w:val="28"/>
          <w:szCs w:val="28"/>
        </w:rPr>
        <w:t>来全新的启发和前行的动力。</w:t>
      </w:r>
      <w:r>
        <w:rPr>
          <w:rFonts w:ascii="仿宋" w:hAnsi="仿宋" w:cs="仿宋" w:eastAsia="仿宋" w:hint="default"/>
          <w:spacing w:val="19"/>
          <w:sz w:val="28"/>
          <w:szCs w:val="28"/>
        </w:rPr>
        <w:t> </w:t>
      </w:r>
      <w:r>
        <w:rPr>
          <w:rFonts w:ascii="仿宋" w:hAnsi="仿宋" w:cs="仿宋" w:eastAsia="仿宋" w:hint="default"/>
          <w:sz w:val="28"/>
          <w:szCs w:val="28"/>
        </w:rPr>
        <w:t>万马股份有健康的</w:t>
      </w:r>
      <w:r>
        <w:rPr>
          <w:rFonts w:ascii="仿宋" w:hAnsi="仿宋" w:cs="仿宋" w:eastAsia="仿宋" w:hint="default"/>
          <w:spacing w:val="-63"/>
          <w:sz w:val="28"/>
          <w:szCs w:val="28"/>
        </w:rPr>
        <w:t> </w:t>
      </w:r>
      <w:r>
        <w:rPr>
          <w:rFonts w:ascii="仿宋" w:hAnsi="仿宋" w:cs="仿宋" w:eastAsia="仿宋" w:hint="default"/>
          <w:sz w:val="28"/>
          <w:szCs w:val="28"/>
        </w:rPr>
        <w:t>DNA，但同样，只有顺应时代</w:t>
      </w:r>
      <w:r>
        <w:rPr>
          <w:rFonts w:ascii="仿宋" w:hAnsi="仿宋" w:cs="仿宋" w:eastAsia="仿宋" w:hint="default"/>
          <w:spacing w:val="-137"/>
          <w:sz w:val="28"/>
          <w:szCs w:val="28"/>
        </w:rPr>
        <w:t> </w:t>
      </w:r>
      <w:r>
        <w:rPr>
          <w:rFonts w:ascii="仿宋" w:hAnsi="仿宋" w:cs="仿宋" w:eastAsia="仿宋" w:hint="default"/>
          <w:spacing w:val="-137"/>
          <w:sz w:val="28"/>
          <w:szCs w:val="28"/>
        </w:rPr>
      </w:r>
      <w:r>
        <w:rPr>
          <w:rFonts w:ascii="仿宋" w:hAnsi="仿宋" w:cs="仿宋" w:eastAsia="仿宋" w:hint="default"/>
          <w:sz w:val="28"/>
          <w:szCs w:val="28"/>
        </w:rPr>
        <w:t>的改变，我们才得以持续成长。</w:t>
      </w:r>
    </w:p>
    <w:p>
      <w:pPr>
        <w:spacing w:line="367" w:lineRule="auto" w:before="85"/>
        <w:ind w:left="112" w:right="96" w:firstLine="561"/>
        <w:jc w:val="left"/>
        <w:rPr>
          <w:rFonts w:ascii="仿宋" w:hAnsi="仿宋" w:cs="仿宋" w:eastAsia="仿宋" w:hint="default"/>
          <w:sz w:val="28"/>
          <w:szCs w:val="28"/>
        </w:rPr>
      </w:pPr>
      <w:r>
        <w:rPr>
          <w:rFonts w:ascii="仿宋" w:hAnsi="仿宋" w:cs="仿宋" w:eastAsia="仿宋" w:hint="default"/>
          <w:b/>
          <w:bCs/>
          <w:spacing w:val="-3"/>
          <w:sz w:val="28"/>
          <w:szCs w:val="28"/>
        </w:rPr>
        <w:t>变，才能发展。</w:t>
      </w:r>
      <w:r>
        <w:rPr>
          <w:rFonts w:ascii="仿宋" w:hAnsi="仿宋" w:cs="仿宋" w:eastAsia="仿宋" w:hint="default"/>
          <w:spacing w:val="-3"/>
          <w:sz w:val="28"/>
          <w:szCs w:val="28"/>
        </w:rPr>
        <w:t>“互联网”时代来临，我们将“互联网、云计算、大数据”</w:t>
      </w:r>
      <w:r>
        <w:rPr>
          <w:rFonts w:ascii="仿宋" w:hAnsi="仿宋" w:cs="仿宋" w:eastAsia="仿宋" w:hint="default"/>
          <w:w w:val="100"/>
          <w:sz w:val="28"/>
          <w:szCs w:val="28"/>
        </w:rPr>
        <w:t> </w:t>
      </w:r>
      <w:r>
        <w:rPr>
          <w:rFonts w:ascii="仿宋" w:hAnsi="仿宋" w:cs="仿宋" w:eastAsia="仿宋" w:hint="default"/>
          <w:spacing w:val="2"/>
          <w:sz w:val="28"/>
          <w:szCs w:val="28"/>
        </w:rPr>
        <w:t>运用于经营管理，我们深信只有改造自己的设备，改造自己的生产组织方式，</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改造自己的商业模式，才能充分发挥互联网的效率和协同优势。我们提出“视</w:t>
      </w:r>
      <w:r>
        <w:rPr>
          <w:rFonts w:ascii="仿宋" w:hAnsi="仿宋" w:cs="仿宋" w:eastAsia="仿宋" w:hint="default"/>
          <w:spacing w:val="-97"/>
          <w:sz w:val="28"/>
          <w:szCs w:val="28"/>
        </w:rPr>
        <w:t> </w:t>
      </w:r>
      <w:r>
        <w:rPr>
          <w:rFonts w:ascii="仿宋" w:hAnsi="仿宋" w:cs="仿宋" w:eastAsia="仿宋" w:hint="default"/>
          <w:spacing w:val="-97"/>
          <w:sz w:val="28"/>
          <w:szCs w:val="28"/>
        </w:rPr>
      </w:r>
      <w:r>
        <w:rPr>
          <w:rFonts w:ascii="仿宋" w:hAnsi="仿宋" w:cs="仿宋" w:eastAsia="仿宋" w:hint="default"/>
          <w:spacing w:val="2"/>
          <w:sz w:val="28"/>
          <w:szCs w:val="28"/>
        </w:rPr>
        <w:t>野国际化、管理平台化、考核精细化、手段信息化”之“四化”管理理念，公</w:t>
      </w:r>
    </w:p>
    <w:p>
      <w:pPr>
        <w:spacing w:after="0" w:line="367" w:lineRule="auto"/>
        <w:jc w:val="left"/>
        <w:rPr>
          <w:rFonts w:ascii="仿宋" w:hAnsi="仿宋" w:cs="仿宋" w:eastAsia="仿宋" w:hint="default"/>
          <w:sz w:val="28"/>
          <w:szCs w:val="28"/>
        </w:rPr>
        <w:sectPr>
          <w:footerReference w:type="default" r:id="rId7"/>
          <w:pgSz w:w="11910" w:h="16840"/>
          <w:pgMar w:footer="1012" w:header="850" w:top="1440" w:bottom="1200" w:left="1020" w:right="880"/>
          <w:pgNumType w:start="1"/>
        </w:sectPr>
      </w:pPr>
    </w:p>
    <w:p>
      <w:pPr>
        <w:spacing w:line="240" w:lineRule="auto" w:before="6"/>
        <w:rPr>
          <w:rFonts w:ascii="仿宋" w:hAnsi="仿宋" w:cs="仿宋" w:eastAsia="仿宋" w:hint="default"/>
          <w:sz w:val="26"/>
          <w:szCs w:val="26"/>
        </w:rPr>
      </w:pPr>
    </w:p>
    <w:p>
      <w:pPr>
        <w:spacing w:line="367" w:lineRule="auto" w:before="14"/>
        <w:ind w:left="112" w:right="245" w:firstLine="0"/>
        <w:jc w:val="both"/>
        <w:rPr>
          <w:rFonts w:ascii="仿宋" w:hAnsi="仿宋" w:cs="仿宋" w:eastAsia="仿宋" w:hint="default"/>
          <w:sz w:val="28"/>
          <w:szCs w:val="28"/>
        </w:rPr>
      </w:pPr>
      <w:r>
        <w:rPr>
          <w:rFonts w:ascii="仿宋" w:hAnsi="仿宋" w:cs="仿宋" w:eastAsia="仿宋" w:hint="default"/>
          <w:sz w:val="28"/>
          <w:szCs w:val="28"/>
        </w:rPr>
        <w:t>司运营管理水平逐年提升。2015，SAP、工业</w:t>
      </w:r>
      <w:r>
        <w:rPr>
          <w:rFonts w:ascii="仿宋" w:hAnsi="仿宋" w:cs="仿宋" w:eastAsia="仿宋" w:hint="default"/>
          <w:spacing w:val="-68"/>
          <w:sz w:val="28"/>
          <w:szCs w:val="28"/>
        </w:rPr>
        <w:t> </w:t>
      </w:r>
      <w:r>
        <w:rPr>
          <w:rFonts w:ascii="仿宋" w:hAnsi="仿宋" w:cs="仿宋" w:eastAsia="仿宋" w:hint="default"/>
          <w:sz w:val="28"/>
          <w:szCs w:val="28"/>
        </w:rPr>
        <w:t>4.0</w:t>
      </w:r>
      <w:r>
        <w:rPr>
          <w:rFonts w:ascii="仿宋" w:hAnsi="仿宋" w:cs="仿宋" w:eastAsia="仿宋" w:hint="default"/>
          <w:spacing w:val="-70"/>
          <w:sz w:val="28"/>
          <w:szCs w:val="28"/>
        </w:rPr>
        <w:t> </w:t>
      </w:r>
      <w:r>
        <w:rPr>
          <w:rFonts w:ascii="仿宋" w:hAnsi="仿宋" w:cs="仿宋" w:eastAsia="仿宋" w:hint="default"/>
          <w:spacing w:val="-3"/>
          <w:sz w:val="28"/>
          <w:szCs w:val="28"/>
        </w:rPr>
        <w:t>样版工厂、“机器换人”、物</w:t>
      </w:r>
      <w:r>
        <w:rPr>
          <w:rFonts w:ascii="仿宋" w:hAnsi="仿宋" w:cs="仿宋" w:eastAsia="仿宋" w:hint="default"/>
          <w:w w:val="100"/>
          <w:sz w:val="28"/>
          <w:szCs w:val="28"/>
        </w:rPr>
        <w:t> </w:t>
      </w:r>
      <w:r>
        <w:rPr>
          <w:rFonts w:ascii="仿宋" w:hAnsi="仿宋" w:cs="仿宋" w:eastAsia="仿宋" w:hint="default"/>
          <w:spacing w:val="2"/>
          <w:sz w:val="28"/>
          <w:szCs w:val="28"/>
        </w:rPr>
        <w:t>联网等项目在公司迅速试点推广，实现工厂智能化。公司提倡企业提供平台，</w:t>
      </w:r>
      <w:r>
        <w:rPr>
          <w:rFonts w:ascii="仿宋" w:hAnsi="仿宋" w:cs="仿宋" w:eastAsia="仿宋" w:hint="default"/>
          <w:spacing w:val="-97"/>
          <w:sz w:val="28"/>
          <w:szCs w:val="28"/>
        </w:rPr>
        <w:t> </w:t>
      </w:r>
      <w:r>
        <w:rPr>
          <w:rFonts w:ascii="仿宋" w:hAnsi="仿宋" w:cs="仿宋" w:eastAsia="仿宋" w:hint="default"/>
          <w:spacing w:val="-97"/>
          <w:sz w:val="28"/>
          <w:szCs w:val="28"/>
        </w:rPr>
      </w:r>
      <w:r>
        <w:rPr>
          <w:rFonts w:ascii="仿宋" w:hAnsi="仿宋" w:cs="仿宋" w:eastAsia="仿宋" w:hint="default"/>
          <w:spacing w:val="2"/>
          <w:sz w:val="28"/>
          <w:szCs w:val="28"/>
        </w:rPr>
        <w:t>合伙人创业，提倡“阿米巴”经营，人人有指标、有绩效。建设职业经理人团</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队，寻求个人与公司共谋发展，实现共赢。尝试合伙人模式，激发创业热情，</w:t>
      </w:r>
      <w:r>
        <w:rPr>
          <w:rFonts w:ascii="仿宋" w:hAnsi="仿宋" w:cs="仿宋" w:eastAsia="仿宋" w:hint="default"/>
          <w:spacing w:val="-97"/>
          <w:sz w:val="28"/>
          <w:szCs w:val="28"/>
        </w:rPr>
        <w:t> </w:t>
      </w:r>
      <w:r>
        <w:rPr>
          <w:rFonts w:ascii="仿宋" w:hAnsi="仿宋" w:cs="仿宋" w:eastAsia="仿宋" w:hint="default"/>
          <w:spacing w:val="-97"/>
          <w:sz w:val="28"/>
          <w:szCs w:val="28"/>
        </w:rPr>
      </w:r>
      <w:r>
        <w:rPr>
          <w:rFonts w:ascii="仿宋" w:hAnsi="仿宋" w:cs="仿宋" w:eastAsia="仿宋" w:hint="default"/>
          <w:spacing w:val="2"/>
          <w:sz w:val="28"/>
          <w:szCs w:val="28"/>
        </w:rPr>
        <w:t>建立利益共享机制，多种方式构成对经营团队的立体激励。这一年，我们实现</w:t>
      </w:r>
      <w:r>
        <w:rPr>
          <w:rFonts w:ascii="仿宋" w:hAnsi="仿宋" w:cs="仿宋" w:eastAsia="仿宋" w:hint="default"/>
          <w:spacing w:val="-100"/>
          <w:sz w:val="28"/>
          <w:szCs w:val="28"/>
        </w:rPr>
        <w:t> </w:t>
      </w:r>
      <w:r>
        <w:rPr>
          <w:rFonts w:ascii="仿宋" w:hAnsi="仿宋" w:cs="仿宋" w:eastAsia="仿宋" w:hint="default"/>
          <w:spacing w:val="-100"/>
          <w:sz w:val="28"/>
          <w:szCs w:val="28"/>
        </w:rPr>
      </w:r>
      <w:r>
        <w:rPr>
          <w:rFonts w:ascii="仿宋" w:hAnsi="仿宋" w:cs="仿宋" w:eastAsia="仿宋" w:hint="default"/>
          <w:sz w:val="28"/>
          <w:szCs w:val="28"/>
        </w:rPr>
        <w:t>稳健成长。</w:t>
      </w:r>
    </w:p>
    <w:p>
      <w:pPr>
        <w:spacing w:line="367" w:lineRule="auto" w:before="85"/>
        <w:ind w:left="112" w:right="96" w:firstLine="561"/>
        <w:jc w:val="left"/>
        <w:rPr>
          <w:rFonts w:ascii="仿宋" w:hAnsi="仿宋" w:cs="仿宋" w:eastAsia="仿宋" w:hint="default"/>
          <w:sz w:val="28"/>
          <w:szCs w:val="28"/>
        </w:rPr>
      </w:pPr>
      <w:r>
        <w:rPr>
          <w:rFonts w:ascii="仿宋" w:hAnsi="仿宋" w:cs="仿宋" w:eastAsia="仿宋" w:hint="default"/>
          <w:b/>
          <w:bCs/>
          <w:spacing w:val="2"/>
          <w:sz w:val="28"/>
          <w:szCs w:val="28"/>
        </w:rPr>
        <w:t>变，才有未来。</w:t>
      </w:r>
      <w:r>
        <w:rPr>
          <w:rFonts w:ascii="仿宋" w:hAnsi="仿宋" w:cs="仿宋" w:eastAsia="仿宋" w:hint="default"/>
          <w:spacing w:val="2"/>
          <w:sz w:val="28"/>
          <w:szCs w:val="28"/>
        </w:rPr>
        <w:t>以客户为中心，以市场为导向，产品创新驱动。提倡“工</w:t>
      </w:r>
      <w:r>
        <w:rPr>
          <w:rFonts w:ascii="仿宋" w:hAnsi="仿宋" w:cs="仿宋" w:eastAsia="仿宋" w:hint="default"/>
          <w:w w:val="100"/>
          <w:sz w:val="28"/>
          <w:szCs w:val="28"/>
        </w:rPr>
        <w:t> </w:t>
      </w:r>
      <w:r>
        <w:rPr>
          <w:rFonts w:ascii="仿宋" w:hAnsi="仿宋" w:cs="仿宋" w:eastAsia="仿宋" w:hint="default"/>
          <w:spacing w:val="2"/>
          <w:sz w:val="28"/>
          <w:szCs w:val="28"/>
        </w:rPr>
        <w:t>匠”精神，把产品做到极致，持续保持细分领域龙头地位。我们坚持客户为导</w:t>
      </w:r>
      <w:r>
        <w:rPr>
          <w:rFonts w:ascii="仿宋" w:hAnsi="仿宋" w:cs="仿宋" w:eastAsia="仿宋" w:hint="default"/>
          <w:spacing w:val="-97"/>
          <w:sz w:val="28"/>
          <w:szCs w:val="28"/>
        </w:rPr>
        <w:t> </w:t>
      </w:r>
      <w:r>
        <w:rPr>
          <w:rFonts w:ascii="仿宋" w:hAnsi="仿宋" w:cs="仿宋" w:eastAsia="仿宋" w:hint="default"/>
          <w:spacing w:val="-97"/>
          <w:sz w:val="28"/>
          <w:szCs w:val="28"/>
        </w:rPr>
      </w:r>
      <w:r>
        <w:rPr>
          <w:rFonts w:ascii="仿宋" w:hAnsi="仿宋" w:cs="仿宋" w:eastAsia="仿宋" w:hint="default"/>
          <w:spacing w:val="-3"/>
          <w:sz w:val="28"/>
          <w:szCs w:val="28"/>
        </w:rPr>
        <w:t>向的作战思路，精准定位，关注用户体验，唤起用户的归属感，提升用户黏性，</w:t>
      </w:r>
      <w:r>
        <w:rPr>
          <w:rFonts w:ascii="仿宋" w:hAnsi="仿宋" w:cs="仿宋" w:eastAsia="仿宋" w:hint="default"/>
          <w:spacing w:val="-77"/>
          <w:sz w:val="28"/>
          <w:szCs w:val="28"/>
        </w:rPr>
        <w:t> </w:t>
      </w:r>
      <w:r>
        <w:rPr>
          <w:rFonts w:ascii="仿宋" w:hAnsi="仿宋" w:cs="仿宋" w:eastAsia="仿宋" w:hint="default"/>
          <w:spacing w:val="-77"/>
          <w:sz w:val="28"/>
          <w:szCs w:val="28"/>
        </w:rPr>
      </w:r>
      <w:r>
        <w:rPr>
          <w:rFonts w:ascii="仿宋" w:hAnsi="仿宋" w:cs="仿宋" w:eastAsia="仿宋" w:hint="default"/>
          <w:spacing w:val="2"/>
          <w:sz w:val="28"/>
          <w:szCs w:val="28"/>
        </w:rPr>
        <w:t>引领市场需求。报告期，公司高度重视创新工作，推出极富吸引力的创新奖励</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政策，鼓励各种形式的创新活动；成立电动车智慧充电省级重点企业研究院，</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推动桩联网技术升级；创立新材料研究院，深入开展与科研院校的合作。我相</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pacing w:val="2"/>
          <w:sz w:val="28"/>
          <w:szCs w:val="28"/>
        </w:rPr>
        <w:t>信，今天你坚持什么，今天你放弃什么，将会铸造十年以后的你和十年后的企</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z w:val="28"/>
          <w:szCs w:val="28"/>
        </w:rPr>
        <w:t>业。</w:t>
      </w:r>
    </w:p>
    <w:p>
      <w:pPr>
        <w:spacing w:line="367" w:lineRule="auto" w:before="85"/>
        <w:ind w:left="112" w:right="250" w:firstLine="561"/>
        <w:jc w:val="both"/>
        <w:rPr>
          <w:rFonts w:ascii="仿宋" w:hAnsi="仿宋" w:cs="仿宋" w:eastAsia="仿宋" w:hint="default"/>
          <w:sz w:val="28"/>
          <w:szCs w:val="28"/>
        </w:rPr>
      </w:pPr>
      <w:r>
        <w:rPr>
          <w:rFonts w:ascii="仿宋" w:hAnsi="仿宋" w:cs="仿宋" w:eastAsia="仿宋" w:hint="default"/>
          <w:spacing w:val="-5"/>
          <w:sz w:val="28"/>
          <w:szCs w:val="28"/>
        </w:rPr>
        <w:t>我不是设计师，但万马需要规划未来。4.0</w:t>
      </w:r>
      <w:r>
        <w:rPr>
          <w:rFonts w:ascii="仿宋" w:hAnsi="仿宋" w:cs="仿宋" w:eastAsia="仿宋" w:hint="default"/>
          <w:spacing w:val="-40"/>
          <w:sz w:val="28"/>
          <w:szCs w:val="28"/>
        </w:rPr>
        <w:t> </w:t>
      </w:r>
      <w:r>
        <w:rPr>
          <w:rFonts w:ascii="仿宋" w:hAnsi="仿宋" w:cs="仿宋" w:eastAsia="仿宋" w:hint="default"/>
          <w:spacing w:val="-4"/>
          <w:sz w:val="28"/>
          <w:szCs w:val="28"/>
        </w:rPr>
        <w:t>是我们必须走的路，未来的制造</w:t>
      </w:r>
      <w:r>
        <w:rPr>
          <w:rFonts w:ascii="仿宋" w:hAnsi="仿宋" w:cs="仿宋" w:eastAsia="仿宋" w:hint="default"/>
          <w:w w:val="100"/>
          <w:sz w:val="28"/>
          <w:szCs w:val="28"/>
        </w:rPr>
        <w:t> </w:t>
      </w:r>
      <w:r>
        <w:rPr>
          <w:rFonts w:ascii="仿宋" w:hAnsi="仿宋" w:cs="仿宋" w:eastAsia="仿宋" w:hint="default"/>
          <w:spacing w:val="2"/>
          <w:sz w:val="28"/>
          <w:szCs w:val="28"/>
        </w:rPr>
        <w:t>业会发生巨大的变化，未来的机器会思考、未来的机器会讲话、未来的机器会</w:t>
      </w:r>
      <w:r>
        <w:rPr>
          <w:rFonts w:ascii="仿宋" w:hAnsi="仿宋" w:cs="仿宋" w:eastAsia="仿宋" w:hint="default"/>
          <w:spacing w:val="-99"/>
          <w:sz w:val="28"/>
          <w:szCs w:val="28"/>
        </w:rPr>
        <w:t> </w:t>
      </w:r>
      <w:r>
        <w:rPr>
          <w:rFonts w:ascii="仿宋" w:hAnsi="仿宋" w:cs="仿宋" w:eastAsia="仿宋" w:hint="default"/>
          <w:spacing w:val="-99"/>
          <w:sz w:val="28"/>
          <w:szCs w:val="28"/>
        </w:rPr>
      </w:r>
      <w:r>
        <w:rPr>
          <w:rFonts w:ascii="仿宋" w:hAnsi="仿宋" w:cs="仿宋" w:eastAsia="仿宋" w:hint="default"/>
          <w:sz w:val="28"/>
          <w:szCs w:val="28"/>
        </w:rPr>
        <w:t>交流、未来的机器会想象……我相信，只有思考未来，才能把握未来！</w:t>
      </w:r>
    </w:p>
    <w:p>
      <w:pPr>
        <w:spacing w:before="85"/>
        <w:ind w:left="674" w:right="96" w:firstLine="0"/>
        <w:jc w:val="left"/>
        <w:rPr>
          <w:rFonts w:ascii="仿宋" w:hAnsi="仿宋" w:cs="仿宋" w:eastAsia="仿宋" w:hint="default"/>
          <w:sz w:val="28"/>
          <w:szCs w:val="28"/>
        </w:rPr>
      </w:pPr>
      <w:r>
        <w:rPr/>
        <w:pict>
          <v:shape style="position:absolute;margin-left:327.700012pt;margin-top:53.172054pt;width:206.695pt;height:103.4pt;mso-position-horizontal-relative:page;mso-position-vertical-relative:paragraph;z-index:0" type="#_x0000_t75" stroked="false">
            <v:imagedata r:id="rId8" o:title=""/>
          </v:shape>
        </w:pict>
      </w:r>
      <w:r>
        <w:rPr>
          <w:rFonts w:ascii="仿宋" w:hAnsi="仿宋" w:cs="仿宋" w:eastAsia="仿宋" w:hint="default"/>
          <w:sz w:val="28"/>
          <w:szCs w:val="28"/>
        </w:rPr>
        <w:t>尊敬的投资者，衷心地感谢您投资参与万马股份的发展！</w:t>
      </w:r>
    </w:p>
    <w:p>
      <w:pPr>
        <w:spacing w:line="240" w:lineRule="auto" w:before="0"/>
        <w:rPr>
          <w:rFonts w:ascii="仿宋" w:hAnsi="仿宋" w:cs="仿宋" w:eastAsia="仿宋" w:hint="default"/>
          <w:sz w:val="28"/>
          <w:szCs w:val="28"/>
        </w:rPr>
      </w:pPr>
    </w:p>
    <w:p>
      <w:pPr>
        <w:spacing w:line="240" w:lineRule="auto" w:before="0"/>
        <w:rPr>
          <w:rFonts w:ascii="仿宋" w:hAnsi="仿宋" w:cs="仿宋" w:eastAsia="仿宋" w:hint="default"/>
          <w:sz w:val="28"/>
          <w:szCs w:val="28"/>
        </w:rPr>
      </w:pPr>
    </w:p>
    <w:p>
      <w:pPr>
        <w:spacing w:line="240" w:lineRule="auto" w:before="0"/>
        <w:rPr>
          <w:rFonts w:ascii="仿宋" w:hAnsi="仿宋" w:cs="仿宋" w:eastAsia="仿宋" w:hint="default"/>
          <w:sz w:val="28"/>
          <w:szCs w:val="28"/>
        </w:rPr>
      </w:pPr>
    </w:p>
    <w:p>
      <w:pPr>
        <w:spacing w:line="240" w:lineRule="auto" w:before="0"/>
        <w:rPr>
          <w:rFonts w:ascii="仿宋" w:hAnsi="仿宋" w:cs="仿宋" w:eastAsia="仿宋" w:hint="default"/>
          <w:sz w:val="28"/>
          <w:szCs w:val="28"/>
        </w:rPr>
      </w:pPr>
    </w:p>
    <w:p>
      <w:pPr>
        <w:spacing w:line="240" w:lineRule="auto" w:before="3"/>
        <w:rPr>
          <w:rFonts w:ascii="仿宋" w:hAnsi="仿宋" w:cs="仿宋" w:eastAsia="仿宋" w:hint="default"/>
          <w:sz w:val="29"/>
          <w:szCs w:val="29"/>
        </w:rPr>
      </w:pPr>
    </w:p>
    <w:p>
      <w:pPr>
        <w:pStyle w:val="Heading3"/>
        <w:spacing w:line="240" w:lineRule="auto" w:before="0"/>
        <w:ind w:left="1912" w:right="96"/>
        <w:jc w:val="left"/>
        <w:rPr>
          <w:rFonts w:ascii="微软雅黑" w:hAnsi="微软雅黑" w:cs="微软雅黑" w:eastAsia="微软雅黑" w:hint="default"/>
        </w:rPr>
      </w:pPr>
      <w:r>
        <w:rPr>
          <w:rFonts w:ascii="微软雅黑" w:hAnsi="微软雅黑" w:cs="微软雅黑" w:eastAsia="微软雅黑" w:hint="default"/>
        </w:rPr>
        <w:t>浙江万马股份有限公司</w:t>
      </w:r>
      <w:r>
        <w:rPr>
          <w:rFonts w:ascii="微软雅黑" w:hAnsi="微软雅黑" w:cs="微软雅黑" w:eastAsia="微软雅黑" w:hint="default"/>
          <w:spacing w:val="48"/>
        </w:rPr>
        <w:t> </w:t>
      </w:r>
      <w:r>
        <w:rPr>
          <w:rFonts w:ascii="微软雅黑" w:hAnsi="微软雅黑" w:cs="微软雅黑" w:eastAsia="微软雅黑" w:hint="default"/>
        </w:rPr>
        <w:t>董事长：</w:t>
      </w:r>
    </w:p>
    <w:p>
      <w:pPr>
        <w:spacing w:after="0" w:line="240" w:lineRule="auto"/>
        <w:jc w:val="left"/>
        <w:rPr>
          <w:rFonts w:ascii="微软雅黑" w:hAnsi="微软雅黑" w:cs="微软雅黑" w:eastAsia="微软雅黑" w:hint="default"/>
        </w:rPr>
        <w:sectPr>
          <w:pgSz w:w="11910" w:h="16840"/>
          <w:pgMar w:header="850" w:footer="1012" w:top="1440" w:bottom="1200" w:left="1020" w:right="880"/>
        </w:sectPr>
      </w:pPr>
    </w:p>
    <w:p>
      <w:pPr>
        <w:spacing w:line="240" w:lineRule="auto" w:before="0"/>
        <w:rPr>
          <w:rFonts w:ascii="微软雅黑" w:hAnsi="微软雅黑" w:cs="微软雅黑" w:eastAsia="微软雅黑" w:hint="default"/>
          <w:sz w:val="20"/>
          <w:szCs w:val="20"/>
        </w:rPr>
      </w:pPr>
    </w:p>
    <w:p>
      <w:pPr>
        <w:spacing w:line="240" w:lineRule="auto" w:before="0"/>
        <w:rPr>
          <w:rFonts w:ascii="微软雅黑" w:hAnsi="微软雅黑" w:cs="微软雅黑" w:eastAsia="微软雅黑" w:hint="default"/>
          <w:sz w:val="20"/>
          <w:szCs w:val="20"/>
        </w:rPr>
      </w:pPr>
    </w:p>
    <w:p>
      <w:pPr>
        <w:spacing w:line="240" w:lineRule="auto" w:before="8"/>
        <w:rPr>
          <w:rFonts w:ascii="微软雅黑" w:hAnsi="微软雅黑" w:cs="微软雅黑" w:eastAsia="微软雅黑" w:hint="default"/>
          <w:sz w:val="23"/>
          <w:szCs w:val="23"/>
        </w:rPr>
      </w:pPr>
    </w:p>
    <w:p>
      <w:pPr>
        <w:pStyle w:val="Heading1"/>
        <w:spacing w:line="240" w:lineRule="auto" w:before="0"/>
        <w:ind w:left="2764" w:right="104"/>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3"/>
        <w:spacing w:line="477" w:lineRule="auto" w:before="244"/>
        <w:ind w:right="104" w:firstLine="480"/>
        <w:jc w:val="left"/>
      </w:pPr>
      <w:r>
        <w:rPr>
          <w:spacing w:val="-3"/>
        </w:rPr>
        <w:t>1.本公司董事会、监事会及董事、监事、高级管理人员保证年度报告内容的真实、准确、</w:t>
      </w:r>
      <w:r>
        <w:rPr/>
        <w:t> 完整，不存在虚假记载、误导性陈述或重大遗漏，并承担个别和连带的法律责任。</w:t>
      </w:r>
    </w:p>
    <w:p>
      <w:pPr>
        <w:pStyle w:val="Heading3"/>
        <w:spacing w:line="477" w:lineRule="auto" w:before="173"/>
        <w:ind w:right="104" w:firstLine="480"/>
        <w:jc w:val="left"/>
      </w:pPr>
      <w:r>
        <w:rPr/>
        <w:t>2.公司负责人何若虚、主管会计工作负责人屠国良及会计机构负责人(会计主管人员)何 斌杰声明：保证年度报告中财务报告的真实、准确、完整。</w:t>
      </w:r>
    </w:p>
    <w:p>
      <w:pPr>
        <w:pStyle w:val="Heading3"/>
        <w:spacing w:line="240" w:lineRule="auto" w:before="170"/>
        <w:ind w:left="592" w:right="104"/>
        <w:jc w:val="left"/>
      </w:pPr>
      <w:r>
        <w:rPr/>
        <w:t>3.所有董事均已出席了审议本报告的董事会会议。</w:t>
      </w:r>
    </w:p>
    <w:p>
      <w:pPr>
        <w:spacing w:line="240" w:lineRule="auto" w:before="5"/>
        <w:rPr>
          <w:rFonts w:ascii="宋体" w:hAnsi="宋体" w:cs="宋体" w:eastAsia="宋体" w:hint="default"/>
          <w:sz w:val="31"/>
          <w:szCs w:val="31"/>
        </w:rPr>
      </w:pPr>
    </w:p>
    <w:p>
      <w:pPr>
        <w:pStyle w:val="Heading3"/>
        <w:spacing w:line="477" w:lineRule="auto" w:before="0"/>
        <w:ind w:right="104" w:firstLine="480"/>
        <w:jc w:val="left"/>
      </w:pPr>
      <w:r>
        <w:rPr/>
        <w:t>4.请投资者认真阅读本年度报告全文，并特别注意风险因素（详细内容见本报告“董事 会报告”之“公司未来发展的展望——风险因素”章节）。</w:t>
      </w:r>
    </w:p>
    <w:p>
      <w:pPr>
        <w:pStyle w:val="Heading3"/>
        <w:spacing w:line="477" w:lineRule="auto" w:before="173"/>
        <w:ind w:right="104" w:firstLine="480"/>
        <w:jc w:val="left"/>
      </w:pPr>
      <w:r>
        <w:rPr/>
        <w:t>5.本报告中涉及的未来发展计划等前瞻性陈述属于计划性事项，不构成公司对投资者的 实质性承诺，敬请投资者注意投资风险。</w:t>
      </w:r>
    </w:p>
    <w:p>
      <w:pPr>
        <w:pStyle w:val="Heading3"/>
        <w:spacing w:line="240" w:lineRule="auto" w:before="170"/>
        <w:ind w:left="592" w:right="104"/>
        <w:jc w:val="left"/>
      </w:pPr>
      <w:r>
        <w:rPr>
          <w:spacing w:val="3"/>
        </w:rPr>
        <w:t>6.公司经本次董事会审议通过的利润分配预案为：以公司</w:t>
      </w:r>
      <w:r>
        <w:rPr>
          <w:spacing w:val="-54"/>
        </w:rPr>
        <w:t> </w:t>
      </w:r>
      <w:r>
        <w:rPr/>
        <w:t>2015</w:t>
      </w:r>
      <w:r>
        <w:rPr>
          <w:spacing w:val="-56"/>
        </w:rPr>
        <w:t> </w:t>
      </w:r>
      <w:r>
        <w:rPr/>
        <w:t>年</w:t>
      </w:r>
      <w:r>
        <w:rPr>
          <w:spacing w:val="-51"/>
        </w:rPr>
        <w:t> </w:t>
      </w:r>
      <w:r>
        <w:rPr/>
        <w:t>12</w:t>
      </w:r>
      <w:r>
        <w:rPr>
          <w:spacing w:val="-54"/>
        </w:rPr>
        <w:t> </w:t>
      </w:r>
      <w:r>
        <w:rPr/>
        <w:t>月</w:t>
      </w:r>
      <w:r>
        <w:rPr>
          <w:spacing w:val="-56"/>
        </w:rPr>
        <w:t> </w:t>
      </w:r>
      <w:r>
        <w:rPr/>
        <w:t>31</w:t>
      </w:r>
      <w:r>
        <w:rPr>
          <w:spacing w:val="-54"/>
        </w:rPr>
        <w:t> </w:t>
      </w:r>
      <w:r>
        <w:rPr>
          <w:spacing w:val="3"/>
        </w:rPr>
        <w:t>日的总股本</w:t>
      </w:r>
    </w:p>
    <w:p>
      <w:pPr>
        <w:spacing w:line="240" w:lineRule="auto" w:before="9"/>
        <w:rPr>
          <w:rFonts w:ascii="宋体" w:hAnsi="宋体" w:cs="宋体" w:eastAsia="宋体" w:hint="default"/>
          <w:sz w:val="23"/>
          <w:szCs w:val="23"/>
        </w:rPr>
      </w:pPr>
    </w:p>
    <w:p>
      <w:pPr>
        <w:pStyle w:val="Heading3"/>
        <w:spacing w:line="477" w:lineRule="auto" w:before="0"/>
        <w:ind w:right="232"/>
        <w:jc w:val="both"/>
      </w:pPr>
      <w:r>
        <w:rPr/>
        <w:t>939,325,488</w:t>
      </w:r>
      <w:r>
        <w:rPr>
          <w:spacing w:val="-65"/>
        </w:rPr>
        <w:t> </w:t>
      </w:r>
      <w:r>
        <w:rPr/>
        <w:t>股为基数向全体股东每</w:t>
      </w:r>
      <w:r>
        <w:rPr>
          <w:spacing w:val="-65"/>
        </w:rPr>
        <w:t> </w:t>
      </w:r>
      <w:r>
        <w:rPr/>
        <w:t>10</w:t>
      </w:r>
      <w:r>
        <w:rPr>
          <w:spacing w:val="-65"/>
        </w:rPr>
        <w:t> </w:t>
      </w:r>
      <w:r>
        <w:rPr/>
        <w:t>股派发现金股利人民币</w:t>
      </w:r>
      <w:r>
        <w:rPr>
          <w:spacing w:val="-65"/>
        </w:rPr>
        <w:t> </w:t>
      </w:r>
      <w:r>
        <w:rPr/>
        <w:t>1</w:t>
      </w:r>
      <w:r>
        <w:rPr>
          <w:spacing w:val="-65"/>
        </w:rPr>
        <w:t> </w:t>
      </w:r>
      <w:r>
        <w:rPr/>
        <w:t>元(含税)，合计派发现金红</w:t>
      </w:r>
      <w:r>
        <w:rPr/>
        <w:t> 利</w:t>
      </w:r>
      <w:r>
        <w:rPr>
          <w:spacing w:val="-45"/>
        </w:rPr>
        <w:t> </w:t>
      </w:r>
      <w:r>
        <w:rPr/>
        <w:t>93,932,548.80</w:t>
      </w:r>
      <w:r>
        <w:rPr>
          <w:spacing w:val="-47"/>
        </w:rPr>
        <w:t> </w:t>
      </w:r>
      <w:r>
        <w:rPr/>
        <w:t>元，其余未分配利润结转以后年度进行分配。公司本年度不派发股票股利</w:t>
      </w:r>
      <w:r>
        <w:rPr>
          <w:spacing w:val="-117"/>
        </w:rPr>
        <w:t> </w:t>
      </w:r>
      <w:r>
        <w:rPr>
          <w:spacing w:val="-117"/>
        </w:rPr>
      </w:r>
      <w:r>
        <w:rPr/>
        <w:t>和实施资本公积金转增资本。（若因股权激励涉及股份回购等原因，总股本在股利分配前发</w:t>
      </w:r>
      <w:r>
        <w:rPr>
          <w:spacing w:val="-89"/>
        </w:rPr>
        <w:t> </w:t>
      </w:r>
      <w:r>
        <w:rPr>
          <w:spacing w:val="-89"/>
        </w:rPr>
      </w:r>
      <w:r>
        <w:rPr/>
        <w:t>生变化的，按分配时实际总股本作为基数派发现金股利。）</w:t>
      </w:r>
    </w:p>
    <w:p>
      <w:pPr>
        <w:spacing w:after="0" w:line="477" w:lineRule="auto"/>
        <w:jc w:val="both"/>
        <w:sectPr>
          <w:footerReference w:type="default" r:id="rId9"/>
          <w:pgSz w:w="11910" w:h="16840"/>
          <w:pgMar w:footer="1012" w:header="850" w:top="1440" w:bottom="1200" w:left="1020" w:right="900"/>
          <w:pgNumType w:start="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tabs>
          <w:tab w:pos="1439" w:val="left" w:leader="none"/>
        </w:tabs>
        <w:spacing w:line="460" w:lineRule="exact" w:before="0"/>
        <w:ind w:left="0" w:right="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3"/>
          <w:szCs w:val="43"/>
        </w:rPr>
      </w:pPr>
    </w:p>
    <w:sdt>
      <w:sdtPr>
        <w:docPartObj>
          <w:docPartGallery w:val="Table of Contents"/>
          <w:docPartUnique/>
        </w:docPartObj>
      </w:sdtPr>
      <w:sdtEndPr/>
      <w:sdtContent>
        <w:p>
          <w:pPr>
            <w:pStyle w:val="TOC1"/>
            <w:tabs>
              <w:tab w:pos="9751" w:val="right" w:leader="dot"/>
            </w:tabs>
            <w:spacing w:line="240" w:lineRule="auto" w:before="0"/>
            <w:ind w:right="0"/>
            <w:jc w:val="left"/>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r>
            <w:r>
              <w:rPr/>
              <w:t>3</w:t>
            </w:r>
          </w:hyperlink>
        </w:p>
        <w:p>
          <w:pPr>
            <w:pStyle w:val="TOC1"/>
            <w:tabs>
              <w:tab w:pos="9751" w:val="right" w:leader="dot"/>
            </w:tabs>
            <w:spacing w:line="240" w:lineRule="auto"/>
            <w:ind w:right="0"/>
            <w:jc w:val="left"/>
          </w:pPr>
          <w:hyperlink w:history="true" w:anchor="_bookmark1">
            <w:r>
              <w:rPr/>
              <w:t>第二节 公司简介和主要财务指标</w:t>
            </w:r>
            <w:r>
              <w:rPr>
                <w:rFonts w:ascii="Times New Roman" w:hAnsi="Times New Roman" w:cs="Times New Roman" w:eastAsia="Times New Roman" w:hint="default"/>
              </w:rPr>
              <w:tab/>
            </w:r>
            <w:r>
              <w:rPr/>
              <w:t>6</w:t>
            </w:r>
          </w:hyperlink>
        </w:p>
        <w:p>
          <w:pPr>
            <w:pStyle w:val="TOC1"/>
            <w:tabs>
              <w:tab w:pos="9751" w:val="right" w:leader="dot"/>
            </w:tabs>
            <w:spacing w:line="240" w:lineRule="auto"/>
            <w:ind w:right="0"/>
            <w:jc w:val="left"/>
          </w:pPr>
          <w:hyperlink w:history="true" w:anchor="_bookmark2">
            <w:r>
              <w:rPr/>
              <w:t>第三节 公司业务概要</w:t>
            </w:r>
            <w:r>
              <w:rPr>
                <w:rFonts w:ascii="Times New Roman" w:hAnsi="Times New Roman" w:cs="Times New Roman" w:eastAsia="Times New Roman" w:hint="default"/>
              </w:rPr>
              <w:tab/>
            </w:r>
            <w:r>
              <w:rPr/>
              <w:t>10</w:t>
            </w:r>
          </w:hyperlink>
        </w:p>
        <w:p>
          <w:pPr>
            <w:pStyle w:val="TOC1"/>
            <w:tabs>
              <w:tab w:pos="9751" w:val="right" w:leader="dot"/>
            </w:tabs>
            <w:spacing w:line="240" w:lineRule="auto"/>
            <w:ind w:right="0"/>
            <w:jc w:val="left"/>
          </w:pPr>
          <w:hyperlink w:history="true" w:anchor="_bookmark3">
            <w:r>
              <w:rPr/>
              <w:t>第四节 管理层讨论与分析</w:t>
            </w:r>
            <w:r>
              <w:rPr>
                <w:rFonts w:ascii="Times New Roman" w:hAnsi="Times New Roman" w:cs="Times New Roman" w:eastAsia="Times New Roman" w:hint="default"/>
              </w:rPr>
              <w:tab/>
            </w:r>
            <w:r>
              <w:rPr/>
              <w:t>16</w:t>
            </w:r>
          </w:hyperlink>
        </w:p>
        <w:p>
          <w:pPr>
            <w:pStyle w:val="TOC1"/>
            <w:tabs>
              <w:tab w:pos="9751" w:val="right" w:leader="dot"/>
            </w:tabs>
            <w:spacing w:line="240" w:lineRule="auto"/>
            <w:ind w:right="0"/>
            <w:jc w:val="left"/>
          </w:pPr>
          <w:hyperlink w:history="true" w:anchor="_bookmark4">
            <w:r>
              <w:rPr/>
              <w:t>第五节 重要事项</w:t>
            </w:r>
            <w:r>
              <w:rPr>
                <w:rFonts w:ascii="Times New Roman" w:hAnsi="Times New Roman" w:cs="Times New Roman" w:eastAsia="Times New Roman" w:hint="default"/>
              </w:rPr>
              <w:tab/>
            </w:r>
            <w:r>
              <w:rPr/>
              <w:t>42</w:t>
            </w:r>
          </w:hyperlink>
        </w:p>
        <w:p>
          <w:pPr>
            <w:pStyle w:val="TOC1"/>
            <w:tabs>
              <w:tab w:pos="9751" w:val="right" w:leader="dot"/>
            </w:tabs>
            <w:spacing w:line="240" w:lineRule="auto"/>
            <w:ind w:right="0"/>
            <w:jc w:val="left"/>
          </w:pPr>
          <w:hyperlink w:history="true" w:anchor="_bookmark5">
            <w:r>
              <w:rPr/>
              <w:t>第六节 股份变动及股东情况</w:t>
            </w:r>
            <w:r>
              <w:rPr>
                <w:rFonts w:ascii="Times New Roman" w:hAnsi="Times New Roman" w:cs="Times New Roman" w:eastAsia="Times New Roman" w:hint="default"/>
              </w:rPr>
              <w:tab/>
            </w:r>
            <w:r>
              <w:rPr/>
              <w:t>65</w:t>
            </w:r>
          </w:hyperlink>
        </w:p>
        <w:p>
          <w:pPr>
            <w:pStyle w:val="TOC1"/>
            <w:tabs>
              <w:tab w:pos="9751" w:val="right" w:leader="dot"/>
            </w:tabs>
            <w:spacing w:line="240" w:lineRule="auto"/>
            <w:ind w:right="0"/>
            <w:jc w:val="left"/>
          </w:pPr>
          <w:hyperlink w:history="true" w:anchor="_bookmark6">
            <w:r>
              <w:rPr/>
              <w:t>第七节 优先股相关情况</w:t>
            </w:r>
            <w:r>
              <w:rPr>
                <w:rFonts w:ascii="Times New Roman" w:hAnsi="Times New Roman" w:cs="Times New Roman" w:eastAsia="Times New Roman" w:hint="default"/>
              </w:rPr>
              <w:tab/>
            </w:r>
            <w:r>
              <w:rPr/>
              <w:t>72</w:t>
            </w:r>
          </w:hyperlink>
        </w:p>
        <w:p>
          <w:pPr>
            <w:pStyle w:val="TOC1"/>
            <w:tabs>
              <w:tab w:pos="9751" w:val="right" w:leader="dot"/>
            </w:tabs>
            <w:spacing w:line="240" w:lineRule="auto"/>
            <w:ind w:right="0"/>
            <w:jc w:val="left"/>
          </w:pPr>
          <w:hyperlink w:history="true" w:anchor="_bookmark7">
            <w:r>
              <w:rPr/>
              <w:t>第八节 董事、监事、高级管理人员和员工情况</w:t>
            </w:r>
            <w:r>
              <w:rPr>
                <w:rFonts w:ascii="Times New Roman" w:hAnsi="Times New Roman" w:cs="Times New Roman" w:eastAsia="Times New Roman" w:hint="default"/>
              </w:rPr>
              <w:tab/>
            </w:r>
            <w:r>
              <w:rPr/>
              <w:t>73</w:t>
            </w:r>
          </w:hyperlink>
        </w:p>
        <w:p>
          <w:pPr>
            <w:pStyle w:val="TOC1"/>
            <w:tabs>
              <w:tab w:pos="9751" w:val="right" w:leader="dot"/>
            </w:tabs>
            <w:spacing w:line="240" w:lineRule="auto"/>
            <w:ind w:right="0"/>
            <w:jc w:val="left"/>
          </w:pPr>
          <w:hyperlink w:history="true" w:anchor="_bookmark8">
            <w:r>
              <w:rPr/>
              <w:t>第九节 公司治理</w:t>
            </w:r>
            <w:r>
              <w:rPr>
                <w:rFonts w:ascii="Times New Roman" w:hAnsi="Times New Roman" w:cs="Times New Roman" w:eastAsia="Times New Roman" w:hint="default"/>
              </w:rPr>
              <w:tab/>
            </w:r>
            <w:r>
              <w:rPr/>
              <w:t>81</w:t>
            </w:r>
          </w:hyperlink>
        </w:p>
        <w:p>
          <w:pPr>
            <w:pStyle w:val="TOC1"/>
            <w:tabs>
              <w:tab w:pos="9751" w:val="right" w:leader="dot"/>
            </w:tabs>
            <w:spacing w:line="240" w:lineRule="auto"/>
            <w:ind w:right="0"/>
            <w:jc w:val="left"/>
          </w:pPr>
          <w:hyperlink w:history="true" w:anchor="_bookmark9">
            <w:r>
              <w:rPr/>
              <w:t>第十节 财务报告</w:t>
            </w:r>
            <w:r>
              <w:rPr>
                <w:rFonts w:ascii="Times New Roman" w:hAnsi="Times New Roman" w:cs="Times New Roman" w:eastAsia="Times New Roman" w:hint="default"/>
              </w:rPr>
              <w:tab/>
            </w:r>
            <w:r>
              <w:rPr/>
              <w:t>88</w:t>
            </w:r>
          </w:hyperlink>
        </w:p>
        <w:p>
          <w:pPr>
            <w:pStyle w:val="TOC1"/>
            <w:tabs>
              <w:tab w:pos="9751" w:val="right" w:leader="dot"/>
            </w:tabs>
            <w:spacing w:line="240" w:lineRule="auto"/>
            <w:ind w:right="0"/>
            <w:jc w:val="left"/>
          </w:pPr>
          <w:hyperlink w:history="true" w:anchor="_bookmark10">
            <w:r>
              <w:rPr/>
              <w:t>第十一节 备查文件目录</w:t>
            </w:r>
            <w:r>
              <w:rPr>
                <w:rFonts w:ascii="Times New Roman" w:hAnsi="Times New Roman" w:cs="Times New Roman" w:eastAsia="Times New Roman" w:hint="default"/>
              </w:rPr>
              <w:tab/>
            </w:r>
            <w:r>
              <w:rPr/>
              <w:t>166</w:t>
            </w:r>
          </w:hyperlink>
        </w:p>
        <w:p>
          <w:pPr/>
          <w:r>
            <w:fldChar w:fldCharType="end"/>
          </w:r>
        </w:p>
      </w:sdtContent>
    </w:sdt>
    <w:p>
      <w:pPr>
        <w:spacing w:after="0"/>
        <w:sectPr>
          <w:pgSz w:w="11910" w:h="16840"/>
          <w:pgMar w:header="850" w:footer="1012" w:top="1440" w:bottom="1200" w:left="1020" w:right="1020"/>
        </w:sectPr>
      </w:pPr>
    </w:p>
    <w:p>
      <w:pPr>
        <w:tabs>
          <w:tab w:pos="980" w:val="left" w:leader="none"/>
        </w:tabs>
        <w:spacing w:before="837"/>
        <w:ind w:left="17"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280"/>
        <w:gridCol w:w="966"/>
        <w:gridCol w:w="4323"/>
      </w:tblGrid>
      <w:tr>
        <w:trPr>
          <w:trHeight w:val="412" w:hRule="exact"/>
        </w:trPr>
        <w:tc>
          <w:tcPr>
            <w:tcW w:w="428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96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万马集团</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电气电缆集团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万马电缆</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万马高分子</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万马特缆</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天屹通信</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香港骐骥</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专用线缆</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万马新能源</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爱充网</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新能源投资公司</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海立斯</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电腾云</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本公司审计机构</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42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2" w:hRule="exact"/>
        </w:trPr>
        <w:tc>
          <w:tcPr>
            <w:tcW w:w="42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966"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32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ind w:left="2626" w:right="96"/>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398"/>
        <w:gridCol w:w="2953"/>
        <w:gridCol w:w="2156"/>
        <w:gridCol w:w="2176"/>
      </w:tblGrid>
      <w:tr>
        <w:trPr>
          <w:trHeight w:val="332" w:hRule="exact"/>
        </w:trPr>
        <w:tc>
          <w:tcPr>
            <w:tcW w:w="239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万马股份</w:t>
            </w:r>
          </w:p>
        </w:tc>
        <w:tc>
          <w:tcPr>
            <w:tcW w:w="215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002276</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万马股份</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Times New Roman"/>
                <w:sz w:val="18"/>
              </w:rPr>
              <w:t>Zhejiang </w:t>
            </w:r>
            <w:r>
              <w:rPr>
                <w:rFonts w:ascii="Times New Roman"/>
                <w:spacing w:val="-4"/>
                <w:sz w:val="18"/>
              </w:rPr>
              <w:t>Wanma </w:t>
            </w:r>
            <w:r>
              <w:rPr>
                <w:rFonts w:ascii="Times New Roman"/>
                <w:sz w:val="18"/>
              </w:rPr>
              <w:t>Co.,</w:t>
            </w:r>
            <w:r>
              <w:rPr>
                <w:rFonts w:ascii="Times New Roman"/>
                <w:spacing w:val="-6"/>
                <w:sz w:val="18"/>
              </w:rPr>
              <w:t> </w:t>
            </w:r>
            <w:r>
              <w:rPr>
                <w:rFonts w:ascii="Times New Roman"/>
                <w:sz w:val="18"/>
              </w:rPr>
              <w:t>Ltd.</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pacing w:val="-6"/>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pacing w:val="-4"/>
                <w:sz w:val="18"/>
              </w:rPr>
              <w:t>Wanma </w:t>
            </w:r>
            <w:r>
              <w:rPr>
                <w:rFonts w:ascii="Times New Roman"/>
                <w:sz w:val="18"/>
              </w:rPr>
              <w:t>Co.,</w:t>
            </w:r>
            <w:r>
              <w:rPr>
                <w:rFonts w:ascii="Times New Roman"/>
                <w:spacing w:val="2"/>
                <w:sz w:val="18"/>
              </w:rPr>
              <w:t> </w:t>
            </w:r>
            <w:r>
              <w:rPr>
                <w:rFonts w:ascii="Times New Roman"/>
                <w:sz w:val="18"/>
              </w:rPr>
              <w:t>Ltd.</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何若虚</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浙江省临安经济开发区南环路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4"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浙江省临安经济开发区南环路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39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hyperlink r:id="rId10">
              <w:r>
                <w:rPr>
                  <w:rFonts w:ascii="Times New Roman"/>
                  <w:sz w:val="18"/>
                </w:rPr>
                <w:t>http://www.wanma-cable.cn</w:t>
              </w:r>
            </w:hyperlink>
          </w:p>
        </w:tc>
      </w:tr>
      <w:tr>
        <w:trPr>
          <w:trHeight w:val="332" w:hRule="exact"/>
        </w:trPr>
        <w:tc>
          <w:tcPr>
            <w:tcW w:w="2398"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hyperlink r:id="rId11">
              <w:r>
                <w:rPr>
                  <w:rFonts w:ascii="Times New Roman"/>
                  <w:sz w:val="18"/>
                </w:rPr>
                <w:t>investor@wanmagroup.com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6"/>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449"/>
        <w:gridCol w:w="3560"/>
        <w:gridCol w:w="3560"/>
      </w:tblGrid>
      <w:tr>
        <w:trPr>
          <w:trHeight w:val="332" w:hRule="exact"/>
        </w:trPr>
        <w:tc>
          <w:tcPr>
            <w:tcW w:w="2449"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35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6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44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35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邵淑青</w:t>
            </w:r>
          </w:p>
        </w:tc>
      </w:tr>
      <w:tr>
        <w:trPr>
          <w:trHeight w:val="322" w:hRule="exact"/>
        </w:trPr>
        <w:tc>
          <w:tcPr>
            <w:tcW w:w="244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浙江临安经济开发区南环路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5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浙江临安经济开发区南环路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2" w:hRule="exact"/>
        </w:trPr>
        <w:tc>
          <w:tcPr>
            <w:tcW w:w="244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0571-61097518</w:t>
            </w:r>
          </w:p>
        </w:tc>
        <w:tc>
          <w:tcPr>
            <w:tcW w:w="35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0571-63755192</w:t>
            </w:r>
          </w:p>
        </w:tc>
      </w:tr>
      <w:tr>
        <w:trPr>
          <w:trHeight w:val="322" w:hRule="exact"/>
        </w:trPr>
        <w:tc>
          <w:tcPr>
            <w:tcW w:w="244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0571-63755256</w:t>
            </w:r>
          </w:p>
        </w:tc>
        <w:tc>
          <w:tcPr>
            <w:tcW w:w="35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0571-63755256</w:t>
            </w:r>
          </w:p>
        </w:tc>
      </w:tr>
      <w:tr>
        <w:trPr>
          <w:trHeight w:val="332" w:hRule="exact"/>
        </w:trPr>
        <w:tc>
          <w:tcPr>
            <w:tcW w:w="2449"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hyperlink r:id="rId11">
              <w:r>
                <w:rPr>
                  <w:rFonts w:ascii="Times New Roman"/>
                  <w:sz w:val="18"/>
                </w:rPr>
                <w:t>investor@wanmagroup.com</w:t>
              </w:r>
            </w:hyperlink>
          </w:p>
        </w:tc>
        <w:tc>
          <w:tcPr>
            <w:tcW w:w="35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hyperlink r:id="rId11">
              <w:r>
                <w:rPr>
                  <w:rFonts w:ascii="Times New Roman"/>
                  <w:sz w:val="18"/>
                </w:rPr>
                <w:t>investor@wanmagroup.com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6"/>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992"/>
        <w:gridCol w:w="5576"/>
      </w:tblGrid>
      <w:tr>
        <w:trPr>
          <w:trHeight w:val="412" w:hRule="exact"/>
        </w:trPr>
        <w:tc>
          <w:tcPr>
            <w:tcW w:w="399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2" w:hRule="exact"/>
        </w:trPr>
        <w:tc>
          <w:tcPr>
            <w:tcW w:w="399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12" w:hRule="exact"/>
        </w:trPr>
        <w:tc>
          <w:tcPr>
            <w:tcW w:w="399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公司董秘办</w:t>
            </w:r>
          </w:p>
        </w:tc>
      </w:tr>
    </w:tbl>
    <w:p>
      <w:pPr>
        <w:spacing w:line="240" w:lineRule="auto" w:before="1"/>
        <w:rPr>
          <w:rFonts w:ascii="宋体" w:hAnsi="宋体" w:cs="宋体" w:eastAsia="宋体" w:hint="default"/>
          <w:b/>
          <w:bCs/>
          <w:sz w:val="18"/>
          <w:szCs w:val="18"/>
        </w:rPr>
      </w:pPr>
    </w:p>
    <w:p>
      <w:pPr>
        <w:pStyle w:val="Heading2"/>
        <w:spacing w:line="240" w:lineRule="auto" w:before="26"/>
        <w:ind w:right="96"/>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929"/>
        <w:gridCol w:w="5641"/>
      </w:tblGrid>
      <w:tr>
        <w:trPr>
          <w:trHeight w:val="412" w:hRule="exact"/>
        </w:trPr>
        <w:tc>
          <w:tcPr>
            <w:tcW w:w="3929"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4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70430884-7</w:t>
            </w:r>
          </w:p>
        </w:tc>
      </w:tr>
      <w:tr>
        <w:trPr>
          <w:trHeight w:val="984" w:hRule="exact"/>
        </w:trPr>
        <w:tc>
          <w:tcPr>
            <w:tcW w:w="392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641"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49"/>
              <w:ind w:left="104" w:right="91"/>
              <w:jc w:val="both"/>
              <w:rPr>
                <w:rFonts w:ascii="宋体" w:hAnsi="宋体" w:cs="宋体" w:eastAsia="宋体" w:hint="default"/>
                <w:sz w:val="18"/>
                <w:szCs w:val="18"/>
              </w:rPr>
            </w:pPr>
            <w:r>
              <w:rPr>
                <w:rFonts w:ascii="宋体" w:hAnsi="宋体" w:cs="宋体" w:eastAsia="宋体" w:hint="default"/>
                <w:sz w:val="18"/>
                <w:szCs w:val="18"/>
              </w:rPr>
              <w:t>自上市以来，公司一直主营电力电缆业务。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年公司实施重大资产 重组，增加线缆及新领域用材料的研发、生产与销售；光纤光缆、同 轴电缆、数据通信电缆等系列产品的研发、生产与销售。近两年来，</w:t>
            </w:r>
          </w:p>
        </w:tc>
      </w:tr>
    </w:tbl>
    <w:p>
      <w:pPr>
        <w:spacing w:after="0" w:line="309" w:lineRule="auto"/>
        <w:jc w:val="both"/>
        <w:rPr>
          <w:rFonts w:ascii="宋体" w:hAnsi="宋体" w:cs="宋体" w:eastAsia="宋体" w:hint="default"/>
          <w:sz w:val="18"/>
          <w:szCs w:val="18"/>
        </w:rPr>
        <w:sectPr>
          <w:pgSz w:w="11910" w:h="16840"/>
          <w:pgMar w:header="850" w:footer="1012" w:top="1440" w:bottom="1200" w:left="1000" w:right="960"/>
        </w:sectPr>
      </w:pPr>
    </w:p>
    <w:p>
      <w:pPr>
        <w:spacing w:line="240" w:lineRule="auto" w:before="4"/>
        <w:rPr>
          <w:rFonts w:ascii="宋体" w:hAnsi="宋体" w:cs="宋体" w:eastAsia="宋体"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3929"/>
        <w:gridCol w:w="5641"/>
      </w:tblGrid>
      <w:tr>
        <w:trPr>
          <w:trHeight w:val="674" w:hRule="exact"/>
        </w:trPr>
        <w:tc>
          <w:tcPr>
            <w:tcW w:w="3929" w:type="dxa"/>
            <w:tcBorders>
              <w:top w:val="single" w:sz="4" w:space="0" w:color="000000"/>
              <w:left w:val="single" w:sz="12" w:space="0" w:color="000000"/>
              <w:bottom w:val="single" w:sz="4" w:space="0" w:color="000000"/>
              <w:right w:val="single" w:sz="4" w:space="0" w:color="000000"/>
            </w:tcBorders>
            <w:shd w:val="clear" w:color="auto" w:fill="D3D3D3"/>
          </w:tcPr>
          <w:p>
            <w:pPr/>
          </w:p>
        </w:tc>
        <w:tc>
          <w:tcPr>
            <w:tcW w:w="564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4" w:right="115"/>
              <w:jc w:val="left"/>
              <w:rPr>
                <w:rFonts w:ascii="宋体" w:hAnsi="宋体" w:cs="宋体" w:eastAsia="宋体" w:hint="default"/>
                <w:sz w:val="18"/>
                <w:szCs w:val="18"/>
              </w:rPr>
            </w:pPr>
            <w:r>
              <w:rPr>
                <w:rFonts w:ascii="宋体" w:hAnsi="宋体" w:cs="宋体" w:eastAsia="宋体" w:hint="default"/>
                <w:sz w:val="18"/>
                <w:szCs w:val="18"/>
              </w:rPr>
              <w:t>公司新源充电桩系列产品的研发、生产、销售量增速较快，并根据市 场需求，新增充电网络运维服务、充电网投资等新能源相关业务。</w:t>
            </w:r>
          </w:p>
        </w:tc>
      </w:tr>
      <w:tr>
        <w:trPr>
          <w:trHeight w:val="412" w:hRule="exact"/>
        </w:trPr>
        <w:tc>
          <w:tcPr>
            <w:tcW w:w="3929"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6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2"/>
        <w:rPr>
          <w:rFonts w:ascii="宋体" w:hAnsi="宋体" w:cs="宋体" w:eastAsia="宋体" w:hint="default"/>
          <w:b/>
          <w:bCs/>
          <w:sz w:val="18"/>
          <w:szCs w:val="18"/>
        </w:rPr>
      </w:pPr>
    </w:p>
    <w:p>
      <w:pPr>
        <w:pStyle w:val="Heading2"/>
        <w:spacing w:line="468" w:lineRule="auto" w:before="26"/>
        <w:ind w:right="7083"/>
        <w:jc w:val="left"/>
        <w:rPr>
          <w:b w:val="0"/>
          <w:bCs w:val="0"/>
        </w:rPr>
      </w:pPr>
      <w:r>
        <w:rPr/>
        <w:pict>
          <v:shape style="position:absolute;margin-left:55.98pt;margin-top:51.425621pt;width:480.6pt;height:62.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2"/>
                    <w:gridCol w:w="5676"/>
                  </w:tblGrid>
                  <w:tr>
                    <w:trPr>
                      <w:trHeight w:val="412" w:hRule="exact"/>
                    </w:trPr>
                    <w:tc>
                      <w:tcPr>
                        <w:tcW w:w="389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6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9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6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12" w:hRule="exact"/>
                    </w:trPr>
                    <w:tc>
                      <w:tcPr>
                        <w:tcW w:w="389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6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叶胜平、刘向荣</w:t>
                        </w:r>
                      </w:p>
                    </w:tc>
                  </w:tr>
                </w:tbl>
                <w:p>
                  <w:pPr/>
                </w:p>
              </w:txbxContent>
            </v:textbox>
            <w10:wrap type="none"/>
          </v:shape>
        </w:pict>
      </w:r>
      <w:r>
        <w:rPr/>
        <w:t>五、其他有关资料</w:t>
      </w:r>
      <w:r>
        <w:rPr>
          <w:w w:val="99"/>
        </w:rPr>
        <w:t> </w:t>
      </w:r>
      <w:r>
        <w:rPr/>
        <w:t>公司聘请的会计师事务所</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spacing w:before="44"/>
        <w:ind w:left="132" w:right="14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3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44"/>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公司是否因会计政策变更及会计差错更正等追溯调整或重述以前年度会计数据</w:t>
      </w:r>
      <w:r>
        <w:rPr>
          <w:rFonts w:ascii="宋体" w:hAnsi="宋体" w:cs="宋体" w:eastAsia="宋体" w:hint="default"/>
          <w:sz w:val="21"/>
          <w:szCs w:val="21"/>
        </w:rPr>
      </w:r>
    </w:p>
    <w:p>
      <w:pPr>
        <w:spacing w:before="101"/>
        <w:ind w:left="132" w:right="7083"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430"/>
        <w:gridCol w:w="1716"/>
        <w:gridCol w:w="1667"/>
        <w:gridCol w:w="1227"/>
        <w:gridCol w:w="1529"/>
      </w:tblGrid>
      <w:tr>
        <w:trPr>
          <w:trHeight w:val="724" w:hRule="exact"/>
        </w:trPr>
        <w:tc>
          <w:tcPr>
            <w:tcW w:w="3430"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71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8" w:right="157"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52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6,847,147,641.48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5,846,950,238.25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2"/>
                <w:sz w:val="18"/>
              </w:rPr>
              <w:t>17.11%</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4,855,629,558.61</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271,891,782.76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235,406,336.63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15.50%</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9"/>
              <w:jc w:val="right"/>
              <w:rPr>
                <w:rFonts w:ascii="Times New Roman" w:hAnsi="Times New Roman" w:cs="Times New Roman" w:eastAsia="Times New Roman" w:hint="default"/>
                <w:sz w:val="18"/>
                <w:szCs w:val="18"/>
              </w:rPr>
            </w:pPr>
            <w:r>
              <w:rPr>
                <w:rFonts w:ascii="Times New Roman"/>
                <w:spacing w:val="-1"/>
                <w:sz w:val="18"/>
              </w:rPr>
              <w:t>220,017,013.67</w:t>
            </w:r>
          </w:p>
        </w:tc>
      </w:tr>
      <w:tr>
        <w:trPr>
          <w:trHeight w:val="714"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49"/>
              <w:ind w:left="92" w:right="2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261,218,971.36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226,598,460.62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15.28%</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213,762,639.35</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268,464,766.76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247,936,206.96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8.28%</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9"/>
              <w:jc w:val="right"/>
              <w:rPr>
                <w:rFonts w:ascii="Times New Roman" w:hAnsi="Times New Roman" w:cs="Times New Roman" w:eastAsia="Times New Roman" w:hint="default"/>
                <w:sz w:val="18"/>
                <w:szCs w:val="18"/>
              </w:rPr>
            </w:pPr>
            <w:r>
              <w:rPr>
                <w:rFonts w:ascii="Times New Roman"/>
                <w:spacing w:val="-1"/>
                <w:sz w:val="18"/>
              </w:rPr>
              <w:t>151,378,534.39</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16.00%</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0.29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0.25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16.00%</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1"/>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9.63%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9.03%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0.60%</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9.17%</w:t>
            </w:r>
          </w:p>
        </w:tc>
      </w:tr>
      <w:tr>
        <w:trPr>
          <w:trHeight w:val="714"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8" w:right="157"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1529"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402" w:hRule="exact"/>
        </w:trPr>
        <w:tc>
          <w:tcPr>
            <w:tcW w:w="34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5,043,903,197.15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4,677,969,351.59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7.82%</w:t>
            </w:r>
          </w:p>
        </w:tc>
        <w:tc>
          <w:tcPr>
            <w:tcW w:w="15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4,025,019,644.84</w:t>
            </w:r>
          </w:p>
        </w:tc>
      </w:tr>
      <w:tr>
        <w:trPr>
          <w:trHeight w:val="412" w:hRule="exact"/>
        </w:trPr>
        <w:tc>
          <w:tcPr>
            <w:tcW w:w="343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2,945,322,527.11</w:t>
            </w:r>
          </w:p>
        </w:tc>
        <w:tc>
          <w:tcPr>
            <w:tcW w:w="16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2,717,540,197.75</w:t>
            </w: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8.38%</w:t>
            </w:r>
          </w:p>
        </w:tc>
        <w:tc>
          <w:tcPr>
            <w:tcW w:w="15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0"/>
              <w:ind w:right="89"/>
              <w:jc w:val="right"/>
              <w:rPr>
                <w:rFonts w:ascii="Times New Roman" w:hAnsi="Times New Roman" w:cs="Times New Roman" w:eastAsia="Times New Roman" w:hint="default"/>
                <w:sz w:val="18"/>
                <w:szCs w:val="18"/>
              </w:rPr>
            </w:pPr>
            <w:r>
              <w:rPr>
                <w:rFonts w:ascii="Times New Roman"/>
                <w:spacing w:val="-1"/>
                <w:sz w:val="18"/>
              </w:rPr>
              <w:t>2,519,043,535.52</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5"/>
        <w:rPr>
          <w:rFonts w:ascii="宋体" w:hAnsi="宋体" w:cs="宋体" w:eastAsia="宋体" w:hint="default"/>
          <w:sz w:val="13"/>
          <w:szCs w:val="13"/>
        </w:rPr>
      </w:pPr>
    </w:p>
    <w:p>
      <w:pPr>
        <w:pStyle w:val="Heading2"/>
        <w:spacing w:line="240" w:lineRule="auto" w:before="26"/>
        <w:ind w:right="144"/>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19"/>
          <w:szCs w:val="19"/>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1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2"/>
        <w:spacing w:line="240" w:lineRule="auto"/>
        <w:ind w:right="144"/>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332" w:hRule="exact"/>
        </w:trPr>
        <w:tc>
          <w:tcPr>
            <w:tcW w:w="2621"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74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262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983,259,127.54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1,465,180,646.56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1,781,698,231.50</w:t>
            </w:r>
          </w:p>
        </w:tc>
        <w:tc>
          <w:tcPr>
            <w:tcW w:w="17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2,617,009,635.88</w:t>
            </w:r>
          </w:p>
        </w:tc>
      </w:tr>
      <w:tr>
        <w:trPr>
          <w:trHeight w:val="322" w:hRule="exact"/>
        </w:trPr>
        <w:tc>
          <w:tcPr>
            <w:tcW w:w="262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25,965,319.69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82,194,295.75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47,819,194.23</w:t>
            </w:r>
          </w:p>
        </w:tc>
        <w:tc>
          <w:tcPr>
            <w:tcW w:w="17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pacing w:val="-1"/>
                <w:sz w:val="18"/>
              </w:rPr>
              <w:t>115,912,973.09</w:t>
            </w:r>
          </w:p>
        </w:tc>
      </w:tr>
      <w:tr>
        <w:trPr>
          <w:trHeight w:val="634" w:hRule="exact"/>
        </w:trPr>
        <w:tc>
          <w:tcPr>
            <w:tcW w:w="262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0"/>
              <w:ind w:left="92"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25,004,242.22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81,291,185.65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47,727,744.79</w:t>
            </w:r>
          </w:p>
        </w:tc>
        <w:tc>
          <w:tcPr>
            <w:tcW w:w="17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107,195,798.70</w:t>
            </w:r>
          </w:p>
        </w:tc>
      </w:tr>
      <w:tr>
        <w:trPr>
          <w:trHeight w:val="332" w:hRule="exact"/>
        </w:trPr>
        <w:tc>
          <w:tcPr>
            <w:tcW w:w="2621"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-150,606,281.75</w:t>
            </w:r>
          </w:p>
        </w:tc>
        <w:tc>
          <w:tcPr>
            <w:tcW w:w="17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-6,200,280.24</w:t>
            </w:r>
          </w:p>
        </w:tc>
        <w:tc>
          <w:tcPr>
            <w:tcW w:w="17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122,305,686.09</w:t>
            </w:r>
          </w:p>
        </w:tc>
        <w:tc>
          <w:tcPr>
            <w:tcW w:w="17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302,965,642.66</w:t>
            </w:r>
          </w:p>
        </w:tc>
      </w:tr>
    </w:tbl>
    <w:p>
      <w:pPr>
        <w:spacing w:before="50"/>
        <w:ind w:left="132" w:right="14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32" w:right="7083"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2"/>
        <w:rPr>
          <w:rFonts w:ascii="宋体" w:hAnsi="宋体" w:cs="宋体" w:eastAsia="宋体" w:hint="default"/>
          <w:sz w:val="15"/>
          <w:szCs w:val="15"/>
        </w:rPr>
      </w:pPr>
    </w:p>
    <w:p>
      <w:pPr>
        <w:pStyle w:val="Heading2"/>
        <w:spacing w:line="240" w:lineRule="auto"/>
        <w:ind w:right="144"/>
        <w:jc w:val="left"/>
        <w:rPr>
          <w:b w:val="0"/>
          <w:bCs w:val="0"/>
        </w:rPr>
      </w:pPr>
      <w:r>
        <w:rPr/>
        <w:t>九、非经常性损益项目及金额</w:t>
      </w:r>
      <w:r>
        <w:rPr>
          <w:b w:val="0"/>
          <w:bCs w:val="0"/>
        </w:rPr>
      </w:r>
    </w:p>
    <w:p>
      <w:pPr>
        <w:spacing w:line="240" w:lineRule="auto" w:before="9"/>
        <w:rPr>
          <w:rFonts w:ascii="宋体" w:hAnsi="宋体" w:cs="宋体" w:eastAsia="宋体" w:hint="default"/>
          <w:b/>
          <w:bCs/>
          <w:sz w:val="11"/>
          <w:szCs w:val="11"/>
        </w:rPr>
      </w:pPr>
    </w:p>
    <w:p>
      <w:pPr>
        <w:spacing w:before="44"/>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3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4950"/>
        <w:gridCol w:w="1305"/>
        <w:gridCol w:w="1260"/>
        <w:gridCol w:w="1305"/>
        <w:gridCol w:w="748"/>
      </w:tblGrid>
      <w:tr>
        <w:trPr>
          <w:trHeight w:val="332" w:hRule="exact"/>
        </w:trPr>
        <w:tc>
          <w:tcPr>
            <w:tcW w:w="495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3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74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8"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pacing w:val="-2"/>
                <w:sz w:val="18"/>
                <w:szCs w:val="18"/>
              </w:rPr>
              <w:t>非流动资产处置损益（包括已计提资产减值准备的冲销部分）</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-739,155.41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-50,949.75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-118,107.39</w:t>
            </w: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1"/>
              <w:ind w:left="92" w:right="15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13,013,478.92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11,547,179.86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8,587,689.37</w:t>
            </w: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1258"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0"/>
              <w:ind w:left="92" w:right="15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578,084.16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-411,242.16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732,728.95</w:t>
            </w: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67,318.86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-629,716.23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-527,950.93</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-1,575,765.05</w:t>
            </w: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1,613,128.57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1,715,537.32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1,374,084.64</w:t>
            </w: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95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45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4,070.33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33,623.69</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-1,913.08</w:t>
            </w:r>
          </w:p>
        </w:tc>
        <w:tc>
          <w:tcPr>
            <w:tcW w:w="748" w:type="dxa"/>
            <w:tcBorders>
              <w:top w:val="single" w:sz="4" w:space="0" w:color="000000"/>
              <w:left w:val="single" w:sz="4" w:space="0" w:color="000000"/>
              <w:bottom w:val="single" w:sz="4" w:space="0" w:color="000000"/>
              <w:right w:val="single" w:sz="12" w:space="0" w:color="000000"/>
            </w:tcBorders>
          </w:tcPr>
          <w:p>
            <w:pPr/>
          </w:p>
        </w:tc>
      </w:tr>
      <w:tr>
        <w:trPr>
          <w:trHeight w:val="332" w:hRule="exact"/>
        </w:trPr>
        <w:tc>
          <w:tcPr>
            <w:tcW w:w="495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3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10,672,811.40</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8,807,876.01</w:t>
            </w:r>
          </w:p>
        </w:tc>
        <w:tc>
          <w:tcPr>
            <w:tcW w:w="13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6,254,374.32</w:t>
            </w:r>
          </w:p>
        </w:tc>
        <w:tc>
          <w:tcPr>
            <w:tcW w:w="748" w:type="dxa"/>
            <w:tcBorders>
              <w:top w:val="single" w:sz="4" w:space="0" w:color="000000"/>
              <w:left w:val="single" w:sz="4" w:space="0" w:color="000000"/>
              <w:bottom w:val="single" w:sz="12" w:space="0" w:color="000000"/>
              <w:right w:val="single" w:sz="12" w:space="0" w:color="000000"/>
            </w:tcBorders>
            <w:shd w:val="clear" w:color="auto" w:fill="D3D3D3"/>
          </w:tcPr>
          <w:p>
            <w:pPr>
              <w:pStyle w:val="TableParagraph"/>
              <w:spacing w:line="240" w:lineRule="auto" w:before="53"/>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32" w:right="144"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before="63"/>
        <w:ind w:left="132" w:right="144"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非经常性损益》中列举的非经常性损益项目界定为经常性损益的项</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9"/>
        <w:rPr>
          <w:rFonts w:ascii="宋体" w:hAnsi="宋体" w:cs="宋体" w:eastAsia="宋体" w:hint="default"/>
          <w:b/>
          <w:bCs/>
          <w:sz w:val="15"/>
          <w:szCs w:val="1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目，应说明原因</w:t>
      </w:r>
      <w:r>
        <w:rPr>
          <w:rFonts w:ascii="宋体" w:hAnsi="宋体" w:cs="宋体" w:eastAsia="宋体" w:hint="default"/>
          <w:sz w:val="18"/>
          <w:szCs w:val="18"/>
        </w:rPr>
      </w:r>
    </w:p>
    <w:p>
      <w:pPr>
        <w:spacing w:before="76"/>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76"/>
        <w:ind w:left="11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50" w:footer="1012" w:top="144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2"/>
        <w:ind w:left="3391" w:right="3511"/>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spacing w:line="506" w:lineRule="auto" w:before="0"/>
        <w:ind w:left="532" w:right="3142" w:hanging="420"/>
        <w:jc w:val="left"/>
        <w:rPr>
          <w:rFonts w:ascii="宋体" w:hAnsi="宋体" w:cs="宋体" w:eastAsia="宋体" w:hint="default"/>
          <w:sz w:val="24"/>
          <w:szCs w:val="24"/>
        </w:rPr>
      </w:pPr>
      <w:r>
        <w:rPr/>
        <w:pict>
          <v:shape style="position:absolute;margin-left:77.760002pt;margin-top:79.485649pt;width:424.2pt;height:280.56pt;mso-position-horizontal-relative:page;mso-position-vertical-relative:paragraph;z-index:-801928" type="#_x0000_t75" stroked="false">
            <v:imagedata r:id="rId13" o:title=""/>
          </v:shape>
        </w:pict>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b/>
          <w:bCs/>
          <w:w w:val="95"/>
          <w:sz w:val="21"/>
          <w:szCs w:val="21"/>
        </w:rPr>
        <w:t>公司主要业务涉及电线电缆、新材料、新能源三大行业。</w:t>
      </w:r>
      <w:r>
        <w:rPr>
          <w:rFonts w:ascii="宋体" w:hAnsi="宋体" w:cs="宋体" w:eastAsia="宋体" w:hint="default"/>
          <w:b/>
          <w:bCs/>
          <w:w w:val="99"/>
          <w:sz w:val="21"/>
          <w:szCs w:val="21"/>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、电线电缆</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6"/>
          <w:szCs w:val="26"/>
        </w:rPr>
      </w:pPr>
    </w:p>
    <w:p>
      <w:pPr>
        <w:pStyle w:val="Heading3"/>
        <w:spacing w:line="345" w:lineRule="auto" w:before="0"/>
        <w:ind w:right="232" w:firstLine="420"/>
        <w:jc w:val="both"/>
      </w:pPr>
      <w:r>
        <w:rPr>
          <w:spacing w:val="-8"/>
          <w:w w:val="99"/>
        </w:rPr>
        <w:t>电线电缆领域，公司能为客户提供智能输电解决方案。产品大类主要包括电力电缆（</w:t>
      </w:r>
      <w:r>
        <w:rPr>
          <w:rFonts w:ascii="Times New Roman" w:hAnsi="Times New Roman" w:cs="Times New Roman" w:eastAsia="Times New Roman" w:hint="default"/>
          <w:spacing w:val="-8"/>
          <w:w w:val="99"/>
        </w:rPr>
        <w:t>500kV</w:t>
      </w:r>
      <w:r>
        <w:rPr>
          <w:rFonts w:ascii="Times New Roman" w:hAnsi="Times New Roman" w:cs="Times New Roman" w:eastAsia="Times New Roman" w:hint="default"/>
          <w:w w:val="99"/>
        </w:rPr>
        <w:t> </w:t>
      </w:r>
      <w:r>
        <w:rPr/>
        <w:t>及以下的超高压交联聚乙烯绝缘电缆、</w:t>
      </w:r>
      <w:r>
        <w:rPr>
          <w:rFonts w:ascii="Times New Roman" w:hAnsi="Times New Roman" w:cs="Times New Roman" w:eastAsia="Times New Roman" w:hint="default"/>
        </w:rPr>
        <w:t>6kV</w:t>
      </w:r>
      <w:r>
        <w:rPr/>
        <w:t>～</w:t>
      </w:r>
      <w:r>
        <w:rPr>
          <w:rFonts w:ascii="Times New Roman" w:hAnsi="Times New Roman" w:cs="Times New Roman" w:eastAsia="Times New Roman" w:hint="default"/>
        </w:rPr>
        <w:t>35kV</w:t>
      </w:r>
      <w:r>
        <w:rPr/>
        <w:t>的中压电缆、低压电缆）、特种电缆、民 用建筑线缆、光纤光缆、同轴电缆、数据通信电缆等系列产品，是国内拥有完整线缆产业链 的“综合线缆供应商”。</w:t>
      </w:r>
    </w:p>
    <w:p>
      <w:pPr>
        <w:pStyle w:val="Heading3"/>
        <w:spacing w:line="352" w:lineRule="auto" w:before="204"/>
        <w:ind w:right="104" w:firstLine="420"/>
        <w:jc w:val="left"/>
      </w:pPr>
      <w:r>
        <w:rPr>
          <w:spacing w:val="-2"/>
        </w:rPr>
        <w:t>经过多年发展，公司已成为中国电力电缆骨干企业，拥有</w:t>
      </w:r>
      <w:r>
        <w:rPr>
          <w:rFonts w:ascii="Times New Roman" w:hAnsi="Times New Roman" w:cs="Times New Roman" w:eastAsia="Times New Roman" w:hint="default"/>
          <w:spacing w:val="-2"/>
        </w:rPr>
        <w:t>500kV</w:t>
      </w:r>
      <w:r>
        <w:rPr>
          <w:spacing w:val="-2"/>
        </w:rPr>
        <w:t>交联电缆立式生产线</w:t>
      </w:r>
      <w:r>
        <w:rPr>
          <w:rFonts w:ascii="Times New Roman" w:hAnsi="Times New Roman" w:cs="Times New Roman" w:eastAsia="Times New Roman" w:hint="default"/>
          <w:spacing w:val="-2"/>
        </w:rPr>
        <w:t>4</w:t>
      </w:r>
      <w:r>
        <w:rPr>
          <w:spacing w:val="-2"/>
        </w:rPr>
        <w:t>条，</w:t>
      </w:r>
      <w:r>
        <w:rPr/>
        <w:t> 能最大限度地满足不同客户对电缆产品的需求，为客户提供一体化电力传输解决方案。在设 计、选型等多方面独树一帜，产品质量国内领先。公司产品种类较齐全，其中超高压电缆在 国网集中采购中标公司数居行业前列，防火电缆、风能电缆、矿用电缆等特种线缆为国内领 先。</w:t>
      </w:r>
    </w:p>
    <w:p>
      <w:pPr>
        <w:pStyle w:val="Heading3"/>
        <w:spacing w:line="240" w:lineRule="auto" w:before="197"/>
        <w:ind w:left="532" w:right="104"/>
        <w:jc w:val="left"/>
      </w:pPr>
      <w:r>
        <w:rPr/>
        <w:t>公司在同轴电缆行业拥有广泛的销售渠道和良好的客户关系，在欧美等高端市场和国内</w:t>
      </w:r>
    </w:p>
    <w:p>
      <w:pPr>
        <w:spacing w:after="0" w:line="240" w:lineRule="auto"/>
        <w:jc w:val="left"/>
        <w:sectPr>
          <w:pgSz w:w="11910" w:h="16840"/>
          <w:pgMar w:header="850" w:footer="1012" w:top="1440" w:bottom="1200" w:left="1020" w:right="900"/>
        </w:sectPr>
      </w:pPr>
    </w:p>
    <w:p>
      <w:pPr>
        <w:spacing w:line="240" w:lineRule="auto" w:before="6"/>
        <w:rPr>
          <w:rFonts w:ascii="宋体" w:hAnsi="宋体" w:cs="宋体" w:eastAsia="宋体" w:hint="default"/>
          <w:sz w:val="19"/>
          <w:szCs w:val="19"/>
        </w:rPr>
      </w:pPr>
    </w:p>
    <w:p>
      <w:pPr>
        <w:pStyle w:val="Heading3"/>
        <w:spacing w:line="345" w:lineRule="auto"/>
        <w:ind w:right="104"/>
        <w:jc w:val="left"/>
      </w:pPr>
      <w:r>
        <w:rPr>
          <w:spacing w:val="-2"/>
        </w:rPr>
        <w:t>外中高端同轴电缆行业享有声誉，是美国</w:t>
      </w:r>
      <w:r>
        <w:rPr>
          <w:rFonts w:ascii="Times New Roman" w:hAnsi="Times New Roman" w:cs="Times New Roman" w:eastAsia="Times New Roman" w:hint="default"/>
          <w:spacing w:val="-2"/>
        </w:rPr>
        <w:t>DTV</w:t>
      </w:r>
      <w:r>
        <w:rPr>
          <w:spacing w:val="-2"/>
        </w:rPr>
        <w:t>公司在中国主要的</w:t>
      </w:r>
      <w:r>
        <w:rPr>
          <w:rFonts w:ascii="Times New Roman" w:hAnsi="Times New Roman" w:cs="Times New Roman" w:eastAsia="Times New Roman" w:hint="default"/>
          <w:spacing w:val="-2"/>
        </w:rPr>
        <w:t>RG6</w:t>
      </w:r>
      <w:r>
        <w:rPr>
          <w:spacing w:val="-2"/>
        </w:rPr>
        <w:t>系列同轴电缆的供应商，</w:t>
      </w:r>
      <w:r>
        <w:rPr>
          <w:spacing w:val="-106"/>
        </w:rPr>
        <w:t> </w:t>
      </w:r>
      <w:r>
        <w:rPr/>
        <w:t>拥有世界上最先进的物理发泡串联生产线（奥地利罗森泰生产线）；建立了完善的同轴电缆 芯线生产和实时监控系统，符合美国</w:t>
      </w:r>
      <w:r>
        <w:rPr>
          <w:rFonts w:ascii="Times New Roman" w:hAnsi="Times New Roman" w:cs="Times New Roman" w:eastAsia="Times New Roman" w:hint="default"/>
        </w:rPr>
        <w:t>SCTE</w:t>
      </w:r>
      <w:r>
        <w:rPr/>
        <w:t>标准、</w:t>
      </w:r>
      <w:r>
        <w:rPr>
          <w:rFonts w:ascii="Times New Roman" w:hAnsi="Times New Roman" w:cs="Times New Roman" w:eastAsia="Times New Roman" w:hint="default"/>
        </w:rPr>
        <w:t>UL</w:t>
      </w:r>
      <w:r>
        <w:rPr/>
        <w:t>标准的电缆及电缆材料检测中心，自主 设计建立了国内第一座符合美国</w:t>
      </w:r>
      <w:r>
        <w:rPr>
          <w:rFonts w:ascii="Times New Roman" w:hAnsi="Times New Roman" w:cs="Times New Roman" w:eastAsia="Times New Roman" w:hint="default"/>
        </w:rPr>
        <w:t>UL1666</w:t>
      </w:r>
      <w:r>
        <w:rPr/>
        <w:t>标准的</w:t>
      </w:r>
      <w:r>
        <w:rPr>
          <w:rFonts w:ascii="Times New Roman" w:hAnsi="Times New Roman" w:cs="Times New Roman" w:eastAsia="Times New Roman" w:hint="default"/>
        </w:rPr>
        <w:t>CMR</w:t>
      </w:r>
      <w:r>
        <w:rPr/>
        <w:t>级燃烧实验塔，产品质量有保证。</w:t>
      </w:r>
    </w:p>
    <w:p>
      <w:pPr>
        <w:pStyle w:val="Heading2"/>
        <w:spacing w:line="240" w:lineRule="auto" w:before="175"/>
        <w:ind w:left="532" w:right="104"/>
        <w:jc w:val="left"/>
        <w:rPr>
          <w:b w:val="0"/>
          <w:bCs w:val="0"/>
        </w:rPr>
      </w:pPr>
      <w:r>
        <w:rPr>
          <w:rFonts w:ascii="Times New Roman" w:hAnsi="Times New Roman" w:cs="Times New Roman" w:eastAsia="Times New Roman" w:hint="default"/>
        </w:rPr>
        <w:t>2</w:t>
      </w:r>
      <w:r>
        <w:rPr/>
        <w:t>、新材料</w:t>
      </w:r>
      <w:r>
        <w:rPr>
          <w:b w:val="0"/>
          <w:bCs w:val="0"/>
        </w:rPr>
      </w:r>
    </w:p>
    <w:p>
      <w:pPr>
        <w:spacing w:line="240" w:lineRule="auto" w:before="4"/>
        <w:rPr>
          <w:rFonts w:ascii="宋体" w:hAnsi="宋体" w:cs="宋体" w:eastAsia="宋体" w:hint="default"/>
          <w:b/>
          <w:bCs/>
          <w:sz w:val="22"/>
          <w:szCs w:val="22"/>
        </w:rPr>
      </w:pPr>
    </w:p>
    <w:p>
      <w:pPr>
        <w:pStyle w:val="Heading3"/>
        <w:spacing w:line="345" w:lineRule="auto" w:before="0"/>
        <w:ind w:right="104" w:firstLine="480"/>
        <w:jc w:val="left"/>
      </w:pPr>
      <w:r>
        <w:rPr/>
        <w:t>公司专业从事电线电缆及新领域用材料的研发、生产与销售，主要产品包括</w:t>
      </w:r>
      <w:r>
        <w:rPr>
          <w:rFonts w:ascii="Times New Roman" w:hAnsi="Times New Roman" w:cs="Times New Roman" w:eastAsia="Times New Roman" w:hint="default"/>
        </w:rPr>
        <w:t>10kV/35kV</w:t>
      </w:r>
      <w:r>
        <w:rPr>
          <w:rFonts w:ascii="Times New Roman" w:hAnsi="Times New Roman" w:cs="Times New Roman" w:eastAsia="Times New Roman" w:hint="default"/>
          <w:w w:val="99"/>
        </w:rPr>
        <w:t> </w:t>
      </w:r>
      <w:r>
        <w:rPr>
          <w:spacing w:val="-2"/>
        </w:rPr>
        <w:t>化学交联绝缘料、</w:t>
      </w:r>
      <w:r>
        <w:rPr>
          <w:rFonts w:ascii="Times New Roman" w:hAnsi="Times New Roman" w:cs="Times New Roman" w:eastAsia="Times New Roman" w:hint="default"/>
          <w:spacing w:val="-2"/>
        </w:rPr>
        <w:t>66kV/110kV/220kV</w:t>
      </w:r>
      <w:r>
        <w:rPr>
          <w:spacing w:val="-2"/>
        </w:rPr>
        <w:t>及以上化学交联绝缘料、</w:t>
      </w:r>
      <w:r>
        <w:rPr>
          <w:rFonts w:ascii="Times New Roman" w:hAnsi="Times New Roman" w:cs="Times New Roman" w:eastAsia="Times New Roman" w:hint="default"/>
          <w:spacing w:val="-2"/>
        </w:rPr>
        <w:t>35kV</w:t>
      </w:r>
      <w:r>
        <w:rPr>
          <w:spacing w:val="-2"/>
        </w:rPr>
        <w:t>及以下抗水树绝缘料，一</w:t>
      </w:r>
      <w:r>
        <w:rPr>
          <w:spacing w:val="-95"/>
        </w:rPr>
        <w:t> </w:t>
      </w:r>
      <w:r>
        <w:rPr>
          <w:spacing w:val="-95"/>
        </w:rPr>
      </w:r>
      <w:r>
        <w:rPr/>
        <w:t>步法、两步法及特种硅烷交联绝缘料、自然交联电缆料，中高压屏蔽料，热塑性、辐照型低</w:t>
      </w:r>
      <w:r>
        <w:rPr>
          <w:w w:val="99"/>
        </w:rPr>
        <w:t> </w:t>
      </w:r>
      <w:r>
        <w:rPr/>
        <w:t>烟无卤系列绝缘料，</w:t>
      </w:r>
      <w:r>
        <w:rPr>
          <w:rFonts w:ascii="Times New Roman" w:hAnsi="Times New Roman" w:cs="Times New Roman" w:eastAsia="Times New Roman" w:hint="default"/>
        </w:rPr>
        <w:t>PVC</w:t>
      </w:r>
      <w:r>
        <w:rPr/>
        <w:t>特种电缆料，</w:t>
      </w:r>
      <w:r>
        <w:rPr>
          <w:rFonts w:ascii="Times New Roman" w:hAnsi="Times New Roman" w:cs="Times New Roman" w:eastAsia="Times New Roman" w:hint="default"/>
        </w:rPr>
        <w:t>TPE</w:t>
      </w:r>
      <w:r>
        <w:rPr/>
        <w:t>、</w:t>
      </w:r>
      <w:r>
        <w:rPr>
          <w:rFonts w:ascii="Times New Roman" w:hAnsi="Times New Roman" w:cs="Times New Roman" w:eastAsia="Times New Roman" w:hint="default"/>
        </w:rPr>
        <w:t>TPU</w:t>
      </w:r>
      <w:r>
        <w:rPr/>
        <w:t>、</w:t>
      </w:r>
      <w:r>
        <w:rPr>
          <w:rFonts w:ascii="Times New Roman" w:hAnsi="Times New Roman" w:cs="Times New Roman" w:eastAsia="Times New Roman" w:hint="default"/>
        </w:rPr>
        <w:t>TPV</w:t>
      </w:r>
      <w:r>
        <w:rPr/>
        <w:t>等弹性体材料。</w:t>
      </w:r>
    </w:p>
    <w:p>
      <w:pPr>
        <w:pStyle w:val="Heading3"/>
        <w:spacing w:line="345" w:lineRule="auto" w:before="175"/>
        <w:ind w:right="231" w:firstLine="480"/>
        <w:jc w:val="left"/>
      </w:pPr>
      <w:r>
        <w:rPr>
          <w:spacing w:val="-1"/>
        </w:rPr>
        <w:t>万马高分子已占据国内</w:t>
      </w:r>
      <w:r>
        <w:rPr>
          <w:rFonts w:ascii="Times New Roman" w:hAnsi="Times New Roman" w:cs="Times New Roman" w:eastAsia="Times New Roman" w:hint="default"/>
          <w:spacing w:val="-1"/>
        </w:rPr>
        <w:t>35kV</w:t>
      </w:r>
      <w:r>
        <w:rPr>
          <w:spacing w:val="-1"/>
        </w:rPr>
        <w:t>及以下中低压电缆绝缘料行业龙头地位，配备了整套高压绝</w:t>
      </w:r>
      <w:r>
        <w:rPr/>
        <w:t> 缘料后吸法生产设备，建立了全封闭净化车间和高精度的检测设备，成功实现高压电缆绝缘 料的国产化；成功开发</w:t>
      </w:r>
      <w:r>
        <w:rPr>
          <w:rFonts w:ascii="Times New Roman" w:hAnsi="Times New Roman" w:cs="Times New Roman" w:eastAsia="Times New Roman" w:hint="default"/>
        </w:rPr>
        <w:t>220kV</w:t>
      </w:r>
      <w:r>
        <w:rPr/>
        <w:t>高压电缆绝缘料，填补国内空白，并通过了由中国电力企业联 </w:t>
      </w:r>
      <w:r>
        <w:rPr>
          <w:spacing w:val="-1"/>
        </w:rPr>
        <w:t>合会召开的国家级新产品鉴定。公司生产的“高压电缆（</w:t>
      </w:r>
      <w:r>
        <w:rPr>
          <w:rFonts w:ascii="Times New Roman" w:hAnsi="Times New Roman" w:cs="Times New Roman" w:eastAsia="Times New Roman" w:hint="default"/>
          <w:spacing w:val="-1"/>
        </w:rPr>
        <w:t>110kV</w:t>
      </w:r>
      <w:r>
        <w:rPr>
          <w:spacing w:val="-1"/>
        </w:rPr>
        <w:t>）超净</w:t>
      </w:r>
      <w:r>
        <w:rPr>
          <w:rFonts w:ascii="Times New Roman" w:hAnsi="Times New Roman" w:cs="Times New Roman" w:eastAsia="Times New Roman" w:hint="default"/>
          <w:spacing w:val="-1"/>
        </w:rPr>
        <w:t>XLPE</w:t>
      </w:r>
      <w:r>
        <w:rPr>
          <w:spacing w:val="-1"/>
        </w:rPr>
        <w:t>绝缘料”被列入</w:t>
      </w:r>
      <w:r>
        <w:rPr>
          <w:spacing w:val="-96"/>
        </w:rPr>
        <w:t> </w:t>
      </w:r>
      <w:r>
        <w:rPr>
          <w:spacing w:val="-96"/>
        </w:rPr>
      </w:r>
      <w:r>
        <w:rPr>
          <w:spacing w:val="-2"/>
        </w:rPr>
        <w:t>科技部</w:t>
      </w:r>
      <w:r>
        <w:rPr>
          <w:rFonts w:ascii="Times New Roman" w:hAnsi="Times New Roman" w:cs="Times New Roman" w:eastAsia="Times New Roman" w:hint="default"/>
          <w:spacing w:val="-2"/>
        </w:rPr>
        <w:t>2014</w:t>
      </w:r>
      <w:r>
        <w:rPr>
          <w:spacing w:val="-2"/>
        </w:rPr>
        <w:t>年度国家重点新产品计划立项项目；特种</w:t>
      </w:r>
      <w:r>
        <w:rPr>
          <w:rFonts w:ascii="Times New Roman" w:hAnsi="Times New Roman" w:cs="Times New Roman" w:eastAsia="Times New Roman" w:hint="default"/>
          <w:spacing w:val="-2"/>
        </w:rPr>
        <w:t>PVC</w:t>
      </w:r>
      <w:r>
        <w:rPr>
          <w:spacing w:val="-2"/>
        </w:rPr>
        <w:t>电缆料通过</w:t>
      </w:r>
      <w:r>
        <w:rPr>
          <w:rFonts w:ascii="Times New Roman" w:hAnsi="Times New Roman" w:cs="Times New Roman" w:eastAsia="Times New Roman" w:hint="default"/>
          <w:spacing w:val="-2"/>
        </w:rPr>
        <w:t>ISO/TS16949</w:t>
      </w:r>
      <w:r>
        <w:rPr>
          <w:spacing w:val="-2"/>
        </w:rPr>
        <w:t>认证，成功</w:t>
      </w:r>
      <w:r>
        <w:rPr>
          <w:spacing w:val="-110"/>
        </w:rPr>
        <w:t> </w:t>
      </w:r>
      <w:r>
        <w:rPr>
          <w:spacing w:val="-110"/>
        </w:rPr>
      </w:r>
      <w:r>
        <w:rPr/>
        <w:t>进入汽车线行业；成功研发弹性体系列产品，投放新能源汽车、充电桩、消费电子、高端装 备等市场，获得客户的广泛认可，在同行业竞争中具备综合竞争优势。</w:t>
      </w:r>
    </w:p>
    <w:p>
      <w:pPr>
        <w:spacing w:line="240" w:lineRule="auto" w:before="0"/>
        <w:rPr>
          <w:rFonts w:ascii="宋体" w:hAnsi="宋体" w:cs="宋体" w:eastAsia="宋体" w:hint="default"/>
          <w:sz w:val="24"/>
          <w:szCs w:val="24"/>
        </w:rPr>
      </w:pPr>
    </w:p>
    <w:p>
      <w:pPr>
        <w:pStyle w:val="Heading2"/>
        <w:spacing w:line="240" w:lineRule="auto" w:before="164"/>
        <w:ind w:left="532" w:right="104"/>
        <w:jc w:val="left"/>
        <w:rPr>
          <w:b w:val="0"/>
          <w:bCs w:val="0"/>
        </w:rPr>
      </w:pPr>
      <w:r>
        <w:rPr>
          <w:rFonts w:ascii="Times New Roman" w:hAnsi="Times New Roman" w:cs="Times New Roman" w:eastAsia="Times New Roman" w:hint="default"/>
        </w:rPr>
        <w:t>3</w:t>
      </w:r>
      <w:r>
        <w:rPr/>
        <w:t>、新能源</w:t>
      </w:r>
      <w:r>
        <w:rPr>
          <w:b w:val="0"/>
          <w:bCs w:val="0"/>
        </w:rPr>
      </w:r>
    </w:p>
    <w:p>
      <w:pPr>
        <w:spacing w:line="240" w:lineRule="auto" w:before="5"/>
        <w:rPr>
          <w:rFonts w:ascii="宋体" w:hAnsi="宋体" w:cs="宋体" w:eastAsia="宋体" w:hint="default"/>
          <w:b/>
          <w:bCs/>
          <w:sz w:val="11"/>
          <w:szCs w:val="11"/>
        </w:rPr>
      </w:pPr>
    </w:p>
    <w:p>
      <w:pPr>
        <w:spacing w:line="4185" w:lineRule="exact"/>
        <w:ind w:left="11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5494756" cy="2657475"/>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4" cstate="print"/>
                    <a:stretch>
                      <a:fillRect/>
                    </a:stretch>
                  </pic:blipFill>
                  <pic:spPr>
                    <a:xfrm>
                      <a:off x="0" y="0"/>
                      <a:ext cx="5494756" cy="2657475"/>
                    </a:xfrm>
                    <a:prstGeom prst="rect">
                      <a:avLst/>
                    </a:prstGeom>
                  </pic:spPr>
                </pic:pic>
              </a:graphicData>
            </a:graphic>
          </wp:inline>
        </w:drawing>
      </w:r>
      <w:r>
        <w:rPr>
          <w:rFonts w:ascii="宋体" w:hAnsi="宋体" w:cs="宋体" w:eastAsia="宋体" w:hint="default"/>
          <w:position w:val="-83"/>
          <w:sz w:val="20"/>
          <w:szCs w:val="20"/>
        </w:rPr>
      </w:r>
    </w:p>
    <w:p>
      <w:pPr>
        <w:spacing w:after="0" w:line="4185" w:lineRule="exact"/>
        <w:rPr>
          <w:rFonts w:ascii="宋体" w:hAnsi="宋体" w:cs="宋体" w:eastAsia="宋体" w:hint="default"/>
          <w:sz w:val="20"/>
          <w:szCs w:val="20"/>
        </w:rPr>
        <w:sectPr>
          <w:pgSz w:w="11910" w:h="16840"/>
          <w:pgMar w:header="850" w:footer="1012" w:top="1440" w:bottom="1200" w:left="1020" w:right="900"/>
        </w:sectPr>
      </w:pPr>
    </w:p>
    <w:p>
      <w:pPr>
        <w:spacing w:line="240" w:lineRule="auto" w:before="6"/>
        <w:rPr>
          <w:rFonts w:ascii="宋体" w:hAnsi="宋体" w:cs="宋体" w:eastAsia="宋体" w:hint="default"/>
          <w:b/>
          <w:bCs/>
          <w:sz w:val="19"/>
          <w:szCs w:val="19"/>
        </w:rPr>
      </w:pPr>
    </w:p>
    <w:p>
      <w:pPr>
        <w:pStyle w:val="Heading3"/>
        <w:spacing w:line="348" w:lineRule="auto"/>
        <w:ind w:left="132" w:right="232" w:firstLine="420"/>
        <w:jc w:val="both"/>
      </w:pPr>
      <w:r>
        <w:rPr>
          <w:spacing w:val="-3"/>
        </w:rPr>
        <w:t>（</w:t>
      </w:r>
      <w:r>
        <w:rPr>
          <w:rFonts w:ascii="Times New Roman" w:hAnsi="Times New Roman" w:cs="Times New Roman" w:eastAsia="Times New Roman" w:hint="default"/>
          <w:spacing w:val="-3"/>
        </w:rPr>
        <w:t>1</w:t>
      </w:r>
      <w:r>
        <w:rPr>
          <w:spacing w:val="-3"/>
        </w:rPr>
        <w:t>）万马新能源充电桩制造紧跟市场需求，充电设备产品齐全，包括大功率一体式</w:t>
      </w:r>
      <w:r>
        <w:rPr>
          <w:rFonts w:ascii="Times New Roman" w:hAnsi="Times New Roman" w:cs="Times New Roman" w:eastAsia="Times New Roman" w:hint="default"/>
          <w:spacing w:val="-3"/>
        </w:rPr>
        <w:t>/</w:t>
      </w:r>
      <w:r>
        <w:rPr>
          <w:spacing w:val="-3"/>
        </w:rPr>
        <w:t>分体</w:t>
      </w:r>
      <w:r>
        <w:rPr/>
        <w:t> 式直流充电桩、壁挂式直流充电桩、智能交流充电桩、多功能广告充电桩、移动式充电设备 等。在产能方面，目前可达到：交流桩</w:t>
      </w:r>
      <w:r>
        <w:rPr>
          <w:rFonts w:ascii="Times New Roman" w:hAnsi="Times New Roman" w:cs="Times New Roman" w:eastAsia="Times New Roman" w:hint="default"/>
        </w:rPr>
        <w:t>2000</w:t>
      </w:r>
      <w:r>
        <w:rPr/>
        <w:t>台</w:t>
      </w:r>
      <w:r>
        <w:rPr>
          <w:rFonts w:ascii="Times New Roman" w:hAnsi="Times New Roman" w:cs="Times New Roman" w:eastAsia="Times New Roman" w:hint="default"/>
        </w:rPr>
        <w:t>/</w:t>
      </w:r>
      <w:r>
        <w:rPr/>
        <w:t>月，直流桩</w:t>
      </w:r>
      <w:r>
        <w:rPr>
          <w:rFonts w:ascii="Times New Roman" w:hAnsi="Times New Roman" w:cs="Times New Roman" w:eastAsia="Times New Roman" w:hint="default"/>
        </w:rPr>
        <w:t>500</w:t>
      </w:r>
      <w:r>
        <w:rPr/>
        <w:t>台</w:t>
      </w:r>
      <w:r>
        <w:rPr>
          <w:rFonts w:ascii="Times New Roman" w:hAnsi="Times New Roman" w:cs="Times New Roman" w:eastAsia="Times New Roman" w:hint="default"/>
        </w:rPr>
        <w:t>/</w:t>
      </w:r>
      <w:r>
        <w:rPr/>
        <w:t>月。</w:t>
      </w:r>
    </w:p>
    <w:p>
      <w:pPr>
        <w:pStyle w:val="Heading3"/>
        <w:spacing w:line="348" w:lineRule="auto" w:before="76"/>
        <w:ind w:left="132" w:right="96" w:firstLine="420"/>
        <w:jc w:val="left"/>
      </w:pPr>
      <w:r>
        <w:rPr/>
        <w:t>（</w:t>
      </w:r>
      <w:r>
        <w:rPr>
          <w:rFonts w:ascii="Times New Roman" w:hAnsi="Times New Roman" w:cs="Times New Roman" w:eastAsia="Times New Roman" w:hint="default"/>
        </w:rPr>
        <w:t>2</w:t>
      </w:r>
      <w:r>
        <w:rPr/>
        <w:t>）万马爱充主营桩联网的运营及衍生业务，公司拥有芯片级别的充电桩智能化接入的 技术储备及完整解决方案。桩联网运营方面，实现万马新能源自有桩体及第三方企业桩的接 </w:t>
      </w:r>
      <w:r>
        <w:rPr>
          <w:spacing w:val="-4"/>
        </w:rPr>
        <w:t>入、托管、运营；爱充 </w:t>
      </w:r>
      <w:r>
        <w:rPr>
          <w:rFonts w:ascii="Times New Roman" w:hAnsi="Times New Roman" w:cs="Times New Roman" w:eastAsia="Times New Roman" w:hint="default"/>
        </w:rPr>
        <w:t>IOS </w:t>
      </w:r>
      <w:r>
        <w:rPr/>
        <w:t>及安卓版本</w:t>
      </w:r>
      <w:r>
        <w:rPr>
          <w:rFonts w:ascii="Times New Roman" w:hAnsi="Times New Roman" w:cs="Times New Roman" w:eastAsia="Times New Roman" w:hint="default"/>
        </w:rPr>
        <w:t>APP 2.0</w:t>
      </w:r>
      <w:r>
        <w:rPr>
          <w:rFonts w:ascii="Times New Roman" w:hAnsi="Times New Roman" w:cs="Times New Roman" w:eastAsia="Times New Roman" w:hint="default"/>
          <w:spacing w:val="36"/>
        </w:rPr>
        <w:t> </w:t>
      </w:r>
      <w:r>
        <w:rPr/>
        <w:t>的更新迭代；爱充实时后台云监控系统；并 </w:t>
      </w:r>
      <w:r>
        <w:rPr>
          <w:spacing w:val="-2"/>
        </w:rPr>
        <w:t>成功为多地第三方客户开发、代运营桩联网。爱充业务模式分为桩联网运营业务及衍生业务：</w:t>
      </w:r>
      <w:r>
        <w:rPr/>
        <w:t> </w:t>
      </w:r>
      <w:r>
        <w:rPr>
          <w:spacing w:val="-2"/>
        </w:rPr>
        <w:t>运营业务即充电服务费分成，衍生业务包括广告桩的广告收入、汽后市场的新能源汽车销售、</w:t>
      </w:r>
      <w:r>
        <w:rPr/>
        <w:t> </w:t>
      </w:r>
      <w:r>
        <w:rPr>
          <w:rFonts w:ascii="Times New Roman" w:hAnsi="Times New Roman" w:cs="Times New Roman" w:eastAsia="Times New Roman" w:hint="default"/>
          <w:spacing w:val="-1"/>
        </w:rPr>
        <w:t>4S</w:t>
      </w:r>
      <w:r>
        <w:rPr>
          <w:spacing w:val="-1"/>
        </w:rPr>
        <w:t>服务、保险、现金池</w:t>
      </w:r>
      <w:r>
        <w:rPr>
          <w:rFonts w:ascii="Times New Roman" w:hAnsi="Times New Roman" w:cs="Times New Roman" w:eastAsia="Times New Roman" w:hint="default"/>
          <w:spacing w:val="-1"/>
        </w:rPr>
        <w:t>&amp;</w:t>
      </w:r>
      <w:r>
        <w:rPr>
          <w:spacing w:val="-1"/>
        </w:rPr>
        <w:t>金融、汽车工业大数据等。</w:t>
      </w:r>
      <w:r>
        <w:rPr>
          <w:rFonts w:ascii="Times New Roman" w:hAnsi="Times New Roman" w:cs="Times New Roman" w:eastAsia="Times New Roman" w:hint="default"/>
          <w:spacing w:val="-1"/>
        </w:rPr>
        <w:t>2015</w:t>
      </w:r>
      <w:r>
        <w:rPr>
          <w:spacing w:val="-1"/>
        </w:rPr>
        <w:t>年业务模式以主营充电服务费为主，</w:t>
      </w:r>
      <w:r>
        <w:rPr/>
        <w:t> 并采取让桩主及最终用户多收益的方式广泛接入第三方桩体及吸引客户充电为运营导向。</w:t>
      </w:r>
    </w:p>
    <w:p>
      <w:pPr>
        <w:pStyle w:val="Heading3"/>
        <w:spacing w:line="350" w:lineRule="auto" w:before="106"/>
        <w:ind w:left="132" w:right="232" w:firstLine="42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月，公司投资设立万马新能源投资公司，新能源投资公司主要负责投资建</w:t>
      </w:r>
      <w:r>
        <w:rPr/>
        <w:t> 设辐射全国的充电设备基础设施，在国内投资建设方便快捷的充电桩，投资建成后桩体纳入 </w:t>
      </w:r>
      <w:r>
        <w:rPr>
          <w:spacing w:val="-2"/>
        </w:rPr>
        <w:t>爱充网服务运营网络，加快推进充电服务网络建设。</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月，国开基金以</w:t>
      </w:r>
      <w:r>
        <w:rPr>
          <w:rFonts w:ascii="Times New Roman" w:hAnsi="Times New Roman" w:cs="Times New Roman" w:eastAsia="Times New Roman" w:hint="default"/>
          <w:spacing w:val="-2"/>
        </w:rPr>
        <w:t>1</w:t>
      </w:r>
      <w:r>
        <w:rPr>
          <w:spacing w:val="-2"/>
        </w:rPr>
        <w:t>亿元对万马新</w:t>
      </w:r>
      <w:r>
        <w:rPr>
          <w:spacing w:val="-115"/>
        </w:rPr>
        <w:t> </w:t>
      </w:r>
      <w:r>
        <w:rPr/>
        <w:t>能源投资公司进行增资，用于浙江省智能充电网络项目资本金。报告期，万马新能源投资公 司积极布局全国充电设备建设，并已筹划在湖州、江苏、武汉、北京、宁波、福州、长沙等 地设立子公司，以期抓住机遇加快推动全国充电设备投资建设与充电运营网络建设。</w:t>
      </w:r>
    </w:p>
    <w:p>
      <w:pPr>
        <w:pStyle w:val="Heading3"/>
        <w:spacing w:line="338" w:lineRule="auto" w:before="103"/>
        <w:ind w:left="132" w:right="301" w:firstLine="420"/>
        <w:jc w:val="both"/>
      </w:pPr>
      <w:r>
        <w:rPr/>
        <w:t>万马新能源、爱充网、新能源投资合力形成“智能设备制造</w:t>
      </w:r>
      <w:r>
        <w:rPr>
          <w:rFonts w:ascii="Times New Roman" w:hAnsi="Times New Roman" w:cs="Times New Roman" w:eastAsia="Times New Roman" w:hint="default"/>
        </w:rPr>
        <w:t>+</w:t>
      </w:r>
      <w:r>
        <w:rPr/>
        <w:t>网络运营服务</w:t>
      </w:r>
      <w:r>
        <w:rPr>
          <w:rFonts w:ascii="Times New Roman" w:hAnsi="Times New Roman" w:cs="Times New Roman" w:eastAsia="Times New Roman" w:hint="default"/>
        </w:rPr>
        <w:t>+</w:t>
      </w:r>
      <w:r>
        <w:rPr/>
        <w:t>投资建设充 电网”三轮驱动格局，在行业内具备一定知名度。</w:t>
      </w:r>
    </w:p>
    <w:p>
      <w:pPr>
        <w:spacing w:line="240" w:lineRule="auto" w:before="2"/>
        <w:rPr>
          <w:rFonts w:ascii="宋体" w:hAnsi="宋体" w:cs="宋体" w:eastAsia="宋体" w:hint="default"/>
          <w:sz w:val="21"/>
          <w:szCs w:val="21"/>
        </w:rPr>
      </w:pPr>
    </w:p>
    <w:p>
      <w:pPr>
        <w:pStyle w:val="Heading2"/>
        <w:spacing w:line="240" w:lineRule="auto"/>
        <w:ind w:right="96"/>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3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89"/>
        <w:gridCol w:w="8079"/>
      </w:tblGrid>
      <w:tr>
        <w:trPr>
          <w:trHeight w:val="774" w:hRule="exact"/>
        </w:trPr>
        <w:tc>
          <w:tcPr>
            <w:tcW w:w="1489"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7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22" w:hRule="exact"/>
        </w:trPr>
        <w:tc>
          <w:tcPr>
            <w:tcW w:w="14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743.46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万，主要系本年新增投资山东万恩新能源科技有限公司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22" w:hRule="exact"/>
        </w:trPr>
        <w:tc>
          <w:tcPr>
            <w:tcW w:w="14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22" w:hRule="exact"/>
        </w:trPr>
        <w:tc>
          <w:tcPr>
            <w:tcW w:w="14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634" w:hRule="exact"/>
        </w:trPr>
        <w:tc>
          <w:tcPr>
            <w:tcW w:w="14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在建工程较年初增加</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主要系新建青山厂房</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新增</w:t>
            </w:r>
            <w:r>
              <w:rPr>
                <w:rFonts w:ascii="宋体" w:hAnsi="宋体" w:cs="宋体" w:eastAsia="宋体" w:hint="default"/>
                <w:spacing w:val="-62"/>
                <w:sz w:val="18"/>
                <w:szCs w:val="18"/>
              </w:rPr>
              <w:t> </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PV</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及低烟无卤等流水线</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万，其他工程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22" w:hRule="exact"/>
        </w:trPr>
        <w:tc>
          <w:tcPr>
            <w:tcW w:w="14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其他流动资产年末较年初增加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亿，主要系购买短期低风险保本型理财产品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r>
      <w:tr>
        <w:trPr>
          <w:trHeight w:val="332" w:hRule="exact"/>
        </w:trPr>
        <w:tc>
          <w:tcPr>
            <w:tcW w:w="14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0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长期待摊费用年末较年初增加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万，主要系厂房装修费用增加。</w:t>
            </w:r>
          </w:p>
        </w:tc>
      </w:tr>
    </w:tbl>
    <w:p>
      <w:pPr>
        <w:spacing w:after="0" w:line="240" w:lineRule="auto"/>
        <w:jc w:val="left"/>
        <w:rPr>
          <w:rFonts w:ascii="宋体" w:hAnsi="宋体" w:cs="宋体" w:eastAsia="宋体" w:hint="default"/>
          <w:sz w:val="18"/>
          <w:szCs w:val="18"/>
        </w:rPr>
        <w:sectPr>
          <w:pgSz w:w="11910" w:h="16840"/>
          <w:pgMar w:header="850" w:footer="1012" w:top="1440" w:bottom="1200" w:left="1000" w:right="900"/>
        </w:sectPr>
      </w:pPr>
    </w:p>
    <w:p>
      <w:pPr>
        <w:spacing w:line="240" w:lineRule="auto" w:before="9"/>
        <w:rPr>
          <w:rFonts w:ascii="宋体" w:hAnsi="宋体" w:cs="宋体" w:eastAsia="宋体" w:hint="default"/>
          <w:b/>
          <w:bCs/>
          <w:sz w:val="14"/>
          <w:szCs w:val="14"/>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2"/>
        <w:spacing w:line="240" w:lineRule="auto"/>
        <w:ind w:left="112" w:right="0"/>
        <w:jc w:val="both"/>
        <w:rPr>
          <w:b w:val="0"/>
          <w:bCs w:val="0"/>
        </w:rPr>
      </w:pPr>
      <w:r>
        <w:rPr/>
        <w:t>三、核心竞争力分析</w:t>
      </w:r>
      <w:r>
        <w:rPr>
          <w:b w:val="0"/>
          <w:bCs w:val="0"/>
        </w:rPr>
      </w:r>
    </w:p>
    <w:p>
      <w:pPr>
        <w:spacing w:line="240" w:lineRule="auto" w:before="11"/>
        <w:rPr>
          <w:rFonts w:ascii="宋体" w:hAnsi="宋体" w:cs="宋体" w:eastAsia="宋体" w:hint="default"/>
          <w:b/>
          <w:bCs/>
          <w:sz w:val="28"/>
          <w:szCs w:val="28"/>
        </w:rPr>
      </w:pPr>
    </w:p>
    <w:p>
      <w:pPr>
        <w:spacing w:line="381" w:lineRule="auto" w:before="0"/>
        <w:ind w:left="592" w:right="104" w:firstLine="2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、践行战略转型，实现产业升级。</w:t>
      </w:r>
      <w:r>
        <w:rPr>
          <w:rFonts w:ascii="宋体" w:hAnsi="宋体" w:cs="宋体" w:eastAsia="宋体" w:hint="default"/>
          <w:b/>
          <w:bCs/>
          <w:w w:val="99"/>
          <w:sz w:val="24"/>
          <w:szCs w:val="24"/>
        </w:rPr>
        <w:t> </w:t>
      </w:r>
      <w:r>
        <w:rPr>
          <w:rFonts w:ascii="宋体" w:hAnsi="宋体" w:cs="宋体" w:eastAsia="宋体" w:hint="default"/>
          <w:sz w:val="24"/>
          <w:szCs w:val="24"/>
        </w:rPr>
        <w:t>公司清晰确立“一体两翼”发展战略，稳步发展线缆主业，大力发展新材料、新能源产</w:t>
      </w:r>
    </w:p>
    <w:p>
      <w:pPr>
        <w:pStyle w:val="Heading3"/>
        <w:spacing w:line="348" w:lineRule="auto" w:before="12"/>
        <w:ind w:right="228"/>
        <w:jc w:val="both"/>
      </w:pPr>
      <w:r>
        <w:rPr/>
        <w:t>业。践行战略转型，由制造型企业向“集生产制造、运营管理、服务平台建设于一体”的整</w:t>
      </w:r>
      <w:r>
        <w:rPr>
          <w:spacing w:val="-89"/>
        </w:rPr>
        <w:t> </w:t>
      </w:r>
      <w:r>
        <w:rPr>
          <w:spacing w:val="-89"/>
        </w:rPr>
      </w:r>
      <w:r>
        <w:rPr/>
        <w:t>体解决方案提供者迈进。公司筹划中的非公开发行项目主要投向</w:t>
      </w:r>
      <w:r>
        <w:rPr>
          <w:rFonts w:ascii="Times New Roman" w:hAnsi="Times New Roman" w:cs="Times New Roman" w:eastAsia="Times New Roman" w:hint="default"/>
        </w:rPr>
        <w:t>I-ChargeNet</w:t>
      </w:r>
      <w:r>
        <w:rPr/>
        <w:t>智能充电网络建</w:t>
      </w:r>
      <w:r>
        <w:rPr>
          <w:spacing w:val="-90"/>
        </w:rPr>
        <w:t> </w:t>
      </w:r>
      <w:r>
        <w:rPr>
          <w:spacing w:val="-90"/>
        </w:rPr>
      </w:r>
      <w:r>
        <w:rPr/>
        <w:t>设项目（一期）、年产</w:t>
      </w:r>
      <w:r>
        <w:rPr>
          <w:rFonts w:ascii="Times New Roman" w:hAnsi="Times New Roman" w:cs="Times New Roman" w:eastAsia="Times New Roman" w:hint="default"/>
        </w:rPr>
        <w:t>56,000</w:t>
      </w:r>
      <w:r>
        <w:rPr/>
        <w:t>吨新型环保高分子材料两个主产业，是向公司战略实施迈步。</w:t>
      </w:r>
    </w:p>
    <w:p>
      <w:pPr>
        <w:pStyle w:val="Heading3"/>
        <w:spacing w:line="357" w:lineRule="auto" w:before="76"/>
        <w:ind w:right="232" w:firstLine="480"/>
        <w:jc w:val="both"/>
      </w:pPr>
      <w:r>
        <w:rPr/>
        <w:t>未来，公司将以“新能源、新材料、新智造”“三新”驱动，找准创新突破口，积聚新 颖人才，完善激励措施，向创新型企业发展。</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spacing w:line="381" w:lineRule="auto" w:before="0"/>
        <w:ind w:left="674" w:right="104" w:hanging="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、研发创新驱动，为“三驾马车”增添活力。</w:t>
      </w:r>
      <w:r>
        <w:rPr>
          <w:rFonts w:ascii="宋体" w:hAnsi="宋体" w:cs="宋体" w:eastAsia="宋体" w:hint="default"/>
          <w:b/>
          <w:bCs/>
          <w:w w:val="99"/>
          <w:sz w:val="24"/>
          <w:szCs w:val="24"/>
        </w:rPr>
        <w:t> </w:t>
      </w:r>
      <w:r>
        <w:rPr>
          <w:rFonts w:ascii="宋体" w:hAnsi="宋体" w:cs="宋体" w:eastAsia="宋体" w:hint="default"/>
          <w:spacing w:val="-5"/>
          <w:sz w:val="24"/>
          <w:szCs w:val="24"/>
        </w:rPr>
        <w:t>公司三大版块如同“三驾马车”，上市以来，公司对研发创新工作的重视程度有增无减，</w:t>
      </w:r>
    </w:p>
    <w:p>
      <w:pPr>
        <w:pStyle w:val="Heading3"/>
        <w:spacing w:line="403" w:lineRule="auto" w:before="12"/>
        <w:ind w:left="674" w:right="172" w:hanging="562"/>
        <w:jc w:val="left"/>
      </w:pPr>
      <w:r>
        <w:rPr/>
        <w:t>不断为“三驾马车”持续发展注入新的活力。 深入开展产学研合作，引领产品技术前沿。成立电动车智慧充电省级重点企业研究院，</w:t>
      </w:r>
    </w:p>
    <w:p>
      <w:pPr>
        <w:pStyle w:val="Heading3"/>
        <w:spacing w:line="350" w:lineRule="auto" w:before="0"/>
        <w:ind w:right="230"/>
        <w:jc w:val="both"/>
      </w:pPr>
      <w:r>
        <w:rPr/>
        <w:t>全面推动充电桩、桩联网技术升级；万马高分子在原有博士后工作站和省级研发中心两大平</w:t>
      </w:r>
      <w:r>
        <w:rPr>
          <w:spacing w:val="-89"/>
        </w:rPr>
        <w:t> </w:t>
      </w:r>
      <w:r>
        <w:rPr>
          <w:spacing w:val="-89"/>
        </w:rPr>
      </w:r>
      <w:r>
        <w:rPr>
          <w:spacing w:val="-2"/>
        </w:rPr>
        <w:t>台基础上，创立新材料研究院，对现有</w:t>
      </w:r>
      <w:r>
        <w:rPr>
          <w:rFonts w:ascii="Times New Roman" w:hAnsi="Times New Roman" w:cs="Times New Roman" w:eastAsia="Times New Roman" w:hint="default"/>
          <w:spacing w:val="-2"/>
        </w:rPr>
        <w:t>5</w:t>
      </w:r>
      <w:r>
        <w:rPr>
          <w:spacing w:val="-2"/>
        </w:rPr>
        <w:t>个研究所、技术部进行资源整合，同时与多所高校院</w:t>
      </w:r>
      <w:r>
        <w:rPr/>
        <w:t> 所建立良好的合作关系；万马电缆与哈尔滨理工大学、西安交通大学、国网电网公司、南方</w:t>
      </w:r>
      <w:r>
        <w:rPr>
          <w:spacing w:val="-89"/>
        </w:rPr>
        <w:t> </w:t>
      </w:r>
      <w:r>
        <w:rPr>
          <w:spacing w:val="-89"/>
        </w:rPr>
      </w:r>
      <w:r>
        <w:rPr/>
        <w:t>电网公司等就科研项目深入开展合作，连续</w:t>
      </w:r>
      <w:r>
        <w:rPr>
          <w:rFonts w:ascii="Times New Roman" w:hAnsi="Times New Roman" w:cs="Times New Roman" w:eastAsia="Times New Roman" w:hint="default"/>
        </w:rPr>
        <w:t>6</w:t>
      </w:r>
      <w:r>
        <w:rPr/>
        <w:t>年入选“轨道交通行业自主创新</w:t>
      </w:r>
      <w:r>
        <w:rPr>
          <w:rFonts w:ascii="Times New Roman" w:hAnsi="Times New Roman" w:cs="Times New Roman" w:eastAsia="Times New Roman" w:hint="default"/>
        </w:rPr>
        <w:t>50</w:t>
      </w:r>
      <w:r>
        <w:rPr/>
        <w:t>强”。</w:t>
      </w:r>
    </w:p>
    <w:p>
      <w:pPr>
        <w:pStyle w:val="Heading3"/>
        <w:spacing w:line="343" w:lineRule="auto" w:before="73"/>
        <w:ind w:right="230" w:firstLine="480"/>
        <w:jc w:val="both"/>
      </w:pPr>
      <w:r>
        <w:rPr/>
        <w:t>报告期内，新品研发推广硕果累累。“同向式耐转动新能源电缆”、“低烟无卤型煤矿 用橡套软电缆”、“高性能防盐雾通信同轴电缆”等自主研发的</w:t>
      </w:r>
      <w:r>
        <w:rPr>
          <w:rFonts w:ascii="Times New Roman" w:hAnsi="Times New Roman" w:cs="Times New Roman" w:eastAsia="Times New Roman" w:hint="default"/>
        </w:rPr>
        <w:t>15</w:t>
      </w:r>
      <w:r>
        <w:rPr/>
        <w:t>个新产品项目通过省级鉴</w:t>
      </w:r>
      <w:r>
        <w:rPr>
          <w:spacing w:val="-89"/>
        </w:rPr>
        <w:t> </w:t>
      </w:r>
      <w:r>
        <w:rPr>
          <w:spacing w:val="-89"/>
        </w:rPr>
      </w:r>
      <w:r>
        <w:rPr>
          <w:spacing w:val="2"/>
        </w:rPr>
        <w:t>定，达到国内领先水平。成功开发“</w:t>
      </w:r>
      <w:r>
        <w:rPr>
          <w:rFonts w:ascii="Times New Roman" w:hAnsi="Times New Roman" w:cs="Times New Roman" w:eastAsia="Times New Roman" w:hint="default"/>
          <w:spacing w:val="2"/>
        </w:rPr>
        <w:t>220kV</w:t>
      </w:r>
      <w:r>
        <w:rPr>
          <w:spacing w:val="2"/>
        </w:rPr>
        <w:t>高压电缆绝缘料”，填补国内空白，并通过国家</w:t>
      </w:r>
      <w:r>
        <w:rPr>
          <w:spacing w:val="-117"/>
        </w:rPr>
        <w:t> </w:t>
      </w:r>
      <w:r>
        <w:rPr>
          <w:spacing w:val="-117"/>
        </w:rPr>
      </w:r>
      <w:r>
        <w:rPr>
          <w:spacing w:val="2"/>
        </w:rPr>
        <w:t>级新产品鉴定；公司与科研院所合力开发超光滑屏蔽料、±</w:t>
      </w:r>
      <w:r>
        <w:rPr>
          <w:rFonts w:ascii="Times New Roman" w:hAnsi="Times New Roman" w:cs="Times New Roman" w:eastAsia="Times New Roman" w:hint="default"/>
          <w:spacing w:val="2"/>
        </w:rPr>
        <w:t>320kV/</w:t>
      </w:r>
      <w:r>
        <w:rPr>
          <w:spacing w:val="2"/>
        </w:rPr>
        <w:t>±</w:t>
      </w:r>
      <w:r>
        <w:rPr>
          <w:rFonts w:ascii="Times New Roman" w:hAnsi="Times New Roman" w:cs="Times New Roman" w:eastAsia="Times New Roman" w:hint="default"/>
          <w:spacing w:val="2"/>
        </w:rPr>
        <w:t>400kV</w:t>
      </w:r>
      <w:r>
        <w:rPr>
          <w:spacing w:val="2"/>
        </w:rPr>
        <w:t>高压直流电缆料</w:t>
      </w:r>
      <w:r>
        <w:rPr/>
        <w:t> 等产品，取得了突破性的进展。</w:t>
      </w:r>
    </w:p>
    <w:p>
      <w:pPr>
        <w:pStyle w:val="Heading3"/>
        <w:spacing w:line="338" w:lineRule="auto" w:before="50"/>
        <w:ind w:right="230" w:firstLine="480"/>
        <w:jc w:val="both"/>
      </w:pPr>
      <w:r>
        <w:rPr/>
        <w:t>报告期内，公司申请发明专利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30</w:t>
      </w:r>
      <w:r>
        <w:rPr/>
        <w:t>项申请、外观专利</w:t>
      </w:r>
      <w:r>
        <w:rPr>
          <w:rFonts w:ascii="Times New Roman" w:hAnsi="Times New Roman" w:cs="Times New Roman" w:eastAsia="Times New Roman" w:hint="default"/>
        </w:rPr>
        <w:t>1</w:t>
      </w:r>
      <w:r>
        <w:rPr/>
        <w:t>项。截至目前， 公司拥有知识产权</w:t>
      </w:r>
      <w:r>
        <w:rPr>
          <w:rFonts w:ascii="Times New Roman" w:hAnsi="Times New Roman" w:cs="Times New Roman" w:eastAsia="Times New Roman" w:hint="default"/>
        </w:rPr>
        <w:t>269</w:t>
      </w:r>
      <w:r>
        <w:rPr/>
        <w:t>项，其中发明专利</w:t>
      </w:r>
      <w:r>
        <w:rPr>
          <w:rFonts w:ascii="Times New Roman" w:hAnsi="Times New Roman" w:cs="Times New Roman" w:eastAsia="Times New Roman" w:hint="default"/>
        </w:rPr>
        <w:t>18</w:t>
      </w:r>
      <w:r>
        <w:rPr/>
        <w:t>项、实用新型专利</w:t>
      </w:r>
      <w:r>
        <w:rPr>
          <w:rFonts w:ascii="Times New Roman" w:hAnsi="Times New Roman" w:cs="Times New Roman" w:eastAsia="Times New Roman" w:hint="default"/>
        </w:rPr>
        <w:t>225</w:t>
      </w:r>
      <w:r>
        <w:rPr/>
        <w:t>项、外观设计专利</w:t>
      </w:r>
      <w:r>
        <w:rPr>
          <w:rFonts w:ascii="Times New Roman" w:hAnsi="Times New Roman" w:cs="Times New Roman" w:eastAsia="Times New Roman" w:hint="default"/>
        </w:rPr>
        <w:t>15</w:t>
      </w:r>
      <w:r>
        <w:rPr/>
        <w:t>项、软</w:t>
      </w:r>
      <w:r>
        <w:rPr>
          <w:spacing w:val="-89"/>
        </w:rPr>
        <w:t> </w:t>
      </w:r>
      <w:r>
        <w:rPr>
          <w:spacing w:val="-89"/>
        </w:rPr>
      </w:r>
      <w:r>
        <w:rPr/>
        <w:t>件著作权</w:t>
      </w:r>
      <w:r>
        <w:rPr>
          <w:rFonts w:ascii="Times New Roman" w:hAnsi="Times New Roman" w:cs="Times New Roman" w:eastAsia="Times New Roman" w:hint="default"/>
        </w:rPr>
        <w:t>11</w:t>
      </w:r>
      <w:r>
        <w:rPr/>
        <w:t>项。公司连续</w:t>
      </w:r>
      <w:r>
        <w:rPr>
          <w:rFonts w:ascii="Times New Roman" w:hAnsi="Times New Roman" w:cs="Times New Roman" w:eastAsia="Times New Roman" w:hint="default"/>
        </w:rPr>
        <w:t>3</w:t>
      </w:r>
      <w:r>
        <w:rPr/>
        <w:t>年被评为“省专利示范企业”，连续</w:t>
      </w:r>
      <w:r>
        <w:rPr>
          <w:rFonts w:ascii="Times New Roman" w:hAnsi="Times New Roman" w:cs="Times New Roman" w:eastAsia="Times New Roman" w:hint="default"/>
        </w:rPr>
        <w:t>6</w:t>
      </w:r>
      <w:r>
        <w:rPr/>
        <w:t>年被评为“专利大户”。万</w:t>
      </w:r>
    </w:p>
    <w:p>
      <w:pPr>
        <w:spacing w:after="0" w:line="338" w:lineRule="auto"/>
        <w:jc w:val="both"/>
        <w:sectPr>
          <w:pgSz w:w="11910" w:h="16840"/>
          <w:pgMar w:header="850" w:footer="1012" w:top="1440" w:bottom="1200" w:left="1020" w:right="900"/>
        </w:sectPr>
      </w:pPr>
    </w:p>
    <w:p>
      <w:pPr>
        <w:spacing w:line="240" w:lineRule="auto" w:before="6"/>
        <w:rPr>
          <w:rFonts w:ascii="宋体" w:hAnsi="宋体" w:cs="宋体" w:eastAsia="宋体" w:hint="default"/>
          <w:sz w:val="19"/>
          <w:szCs w:val="19"/>
        </w:rPr>
      </w:pPr>
    </w:p>
    <w:p>
      <w:pPr>
        <w:pStyle w:val="Heading3"/>
        <w:spacing w:line="338" w:lineRule="auto"/>
        <w:ind w:right="223"/>
        <w:jc w:val="both"/>
      </w:pPr>
      <w:r>
        <w:rPr>
          <w:spacing w:val="-4"/>
        </w:rPr>
        <w:t>马新能源受邀参与编制全国首个电动汽车技术设施规划设计标准，公司参编的</w:t>
      </w:r>
      <w:r>
        <w:rPr>
          <w:rFonts w:ascii="Times New Roman" w:hAnsi="Times New Roman" w:cs="Times New Roman" w:eastAsia="Times New Roman" w:hint="default"/>
          <w:spacing w:val="-4"/>
        </w:rPr>
        <w:t>GB/T18890</w:t>
      </w:r>
      <w:r>
        <w:rPr>
          <w:spacing w:val="-4"/>
        </w:rPr>
        <w:t>《额</w:t>
      </w:r>
      <w:r>
        <w:rPr>
          <w:spacing w:val="-87"/>
        </w:rPr>
        <w:t> </w:t>
      </w:r>
      <w:r>
        <w:rPr/>
        <w:t>定电压</w:t>
      </w:r>
      <w:r>
        <w:rPr>
          <w:rFonts w:ascii="Times New Roman" w:hAnsi="Times New Roman" w:cs="Times New Roman" w:eastAsia="Times New Roman" w:hint="default"/>
        </w:rPr>
        <w:t>220kV(Um=252kV)</w:t>
      </w:r>
      <w:r>
        <w:rPr/>
        <w:t>交联聚乙烯绝缘电力电缆及其附件》、</w:t>
      </w:r>
      <w:r>
        <w:rPr>
          <w:rFonts w:ascii="Times New Roman" w:hAnsi="Times New Roman" w:cs="Times New Roman" w:eastAsia="Times New Roman" w:hint="default"/>
        </w:rPr>
        <w:t>GB/T11017.2-2014</w:t>
      </w:r>
      <w:r>
        <w:rPr>
          <w:rFonts w:ascii="Times New Roman" w:hAnsi="Times New Roman" w:cs="Times New Roman" w:eastAsia="Times New Roman" w:hint="default"/>
          <w:spacing w:val="-21"/>
        </w:rPr>
        <w:t> </w:t>
      </w:r>
      <w:r>
        <w:rPr/>
        <w:t>《额定电 压</w:t>
      </w:r>
      <w:r>
        <w:rPr>
          <w:rFonts w:ascii="Times New Roman" w:hAnsi="Times New Roman" w:cs="Times New Roman" w:eastAsia="Times New Roman" w:hint="default"/>
        </w:rPr>
        <w:t>110kV</w:t>
      </w:r>
      <w:r>
        <w:rPr>
          <w:rFonts w:ascii="Times New Roman" w:hAnsi="Times New Roman" w:cs="Times New Roman" w:eastAsia="Times New Roman" w:hint="default"/>
          <w:spacing w:val="15"/>
        </w:rPr>
        <w:t> </w:t>
      </w:r>
      <w:r>
        <w:rPr>
          <w:rFonts w:ascii="Times New Roman" w:hAnsi="Times New Roman" w:cs="Times New Roman" w:eastAsia="Times New Roman" w:hint="default"/>
        </w:rPr>
        <w:t>Um</w:t>
      </w:r>
      <w:r>
        <w:rPr>
          <w:rFonts w:ascii="Times New Roman" w:hAnsi="Times New Roman" w:cs="Times New Roman" w:eastAsia="Times New Roman" w:hint="default"/>
          <w:spacing w:val="23"/>
        </w:rPr>
        <w:t> </w:t>
      </w:r>
      <w:r>
        <w:rPr>
          <w:rFonts w:ascii="Times New Roman" w:hAnsi="Times New Roman" w:cs="Times New Roman" w:eastAsia="Times New Roman" w:hint="default"/>
        </w:rPr>
        <w:t>126kV</w:t>
      </w:r>
      <w:r>
        <w:rPr/>
        <w:t>交联聚乙烯电力电缆及其附件》、</w:t>
      </w:r>
      <w:r>
        <w:rPr>
          <w:rFonts w:ascii="Times New Roman" w:hAnsi="Times New Roman" w:cs="Times New Roman" w:eastAsia="Times New Roman" w:hint="default"/>
        </w:rPr>
        <w:t>NB/T</w:t>
      </w:r>
      <w:r>
        <w:rPr>
          <w:rFonts w:ascii="Times New Roman" w:hAnsi="Times New Roman" w:cs="Times New Roman" w:eastAsia="Times New Roman" w:hint="default"/>
          <w:spacing w:val="19"/>
        </w:rPr>
        <w:t> </w:t>
      </w:r>
      <w:r>
        <w:rPr>
          <w:rFonts w:ascii="Times New Roman" w:hAnsi="Times New Roman" w:cs="Times New Roman" w:eastAsia="Times New Roman" w:hint="default"/>
        </w:rPr>
        <w:t>42050-2015</w:t>
      </w:r>
      <w:r>
        <w:rPr/>
        <w:t>《光纤复合中压电缆</w:t>
      </w:r>
      <w:r>
        <w:rPr>
          <w:spacing w:val="-111"/>
        </w:rPr>
        <w:t> </w:t>
      </w:r>
      <w:r>
        <w:rPr>
          <w:spacing w:val="-111"/>
        </w:rPr>
      </w:r>
      <w:r>
        <w:rPr/>
        <w:t>标准制定》等多项电缆标准已发布实施，天屹通信荣获“</w:t>
      </w:r>
      <w:r>
        <w:rPr>
          <w:rFonts w:ascii="Times New Roman" w:hAnsi="Times New Roman" w:cs="Times New Roman" w:eastAsia="Times New Roman" w:hint="default"/>
        </w:rPr>
        <w:t>2014</w:t>
      </w:r>
      <w:r>
        <w:rPr/>
        <w:t>年度临安市政府质量奖”。</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spacing w:line="381" w:lineRule="auto" w:before="0"/>
        <w:ind w:left="674" w:right="104" w:hanging="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、立体激励，团队执行力强。</w:t>
      </w:r>
      <w:r>
        <w:rPr>
          <w:rFonts w:ascii="宋体" w:hAnsi="宋体" w:cs="宋体" w:eastAsia="宋体" w:hint="default"/>
          <w:b/>
          <w:bCs/>
          <w:w w:val="99"/>
          <w:sz w:val="24"/>
          <w:szCs w:val="24"/>
        </w:rPr>
        <w:t> </w:t>
      </w:r>
      <w:r>
        <w:rPr>
          <w:rFonts w:ascii="宋体" w:hAnsi="宋体" w:cs="宋体" w:eastAsia="宋体" w:hint="default"/>
          <w:spacing w:val="-2"/>
          <w:sz w:val="24"/>
          <w:szCs w:val="24"/>
        </w:rPr>
        <w:t>人力资源始终是公司的核心竞争力。核心管理团队、技术研发人才、市场销售团队，以</w:t>
      </w:r>
    </w:p>
    <w:p>
      <w:pPr>
        <w:pStyle w:val="Heading3"/>
        <w:spacing w:line="357" w:lineRule="auto" w:before="12"/>
        <w:ind w:right="104"/>
        <w:jc w:val="left"/>
      </w:pPr>
      <w:r>
        <w:rPr/>
        <w:t>及生产、运营各环节的每一颗辛勤的“螺丝钉”，协作共济，优势互补，富有执行力，凝结</w:t>
      </w:r>
      <w:r>
        <w:rPr>
          <w:spacing w:val="-89"/>
        </w:rPr>
        <w:t> </w:t>
      </w:r>
      <w:r>
        <w:rPr>
          <w:spacing w:val="-89"/>
        </w:rPr>
      </w:r>
      <w:r>
        <w:rPr/>
        <w:t>成公司持续健康发展不可复制的竞争实力。</w:t>
      </w:r>
    </w:p>
    <w:p>
      <w:pPr>
        <w:pStyle w:val="Heading3"/>
        <w:spacing w:line="355" w:lineRule="auto" w:before="96"/>
        <w:ind w:right="96" w:firstLine="561"/>
        <w:jc w:val="left"/>
      </w:pPr>
      <w:r>
        <w:rPr/>
        <w:t>公司以现代企业制度打造高效的组织架构，建设职业经理人团队，吸引保留各方人才， </w:t>
      </w:r>
      <w:r>
        <w:rPr>
          <w:spacing w:val="-3"/>
        </w:rPr>
        <w:t>追求个人与公司共谋发展，寻求合作，实现共赢。报告期，公司对“划小核算单位考核</w:t>
      </w:r>
      <w:r>
        <w:rPr>
          <w:rFonts w:ascii="Times New Roman" w:hAnsi="Times New Roman" w:cs="Times New Roman" w:eastAsia="Times New Roman" w:hint="default"/>
          <w:spacing w:val="-3"/>
        </w:rPr>
        <w:t>+</w:t>
      </w:r>
      <w:r>
        <w:rPr>
          <w:spacing w:val="-3"/>
        </w:rPr>
        <w:t>合伙</w:t>
      </w:r>
      <w:r>
        <w:rPr>
          <w:spacing w:val="-97"/>
        </w:rPr>
        <w:t> </w:t>
      </w:r>
      <w:r>
        <w:rPr>
          <w:spacing w:val="-2"/>
        </w:rPr>
        <w:t>人模式”、“阿米巴”经营模式等进行了较多的尝试，激发了创业热情，通过利益共享机制，</w:t>
      </w:r>
      <w:r>
        <w:rPr/>
        <w:t> 最大程度激发了每位员工的能动性；公司还在人才住房购置等多方面出谋划策，商议助力政</w:t>
      </w:r>
      <w:r>
        <w:rPr>
          <w:spacing w:val="-89"/>
        </w:rPr>
        <w:t> </w:t>
      </w:r>
      <w:r>
        <w:rPr>
          <w:spacing w:val="-89"/>
        </w:rPr>
      </w:r>
      <w:r>
        <w:rPr/>
        <w:t>策，使人才能够安居，其中万马高分子为鼓励外来人才在杭州地区安家落户，由公司、总经</w:t>
      </w:r>
      <w:r>
        <w:rPr>
          <w:spacing w:val="-89"/>
        </w:rPr>
        <w:t> </w:t>
      </w:r>
      <w:r>
        <w:rPr>
          <w:spacing w:val="-89"/>
        </w:rPr>
      </w:r>
      <w:r>
        <w:rPr/>
        <w:t>理及管理团队共同出资设立“暖窝”基金，对在杭州地区首次购房者进行资助。事业激励、</w:t>
      </w:r>
      <w:r>
        <w:rPr>
          <w:spacing w:val="-87"/>
        </w:rPr>
        <w:t> </w:t>
      </w:r>
      <w:r>
        <w:rPr>
          <w:spacing w:val="-87"/>
        </w:rPr>
      </w:r>
      <w:r>
        <w:rPr/>
        <w:t>考核激励、关怀激励等多种方式，构成对经营团队的立体激励。</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spacing w:line="381" w:lineRule="auto" w:before="0"/>
        <w:ind w:left="674" w:right="104" w:hanging="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、平台与信息化建设，推动管理沉淀与革新。</w:t>
      </w:r>
      <w:r>
        <w:rPr>
          <w:rFonts w:ascii="宋体" w:hAnsi="宋体" w:cs="宋体" w:eastAsia="宋体" w:hint="default"/>
          <w:b/>
          <w:bCs/>
          <w:w w:val="99"/>
          <w:sz w:val="24"/>
          <w:szCs w:val="24"/>
        </w:rPr>
        <w:t> </w:t>
      </w:r>
      <w:r>
        <w:rPr>
          <w:rFonts w:ascii="宋体" w:hAnsi="宋体" w:cs="宋体" w:eastAsia="宋体" w:hint="default"/>
          <w:spacing w:val="-2"/>
          <w:sz w:val="24"/>
          <w:szCs w:val="24"/>
        </w:rPr>
        <w:t>公司注重知识管理，实践中不断研究总结，形成企业长期发展宝贵的知识财富。在董事</w:t>
      </w:r>
    </w:p>
    <w:p>
      <w:pPr>
        <w:pStyle w:val="Heading3"/>
        <w:spacing w:line="350" w:lineRule="auto" w:before="12"/>
        <w:ind w:right="96"/>
        <w:jc w:val="left"/>
      </w:pPr>
      <w:r>
        <w:rPr/>
        <w:t>长提出的“视野国际化、管理平台化、考核精细化、手段信息化”之“四化”管理理念指引</w:t>
      </w:r>
      <w:r>
        <w:rPr>
          <w:spacing w:val="-89"/>
        </w:rPr>
        <w:t> </w:t>
      </w:r>
      <w:r>
        <w:rPr>
          <w:spacing w:val="-89"/>
        </w:rPr>
      </w:r>
      <w:r>
        <w:rPr/>
        <w:t>下，公司运营管理水平逐年提升。如在信息化方面，</w:t>
      </w:r>
      <w:r>
        <w:rPr>
          <w:rFonts w:ascii="Times New Roman" w:hAnsi="Times New Roman" w:cs="Times New Roman" w:eastAsia="Times New Roman" w:hint="default"/>
        </w:rPr>
        <w:t>SAP</w:t>
      </w:r>
      <w:r>
        <w:rPr/>
        <w:t>、工业</w:t>
      </w:r>
      <w:r>
        <w:rPr>
          <w:rFonts w:ascii="Times New Roman" w:hAnsi="Times New Roman" w:cs="Times New Roman" w:eastAsia="Times New Roman" w:hint="default"/>
        </w:rPr>
        <w:t>4.0</w:t>
      </w:r>
      <w:r>
        <w:rPr/>
        <w:t>、“机器换人”等项目在</w:t>
      </w:r>
      <w:r>
        <w:rPr>
          <w:spacing w:val="-106"/>
        </w:rPr>
        <w:t> </w:t>
      </w:r>
      <w:r>
        <w:rPr>
          <w:spacing w:val="-106"/>
        </w:rPr>
      </w:r>
      <w:r>
        <w:rPr/>
        <w:t>公司及子公司迅速试点推广，万马高分子已实现</w:t>
      </w:r>
      <w:r>
        <w:rPr>
          <w:rFonts w:ascii="Times New Roman" w:hAnsi="Times New Roman" w:cs="Times New Roman" w:eastAsia="Times New Roman" w:hint="default"/>
        </w:rPr>
        <w:t>SAP</w:t>
      </w:r>
      <w:r>
        <w:rPr/>
        <w:t>顺利上线，工业</w:t>
      </w:r>
      <w:r>
        <w:rPr>
          <w:rFonts w:ascii="Times New Roman" w:hAnsi="Times New Roman" w:cs="Times New Roman" w:eastAsia="Times New Roman" w:hint="default"/>
        </w:rPr>
        <w:t>4.0</w:t>
      </w:r>
      <w:r>
        <w:rPr/>
        <w:t>样版车间建成，天屹</w:t>
      </w:r>
      <w:r>
        <w:rPr>
          <w:spacing w:val="-108"/>
        </w:rPr>
        <w:t> </w:t>
      </w:r>
      <w:r>
        <w:rPr>
          <w:spacing w:val="-108"/>
        </w:rPr>
      </w:r>
      <w:r>
        <w:rPr/>
        <w:t>通信在同行中率先将物联网管控技术运用于电缆生产。公司注重流程管理，最大限度提升决</w:t>
      </w:r>
      <w:r>
        <w:rPr>
          <w:spacing w:val="-89"/>
        </w:rPr>
        <w:t> </w:t>
      </w:r>
      <w:r>
        <w:rPr>
          <w:spacing w:val="-89"/>
        </w:rPr>
      </w:r>
      <w:r>
        <w:rPr/>
        <w:t>策效率；重视知识管理，根据生产工艺、质量控制中经常出现的问题动态编制《宝典》，积</w:t>
      </w:r>
      <w:r>
        <w:rPr>
          <w:spacing w:val="-89"/>
        </w:rPr>
        <w:t> </w:t>
      </w:r>
      <w:r>
        <w:rPr>
          <w:spacing w:val="-89"/>
        </w:rPr>
      </w:r>
      <w:r>
        <w:rPr>
          <w:spacing w:val="-2"/>
        </w:rPr>
        <w:t>累经验，共享成果，编制《正说》诠释公司核心价值观，践行治企以德为基，弘扬企业文化。</w:t>
      </w:r>
      <w:r>
        <w:rPr/>
        <w:t> 万马电缆优化客户结构，深化市场布局，通过流程、标准、体系，打造支持服务平台。</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4"/>
          <w:szCs w:val="24"/>
        </w:rPr>
      </w:pPr>
    </w:p>
    <w:p>
      <w:pPr>
        <w:pStyle w:val="Heading2"/>
        <w:spacing w:line="240" w:lineRule="auto"/>
        <w:ind w:left="592" w:right="104"/>
        <w:jc w:val="left"/>
        <w:rPr>
          <w:b w:val="0"/>
          <w:bCs w:val="0"/>
        </w:rPr>
      </w:pPr>
      <w:r>
        <w:rPr>
          <w:rFonts w:ascii="Times New Roman" w:hAnsi="Times New Roman" w:cs="Times New Roman" w:eastAsia="Times New Roman" w:hint="default"/>
        </w:rPr>
        <w:t>5</w:t>
      </w:r>
      <w:r>
        <w:rPr/>
        <w:t>、独特行业地位</w:t>
      </w:r>
      <w:r>
        <w:rPr>
          <w:spacing w:val="-5"/>
        </w:rPr>
        <w:t> </w:t>
      </w:r>
      <w:r>
        <w:rPr/>
        <w:t>协同效应成本优</w:t>
      </w:r>
      <w:r>
        <w:rPr>
          <w:b w:val="0"/>
          <w:bCs w:val="0"/>
        </w:rPr>
      </w:r>
    </w:p>
    <w:p>
      <w:pPr>
        <w:spacing w:after="0" w:line="240" w:lineRule="auto"/>
        <w:jc w:val="left"/>
        <w:sectPr>
          <w:pgSz w:w="11910" w:h="16840"/>
          <w:pgMar w:header="850" w:footer="1012" w:top="1440" w:bottom="1200" w:left="1020" w:right="900"/>
        </w:sectPr>
      </w:pPr>
    </w:p>
    <w:p>
      <w:pPr>
        <w:spacing w:line="240" w:lineRule="auto" w:before="6"/>
        <w:rPr>
          <w:rFonts w:ascii="宋体" w:hAnsi="宋体" w:cs="宋体" w:eastAsia="宋体" w:hint="default"/>
          <w:b/>
          <w:bCs/>
          <w:sz w:val="19"/>
          <w:szCs w:val="19"/>
        </w:rPr>
      </w:pPr>
    </w:p>
    <w:p>
      <w:pPr>
        <w:pStyle w:val="Heading3"/>
        <w:spacing w:line="345" w:lineRule="auto"/>
        <w:ind w:right="112" w:firstLine="480"/>
        <w:jc w:val="both"/>
      </w:pPr>
      <w:r>
        <w:rPr/>
        <w:t>公司在中高端产品市场竞争中已夺得一席之地，超高压电缆在国网集中采购中标公司数 </w:t>
      </w:r>
      <w:r>
        <w:rPr>
          <w:spacing w:val="-1"/>
        </w:rPr>
        <w:t>居行业前列，牢牢占据国内</w:t>
      </w:r>
      <w:r>
        <w:rPr>
          <w:rFonts w:ascii="Times New Roman" w:hAnsi="Times New Roman" w:cs="Times New Roman" w:eastAsia="Times New Roman" w:hint="default"/>
          <w:spacing w:val="-1"/>
        </w:rPr>
        <w:t>35kV</w:t>
      </w:r>
      <w:r>
        <w:rPr>
          <w:spacing w:val="-1"/>
        </w:rPr>
        <w:t>及以下中低压电缆绝缘料行业龙头地位，同轴电缆在欧美等</w:t>
      </w:r>
      <w:r>
        <w:rPr>
          <w:spacing w:val="-95"/>
        </w:rPr>
        <w:t> </w:t>
      </w:r>
      <w:r>
        <w:rPr>
          <w:spacing w:val="-95"/>
        </w:rPr>
      </w:r>
      <w:r>
        <w:rPr/>
        <w:t>高端市场和国内外中高端同轴电缆行业享有声誉，是美国</w:t>
      </w:r>
      <w:r>
        <w:rPr>
          <w:rFonts w:ascii="Times New Roman" w:hAnsi="Times New Roman" w:cs="Times New Roman" w:eastAsia="Times New Roman" w:hint="default"/>
        </w:rPr>
        <w:t>DTV</w:t>
      </w:r>
      <w:r>
        <w:rPr/>
        <w:t>公司在中国主要的</w:t>
      </w:r>
      <w:r>
        <w:rPr>
          <w:rFonts w:ascii="Times New Roman" w:hAnsi="Times New Roman" w:cs="Times New Roman" w:eastAsia="Times New Roman" w:hint="default"/>
        </w:rPr>
        <w:t>RG6</w:t>
      </w:r>
      <w:r>
        <w:rPr/>
        <w:t>系列同</w:t>
      </w:r>
      <w:r>
        <w:rPr>
          <w:spacing w:val="-80"/>
        </w:rPr>
        <w:t> </w:t>
      </w:r>
      <w:r>
        <w:rPr>
          <w:spacing w:val="-80"/>
        </w:rPr>
      </w:r>
      <w:r>
        <w:rPr/>
        <w:t>轴电缆的供应商。</w:t>
      </w:r>
    </w:p>
    <w:p>
      <w:pPr>
        <w:pStyle w:val="Heading3"/>
        <w:spacing w:line="357" w:lineRule="auto" w:before="108"/>
        <w:ind w:right="112" w:firstLine="561"/>
        <w:jc w:val="both"/>
      </w:pPr>
      <w:r>
        <w:rPr>
          <w:spacing w:val="-2"/>
        </w:rPr>
        <w:t>万马股份通过不断的业务充分整合，已形成良好的协同效应，在客户管理、销售网络布</w:t>
      </w:r>
      <w:r>
        <w:rPr/>
        <w:t> 局、原材料采购、产品研发、技术优势、业务完整性等方面形成互补性促进，为不同客户提</w:t>
      </w:r>
      <w:r>
        <w:rPr>
          <w:spacing w:val="-89"/>
        </w:rPr>
        <w:t> </w:t>
      </w:r>
      <w:r>
        <w:rPr>
          <w:spacing w:val="-89"/>
        </w:rPr>
      </w:r>
      <w:r>
        <w:rPr/>
        <w:t>供更具特色的优质产品和专业服务，充分发挥规模效益，降低原材料的采购成本，增强上市</w:t>
      </w:r>
      <w:r>
        <w:rPr>
          <w:spacing w:val="-89"/>
        </w:rPr>
        <w:t> </w:t>
      </w:r>
      <w:r>
        <w:rPr>
          <w:spacing w:val="-89"/>
        </w:rPr>
      </w:r>
      <w:r>
        <w:rPr/>
        <w:t>公司的核心竞争力、盈利能力及可持续发展能力。</w:t>
      </w:r>
    </w:p>
    <w:p>
      <w:pPr>
        <w:spacing w:after="0" w:line="357" w:lineRule="auto"/>
        <w:jc w:val="both"/>
        <w:sectPr>
          <w:pgSz w:w="11910" w:h="16840"/>
          <w:pgMar w:header="850" w:footer="1012" w:top="144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2"/>
        <w:ind w:left="3086" w:right="104"/>
        <w:jc w:val="left"/>
        <w:rPr>
          <w:b w:val="0"/>
          <w:bCs w:val="0"/>
        </w:rPr>
      </w:pPr>
      <w:bookmarkStart w:name="_bookmark3" w:id="4"/>
      <w:bookmarkEnd w:id="4"/>
      <w:r>
        <w:rPr>
          <w:b w:val="0"/>
          <w:bCs w:val="0"/>
        </w:rPr>
      </w:r>
      <w:r>
        <w:rPr/>
        <w:t>第四节</w:t>
      </w:r>
      <w:r>
        <w:rPr>
          <w:spacing w:val="-10"/>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12" w:right="104"/>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Heading3"/>
        <w:spacing w:line="348" w:lineRule="auto" w:before="0"/>
        <w:ind w:right="232" w:firstLine="480"/>
        <w:jc w:val="both"/>
      </w:pPr>
      <w:r>
        <w:rPr>
          <w:rFonts w:ascii="Times New Roman" w:hAnsi="Times New Roman" w:cs="Times New Roman" w:eastAsia="Times New Roman" w:hint="default"/>
        </w:rPr>
        <w:t>2015</w:t>
      </w:r>
      <w:r>
        <w:rPr/>
        <w:t>年，宏观经济增速放缓。万马股份顺应时代变革，以互联网思维贯穿全局，以“一 体两翼”发展战略为引领，以年度经营计划为主线，未雨绸缪，不断挖掘企业持续成长新动</w:t>
      </w:r>
      <w:r>
        <w:rPr>
          <w:spacing w:val="-89"/>
        </w:rPr>
        <w:t> </w:t>
      </w:r>
      <w:r>
        <w:rPr>
          <w:spacing w:val="-89"/>
        </w:rPr>
      </w:r>
      <w:r>
        <w:rPr/>
        <w:t>能，实现公司升级转型。报告期，公司凭借独特的行业地位、品牌及规模优势，不断寻求创</w:t>
      </w:r>
      <w:r>
        <w:rPr>
          <w:spacing w:val="-89"/>
        </w:rPr>
        <w:t> </w:t>
      </w:r>
      <w:r>
        <w:rPr>
          <w:spacing w:val="-89"/>
        </w:rPr>
      </w:r>
      <w:r>
        <w:rPr>
          <w:spacing w:val="8"/>
        </w:rPr>
        <w:t>新突破，实现整体业绩稳步增长。</w:t>
      </w:r>
      <w:r>
        <w:rPr>
          <w:rFonts w:ascii="Times New Roman" w:hAnsi="Times New Roman" w:cs="Times New Roman" w:eastAsia="Times New Roman" w:hint="default"/>
          <w:spacing w:val="8"/>
        </w:rPr>
        <w:t>2015</w:t>
      </w:r>
      <w:r>
        <w:rPr>
          <w:spacing w:val="8"/>
        </w:rPr>
        <w:t>年实现营业收入</w:t>
      </w:r>
      <w:r>
        <w:rPr>
          <w:rFonts w:ascii="Times New Roman" w:hAnsi="Times New Roman" w:cs="Times New Roman" w:eastAsia="Times New Roman" w:hint="default"/>
          <w:spacing w:val="8"/>
        </w:rPr>
        <w:t>684,714.76</w:t>
      </w:r>
      <w:r>
        <w:rPr>
          <w:spacing w:val="8"/>
        </w:rPr>
        <w:t>万元，较上年同期增长</w:t>
      </w:r>
      <w:r>
        <w:rPr>
          <w:spacing w:val="-91"/>
        </w:rPr>
        <w:t> </w:t>
      </w:r>
      <w:r>
        <w:rPr>
          <w:spacing w:val="-91"/>
        </w:rPr>
      </w:r>
      <w:r>
        <w:rPr>
          <w:rFonts w:ascii="Times New Roman" w:hAnsi="Times New Roman" w:cs="Times New Roman" w:eastAsia="Times New Roman" w:hint="default"/>
        </w:rPr>
        <w:t>17.11%</w:t>
      </w:r>
      <w:r>
        <w:rPr/>
        <w:t>，实现归属于上市公司股东的净利润</w:t>
      </w:r>
      <w:r>
        <w:rPr>
          <w:rFonts w:ascii="Times New Roman" w:hAnsi="Times New Roman" w:cs="Times New Roman" w:eastAsia="Times New Roman" w:hint="default"/>
        </w:rPr>
        <w:t>27,189.18</w:t>
      </w:r>
      <w:r>
        <w:rPr/>
        <w:t>万元，较上年同期增长</w:t>
      </w:r>
      <w:r>
        <w:rPr>
          <w:rFonts w:ascii="Times New Roman" w:hAnsi="Times New Roman" w:cs="Times New Roman" w:eastAsia="Times New Roman" w:hint="default"/>
        </w:rPr>
        <w:t>15.5%</w:t>
      </w:r>
      <w:r>
        <w:rPr/>
        <w:t>。</w:t>
      </w:r>
    </w:p>
    <w:p>
      <w:pPr>
        <w:pStyle w:val="Heading2"/>
        <w:spacing w:line="240" w:lineRule="auto" w:before="172"/>
        <w:ind w:left="3391" w:right="3506"/>
        <w:jc w:val="center"/>
        <w:rPr>
          <w:b w:val="0"/>
          <w:bCs w:val="0"/>
        </w:rPr>
      </w:pPr>
      <w:r>
        <w:rPr/>
        <w:t>（一）升 级</w:t>
      </w:r>
      <w:r>
        <w:rPr>
          <w:spacing w:val="-4"/>
        </w:rPr>
        <w:t> </w:t>
      </w:r>
      <w:r>
        <w:rPr/>
        <w:t>篇</w:t>
      </w:r>
      <w:r>
        <w:rPr>
          <w:b w:val="0"/>
          <w:bCs w:val="0"/>
        </w:rPr>
      </w:r>
    </w:p>
    <w:p>
      <w:pPr>
        <w:spacing w:line="240" w:lineRule="auto" w:before="9"/>
        <w:rPr>
          <w:rFonts w:ascii="宋体" w:hAnsi="宋体" w:cs="宋体" w:eastAsia="宋体" w:hint="default"/>
          <w:b/>
          <w:bCs/>
          <w:sz w:val="23"/>
          <w:szCs w:val="23"/>
        </w:rPr>
      </w:pPr>
    </w:p>
    <w:p>
      <w:pPr>
        <w:spacing w:line="451" w:lineRule="auto" w:before="0"/>
        <w:ind w:left="592" w:right="10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、创新驱动，推进产品技术升级。</w:t>
      </w:r>
      <w:r>
        <w:rPr>
          <w:rFonts w:ascii="宋体" w:hAnsi="宋体" w:cs="宋体" w:eastAsia="宋体" w:hint="default"/>
          <w:b/>
          <w:bCs/>
          <w:w w:val="99"/>
          <w:sz w:val="24"/>
          <w:szCs w:val="24"/>
        </w:rPr>
        <w:t> </w:t>
      </w:r>
      <w:r>
        <w:rPr>
          <w:rFonts w:ascii="宋体" w:hAnsi="宋体" w:cs="宋体" w:eastAsia="宋体" w:hint="default"/>
          <w:sz w:val="24"/>
          <w:szCs w:val="24"/>
        </w:rPr>
        <w:t>为客户提供高品质的产品与服务是万马始终追求的目标。报告期，公司研发创新、产品</w:t>
      </w:r>
    </w:p>
    <w:p>
      <w:pPr>
        <w:pStyle w:val="Heading3"/>
        <w:spacing w:line="257" w:lineRule="exact" w:before="0"/>
        <w:ind w:right="104"/>
        <w:jc w:val="left"/>
      </w:pPr>
      <w:r>
        <w:rPr/>
        <w:t>升级成果突出。公司成立“电动车智慧充电研究院”，被评为省重点企业研究；万马高分子</w:t>
      </w:r>
    </w:p>
    <w:p>
      <w:pPr>
        <w:pStyle w:val="Heading3"/>
        <w:spacing w:line="352" w:lineRule="auto" w:before="154"/>
        <w:ind w:right="96"/>
        <w:jc w:val="left"/>
      </w:pPr>
      <w:r>
        <w:rPr/>
        <w:t>在原有博士后工作站和省级研发中心两大平台基础上，创立“新材料研究院”，并对现有的</w:t>
      </w:r>
      <w:r>
        <w:rPr>
          <w:spacing w:val="-89"/>
        </w:rPr>
        <w:t> </w:t>
      </w:r>
      <w:r>
        <w:rPr>
          <w:spacing w:val="-89"/>
        </w:rPr>
      </w:r>
      <w:r>
        <w:rPr>
          <w:spacing w:val="-2"/>
        </w:rPr>
        <w:t>五个研究所、技术部进行整合。公司加强院校合作，与西安交通大学、四川大学、浙江大学、</w:t>
      </w:r>
      <w:r>
        <w:rPr>
          <w:spacing w:val="-117"/>
        </w:rPr>
        <w:t> </w:t>
      </w:r>
      <w:r>
        <w:rPr>
          <w:spacing w:val="-117"/>
        </w:rPr>
      </w:r>
      <w:r>
        <w:rPr>
          <w:spacing w:val="-4"/>
        </w:rPr>
        <w:t>哈尔滨理工大学、国家电网公司、南方电网公司等就科研项目深入开展合作；成功开发</w:t>
      </w:r>
      <w:r>
        <w:rPr>
          <w:rFonts w:ascii="Times New Roman" w:hAnsi="Times New Roman" w:cs="Times New Roman" w:eastAsia="Times New Roman" w:hint="default"/>
          <w:spacing w:val="-4"/>
        </w:rPr>
        <w:t>220kV</w:t>
      </w:r>
      <w:r>
        <w:rPr>
          <w:rFonts w:ascii="Times New Roman" w:hAnsi="Times New Roman" w:cs="Times New Roman" w:eastAsia="Times New Roman" w:hint="default"/>
          <w:spacing w:val="-22"/>
        </w:rPr>
        <w:t> </w:t>
      </w:r>
      <w:r>
        <w:rPr/>
        <w:t>高压电缆绝缘料，填补国内空白，并通过国家级新产品鉴定；公司研发的防火电缆中标重点</w:t>
      </w:r>
      <w:r>
        <w:rPr>
          <w:spacing w:val="-89"/>
        </w:rPr>
        <w:t> </w:t>
      </w:r>
      <w:r>
        <w:rPr>
          <w:spacing w:val="-89"/>
        </w:rPr>
      </w:r>
      <w:r>
        <w:rPr/>
        <w:t>项目，获得市场认可。为鼓励全员参与创新，公司制定更细化、适用范围更广、奖励力度更</w:t>
      </w:r>
      <w:r>
        <w:rPr>
          <w:spacing w:val="-89"/>
        </w:rPr>
        <w:t> </w:t>
      </w:r>
      <w:r>
        <w:rPr>
          <w:spacing w:val="-89"/>
        </w:rPr>
      </w:r>
      <w:r>
        <w:rPr/>
        <w:t>大的创新奖励政策，并鼓励管理微创新。</w:t>
      </w:r>
    </w:p>
    <w:p>
      <w:pPr>
        <w:pStyle w:val="Heading3"/>
        <w:spacing w:line="350" w:lineRule="auto" w:before="197"/>
        <w:ind w:right="232" w:firstLine="480"/>
        <w:jc w:val="both"/>
      </w:pPr>
      <w:r>
        <w:rPr/>
        <w:t>万马新能源抓住发展机遇，加快国际合作步伐，紧跟市场需求，积极研发集群式交流充 </w:t>
      </w:r>
      <w:r>
        <w:rPr>
          <w:spacing w:val="-3"/>
        </w:rPr>
        <w:t>电系统（魔充）、 </w:t>
      </w:r>
      <w:r>
        <w:rPr/>
        <w:t>新国标模式二充电盒（随车充）、 简易壁挂交流充电机（居家充）、</w:t>
      </w:r>
      <w:r>
        <w:rPr>
          <w:spacing w:val="-59"/>
        </w:rPr>
        <w:t> </w:t>
      </w:r>
      <w:r>
        <w:rPr/>
        <w:t>储</w:t>
      </w:r>
      <w:r>
        <w:rPr/>
        <w:t> 能式直流快充充电系统（移动充）、</w:t>
      </w:r>
      <w:r>
        <w:rPr>
          <w:spacing w:val="-78"/>
        </w:rPr>
        <w:t> </w:t>
      </w:r>
      <w:r>
        <w:rPr/>
        <w:t>直流充电机（场站充）等，积极开拓车企市场，开发并</w:t>
      </w:r>
      <w:r>
        <w:rPr/>
        <w:t> 销售车载充电机系列车内电力电子产品，逐步实现产品标准化、模块化、智能化，进一步确 </w:t>
      </w:r>
      <w:r>
        <w:rPr>
          <w:spacing w:val="-3"/>
        </w:rPr>
        <w:t>立“充电设备第一梯队供应商”市场地位。爱充网着重夯实技术基础，与法国</w:t>
      </w:r>
      <w:r>
        <w:rPr>
          <w:rFonts w:ascii="Times New Roman" w:hAnsi="Times New Roman" w:cs="Times New Roman" w:eastAsia="Times New Roman" w:hint="default"/>
          <w:spacing w:val="-3"/>
        </w:rPr>
        <w:t>IES</w:t>
      </w:r>
      <w:r>
        <w:rPr>
          <w:spacing w:val="-3"/>
        </w:rPr>
        <w:t>合资公司的</w:t>
      </w:r>
      <w:r>
        <w:rPr>
          <w:spacing w:val="-81"/>
        </w:rPr>
        <w:t> </w:t>
      </w:r>
      <w:r>
        <w:rPr/>
        <w:t>欧洲</w:t>
      </w:r>
      <w:r>
        <w:rPr>
          <w:rFonts w:ascii="Times New Roman" w:hAnsi="Times New Roman" w:cs="Times New Roman" w:eastAsia="Times New Roman" w:hint="default"/>
        </w:rPr>
        <w:t>Chademo</w:t>
      </w:r>
      <w:r>
        <w:rPr>
          <w:rFonts w:ascii="Times New Roman" w:hAnsi="Times New Roman" w:cs="Times New Roman" w:eastAsia="Times New Roman" w:hint="default"/>
          <w:spacing w:val="18"/>
        </w:rPr>
        <w:t> </w:t>
      </w:r>
      <w:r>
        <w:rPr/>
        <w:t>协议标准在中国的落地，在桩联网的桩智能化芯片、互联网技术积累等方面初 见成果，公司拥有芯片级别的充电桩智能化接入的技术储备及完整解决方案。</w:t>
      </w:r>
    </w:p>
    <w:p>
      <w:pPr>
        <w:pStyle w:val="Heading3"/>
        <w:spacing w:line="240" w:lineRule="auto" w:before="199"/>
        <w:ind w:left="592" w:right="104"/>
        <w:jc w:val="left"/>
      </w:pPr>
      <w:r>
        <w:rPr/>
        <w:t>报告期内，公司申请发明专利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30</w:t>
      </w:r>
      <w:r>
        <w:rPr/>
        <w:t>项申请、外观专利</w:t>
      </w:r>
      <w:r>
        <w:rPr>
          <w:rFonts w:ascii="Times New Roman" w:hAnsi="Times New Roman" w:cs="Times New Roman" w:eastAsia="Times New Roman" w:hint="default"/>
        </w:rPr>
        <w:t>1</w:t>
      </w:r>
      <w:r>
        <w:rPr/>
        <w:t>项。截至目前，</w:t>
      </w:r>
    </w:p>
    <w:p>
      <w:pPr>
        <w:spacing w:after="0" w:line="240" w:lineRule="auto"/>
        <w:jc w:val="left"/>
        <w:sectPr>
          <w:pgSz w:w="11910" w:h="16840"/>
          <w:pgMar w:header="850" w:footer="1012" w:top="1440" w:bottom="1200" w:left="1020" w:right="900"/>
        </w:sectPr>
      </w:pPr>
    </w:p>
    <w:p>
      <w:pPr>
        <w:spacing w:line="240" w:lineRule="auto" w:before="6"/>
        <w:rPr>
          <w:rFonts w:ascii="宋体" w:hAnsi="宋体" w:cs="宋体" w:eastAsia="宋体" w:hint="default"/>
          <w:sz w:val="19"/>
          <w:szCs w:val="19"/>
        </w:rPr>
      </w:pPr>
    </w:p>
    <w:p>
      <w:pPr>
        <w:pStyle w:val="Heading3"/>
        <w:spacing w:line="338" w:lineRule="auto"/>
        <w:ind w:right="103"/>
        <w:jc w:val="both"/>
      </w:pPr>
      <w:r>
        <w:rPr/>
        <w:t>公司拥有知识产权</w:t>
      </w:r>
      <w:r>
        <w:rPr>
          <w:rFonts w:ascii="Times New Roman" w:hAnsi="Times New Roman" w:cs="Times New Roman" w:eastAsia="Times New Roman" w:hint="default"/>
        </w:rPr>
        <w:t>269</w:t>
      </w:r>
      <w:r>
        <w:rPr/>
        <w:t>项，其中发明专利</w:t>
      </w:r>
      <w:r>
        <w:rPr>
          <w:rFonts w:ascii="Times New Roman" w:hAnsi="Times New Roman" w:cs="Times New Roman" w:eastAsia="Times New Roman" w:hint="default"/>
        </w:rPr>
        <w:t>18</w:t>
      </w:r>
      <w:r>
        <w:rPr/>
        <w:t>项、实用新型专利</w:t>
      </w:r>
      <w:r>
        <w:rPr>
          <w:rFonts w:ascii="Times New Roman" w:hAnsi="Times New Roman" w:cs="Times New Roman" w:eastAsia="Times New Roman" w:hint="default"/>
        </w:rPr>
        <w:t>225</w:t>
      </w:r>
      <w:r>
        <w:rPr/>
        <w:t>项、外观设计专利</w:t>
      </w:r>
      <w:r>
        <w:rPr>
          <w:rFonts w:ascii="Times New Roman" w:hAnsi="Times New Roman" w:cs="Times New Roman" w:eastAsia="Times New Roman" w:hint="default"/>
        </w:rPr>
        <w:t>15</w:t>
      </w:r>
      <w:r>
        <w:rPr/>
        <w:t>项、软</w:t>
      </w:r>
      <w:r>
        <w:rPr>
          <w:spacing w:val="-89"/>
        </w:rPr>
        <w:t> </w:t>
      </w:r>
      <w:r>
        <w:rPr>
          <w:spacing w:val="-89"/>
        </w:rPr>
      </w:r>
      <w:r>
        <w:rPr/>
        <w:t>件著作权</w:t>
      </w:r>
      <w:r>
        <w:rPr>
          <w:rFonts w:ascii="Times New Roman" w:hAnsi="Times New Roman" w:cs="Times New Roman" w:eastAsia="Times New Roman" w:hint="default"/>
        </w:rPr>
        <w:t>11</w:t>
      </w:r>
      <w:r>
        <w:rPr/>
        <w:t>项。万马新能源受邀参与编制全国首个电动汽车技术设施规划设计标准；万马电</w:t>
      </w:r>
      <w:r>
        <w:rPr>
          <w:spacing w:val="-91"/>
        </w:rPr>
        <w:t> </w:t>
      </w:r>
      <w:r>
        <w:rPr>
          <w:spacing w:val="-91"/>
        </w:rPr>
      </w:r>
      <w:r>
        <w:rPr/>
        <w:t>缆受邀参与</w:t>
      </w:r>
      <w:r>
        <w:rPr>
          <w:rFonts w:ascii="Times New Roman" w:hAnsi="Times New Roman" w:cs="Times New Roman" w:eastAsia="Times New Roman" w:hint="default"/>
        </w:rPr>
        <w:t>GB/T18890</w:t>
      </w:r>
      <w:r>
        <w:rPr/>
        <w:t>《额定电压</w:t>
      </w:r>
      <w:r>
        <w:rPr>
          <w:rFonts w:ascii="Times New Roman" w:hAnsi="Times New Roman" w:cs="Times New Roman" w:eastAsia="Times New Roman" w:hint="default"/>
        </w:rPr>
        <w:t>220kV(Um=252kV)</w:t>
      </w:r>
      <w:r>
        <w:rPr/>
        <w:t>交联聚乙烯绝缘电力电缆及其附件》、</w:t>
      </w:r>
      <w:r>
        <w:rPr>
          <w:spacing w:val="-81"/>
        </w:rPr>
        <w:t> </w:t>
      </w:r>
      <w:r>
        <w:rPr>
          <w:spacing w:val="-81"/>
        </w:rPr>
      </w:r>
      <w:r>
        <w:rPr>
          <w:rFonts w:ascii="Times New Roman" w:hAnsi="Times New Roman" w:cs="Times New Roman" w:eastAsia="Times New Roman" w:hint="default"/>
        </w:rPr>
        <w:t>GB/T11017.2-2014</w:t>
      </w:r>
      <w:r>
        <w:rPr>
          <w:rFonts w:ascii="Times New Roman" w:hAnsi="Times New Roman" w:cs="Times New Roman" w:eastAsia="Times New Roman" w:hint="default"/>
          <w:spacing w:val="19"/>
        </w:rPr>
        <w:t> </w:t>
      </w:r>
      <w:r>
        <w:rPr/>
        <w:t>《</w:t>
      </w:r>
      <w:r>
        <w:rPr>
          <w:spacing w:val="-100"/>
        </w:rPr>
        <w:t> </w:t>
      </w:r>
      <w:r>
        <w:rPr>
          <w:spacing w:val="16"/>
        </w:rPr>
        <w:t>额定电压</w:t>
      </w:r>
      <w:r>
        <w:rPr>
          <w:spacing w:val="-100"/>
        </w:rPr>
        <w:t> </w:t>
      </w:r>
      <w:r>
        <w:rPr>
          <w:rFonts w:ascii="Times New Roman" w:hAnsi="Times New Roman" w:cs="Times New Roman" w:eastAsia="Times New Roman" w:hint="default"/>
          <w:spacing w:val="-3"/>
        </w:rPr>
        <w:t>110kV</w:t>
      </w:r>
      <w:r>
        <w:rPr>
          <w:rFonts w:ascii="Times New Roman" w:hAnsi="Times New Roman" w:cs="Times New Roman" w:eastAsia="Times New Roman" w:hint="default"/>
          <w:spacing w:val="17"/>
        </w:rPr>
        <w:t> </w:t>
      </w:r>
      <w:r>
        <w:rPr>
          <w:rFonts w:ascii="Times New Roman" w:hAnsi="Times New Roman" w:cs="Times New Roman" w:eastAsia="Times New Roman" w:hint="default"/>
        </w:rPr>
        <w:t>Um</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16"/>
        </w:rPr>
        <w:t>126kV</w:t>
      </w:r>
      <w:r>
        <w:rPr>
          <w:spacing w:val="16"/>
        </w:rPr>
        <w:t>交联聚乙烯电力电缆及其附件》、</w:t>
      </w:r>
      <w:r>
        <w:rPr>
          <w:spacing w:val="-100"/>
        </w:rPr>
        <w:t> </w:t>
      </w:r>
      <w:r>
        <w:rPr>
          <w:rFonts w:ascii="Times New Roman" w:hAnsi="Times New Roman" w:cs="Times New Roman" w:eastAsia="Times New Roman" w:hint="default"/>
        </w:rPr>
        <w:t>NB/T</w:t>
      </w:r>
      <w:r>
        <w:rPr>
          <w:rFonts w:ascii="Times New Roman" w:hAnsi="Times New Roman" w:cs="Times New Roman" w:eastAsia="Times New Roman" w:hint="default"/>
          <w:w w:val="99"/>
        </w:rPr>
        <w:t> </w:t>
      </w:r>
      <w:r>
        <w:rPr>
          <w:rFonts w:ascii="Times New Roman" w:hAnsi="Times New Roman" w:cs="Times New Roman" w:eastAsia="Times New Roman" w:hint="default"/>
        </w:rPr>
        <w:t>42050-2015</w:t>
      </w:r>
      <w:r>
        <w:rPr/>
        <w:t>《光纤复合中压电缆标准制定》等多项电缆标准编制，天屹通信荣获“</w:t>
      </w:r>
      <w:r>
        <w:rPr>
          <w:rFonts w:ascii="Times New Roman" w:hAnsi="Times New Roman" w:cs="Times New Roman" w:eastAsia="Times New Roman" w:hint="default"/>
        </w:rPr>
        <w:t>2014</w:t>
      </w:r>
      <w:r>
        <w:rPr/>
        <w:t>年度</w:t>
      </w:r>
      <w:r>
        <w:rPr>
          <w:spacing w:val="-56"/>
        </w:rPr>
        <w:t> </w:t>
      </w:r>
      <w:r>
        <w:rPr>
          <w:spacing w:val="-56"/>
        </w:rPr>
      </w:r>
      <w:r>
        <w:rPr/>
        <w:t>临安市政府质量奖”。</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spacing w:line="451" w:lineRule="auto" w:before="0"/>
        <w:ind w:left="532" w:right="0"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、去中心化，实现管理升级。</w:t>
      </w:r>
      <w:r>
        <w:rPr>
          <w:rFonts w:ascii="宋体" w:hAnsi="宋体" w:cs="宋体" w:eastAsia="宋体" w:hint="default"/>
          <w:b/>
          <w:bCs/>
          <w:w w:val="99"/>
          <w:sz w:val="24"/>
          <w:szCs w:val="24"/>
        </w:rPr>
        <w:t> </w:t>
      </w:r>
      <w:r>
        <w:rPr>
          <w:rFonts w:ascii="宋体" w:hAnsi="宋体" w:cs="宋体" w:eastAsia="宋体" w:hint="default"/>
          <w:spacing w:val="2"/>
          <w:sz w:val="24"/>
          <w:szCs w:val="24"/>
        </w:rPr>
        <w:t>根据公司发展阶段需要，适度调整组织架构，提高决策效率。为理清股份公司与子公司</w:t>
      </w:r>
    </w:p>
    <w:p>
      <w:pPr>
        <w:pStyle w:val="Heading3"/>
        <w:spacing w:line="257" w:lineRule="exact" w:before="0"/>
        <w:ind w:right="0"/>
        <w:jc w:val="both"/>
      </w:pPr>
      <w:r>
        <w:rPr/>
        <w:t>职责，逐步将母公司制造业务下沉至子公司万马电缆，股份公司将以更多的精力专注于产业</w:t>
      </w:r>
    </w:p>
    <w:p>
      <w:pPr>
        <w:pStyle w:val="Heading3"/>
        <w:spacing w:line="357" w:lineRule="auto" w:before="154"/>
        <w:ind w:right="112"/>
        <w:jc w:val="both"/>
      </w:pPr>
      <w:r>
        <w:rPr/>
        <w:t>投资、外延发展、子公司资源共享平台建设等，各子公司则将精力集中于专业产品领域及细</w:t>
      </w:r>
      <w:r>
        <w:rPr>
          <w:spacing w:val="-89"/>
        </w:rPr>
        <w:t> </w:t>
      </w:r>
      <w:r>
        <w:rPr>
          <w:spacing w:val="-89"/>
        </w:rPr>
      </w:r>
      <w:r>
        <w:rPr/>
        <w:t>分市场的深耕细作。</w:t>
      </w:r>
    </w:p>
    <w:p>
      <w:pPr>
        <w:pStyle w:val="Heading3"/>
        <w:spacing w:line="357" w:lineRule="auto" w:before="192"/>
        <w:ind w:right="112" w:firstLine="420"/>
        <w:jc w:val="both"/>
      </w:pPr>
      <w:r>
        <w:rPr>
          <w:spacing w:val="2"/>
        </w:rPr>
        <w:t>报告期，公司推行阿米巴经营模式，细化考核单元，调动各模块、团队人员积极性。万</w:t>
      </w:r>
      <w:r>
        <w:rPr/>
        <w:t> 马电缆划小考核单元，细分多个利润中心，明确经营体目标和利润分享机制，同时对平台人</w:t>
      </w:r>
      <w:r>
        <w:rPr>
          <w:spacing w:val="-89"/>
        </w:rPr>
        <w:t> </w:t>
      </w:r>
      <w:r>
        <w:rPr>
          <w:spacing w:val="-89"/>
        </w:rPr>
      </w:r>
      <w:r>
        <w:rPr/>
        <w:t>员建立市场考核机制，必须走市场，实现市场客户零距离，在保证业务质量的同时实现了业</w:t>
      </w:r>
      <w:r>
        <w:rPr>
          <w:spacing w:val="-89"/>
        </w:rPr>
        <w:t> </w:t>
      </w:r>
      <w:r>
        <w:rPr>
          <w:spacing w:val="-89"/>
        </w:rPr>
      </w:r>
      <w:r>
        <w:rPr/>
        <w:t>绩稳步增长，毛利率明显提升。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51" w:lineRule="auto" w:before="188"/>
        <w:ind w:left="592"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、贴近市场，提升服务升级。</w:t>
      </w:r>
      <w:r>
        <w:rPr>
          <w:rFonts w:ascii="宋体" w:hAnsi="宋体" w:cs="宋体" w:eastAsia="宋体" w:hint="default"/>
          <w:b/>
          <w:bCs/>
          <w:w w:val="99"/>
          <w:sz w:val="24"/>
          <w:szCs w:val="24"/>
        </w:rPr>
        <w:t> </w:t>
      </w:r>
      <w:r>
        <w:rPr>
          <w:rFonts w:ascii="宋体" w:hAnsi="宋体" w:cs="宋体" w:eastAsia="宋体" w:hint="default"/>
          <w:sz w:val="24"/>
          <w:szCs w:val="24"/>
        </w:rPr>
        <w:t>公司实施“五星”服务，基于战略客户推出“全系列、可定制、勤沟通、有反馈、敢承</w:t>
      </w:r>
    </w:p>
    <w:p>
      <w:pPr>
        <w:pStyle w:val="Heading3"/>
        <w:spacing w:line="257" w:lineRule="exact" w:before="0"/>
        <w:ind w:right="0"/>
        <w:jc w:val="both"/>
      </w:pPr>
      <w:r>
        <w:rPr/>
        <w:t>诺”的“五星”服务平台，建立大客户合作模式，提高客户粘性，不仅在电线电缆材料领域</w:t>
      </w:r>
    </w:p>
    <w:p>
      <w:pPr>
        <w:pStyle w:val="Heading3"/>
        <w:spacing w:line="338" w:lineRule="auto" w:before="154"/>
        <w:ind w:right="112"/>
        <w:jc w:val="both"/>
      </w:pPr>
      <w:r>
        <w:rPr/>
        <w:t>广结硕果，在其他新材料领域如低烟无卤、特种</w:t>
      </w:r>
      <w:r>
        <w:rPr>
          <w:rFonts w:ascii="Times New Roman" w:hAnsi="Times New Roman" w:cs="Times New Roman" w:eastAsia="Times New Roman" w:hint="default"/>
        </w:rPr>
        <w:t>PVC</w:t>
      </w:r>
      <w:r>
        <w:rPr/>
        <w:t>也有较大的突破，助力新材料销量节节</w:t>
      </w:r>
      <w:r>
        <w:rPr>
          <w:spacing w:val="-80"/>
        </w:rPr>
        <w:t> </w:t>
      </w:r>
      <w:r>
        <w:rPr>
          <w:spacing w:val="-80"/>
        </w:rPr>
      </w:r>
      <w:r>
        <w:rPr/>
        <w:t>攀升。</w:t>
      </w:r>
    </w:p>
    <w:p>
      <w:pPr>
        <w:pStyle w:val="Heading3"/>
        <w:spacing w:line="348" w:lineRule="auto" w:before="211"/>
        <w:ind w:right="112" w:firstLine="420"/>
        <w:jc w:val="both"/>
      </w:pPr>
      <w:r>
        <w:rPr/>
        <w:t>爱充 </w:t>
      </w:r>
      <w:r>
        <w:rPr>
          <w:rFonts w:ascii="Times New Roman" w:hAnsi="Times New Roman" w:cs="Times New Roman" w:eastAsia="Times New Roman" w:hint="default"/>
        </w:rPr>
        <w:t>IOS </w:t>
      </w:r>
      <w:r>
        <w:rPr/>
        <w:t>及安卓版本</w:t>
      </w:r>
      <w:r>
        <w:rPr>
          <w:rFonts w:ascii="Times New Roman" w:hAnsi="Times New Roman" w:cs="Times New Roman" w:eastAsia="Times New Roman" w:hint="default"/>
        </w:rPr>
        <w:t>APP 2.0</w:t>
      </w:r>
      <w:r>
        <w:rPr>
          <w:rFonts w:ascii="Times New Roman" w:hAnsi="Times New Roman" w:cs="Times New Roman" w:eastAsia="Times New Roman" w:hint="default"/>
          <w:spacing w:val="46"/>
        </w:rPr>
        <w:t> </w:t>
      </w:r>
      <w:r>
        <w:rPr/>
        <w:t>的更新迭代，软件平台可实现在线查询、预约、导航、在 线升级、车和地锁联动等功能，并支持多种支付方式。爱充实时后台云监控系统；并为杭州 市电力公司开发、代运营桩联网。</w:t>
      </w:r>
    </w:p>
    <w:p>
      <w:pPr>
        <w:spacing w:after="0" w:line="348" w:lineRule="auto"/>
        <w:jc w:val="both"/>
        <w:sectPr>
          <w:pgSz w:w="11910" w:h="16840"/>
          <w:pgMar w:header="850" w:footer="1012" w:top="1440" w:bottom="1200" w:left="1020" w:right="1020"/>
        </w:sectPr>
      </w:pPr>
    </w:p>
    <w:p>
      <w:pPr>
        <w:spacing w:line="240" w:lineRule="auto" w:before="6"/>
        <w:rPr>
          <w:rFonts w:ascii="宋体" w:hAnsi="宋体" w:cs="宋体" w:eastAsia="宋体" w:hint="default"/>
          <w:sz w:val="19"/>
          <w:szCs w:val="19"/>
        </w:rPr>
      </w:pPr>
    </w:p>
    <w:p>
      <w:pPr>
        <w:pStyle w:val="Heading2"/>
        <w:spacing w:line="240" w:lineRule="auto" w:before="26"/>
        <w:ind w:left="4332" w:right="104"/>
        <w:jc w:val="left"/>
        <w:rPr>
          <w:b w:val="0"/>
          <w:bCs w:val="0"/>
        </w:rPr>
      </w:pPr>
      <w:r>
        <w:rPr/>
        <w:t>（二）转 型</w:t>
      </w:r>
      <w:r>
        <w:rPr>
          <w:spacing w:val="-4"/>
        </w:rPr>
        <w:t> </w:t>
      </w:r>
      <w:r>
        <w:rPr/>
        <w:t>篇</w:t>
      </w:r>
      <w:r>
        <w:rPr>
          <w:b w:val="0"/>
          <w:bCs w:val="0"/>
        </w:rPr>
      </w:r>
    </w:p>
    <w:p>
      <w:pPr>
        <w:spacing w:line="240" w:lineRule="auto" w:before="9"/>
        <w:rPr>
          <w:rFonts w:ascii="宋体" w:hAnsi="宋体" w:cs="宋体" w:eastAsia="宋体" w:hint="default"/>
          <w:b/>
          <w:bCs/>
          <w:sz w:val="23"/>
          <w:szCs w:val="23"/>
        </w:rPr>
      </w:pPr>
    </w:p>
    <w:p>
      <w:pPr>
        <w:spacing w:line="451" w:lineRule="auto" w:before="0"/>
        <w:ind w:left="532" w:right="314"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、“产品型企业”向“资源型企业”转型。</w:t>
      </w:r>
      <w:r>
        <w:rPr>
          <w:rFonts w:ascii="宋体" w:hAnsi="宋体" w:cs="宋体" w:eastAsia="宋体" w:hint="default"/>
          <w:b/>
          <w:bCs/>
          <w:w w:val="99"/>
          <w:sz w:val="24"/>
          <w:szCs w:val="24"/>
        </w:rPr>
        <w:t> </w:t>
      </w:r>
      <w:r>
        <w:rPr>
          <w:rFonts w:ascii="宋体" w:hAnsi="宋体" w:cs="宋体" w:eastAsia="宋体" w:hint="default"/>
          <w:sz w:val="24"/>
          <w:szCs w:val="24"/>
        </w:rPr>
        <w:t>公司践行战略转型，由产品型企业向“集生产制造、运营管理、服务平台建设于一体”</w:t>
      </w:r>
    </w:p>
    <w:p>
      <w:pPr>
        <w:pStyle w:val="Heading3"/>
        <w:spacing w:line="257" w:lineRule="exact" w:before="0"/>
        <w:ind w:right="104"/>
        <w:jc w:val="left"/>
      </w:pPr>
      <w:r>
        <w:rPr/>
        <w:t>的整体解决方案提供者迈进。</w:t>
      </w:r>
    </w:p>
    <w:p>
      <w:pPr>
        <w:pStyle w:val="Heading3"/>
        <w:spacing w:line="350" w:lineRule="auto" w:before="214"/>
        <w:ind w:right="104" w:firstLine="420"/>
        <w:jc w:val="left"/>
      </w:pPr>
      <w:r>
        <w:rPr>
          <w:spacing w:val="-1"/>
        </w:rPr>
        <w:t>从单纯提供充电桩到提供全面的智能充电服务整体解决方案转型。万马新能源、爱充网、</w:t>
      </w:r>
      <w:r>
        <w:rPr/>
        <w:t> 新能源投资合力形成“智能设备制造</w:t>
      </w:r>
      <w:r>
        <w:rPr>
          <w:rFonts w:ascii="Times New Roman" w:hAnsi="Times New Roman" w:cs="Times New Roman" w:eastAsia="Times New Roman" w:hint="default"/>
        </w:rPr>
        <w:t>+</w:t>
      </w:r>
      <w:r>
        <w:rPr/>
        <w:t>网络运营服务</w:t>
      </w:r>
      <w:r>
        <w:rPr>
          <w:rFonts w:ascii="Times New Roman" w:hAnsi="Times New Roman" w:cs="Times New Roman" w:eastAsia="Times New Roman" w:hint="default"/>
        </w:rPr>
        <w:t>+</w:t>
      </w:r>
      <w:r>
        <w:rPr/>
        <w:t>投资建设充电网”三轮驱动格局，在行 业内具备一定知名度，在行业政策的不断落地背景下，万马新能源版块如星星之火，触燎原 之势。</w:t>
      </w:r>
    </w:p>
    <w:p>
      <w:pPr>
        <w:pStyle w:val="Heading3"/>
        <w:spacing w:line="348" w:lineRule="auto" w:before="103"/>
        <w:ind w:right="271" w:firstLine="420"/>
        <w:jc w:val="both"/>
      </w:pPr>
      <w:r>
        <w:rPr/>
        <w:t>从单纯提供线缆到全面提供线缆安装、调试、监测等运营一体化服务转型。深化市场布 局，为满足客户需求，实现零距离贴近市场，设立</w:t>
      </w:r>
      <w:r>
        <w:rPr>
          <w:rFonts w:ascii="Times New Roman" w:hAnsi="Times New Roman" w:cs="Times New Roman" w:eastAsia="Times New Roman" w:hint="default"/>
        </w:rPr>
        <w:t>30</w:t>
      </w:r>
      <w:r>
        <w:rPr/>
        <w:t>余个当地化办事处、扩大销售团队，已 经显现效果。</w:t>
      </w:r>
    </w:p>
    <w:p>
      <w:pPr>
        <w:spacing w:line="240" w:lineRule="auto" w:before="6"/>
        <w:rPr>
          <w:rFonts w:ascii="宋体" w:hAnsi="宋体" w:cs="宋体" w:eastAsia="宋体" w:hint="default"/>
          <w:sz w:val="26"/>
          <w:szCs w:val="26"/>
        </w:rPr>
      </w:pPr>
    </w:p>
    <w:p>
      <w:pPr>
        <w:spacing w:line="620" w:lineRule="atLeast" w:before="0"/>
        <w:ind w:left="592" w:right="21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、“传统制造”向“智能智造”转型。</w:t>
      </w:r>
      <w:r>
        <w:rPr>
          <w:rFonts w:ascii="宋体" w:hAnsi="宋体" w:cs="宋体" w:eastAsia="宋体" w:hint="default"/>
          <w:b/>
          <w:bCs/>
          <w:w w:val="99"/>
          <w:sz w:val="24"/>
          <w:szCs w:val="24"/>
        </w:rPr>
        <w:t> </w:t>
      </w:r>
      <w:r>
        <w:rPr>
          <w:rFonts w:ascii="宋体" w:hAnsi="宋体" w:cs="宋体" w:eastAsia="宋体" w:hint="default"/>
          <w:spacing w:val="-2"/>
          <w:sz w:val="24"/>
          <w:szCs w:val="24"/>
        </w:rPr>
        <w:t>公司积极推动智能制造</w:t>
      </w:r>
      <w:r>
        <w:rPr>
          <w:rFonts w:ascii="Times New Roman" w:hAnsi="Times New Roman" w:cs="Times New Roman" w:eastAsia="Times New Roman" w:hint="default"/>
          <w:spacing w:val="-2"/>
          <w:sz w:val="24"/>
          <w:szCs w:val="24"/>
        </w:rPr>
        <w:t>4.0</w:t>
      </w:r>
      <w:r>
        <w:rPr>
          <w:rFonts w:ascii="宋体" w:hAnsi="宋体" w:cs="宋体" w:eastAsia="宋体" w:hint="default"/>
          <w:spacing w:val="-2"/>
          <w:sz w:val="24"/>
          <w:szCs w:val="24"/>
        </w:rPr>
        <w:t>变革，实现物联互通。成立自动化部，通过工业</w:t>
      </w:r>
      <w:r>
        <w:rPr>
          <w:rFonts w:ascii="Times New Roman" w:hAnsi="Times New Roman" w:cs="Times New Roman" w:eastAsia="Times New Roman" w:hint="default"/>
          <w:spacing w:val="-2"/>
          <w:sz w:val="24"/>
          <w:szCs w:val="24"/>
        </w:rPr>
        <w:t>4.0</w:t>
      </w:r>
      <w:r>
        <w:rPr>
          <w:rFonts w:ascii="宋体" w:hAnsi="宋体" w:cs="宋体" w:eastAsia="宋体" w:hint="default"/>
          <w:spacing w:val="-2"/>
          <w:sz w:val="24"/>
          <w:szCs w:val="24"/>
        </w:rPr>
        <w:t>项目实施推</w:t>
      </w:r>
    </w:p>
    <w:p>
      <w:pPr>
        <w:pStyle w:val="Heading3"/>
        <w:spacing w:line="348" w:lineRule="auto" w:before="135"/>
        <w:ind w:left="0" w:right="271"/>
        <w:jc w:val="right"/>
      </w:pPr>
      <w:r>
        <w:rPr/>
        <w:t>动制造水平升级，低烟无卤设备互联示范点成功运行，基于物联网的质量管控系统项目获得 </w:t>
      </w:r>
      <w:r>
        <w:rPr>
          <w:rFonts w:ascii="Times New Roman" w:hAnsi="Times New Roman" w:cs="Times New Roman" w:eastAsia="Times New Roman" w:hint="default"/>
          <w:spacing w:val="-1"/>
        </w:rPr>
        <w:t>2015</w:t>
      </w:r>
      <w:r>
        <w:rPr>
          <w:spacing w:val="-1"/>
        </w:rPr>
        <w:t>年杭州市物联网推广应用示范项目荣誉，报告期，万马高分子已实现</w:t>
      </w:r>
      <w:r>
        <w:rPr>
          <w:rFonts w:ascii="Times New Roman" w:hAnsi="Times New Roman" w:cs="Times New Roman" w:eastAsia="Times New Roman" w:hint="default"/>
          <w:spacing w:val="-1"/>
        </w:rPr>
        <w:t>SAP</w:t>
      </w:r>
      <w:r>
        <w:rPr>
          <w:spacing w:val="-1"/>
        </w:rPr>
        <w:t>顺利上线。公</w:t>
      </w:r>
      <w:r>
        <w:rPr/>
        <w:t> 司在同行中率先将物联网管控技术运用于电缆生产，以技术创新引领电缆行业的发展方向。</w:t>
      </w:r>
    </w:p>
    <w:p>
      <w:pPr>
        <w:pStyle w:val="Heading3"/>
        <w:spacing w:line="348" w:lineRule="auto" w:before="202"/>
        <w:ind w:right="104" w:firstLine="480"/>
        <w:jc w:val="left"/>
      </w:pPr>
      <w:r>
        <w:rPr/>
        <w:t>公司弘扬工匠精神，追求产品的品质灵魂，专注、坚持、用心呵护于创立</w:t>
      </w:r>
      <w:r>
        <w:rPr>
          <w:rFonts w:ascii="Times New Roman" w:hAnsi="Times New Roman" w:cs="Times New Roman" w:eastAsia="Times New Roman" w:hint="default"/>
        </w:rPr>
        <w:t>20</w:t>
      </w:r>
      <w:r>
        <w:rPr/>
        <w:t>余年的“万 </w:t>
      </w:r>
      <w:r>
        <w:rPr>
          <w:spacing w:val="-3"/>
        </w:rPr>
        <w:t>马”系列品牌，贴近市场前沿，对产品精心打造、精工制作，不断创新品种、不断提升品质，</w:t>
      </w:r>
      <w:r>
        <w:rPr>
          <w:spacing w:val="-81"/>
        </w:rPr>
        <w:t> </w:t>
      </w:r>
      <w:r>
        <w:rPr>
          <w:spacing w:val="-81"/>
        </w:rPr>
      </w:r>
      <w:r>
        <w:rPr/>
        <w:t>为客户提供个性化、定制化的产品与服务。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Heading2"/>
        <w:spacing w:line="240" w:lineRule="auto"/>
        <w:ind w:left="112" w:right="104"/>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12"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12" w:right="104" w:firstLine="0"/>
        <w:jc w:val="left"/>
        <w:rPr>
          <w:rFonts w:ascii="宋体" w:hAnsi="宋体" w:cs="宋体" w:eastAsia="宋体" w:hint="default"/>
          <w:sz w:val="18"/>
          <w:szCs w:val="18"/>
        </w:rPr>
      </w:pPr>
      <w:r>
        <w:rPr>
          <w:rFonts w:ascii="宋体" w:hAnsi="宋体" w:cs="宋体" w:eastAsia="宋体" w:hint="default"/>
          <w:sz w:val="18"/>
          <w:szCs w:val="18"/>
        </w:rPr>
        <w:t>是否与管理层讨论与分析中的概述披露相同</w:t>
      </w:r>
    </w:p>
    <w:p>
      <w:pPr>
        <w:spacing w:line="357" w:lineRule="auto" w:before="117"/>
        <w:ind w:left="112" w:right="5354" w:firstLine="0"/>
        <w:jc w:val="left"/>
        <w:rPr>
          <w:rFonts w:ascii="宋体" w:hAnsi="宋体" w:cs="宋体" w:eastAsia="宋体" w:hint="default"/>
          <w:sz w:val="18"/>
          <w:szCs w:val="18"/>
        </w:rPr>
      </w:pPr>
      <w:r>
        <w:rPr>
          <w:rFonts w:ascii="宋体" w:hAnsi="宋体" w:cs="宋体" w:eastAsia="宋体" w:hint="default"/>
          <w:sz w:val="18"/>
          <w:szCs w:val="18"/>
        </w:rPr>
        <w:t>√ 是 □ 否 参见“管理层讨论与分析”中的“一、概述”相关内容。</w:t>
      </w:r>
    </w:p>
    <w:p>
      <w:pPr>
        <w:spacing w:after="0" w:line="357" w:lineRule="auto"/>
        <w:jc w:val="left"/>
        <w:rPr>
          <w:rFonts w:ascii="宋体" w:hAnsi="宋体" w:cs="宋体" w:eastAsia="宋体" w:hint="default"/>
          <w:sz w:val="18"/>
          <w:szCs w:val="18"/>
        </w:rPr>
        <w:sectPr>
          <w:pgSz w:w="11910" w:h="16840"/>
          <w:pgMar w:header="850" w:footer="1012" w:top="1440" w:bottom="1200" w:left="1020" w:right="900"/>
        </w:sectPr>
      </w:pPr>
    </w:p>
    <w:p>
      <w:pPr>
        <w:spacing w:line="240" w:lineRule="auto" w:before="9"/>
        <w:rPr>
          <w:rFonts w:ascii="宋体" w:hAnsi="宋体" w:cs="宋体" w:eastAsia="宋体" w:hint="default"/>
          <w:sz w:val="14"/>
          <w:szCs w:val="14"/>
        </w:rPr>
      </w:pPr>
    </w:p>
    <w:p>
      <w:pPr>
        <w:spacing w:before="34"/>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3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268"/>
      </w:tblGrid>
      <w:tr>
        <w:trPr>
          <w:trHeight w:val="332" w:hRule="exact"/>
        </w:trPr>
        <w:tc>
          <w:tcPr>
            <w:tcW w:w="1596" w:type="dxa"/>
            <w:vMerge w:val="restart"/>
            <w:tcBorders>
              <w:top w:val="single" w:sz="12" w:space="0" w:color="000000"/>
              <w:left w:val="single" w:sz="12" w:space="0" w:color="000000"/>
              <w:right w:val="single" w:sz="4" w:space="0" w:color="000000"/>
            </w:tcBorders>
            <w:shd w:val="clear" w:color="auto" w:fill="D3D3D3"/>
          </w:tcPr>
          <w:p>
            <w:pPr/>
          </w:p>
        </w:tc>
        <w:tc>
          <w:tcPr>
            <w:tcW w:w="3188"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8"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tcBorders>
              <w:left w:val="single" w:sz="12"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68"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6,847,147,641.48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5,846,950,238.25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100%</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pacing w:val="-2"/>
                <w:sz w:val="18"/>
              </w:rPr>
              <w:t>17.11%</w:t>
            </w:r>
          </w:p>
        </w:tc>
      </w:tr>
      <w:tr>
        <w:trPr>
          <w:trHeight w:val="322" w:hRule="exact"/>
        </w:trPr>
        <w:tc>
          <w:tcPr>
            <w:tcW w:w="9240" w:type="dxa"/>
            <w:gridSpan w:val="6"/>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5,718,601,157.90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5,207,642,812.11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89.07%</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z w:val="18"/>
              </w:rPr>
              <w:t>9.81%</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1,100,776,815.19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624,442,503.95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10.68%</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76.28%</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27,769,668.39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14,864,922.19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0.25%</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0"/>
              <w:jc w:val="right"/>
              <w:rPr>
                <w:rFonts w:ascii="Times New Roman" w:hAnsi="Times New Roman" w:cs="Times New Roman" w:eastAsia="Times New Roman" w:hint="default"/>
                <w:sz w:val="18"/>
                <w:szCs w:val="18"/>
              </w:rPr>
            </w:pPr>
            <w:r>
              <w:rPr>
                <w:rFonts w:ascii="Times New Roman"/>
                <w:spacing w:val="-1"/>
                <w:sz w:val="18"/>
              </w:rPr>
              <w:t>86.81%</w:t>
            </w:r>
          </w:p>
        </w:tc>
      </w:tr>
      <w:tr>
        <w:trPr>
          <w:trHeight w:val="322" w:hRule="exact"/>
        </w:trPr>
        <w:tc>
          <w:tcPr>
            <w:tcW w:w="9240" w:type="dxa"/>
            <w:gridSpan w:val="6"/>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3,517,417,193.07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3,306,882,670.35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56.56%</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z w:val="18"/>
              </w:rPr>
              <w:t>6.37%</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697,678,296.59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582,511,598.05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9.96%</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pacing w:val="-1"/>
                <w:sz w:val="18"/>
              </w:rPr>
              <w:t>19.77%</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1,441,632,890.98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1,288,449,628.17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22.04%</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2"/>
                <w:sz w:val="18"/>
              </w:rPr>
              <w:t>11.89%</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1,190,419,260.84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669,106,341.68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2"/>
                <w:sz w:val="18"/>
              </w:rPr>
              <w:t>11.44%</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77.91%</w:t>
            </w:r>
          </w:p>
        </w:tc>
      </w:tr>
      <w:tr>
        <w:trPr>
          <w:trHeight w:val="322" w:hRule="exact"/>
        </w:trPr>
        <w:tc>
          <w:tcPr>
            <w:tcW w:w="9240" w:type="dxa"/>
            <w:gridSpan w:val="6"/>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2,931,818,832.88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2,614,855,891.47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44.72%</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0"/>
              <w:jc w:val="right"/>
              <w:rPr>
                <w:rFonts w:ascii="Times New Roman" w:hAnsi="Times New Roman" w:cs="Times New Roman" w:eastAsia="Times New Roman" w:hint="default"/>
                <w:sz w:val="18"/>
                <w:szCs w:val="18"/>
              </w:rPr>
            </w:pPr>
            <w:r>
              <w:rPr>
                <w:rFonts w:ascii="Times New Roman"/>
                <w:spacing w:val="-1"/>
                <w:sz w:val="18"/>
              </w:rPr>
              <w:t>12.12%</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522,046,882.61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672,790,602.61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2"/>
                <w:sz w:val="18"/>
              </w:rPr>
              <w:t>11.51%</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pacing w:val="-1"/>
                <w:sz w:val="18"/>
              </w:rPr>
              <w:t>-22.41%</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703,141,035.99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501,624,955.31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8.58%</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pacing w:val="-1"/>
                <w:sz w:val="18"/>
              </w:rPr>
              <w:t>40.17%</w:t>
            </w:r>
          </w:p>
        </w:tc>
      </w:tr>
      <w:tr>
        <w:trPr>
          <w:trHeight w:val="322" w:hRule="exact"/>
        </w:trPr>
        <w:tc>
          <w:tcPr>
            <w:tcW w:w="15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525,816,322.48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478,511,970.74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8.18%</w:t>
            </w:r>
          </w:p>
        </w:tc>
        <w:tc>
          <w:tcPr>
            <w:tcW w:w="12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z w:val="18"/>
              </w:rPr>
              <w:t>9.89%</w:t>
            </w:r>
          </w:p>
        </w:tc>
      </w:tr>
      <w:tr>
        <w:trPr>
          <w:trHeight w:val="332" w:hRule="exact"/>
        </w:trPr>
        <w:tc>
          <w:tcPr>
            <w:tcW w:w="159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2,164,324,567.52</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31.61%</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1,579,166,818.12</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27.01%</w:t>
            </w:r>
          </w:p>
        </w:tc>
        <w:tc>
          <w:tcPr>
            <w:tcW w:w="126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37.05%</w:t>
            </w:r>
          </w:p>
        </w:tc>
      </w:tr>
    </w:tbl>
    <w:p>
      <w:pPr>
        <w:spacing w:before="52"/>
        <w:ind w:left="132" w:right="144" w:firstLine="0"/>
        <w:jc w:val="left"/>
        <w:rPr>
          <w:rFonts w:ascii="宋体" w:hAnsi="宋体" w:cs="宋体" w:eastAsia="宋体" w:hint="default"/>
          <w:sz w:val="18"/>
          <w:szCs w:val="18"/>
        </w:rPr>
      </w:pPr>
      <w:r>
        <w:rPr>
          <w:rFonts w:ascii="宋体" w:hAnsi="宋体" w:cs="宋体" w:eastAsia="宋体" w:hint="default"/>
          <w:sz w:val="18"/>
          <w:szCs w:val="18"/>
        </w:rPr>
        <w:t>注：公司应当结合行业特征和自身实际情况，分别按行业、产品及地区说明报告期内公司营业收入构成情况。</w:t>
      </w:r>
    </w:p>
    <w:p>
      <w:pPr>
        <w:spacing w:line="240" w:lineRule="auto" w:before="11"/>
        <w:rPr>
          <w:rFonts w:ascii="宋体" w:hAnsi="宋体" w:cs="宋体" w:eastAsia="宋体" w:hint="default"/>
          <w:sz w:val="26"/>
          <w:szCs w:val="26"/>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6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32" w:right="70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644" w:hRule="exact"/>
        </w:trPr>
        <w:tc>
          <w:tcPr>
            <w:tcW w:w="1367"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36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10"/>
              <w:ind w:left="410" w:right="3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2"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5,718,601,157.90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4,708,887,412.81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8.13%</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1.29%</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1,100,776,815.19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1,097,596,464.65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76.40%</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z w:val="18"/>
              </w:rPr>
              <w:t>-0.07%</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6,819,377,973.09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5,806,483,877.46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16.66%</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z w:val="18"/>
              </w:rPr>
              <w:t>0.19%</w:t>
            </w:r>
          </w:p>
        </w:tc>
      </w:tr>
      <w:tr>
        <w:trPr>
          <w:trHeight w:val="322"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3,517,417,193.07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2,952,371,255.70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5.60%</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697,678,296.59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524,818,534.73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17.43%</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1.50%</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1,441,632,890.98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1,188,724,433.68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2"/>
                <w:sz w:val="18"/>
              </w:rPr>
              <w:t>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9.34%</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1.92%</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1,162,649,592.45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1,140,569,653.35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76.18%</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z w:val="18"/>
              </w:rPr>
              <w:t>0.85%</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6,819,377,973.09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5,806,483,877.46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16.66%</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z w:val="18"/>
              </w:rPr>
              <w:t>0.19%</w:t>
            </w:r>
          </w:p>
        </w:tc>
      </w:tr>
      <w:tr>
        <w:trPr>
          <w:trHeight w:val="320"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2,904,049,164.49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2,433,732,253.84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10.68%</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0.77%</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522,046,882.61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431,416,793.38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-21.74%</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-0.70%</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703,141,035.99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561,699,260.52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34.39%</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3.44%</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525,816,322.48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422,161,748.23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3.87%</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4.65%</w:t>
            </w:r>
          </w:p>
        </w:tc>
      </w:tr>
      <w:tr>
        <w:trPr>
          <w:trHeight w:val="322" w:hRule="exact"/>
        </w:trPr>
        <w:tc>
          <w:tcPr>
            <w:tcW w:w="13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2,164,324,567.52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1,957,473,821.49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39.56%</w:t>
            </w:r>
          </w:p>
        </w:tc>
        <w:tc>
          <w:tcPr>
            <w:tcW w:w="13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-1.62%</w:t>
            </w:r>
          </w:p>
        </w:tc>
      </w:tr>
      <w:tr>
        <w:trPr>
          <w:trHeight w:val="332" w:hRule="exact"/>
        </w:trPr>
        <w:tc>
          <w:tcPr>
            <w:tcW w:w="136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6,819,377,973.09</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5,806,483,877.46</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14.85%</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16.93%</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16.66%</w:t>
            </w:r>
          </w:p>
        </w:tc>
        <w:tc>
          <w:tcPr>
            <w:tcW w:w="13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z w:val="18"/>
              </w:rPr>
              <w:t>0.19%</w:t>
            </w:r>
          </w:p>
        </w:tc>
      </w:tr>
    </w:tbl>
    <w:p>
      <w:pPr>
        <w:spacing w:before="51"/>
        <w:ind w:left="132" w:right="14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32" w:right="70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32" w:hRule="exact"/>
        </w:trPr>
        <w:tc>
          <w:tcPr>
            <w:tcW w:w="159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4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57,772.21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52,465.34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10.12%</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59,953.26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52,436.29</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14.34%</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4,701.53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2,520.48</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86.53%</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公里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552,111.7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494,178.27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2"/>
                <w:sz w:val="18"/>
              </w:rPr>
              <w:t>11.72%</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公里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609,367.94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550,938.5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1"/>
                <w:sz w:val="18"/>
              </w:rPr>
              <w:t>10.61%</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公里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26,970.36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13,979.16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92.93%</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142,344.12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122,808.46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15.91%</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147,206.12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127,576.24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15.39%</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1,906.65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13.76%</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113,167.05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42,614.86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1"/>
                <w:sz w:val="18"/>
              </w:rPr>
              <w:t>165.56%</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113,380.05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42,629.86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1"/>
                <w:sz w:val="18"/>
              </w:rPr>
              <w:t>165.96%</w:t>
            </w:r>
          </w:p>
        </w:tc>
      </w:tr>
      <w:tr>
        <w:trPr>
          <w:trHeight w:val="332" w:hRule="exact"/>
        </w:trPr>
        <w:tc>
          <w:tcPr>
            <w:tcW w:w="1596" w:type="dxa"/>
            <w:vMerge/>
            <w:tcBorders>
              <w:left w:val="single" w:sz="12"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228</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15</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1,420.00%</w:t>
            </w:r>
          </w:p>
        </w:tc>
      </w:tr>
    </w:tbl>
    <w:p>
      <w:pPr>
        <w:spacing w:before="51"/>
        <w:ind w:left="492" w:right="14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49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电力产品库存量增长</w:t>
      </w:r>
      <w:r>
        <w:rPr>
          <w:rFonts w:ascii="Times New Roman" w:hAnsi="Times New Roman" w:cs="Times New Roman" w:eastAsia="Times New Roman" w:hint="default"/>
          <w:sz w:val="18"/>
          <w:szCs w:val="18"/>
        </w:rPr>
        <w:t>86.53%</w:t>
      </w:r>
      <w:r>
        <w:rPr>
          <w:rFonts w:ascii="宋体" w:hAnsi="宋体" w:cs="宋体" w:eastAsia="宋体" w:hint="default"/>
          <w:sz w:val="18"/>
          <w:szCs w:val="18"/>
        </w:rPr>
        <w:t>，系</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月订单增加，相应产量增加，生产完成后，未发出商品</w:t>
      </w:r>
      <w:r>
        <w:rPr>
          <w:rFonts w:ascii="Times New Roman" w:hAnsi="Times New Roman" w:cs="Times New Roman" w:eastAsia="Times New Roman" w:hint="default"/>
          <w:sz w:val="18"/>
          <w:szCs w:val="18"/>
        </w:rPr>
        <w:t>3844</w:t>
      </w:r>
      <w:r>
        <w:rPr>
          <w:rFonts w:ascii="宋体" w:hAnsi="宋体" w:cs="宋体" w:eastAsia="宋体" w:hint="default"/>
          <w:sz w:val="18"/>
          <w:szCs w:val="18"/>
        </w:rPr>
        <w:t>万。 通信产品库存量增长</w:t>
      </w:r>
      <w:r>
        <w:rPr>
          <w:rFonts w:ascii="Times New Roman" w:hAnsi="Times New Roman" w:cs="Times New Roman" w:eastAsia="Times New Roman" w:hint="default"/>
          <w:sz w:val="18"/>
          <w:szCs w:val="18"/>
        </w:rPr>
        <w:t>92.93%</w:t>
      </w:r>
      <w:r>
        <w:rPr>
          <w:rFonts w:ascii="宋体" w:hAnsi="宋体" w:cs="宋体" w:eastAsia="宋体" w:hint="default"/>
          <w:sz w:val="18"/>
          <w:szCs w:val="18"/>
        </w:rPr>
        <w:t>，系</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月订单增加，相应产量增加。</w:t>
      </w:r>
    </w:p>
    <w:p>
      <w:pPr>
        <w:spacing w:line="300" w:lineRule="auto" w:before="0"/>
        <w:ind w:left="132" w:right="181" w:firstLine="360"/>
        <w:jc w:val="both"/>
        <w:rPr>
          <w:rFonts w:ascii="宋体" w:hAnsi="宋体" w:cs="宋体" w:eastAsia="宋体" w:hint="default"/>
          <w:sz w:val="18"/>
          <w:szCs w:val="18"/>
        </w:rPr>
      </w:pPr>
      <w:r>
        <w:rPr>
          <w:rFonts w:ascii="宋体" w:hAnsi="宋体" w:cs="宋体" w:eastAsia="宋体" w:hint="default"/>
          <w:sz w:val="18"/>
          <w:szCs w:val="18"/>
        </w:rPr>
        <w:t>贸易及其他销售量增长</w:t>
      </w:r>
      <w:r>
        <w:rPr>
          <w:rFonts w:ascii="Times New Roman" w:hAnsi="Times New Roman" w:cs="Times New Roman" w:eastAsia="Times New Roman" w:hint="default"/>
          <w:sz w:val="18"/>
          <w:szCs w:val="18"/>
        </w:rPr>
        <w:t>165.56%</w:t>
      </w:r>
      <w:r>
        <w:rPr>
          <w:rFonts w:ascii="宋体" w:hAnsi="宋体" w:cs="宋体" w:eastAsia="宋体" w:hint="default"/>
          <w:sz w:val="18"/>
          <w:szCs w:val="18"/>
        </w:rPr>
        <w:t>，生产量增加</w:t>
      </w:r>
      <w:r>
        <w:rPr>
          <w:rFonts w:ascii="Times New Roman" w:hAnsi="Times New Roman" w:cs="Times New Roman" w:eastAsia="Times New Roman" w:hint="default"/>
          <w:sz w:val="18"/>
          <w:szCs w:val="18"/>
        </w:rPr>
        <w:t>165.96%</w:t>
      </w:r>
      <w:r>
        <w:rPr>
          <w:rFonts w:ascii="宋体" w:hAnsi="宋体" w:cs="宋体" w:eastAsia="宋体" w:hint="default"/>
          <w:sz w:val="18"/>
          <w:szCs w:val="18"/>
        </w:rPr>
        <w:t>，主要系本期贸易量及出口的同轴电缆销量增加较多所致，生产 量同口径增加。</w:t>
      </w:r>
    </w:p>
    <w:p>
      <w:pPr>
        <w:spacing w:line="307" w:lineRule="auto" w:before="31"/>
        <w:ind w:left="132" w:right="112" w:firstLine="360"/>
        <w:jc w:val="both"/>
        <w:rPr>
          <w:rFonts w:ascii="宋体" w:hAnsi="宋体" w:cs="宋体" w:eastAsia="宋体" w:hint="default"/>
          <w:sz w:val="18"/>
          <w:szCs w:val="18"/>
        </w:rPr>
      </w:pPr>
      <w:r>
        <w:rPr>
          <w:rFonts w:ascii="宋体" w:hAnsi="宋体" w:cs="宋体" w:eastAsia="宋体" w:hint="default"/>
          <w:sz w:val="18"/>
          <w:szCs w:val="18"/>
        </w:rPr>
        <w:t>注：通常在计算产品产销量时，存在以下公式：期末库存数量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期初库存数量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当期入库数量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当期出库数量。其中，当 </w:t>
      </w:r>
      <w:r>
        <w:rPr>
          <w:rFonts w:ascii="宋体" w:hAnsi="宋体" w:cs="宋体" w:eastAsia="宋体" w:hint="default"/>
          <w:spacing w:val="-2"/>
          <w:sz w:val="18"/>
          <w:szCs w:val="18"/>
        </w:rPr>
        <w:t>期出库数量包括销售出库、自用出库（包括再加工领用、深加工领用和非生产领用）、报废出库等多种因素；上表当期出库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仅包含销售出库，所以直接用</w:t>
      </w:r>
      <w:r>
        <w:rPr>
          <w:rFonts w:ascii="Times New Roman" w:hAnsi="Times New Roman" w:cs="Times New Roman" w:eastAsia="Times New Roman" w:hint="default"/>
          <w:sz w:val="18"/>
          <w:szCs w:val="18"/>
        </w:rPr>
        <w:t>“</w:t>
      </w:r>
      <w:r>
        <w:rPr>
          <w:rFonts w:ascii="宋体" w:hAnsi="宋体" w:cs="宋体" w:eastAsia="宋体" w:hint="default"/>
          <w:sz w:val="18"/>
          <w:szCs w:val="18"/>
        </w:rPr>
        <w:t>期末库存数量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期初库存数量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本期生产数量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本期销售数量</w:t>
      </w:r>
      <w:r>
        <w:rPr>
          <w:rFonts w:ascii="Times New Roman" w:hAnsi="Times New Roman" w:cs="Times New Roman" w:eastAsia="Times New Roman" w:hint="default"/>
          <w:sz w:val="18"/>
          <w:szCs w:val="18"/>
        </w:rPr>
        <w:t>”</w:t>
      </w:r>
      <w:r>
        <w:rPr>
          <w:rFonts w:ascii="宋体" w:hAnsi="宋体" w:cs="宋体" w:eastAsia="宋体" w:hint="default"/>
          <w:sz w:val="18"/>
          <w:szCs w:val="18"/>
        </w:rPr>
        <w:t>作为计算的基础，会存在计算结 果与实际不符的情况。具体到公司的各类产品，存在的自用出库情况：</w:t>
      </w:r>
    </w:p>
    <w:p>
      <w:pPr>
        <w:spacing w:before="26"/>
        <w:ind w:left="492"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）通信产品中自用出库包含有万马特缆</w:t>
      </w:r>
      <w:r>
        <w:rPr>
          <w:rFonts w:ascii="Times New Roman" w:hAnsi="Times New Roman" w:cs="Times New Roman" w:eastAsia="Times New Roman" w:hint="default"/>
          <w:sz w:val="18"/>
          <w:szCs w:val="18"/>
        </w:rPr>
        <w:t>44265.04</w:t>
      </w:r>
      <w:r>
        <w:rPr>
          <w:rFonts w:ascii="宋体" w:hAnsi="宋体" w:cs="宋体" w:eastAsia="宋体" w:hint="default"/>
          <w:sz w:val="18"/>
          <w:szCs w:val="18"/>
        </w:rPr>
        <w:t>公里。</w:t>
      </w:r>
    </w:p>
    <w:p>
      <w:pPr>
        <w:spacing w:before="63"/>
        <w:ind w:left="492"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）高分子材料产品中自用及返工出库</w:t>
      </w:r>
      <w:r>
        <w:rPr>
          <w:rFonts w:ascii="Times New Roman" w:hAnsi="Times New Roman" w:cs="Times New Roman" w:eastAsia="Times New Roman" w:hint="default"/>
          <w:sz w:val="18"/>
          <w:szCs w:val="18"/>
        </w:rPr>
        <w:t>4599.65</w:t>
      </w:r>
      <w:r>
        <w:rPr>
          <w:rFonts w:ascii="宋体" w:hAnsi="宋体" w:cs="宋体" w:eastAsia="宋体" w:hint="default"/>
          <w:sz w:val="18"/>
          <w:szCs w:val="18"/>
        </w:rPr>
        <w:t>吨。</w:t>
      </w:r>
    </w:p>
    <w:p>
      <w:pPr>
        <w:spacing w:line="240" w:lineRule="auto" w:before="10"/>
        <w:rPr>
          <w:rFonts w:ascii="宋体" w:hAnsi="宋体" w:cs="宋体" w:eastAsia="宋体" w:hint="default"/>
          <w:sz w:val="25"/>
          <w:szCs w:val="25"/>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tabs>
          <w:tab w:pos="2863" w:val="left" w:leader="none"/>
        </w:tabs>
        <w:spacing w:before="92"/>
        <w:ind w:left="132" w:right="144" w:firstLine="0"/>
        <w:jc w:val="left"/>
        <w:rPr>
          <w:rFonts w:ascii="宋体" w:hAnsi="宋体" w:cs="宋体" w:eastAsia="宋体" w:hint="default"/>
          <w:sz w:val="21"/>
          <w:szCs w:val="21"/>
        </w:rPr>
      </w:pPr>
      <w:r>
        <w:rPr>
          <w:rFonts w:ascii="宋体" w:hAnsi="宋体" w:cs="宋体" w:eastAsia="宋体" w:hint="default"/>
          <w:w w:val="95"/>
          <w:sz w:val="21"/>
          <w:szCs w:val="21"/>
        </w:rPr>
        <w:t>重大销售合同详见“第五节</w:t>
        <w:tab/>
      </w:r>
      <w:r>
        <w:rPr>
          <w:rFonts w:ascii="宋体" w:hAnsi="宋体" w:cs="宋体" w:eastAsia="宋体" w:hint="default"/>
          <w:sz w:val="21"/>
          <w:szCs w:val="21"/>
        </w:rPr>
        <w:t>重要事项”“十七、重大合同及其履行情况</w:t>
      </w:r>
      <w:r>
        <w:rPr>
          <w:rFonts w:ascii="宋体" w:hAnsi="宋体" w:cs="宋体" w:eastAsia="宋体" w:hint="default"/>
          <w:spacing w:val="-15"/>
          <w:sz w:val="21"/>
          <w:szCs w:val="21"/>
        </w:rPr>
        <w:t> </w:t>
      </w:r>
      <w:r>
        <w:rPr>
          <w:rFonts w:ascii="宋体" w:hAnsi="宋体" w:cs="宋体" w:eastAsia="宋体" w:hint="default"/>
          <w:sz w:val="21"/>
          <w:szCs w:val="21"/>
        </w:rPr>
        <w:t>4、其他重大合同”。</w:t>
      </w:r>
    </w:p>
    <w:p>
      <w:pPr>
        <w:spacing w:after="0"/>
        <w:jc w:val="left"/>
        <w:rPr>
          <w:rFonts w:ascii="宋体" w:hAnsi="宋体" w:cs="宋体" w:eastAsia="宋体" w:hint="default"/>
          <w:sz w:val="21"/>
          <w:szCs w:val="21"/>
        </w:rPr>
        <w:sectPr>
          <w:footerReference w:type="default" r:id="rId15"/>
          <w:pgSz w:w="11910" w:h="16840"/>
          <w:pgMar w:footer="1012" w:header="850" w:top="1440" w:bottom="1200" w:left="1000" w:right="1020"/>
          <w:pgNumType w:start="20"/>
        </w:sectPr>
      </w:pPr>
    </w:p>
    <w:p>
      <w:pPr>
        <w:spacing w:line="240" w:lineRule="auto" w:before="9"/>
        <w:rPr>
          <w:rFonts w:ascii="宋体" w:hAnsi="宋体" w:cs="宋体" w:eastAsia="宋体" w:hint="default"/>
          <w:sz w:val="14"/>
          <w:szCs w:val="14"/>
        </w:rPr>
      </w:pPr>
    </w:p>
    <w:p>
      <w:pPr>
        <w:spacing w:before="34"/>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32" w:right="8469" w:firstLine="0"/>
        <w:jc w:val="left"/>
        <w:rPr>
          <w:rFonts w:ascii="宋体" w:hAnsi="宋体" w:cs="宋体" w:eastAsia="宋体" w:hint="default"/>
          <w:sz w:val="18"/>
          <w:szCs w:val="18"/>
        </w:rPr>
      </w:pPr>
      <w:r>
        <w:rPr>
          <w:rFonts w:ascii="宋体" w:hAnsi="宋体" w:cs="宋体" w:eastAsia="宋体" w:hint="default"/>
          <w:b/>
          <w:bCs/>
          <w:sz w:val="18"/>
          <w:szCs w:val="18"/>
        </w:rPr>
        <w:t>行业和产品分类</w:t>
      </w:r>
      <w:r>
        <w:rPr>
          <w:rFonts w:ascii="宋体" w:hAnsi="宋体" w:cs="宋体" w:eastAsia="宋体" w:hint="default"/>
          <w:b/>
          <w:bCs/>
          <w:w w:val="99"/>
          <w:sz w:val="18"/>
          <w:szCs w:val="18"/>
        </w:rPr>
        <w:t> </w:t>
      </w:r>
      <w:r>
        <w:rPr>
          <w:rFonts w:ascii="宋体" w:hAnsi="宋体" w:cs="宋体" w:eastAsia="宋体" w:hint="default"/>
          <w:b/>
          <w:bCs/>
          <w:sz w:val="18"/>
          <w:szCs w:val="18"/>
        </w:rPr>
        <w:t>行业分类</w:t>
      </w:r>
      <w:r>
        <w:rPr>
          <w:rFonts w:ascii="宋体" w:hAnsi="宋体" w:cs="宋体" w:eastAsia="宋体" w:hint="default"/>
          <w:b/>
          <w:bCs/>
          <w:w w:val="99"/>
          <w:sz w:val="18"/>
          <w:szCs w:val="18"/>
        </w:rPr>
        <w:t> </w:t>
      </w:r>
      <w:r>
        <w:rPr>
          <w:rFonts w:ascii="宋体" w:hAnsi="宋体" w:cs="宋体" w:eastAsia="宋体" w:hint="default"/>
          <w:sz w:val="18"/>
          <w:szCs w:val="18"/>
        </w:rPr>
        <w:t>单位：元</w:t>
      </w:r>
    </w:p>
    <w:tbl>
      <w:tblPr>
        <w:tblW w:w="0" w:type="auto"/>
        <w:jc w:val="left"/>
        <w:tblInd w:w="11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32" w:hRule="exact"/>
        </w:trPr>
        <w:tc>
          <w:tcPr>
            <w:tcW w:w="1369"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12"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369" w:type="dxa"/>
            <w:vMerge/>
            <w:tcBorders>
              <w:left w:val="single" w:sz="12"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4,708,887,412.81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4,354,945,657.48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87.30%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8.13%</w:t>
            </w: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1,097,596,464.65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622,209,441.52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12.47%</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76.40%</w:t>
            </w: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23,030,240.24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11,498,680.38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1"/>
                <w:sz w:val="18"/>
              </w:rPr>
              <w:t>100.29%</w:t>
            </w:r>
          </w:p>
        </w:tc>
      </w:tr>
      <w:tr>
        <w:trPr>
          <w:trHeight w:val="332" w:hRule="exact"/>
        </w:trPr>
        <w:tc>
          <w:tcPr>
            <w:tcW w:w="13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12" w:space="0" w:color="000000"/>
              <w:right w:val="single" w:sz="4" w:space="0" w:color="000000"/>
            </w:tcBorders>
          </w:tcPr>
          <w:p>
            <w:pP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5,829,514,117.70</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4,988,653,779.38</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1"/>
                <w:sz w:val="18"/>
              </w:rPr>
              <w:t>16.86%</w:t>
            </w:r>
          </w:p>
        </w:tc>
      </w:tr>
    </w:tbl>
    <w:p>
      <w:pPr>
        <w:spacing w:line="300" w:lineRule="auto" w:before="67"/>
        <w:ind w:left="132" w:right="10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、公司应当按行业或产品披露本年度营业成本的主要构成项目（如原材料、人工工资、折旧、能源和动力等）在成本 总额中的占比情况，并提供上年同口径可比数据，如无法取得可比数据，公司应当说明原因。</w:t>
      </w:r>
    </w:p>
    <w:p>
      <w:pPr>
        <w:spacing w:line="338" w:lineRule="auto" w:before="72"/>
        <w:ind w:left="132" w:right="38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、如果涉及商业秘密的，公司可以仅披露占比最高或最主要的单个项目。 </w:t>
      </w:r>
      <w:r>
        <w:rPr>
          <w:rFonts w:ascii="宋体" w:hAnsi="宋体" w:cs="宋体" w:eastAsia="宋体" w:hint="default"/>
          <w:b/>
          <w:bCs/>
          <w:sz w:val="18"/>
          <w:szCs w:val="18"/>
        </w:rPr>
        <w:t>产品分类</w:t>
      </w:r>
      <w:r>
        <w:rPr>
          <w:rFonts w:ascii="宋体" w:hAnsi="宋体" w:cs="宋体" w:eastAsia="宋体" w:hint="default"/>
          <w:sz w:val="18"/>
          <w:szCs w:val="18"/>
        </w:rPr>
      </w:r>
    </w:p>
    <w:p>
      <w:pPr>
        <w:spacing w:before="4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32" w:hRule="exact"/>
        </w:trPr>
        <w:tc>
          <w:tcPr>
            <w:tcW w:w="1369"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12"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369" w:type="dxa"/>
            <w:vMerge/>
            <w:tcBorders>
              <w:left w:val="single" w:sz="12"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2,952,371,255.70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2,795,680,854.88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56.05%</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5.60%</w:t>
            </w: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524,818,534.73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446,927,766.56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8.96%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pacing w:val="-1"/>
                <w:sz w:val="18"/>
              </w:rPr>
              <w:t>17.43%</w:t>
            </w: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1,188,724,433.68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1,087,174,182.69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21.79%</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
              <w:jc w:val="right"/>
              <w:rPr>
                <w:rFonts w:ascii="Times New Roman" w:hAnsi="Times New Roman" w:cs="Times New Roman" w:eastAsia="Times New Roman" w:hint="default"/>
                <w:sz w:val="18"/>
                <w:szCs w:val="18"/>
              </w:rPr>
            </w:pPr>
            <w:r>
              <w:rPr>
                <w:rFonts w:ascii="Times New Roman"/>
                <w:sz w:val="18"/>
              </w:rPr>
              <w:t>9.34%</w:t>
            </w:r>
          </w:p>
        </w:tc>
      </w:tr>
      <w:tr>
        <w:trPr>
          <w:trHeight w:val="32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1,163,599,893.59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658,870,975.25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13.20%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76.61%</w:t>
            </w:r>
          </w:p>
        </w:tc>
      </w:tr>
      <w:tr>
        <w:trPr>
          <w:trHeight w:val="332" w:hRule="exact"/>
        </w:trPr>
        <w:tc>
          <w:tcPr>
            <w:tcW w:w="13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12" w:space="0" w:color="000000"/>
              <w:right w:val="single" w:sz="4" w:space="0" w:color="000000"/>
            </w:tcBorders>
          </w:tcPr>
          <w:p>
            <w:pP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5,829,514,117.70</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4,988,653,779.38</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16.86%</w:t>
            </w:r>
          </w:p>
        </w:tc>
      </w:tr>
    </w:tbl>
    <w:p>
      <w:pPr>
        <w:spacing w:line="300" w:lineRule="auto"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、公司应当按行业或产品披露本年度营业成本的主要构成项目（如原材料、人工工资、折旧、能源和动力等）在成本 总额中的占比情况，并提供上年同口径可比数据，如无法取得可比数据，公司应当说明原因。</w:t>
      </w:r>
    </w:p>
    <w:p>
      <w:pPr>
        <w:spacing w:line="340" w:lineRule="auto" w:before="72"/>
        <w:ind w:left="132" w:right="38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、如果涉及商业秘密的，公司可以仅披露占比最高或最主要的单个项目。 </w:t>
      </w:r>
      <w:r>
        <w:rPr>
          <w:rFonts w:ascii="宋体" w:hAnsi="宋体" w:cs="宋体" w:eastAsia="宋体" w:hint="default"/>
          <w:b/>
          <w:bCs/>
          <w:sz w:val="18"/>
          <w:szCs w:val="18"/>
        </w:rPr>
        <w:t>说明</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973"/>
        <w:gridCol w:w="1890"/>
        <w:gridCol w:w="1440"/>
        <w:gridCol w:w="1515"/>
        <w:gridCol w:w="1380"/>
        <w:gridCol w:w="1350"/>
      </w:tblGrid>
      <w:tr>
        <w:trPr>
          <w:trHeight w:val="352" w:hRule="exact"/>
        </w:trPr>
        <w:tc>
          <w:tcPr>
            <w:tcW w:w="1973" w:type="dxa"/>
            <w:vMerge w:val="restart"/>
            <w:tcBorders>
              <w:top w:val="single" w:sz="12" w:space="0" w:color="000000"/>
              <w:left w:val="single" w:sz="12" w:space="0" w:color="000000"/>
              <w:right w:val="single" w:sz="4" w:space="0" w:color="000000"/>
            </w:tcBorders>
            <w:shd w:val="clear" w:color="auto" w:fill="F0F0F0"/>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57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7575" w:type="dxa"/>
            <w:gridSpan w:val="5"/>
            <w:tcBorders>
              <w:top w:val="single" w:sz="12"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5"/>
              <w:ind w:left="3" w:right="0"/>
              <w:jc w:val="center"/>
              <w:rPr>
                <w:rFonts w:ascii="宋体" w:hAnsi="宋体" w:cs="宋体" w:eastAsia="宋体" w:hint="default"/>
                <w:sz w:val="20"/>
                <w:szCs w:val="20"/>
              </w:rPr>
            </w:pPr>
            <w:r>
              <w:rPr>
                <w:rFonts w:ascii="宋体" w:hAnsi="宋体" w:cs="宋体" w:eastAsia="宋体" w:hint="default"/>
                <w:sz w:val="20"/>
                <w:szCs w:val="20"/>
              </w:rPr>
              <w:t>电力产品</w:t>
            </w:r>
          </w:p>
        </w:tc>
      </w:tr>
      <w:tr>
        <w:trPr>
          <w:trHeight w:val="342" w:hRule="exact"/>
        </w:trPr>
        <w:tc>
          <w:tcPr>
            <w:tcW w:w="1973" w:type="dxa"/>
            <w:vMerge/>
            <w:tcBorders>
              <w:left w:val="single" w:sz="12" w:space="0" w:color="000000"/>
              <w:right w:val="single" w:sz="4" w:space="0" w:color="000000"/>
            </w:tcBorders>
            <w:shd w:val="clear" w:color="auto" w:fill="F0F0F0"/>
          </w:tcPr>
          <w:p>
            <w:pPr/>
          </w:p>
        </w:tc>
        <w:tc>
          <w:tcPr>
            <w:tcW w:w="3330"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left="9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4"/>
              <w:ind w:left="31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42" w:hRule="exact"/>
        </w:trPr>
        <w:tc>
          <w:tcPr>
            <w:tcW w:w="1973" w:type="dxa"/>
            <w:vMerge/>
            <w:tcBorders>
              <w:left w:val="single" w:sz="12" w:space="0" w:color="000000"/>
              <w:bottom w:val="single" w:sz="4" w:space="0" w:color="000000"/>
              <w:right w:val="single" w:sz="4" w:space="0" w:color="000000"/>
            </w:tcBorders>
            <w:shd w:val="clear" w:color="auto" w:fill="F0F0F0"/>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15"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38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left="203"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2,735,632,631.52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92.66%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2,613,217,362.34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93.47%</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4.68%</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53,259,682.55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42,016,974.48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1.50%</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26.76%</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28,029,405.84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0.95%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24,739,872.66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0.89%</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13.30%</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59,188,034.17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51,763,870.17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1.85%</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14.34%</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76,261,501.62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63,942,775.23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2.29%</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19.27%</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2,952,371,255.7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2,795,680,854.88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100%</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z w:val="18"/>
              </w:rPr>
              <w:t>5.6%</w:t>
            </w:r>
          </w:p>
        </w:tc>
      </w:tr>
      <w:tr>
        <w:trPr>
          <w:trHeight w:val="342" w:hRule="exact"/>
        </w:trPr>
        <w:tc>
          <w:tcPr>
            <w:tcW w:w="1973" w:type="dxa"/>
            <w:vMerge w:val="restart"/>
            <w:tcBorders>
              <w:top w:val="single" w:sz="4" w:space="0" w:color="000000"/>
              <w:left w:val="single" w:sz="12" w:space="0" w:color="000000"/>
              <w:right w:val="single" w:sz="4" w:space="0" w:color="000000"/>
            </w:tcBorders>
            <w:shd w:val="clear" w:color="auto" w:fill="F0F0F0"/>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57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7575" w:type="dxa"/>
            <w:gridSpan w:val="5"/>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4"/>
              <w:ind w:left="3" w:right="0"/>
              <w:jc w:val="center"/>
              <w:rPr>
                <w:rFonts w:ascii="宋体" w:hAnsi="宋体" w:cs="宋体" w:eastAsia="宋体" w:hint="default"/>
                <w:sz w:val="20"/>
                <w:szCs w:val="20"/>
              </w:rPr>
            </w:pPr>
            <w:r>
              <w:rPr>
                <w:rFonts w:ascii="宋体" w:hAnsi="宋体" w:cs="宋体" w:eastAsia="宋体" w:hint="default"/>
                <w:sz w:val="20"/>
                <w:szCs w:val="20"/>
              </w:rPr>
              <w:t>通信产品</w:t>
            </w:r>
          </w:p>
        </w:tc>
      </w:tr>
      <w:tr>
        <w:trPr>
          <w:trHeight w:val="342" w:hRule="exact"/>
        </w:trPr>
        <w:tc>
          <w:tcPr>
            <w:tcW w:w="1973" w:type="dxa"/>
            <w:vMerge/>
            <w:tcBorders>
              <w:left w:val="single" w:sz="12" w:space="0" w:color="000000"/>
              <w:right w:val="single" w:sz="4" w:space="0" w:color="000000"/>
            </w:tcBorders>
            <w:shd w:val="clear" w:color="auto" w:fill="F0F0F0"/>
          </w:tcPr>
          <w:p>
            <w:pPr/>
          </w:p>
        </w:tc>
        <w:tc>
          <w:tcPr>
            <w:tcW w:w="3330"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left="9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5"/>
              <w:ind w:left="31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42" w:hRule="exact"/>
        </w:trPr>
        <w:tc>
          <w:tcPr>
            <w:tcW w:w="1973" w:type="dxa"/>
            <w:vMerge/>
            <w:tcBorders>
              <w:left w:val="single" w:sz="12" w:space="0" w:color="000000"/>
              <w:bottom w:val="single" w:sz="4" w:space="0" w:color="000000"/>
              <w:right w:val="single" w:sz="4" w:space="0" w:color="000000"/>
            </w:tcBorders>
            <w:shd w:val="clear" w:color="auto" w:fill="F0F0F0"/>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left="23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15"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38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
        </w:tc>
      </w:tr>
      <w:tr>
        <w:trPr>
          <w:trHeight w:val="340"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446,730,596.23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85.12%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4" w:right="0"/>
              <w:jc w:val="left"/>
              <w:rPr>
                <w:rFonts w:ascii="Times New Roman" w:hAnsi="Times New Roman" w:cs="Times New Roman" w:eastAsia="Times New Roman" w:hint="default"/>
                <w:sz w:val="18"/>
                <w:szCs w:val="18"/>
              </w:rPr>
            </w:pPr>
            <w:r>
              <w:rPr>
                <w:rFonts w:ascii="Times New Roman"/>
                <w:sz w:val="18"/>
              </w:rPr>
              <w:t>381,696,825.77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85.41%</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17.04%</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4"/>
        <w:rPr>
          <w:rFonts w:ascii="宋体" w:hAnsi="宋体" w:cs="宋体" w:eastAsia="宋体"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973"/>
        <w:gridCol w:w="1890"/>
        <w:gridCol w:w="1440"/>
        <w:gridCol w:w="1515"/>
        <w:gridCol w:w="1380"/>
        <w:gridCol w:w="1350"/>
      </w:tblGrid>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19,497,283.74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17,307,010.51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3.87%</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12.66%</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12,663,272.4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5" w:right="0"/>
              <w:jc w:val="left"/>
              <w:rPr>
                <w:rFonts w:ascii="Times New Roman" w:hAnsi="Times New Roman" w:cs="Times New Roman" w:eastAsia="Times New Roman" w:hint="default"/>
                <w:sz w:val="18"/>
                <w:szCs w:val="18"/>
              </w:rPr>
            </w:pPr>
            <w:r>
              <w:rPr>
                <w:rFonts w:ascii="Times New Roman"/>
                <w:sz w:val="18"/>
              </w:rPr>
              <w:t>11,458,039.53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2.56%</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10.52%</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5,397,181.07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3,733,343.91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0.84%</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44.57%</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40,530,201.29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5" w:right="0"/>
              <w:jc w:val="left"/>
              <w:rPr>
                <w:rFonts w:ascii="Times New Roman" w:hAnsi="Times New Roman" w:cs="Times New Roman" w:eastAsia="Times New Roman" w:hint="default"/>
                <w:sz w:val="18"/>
                <w:szCs w:val="18"/>
              </w:rPr>
            </w:pPr>
            <w:r>
              <w:rPr>
                <w:rFonts w:ascii="Times New Roman"/>
                <w:sz w:val="18"/>
              </w:rPr>
              <w:t>32,732,546.84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7.32%</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23.82%</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524,818,534.73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446,927,766.56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17.43%</w:t>
            </w:r>
          </w:p>
        </w:tc>
      </w:tr>
      <w:tr>
        <w:trPr>
          <w:trHeight w:val="342" w:hRule="exact"/>
        </w:trPr>
        <w:tc>
          <w:tcPr>
            <w:tcW w:w="1973" w:type="dxa"/>
            <w:vMerge w:val="restart"/>
            <w:tcBorders>
              <w:top w:val="single" w:sz="4" w:space="0" w:color="000000"/>
              <w:left w:val="single" w:sz="12" w:space="0" w:color="000000"/>
              <w:right w:val="single" w:sz="4" w:space="0" w:color="000000"/>
            </w:tcBorders>
            <w:shd w:val="clear" w:color="auto" w:fill="F0F0F0"/>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57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7575" w:type="dxa"/>
            <w:gridSpan w:val="5"/>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高分子材料</w:t>
            </w:r>
          </w:p>
        </w:tc>
      </w:tr>
      <w:tr>
        <w:trPr>
          <w:trHeight w:val="342" w:hRule="exact"/>
        </w:trPr>
        <w:tc>
          <w:tcPr>
            <w:tcW w:w="1973" w:type="dxa"/>
            <w:vMerge/>
            <w:tcBorders>
              <w:left w:val="single" w:sz="12" w:space="0" w:color="000000"/>
              <w:right w:val="single" w:sz="4" w:space="0" w:color="000000"/>
            </w:tcBorders>
            <w:shd w:val="clear" w:color="auto" w:fill="F0F0F0"/>
          </w:tcPr>
          <w:p>
            <w:pPr/>
          </w:p>
        </w:tc>
        <w:tc>
          <w:tcPr>
            <w:tcW w:w="3330"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left="9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4"/>
              <w:ind w:left="31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42" w:hRule="exact"/>
        </w:trPr>
        <w:tc>
          <w:tcPr>
            <w:tcW w:w="1973" w:type="dxa"/>
            <w:vMerge/>
            <w:tcBorders>
              <w:left w:val="single" w:sz="12" w:space="0" w:color="000000"/>
              <w:bottom w:val="single" w:sz="4" w:space="0" w:color="000000"/>
              <w:right w:val="single" w:sz="4" w:space="0" w:color="000000"/>
            </w:tcBorders>
            <w:shd w:val="clear" w:color="auto" w:fill="F0F0F0"/>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15"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38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left="203"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1,096,574,102.22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92.25%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1,018,030,965.70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93.64%</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7.72%</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17,860,478.08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12,321,881.60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1.13%</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44.95%</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23,431,512.50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16,028,786.17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1.47%</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46.18%</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13,625,674.01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12,011,682.53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1.10%</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13.44%</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37,232,666.87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28,780,866.69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2.66%</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29.37%</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1,188,724,433.68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1,087,174,182.69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9.34%</w:t>
            </w:r>
          </w:p>
        </w:tc>
      </w:tr>
      <w:tr>
        <w:trPr>
          <w:trHeight w:val="342" w:hRule="exact"/>
        </w:trPr>
        <w:tc>
          <w:tcPr>
            <w:tcW w:w="1973" w:type="dxa"/>
            <w:vMerge w:val="restart"/>
            <w:tcBorders>
              <w:top w:val="single" w:sz="4" w:space="0" w:color="000000"/>
              <w:left w:val="single" w:sz="12" w:space="0" w:color="000000"/>
              <w:right w:val="single" w:sz="4" w:space="0" w:color="000000"/>
            </w:tcBorders>
            <w:shd w:val="clear" w:color="auto" w:fill="F0F0F0"/>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57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7575" w:type="dxa"/>
            <w:gridSpan w:val="5"/>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贸易及其他</w:t>
            </w:r>
          </w:p>
        </w:tc>
      </w:tr>
      <w:tr>
        <w:trPr>
          <w:trHeight w:val="342" w:hRule="exact"/>
        </w:trPr>
        <w:tc>
          <w:tcPr>
            <w:tcW w:w="1973" w:type="dxa"/>
            <w:vMerge/>
            <w:tcBorders>
              <w:left w:val="single" w:sz="12" w:space="0" w:color="000000"/>
              <w:right w:val="single" w:sz="4" w:space="0" w:color="000000"/>
            </w:tcBorders>
            <w:shd w:val="clear" w:color="auto" w:fill="F0F0F0"/>
          </w:tcPr>
          <w:p>
            <w:pPr/>
          </w:p>
        </w:tc>
        <w:tc>
          <w:tcPr>
            <w:tcW w:w="3330"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5"/>
              <w:ind w:left="9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5"/>
              <w:ind w:left="315"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42" w:hRule="exact"/>
        </w:trPr>
        <w:tc>
          <w:tcPr>
            <w:tcW w:w="1973" w:type="dxa"/>
            <w:vMerge/>
            <w:tcBorders>
              <w:left w:val="single" w:sz="12" w:space="0" w:color="000000"/>
              <w:bottom w:val="single" w:sz="4" w:space="0" w:color="000000"/>
              <w:right w:val="single" w:sz="4" w:space="0" w:color="000000"/>
            </w:tcBorders>
            <w:shd w:val="clear" w:color="auto" w:fill="F0F0F0"/>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left="23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15"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38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4"/>
              <w:ind w:left="203"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50" w:type="dxa"/>
            <w:tcBorders>
              <w:top w:val="single" w:sz="4" w:space="0" w:color="000000"/>
              <w:left w:val="single" w:sz="4" w:space="0" w:color="000000"/>
              <w:bottom w:val="single" w:sz="4" w:space="0" w:color="000000"/>
              <w:right w:val="single" w:sz="12" w:space="0" w:color="000000"/>
            </w:tcBorders>
            <w:shd w:val="clear" w:color="auto" w:fill="F0F0F0"/>
          </w:tcPr>
          <w:p>
            <w:pP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1,137,557,132.23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99.74%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647,221,178.40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99.97%</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75.76%</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1,313,404.48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0.12%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70,303.26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0.01%</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1768.2%</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29,876.03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0.01%</w:t>
            </w:r>
          </w:p>
        </w:tc>
        <w:tc>
          <w:tcPr>
            <w:tcW w:w="151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12" w:space="0" w:color="000000"/>
            </w:tcBorders>
          </w:tcPr>
          <w:p>
            <w:pP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25,167.48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13,702.32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0.01%</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83.67%</w:t>
            </w:r>
          </w:p>
        </w:tc>
      </w:tr>
      <w:tr>
        <w:trPr>
          <w:trHeight w:val="342" w:hRule="exact"/>
        </w:trPr>
        <w:tc>
          <w:tcPr>
            <w:tcW w:w="19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1,644,073.13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0.12%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67,110.89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0.01%</w:t>
            </w:r>
          </w:p>
        </w:tc>
        <w:tc>
          <w:tcPr>
            <w:tcW w:w="1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2349.79%</w:t>
            </w:r>
          </w:p>
        </w:tc>
      </w:tr>
      <w:tr>
        <w:trPr>
          <w:trHeight w:val="352" w:hRule="exact"/>
        </w:trPr>
        <w:tc>
          <w:tcPr>
            <w:tcW w:w="197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1,140,569,653.35</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647,372,294.87</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3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76.18%</w:t>
            </w:r>
          </w:p>
        </w:tc>
      </w:tr>
    </w:tbl>
    <w:p>
      <w:pPr>
        <w:spacing w:before="52"/>
        <w:ind w:left="132" w:right="14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、公司对上述项目的补充说明。</w:t>
      </w:r>
    </w:p>
    <w:p>
      <w:pPr>
        <w:spacing w:before="101"/>
        <w:ind w:left="13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、如无法取得同口径数据的原因说明。</w:t>
      </w:r>
    </w:p>
    <w:p>
      <w:pPr>
        <w:spacing w:line="240" w:lineRule="auto" w:before="13"/>
        <w:rPr>
          <w:rFonts w:ascii="宋体" w:hAnsi="宋体" w:cs="宋体" w:eastAsia="宋体" w:hint="default"/>
          <w:sz w:val="25"/>
          <w:szCs w:val="25"/>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21" w:lineRule="auto" w:before="0"/>
        <w:ind w:left="132" w:right="144"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2"/>
          <w:sz w:val="22"/>
          <w:szCs w:val="22"/>
        </w:rPr>
        <w:t>系公司新设子公司导致合并范围增加，详见第十节“财务报告”中“七、合并范围的变更”。</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z w:val="18"/>
          <w:szCs w:val="18"/>
        </w:rPr>
        <w:t>注：如果因子公司股权变动导致合并范围变化的，应当提供上年同口径的数据供投资者参考。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38" w:lineRule="auto"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注：若报告期内业务、产品或服务发生重大变化或调整，公司应当介绍已推出或宣布推出的新产品及服务，并说明对公司经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营及业绩的影响。</w:t>
      </w:r>
    </w:p>
    <w:p>
      <w:pPr>
        <w:spacing w:after="0" w:line="338" w:lineRule="auto"/>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9"/>
        <w:rPr>
          <w:rFonts w:ascii="宋体" w:hAnsi="宋体" w:cs="宋体" w:eastAsia="宋体" w:hint="default"/>
          <w:sz w:val="14"/>
          <w:szCs w:val="14"/>
        </w:rPr>
      </w:pPr>
    </w:p>
    <w:p>
      <w:pPr>
        <w:spacing w:before="34"/>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257"/>
        <w:gridCol w:w="5311"/>
      </w:tblGrid>
      <w:tr>
        <w:trPr>
          <w:trHeight w:val="332" w:hRule="exact"/>
        </w:trPr>
        <w:tc>
          <w:tcPr>
            <w:tcW w:w="425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1,298,332,921.83</w:t>
            </w:r>
          </w:p>
        </w:tc>
      </w:tr>
      <w:tr>
        <w:trPr>
          <w:trHeight w:val="332" w:hRule="exact"/>
        </w:trPr>
        <w:tc>
          <w:tcPr>
            <w:tcW w:w="425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18.96%</w:t>
            </w:r>
          </w:p>
        </w:tc>
      </w:tr>
    </w:tbl>
    <w:p>
      <w:pPr>
        <w:spacing w:before="52"/>
        <w:ind w:left="132" w:right="144" w:firstLine="0"/>
        <w:jc w:val="left"/>
        <w:rPr>
          <w:rFonts w:ascii="宋体" w:hAnsi="宋体" w:cs="宋体" w:eastAsia="宋体" w:hint="default"/>
          <w:sz w:val="18"/>
          <w:szCs w:val="18"/>
        </w:rPr>
      </w:pPr>
      <w:r>
        <w:rPr>
          <w:rFonts w:ascii="宋体" w:hAnsi="宋体" w:cs="宋体" w:eastAsia="宋体" w:hint="default"/>
          <w:sz w:val="18"/>
          <w:szCs w:val="18"/>
        </w:rPr>
        <w:t>注：属于同一实际控制人控制的客户应当合并列示，受同一国有资产管理机构实际控制的除外。</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Heading2"/>
        <w:spacing w:line="240" w:lineRule="auto"/>
        <w:ind w:right="7083"/>
        <w:jc w:val="left"/>
        <w:rPr>
          <w:b w:val="0"/>
          <w:bCs w:val="0"/>
        </w:rPr>
      </w:pPr>
      <w:r>
        <w:rPr/>
        <w:t>公司前</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r>
        <w:rPr>
          <w:b w:val="0"/>
          <w:bCs w:val="0"/>
        </w:rPr>
      </w:r>
    </w:p>
    <w:p>
      <w:pPr>
        <w:spacing w:line="240" w:lineRule="auto" w:before="4"/>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802"/>
        <w:gridCol w:w="3301"/>
        <w:gridCol w:w="2322"/>
        <w:gridCol w:w="3143"/>
      </w:tblGrid>
      <w:tr>
        <w:trPr>
          <w:trHeight w:val="332" w:hRule="exact"/>
        </w:trPr>
        <w:tc>
          <w:tcPr>
            <w:tcW w:w="80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407,326,562.31</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5.95%</w:t>
            </w:r>
          </w:p>
        </w:tc>
      </w:tr>
      <w:tr>
        <w:trPr>
          <w:trHeight w:val="32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405,948,168.08</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5.93%</w:t>
            </w:r>
          </w:p>
        </w:tc>
      </w:tr>
      <w:tr>
        <w:trPr>
          <w:trHeight w:val="32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right="6"/>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242,019,213.83</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3.53%</w:t>
            </w:r>
          </w:p>
        </w:tc>
      </w:tr>
      <w:tr>
        <w:trPr>
          <w:trHeight w:val="32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right="6"/>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140,368,857.94</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2.05%</w:t>
            </w:r>
          </w:p>
        </w:tc>
      </w:tr>
      <w:tr>
        <w:trPr>
          <w:trHeight w:val="32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right="6"/>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102,670,119.67</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1.50%</w:t>
            </w:r>
          </w:p>
        </w:tc>
      </w:tr>
      <w:tr>
        <w:trPr>
          <w:trHeight w:val="332" w:hRule="exact"/>
        </w:trPr>
        <w:tc>
          <w:tcPr>
            <w:tcW w:w="80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1,298,332,921.83</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18.96%</w:t>
            </w:r>
          </w:p>
        </w:tc>
      </w:tr>
    </w:tbl>
    <w:p>
      <w:pPr>
        <w:spacing w:before="52"/>
        <w:ind w:left="132" w:right="708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Heading2"/>
        <w:spacing w:line="240" w:lineRule="auto"/>
        <w:ind w:right="7083"/>
        <w:jc w:val="left"/>
        <w:rPr>
          <w:b w:val="0"/>
          <w:bCs w:val="0"/>
        </w:rPr>
      </w:pPr>
      <w:r>
        <w:rPr/>
        <w:t>公司主要供应商情况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4257"/>
        <w:gridCol w:w="5311"/>
      </w:tblGrid>
      <w:tr>
        <w:trPr>
          <w:trHeight w:val="332" w:hRule="exact"/>
        </w:trPr>
        <w:tc>
          <w:tcPr>
            <w:tcW w:w="425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2,238,117,056.22</w:t>
            </w:r>
          </w:p>
        </w:tc>
      </w:tr>
      <w:tr>
        <w:trPr>
          <w:trHeight w:val="332" w:hRule="exact"/>
        </w:trPr>
        <w:tc>
          <w:tcPr>
            <w:tcW w:w="425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38.67%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2"/>
        <w:spacing w:line="240" w:lineRule="auto" w:before="26"/>
        <w:ind w:right="7083"/>
        <w:jc w:val="left"/>
        <w:rPr>
          <w:b w:val="0"/>
          <w:bCs w:val="0"/>
        </w:rPr>
      </w:pPr>
      <w:r>
        <w:rPr/>
        <w:t>公司前</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r>
        <w:rPr>
          <w:b w:val="0"/>
          <w:bCs w:val="0"/>
        </w:rPr>
      </w:r>
    </w:p>
    <w:p>
      <w:pPr>
        <w:spacing w:line="240" w:lineRule="auto" w:before="5"/>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935"/>
        <w:gridCol w:w="3168"/>
        <w:gridCol w:w="2322"/>
        <w:gridCol w:w="3143"/>
      </w:tblGrid>
      <w:tr>
        <w:trPr>
          <w:trHeight w:val="332" w:hRule="exact"/>
        </w:trPr>
        <w:tc>
          <w:tcPr>
            <w:tcW w:w="93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1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right="1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1,005,292,258.78</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17.37%</w:t>
            </w:r>
          </w:p>
        </w:tc>
      </w:tr>
      <w:tr>
        <w:trPr>
          <w:trHeight w:val="32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376,287,043.38</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6.50%</w:t>
            </w:r>
          </w:p>
        </w:tc>
      </w:tr>
      <w:tr>
        <w:trPr>
          <w:trHeight w:val="32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303,840,180.25</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5.25%</w:t>
            </w:r>
          </w:p>
        </w:tc>
      </w:tr>
      <w:tr>
        <w:trPr>
          <w:trHeight w:val="32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294,518,602.01</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5.09%</w:t>
            </w:r>
          </w:p>
        </w:tc>
      </w:tr>
      <w:tr>
        <w:trPr>
          <w:trHeight w:val="32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258,178,971.80</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4.46%</w:t>
            </w:r>
          </w:p>
        </w:tc>
      </w:tr>
      <w:tr>
        <w:trPr>
          <w:trHeight w:val="332" w:hRule="exact"/>
        </w:trPr>
        <w:tc>
          <w:tcPr>
            <w:tcW w:w="935"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2,238,117,056.22</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38.67%</w:t>
            </w:r>
          </w:p>
        </w:tc>
      </w:tr>
    </w:tbl>
    <w:p>
      <w:pPr>
        <w:spacing w:before="51"/>
        <w:ind w:left="132" w:right="708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13"/>
        <w:gridCol w:w="1470"/>
        <w:gridCol w:w="1470"/>
        <w:gridCol w:w="1200"/>
        <w:gridCol w:w="4415"/>
      </w:tblGrid>
      <w:tr>
        <w:trPr>
          <w:trHeight w:val="332" w:hRule="exact"/>
        </w:trPr>
        <w:tc>
          <w:tcPr>
            <w:tcW w:w="1013"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4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41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0" w:hRule="exact"/>
        </w:trPr>
        <w:tc>
          <w:tcPr>
            <w:tcW w:w="101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center"/>
              <w:rPr>
                <w:rFonts w:ascii="Times New Roman" w:hAnsi="Times New Roman" w:cs="Times New Roman" w:eastAsia="Times New Roman" w:hint="default"/>
                <w:sz w:val="18"/>
                <w:szCs w:val="18"/>
              </w:rPr>
            </w:pPr>
            <w:r>
              <w:rPr>
                <w:rFonts w:ascii="Times New Roman"/>
                <w:sz w:val="18"/>
              </w:rPr>
              <w:t>337,416,760.76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Times New Roman" w:hAnsi="Times New Roman" w:cs="Times New Roman" w:eastAsia="Times New Roman" w:hint="default"/>
                <w:sz w:val="18"/>
                <w:szCs w:val="18"/>
              </w:rPr>
            </w:pPr>
            <w:r>
              <w:rPr>
                <w:rFonts w:ascii="Times New Roman"/>
                <w:sz w:val="18"/>
              </w:rPr>
              <w:t>235,626,203.58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3" w:right="0"/>
              <w:jc w:val="left"/>
              <w:rPr>
                <w:rFonts w:ascii="Times New Roman" w:hAnsi="Times New Roman" w:cs="Times New Roman" w:eastAsia="Times New Roman" w:hint="default"/>
                <w:sz w:val="18"/>
                <w:szCs w:val="18"/>
              </w:rPr>
            </w:pPr>
            <w:r>
              <w:rPr>
                <w:rFonts w:ascii="Times New Roman"/>
                <w:sz w:val="18"/>
              </w:rPr>
              <w:t>43.20%</w:t>
            </w:r>
          </w:p>
        </w:tc>
        <w:tc>
          <w:tcPr>
            <w:tcW w:w="44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销售费用增加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亿，主要系①业务量增加，发出商</w:t>
            </w:r>
          </w:p>
        </w:tc>
      </w:tr>
    </w:tbl>
    <w:p>
      <w:pPr>
        <w:spacing w:after="0" w:line="240" w:lineRule="auto"/>
        <w:jc w:val="center"/>
        <w:rPr>
          <w:rFonts w:ascii="宋体" w:hAnsi="宋体" w:cs="宋体" w:eastAsia="宋体" w:hint="default"/>
          <w:sz w:val="18"/>
          <w:szCs w:val="18"/>
        </w:rPr>
        <w:sectPr>
          <w:pgSz w:w="11910" w:h="16840"/>
          <w:pgMar w:header="850" w:footer="1012" w:top="1440" w:bottom="1200" w:left="1000" w:right="102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013"/>
        <w:gridCol w:w="1470"/>
        <w:gridCol w:w="1470"/>
        <w:gridCol w:w="1200"/>
        <w:gridCol w:w="4415"/>
      </w:tblGrid>
      <w:tr>
        <w:trPr>
          <w:trHeight w:val="1258" w:hRule="exact"/>
        </w:trPr>
        <w:tc>
          <w:tcPr>
            <w:tcW w:w="1013" w:type="dxa"/>
            <w:tcBorders>
              <w:top w:val="single" w:sz="4" w:space="0" w:color="000000"/>
              <w:left w:val="single" w:sz="12" w:space="0" w:color="000000"/>
              <w:bottom w:val="single" w:sz="4" w:space="0" w:color="000000"/>
              <w:right w:val="single" w:sz="4" w:space="0" w:color="000000"/>
            </w:tcBorders>
            <w:shd w:val="clear" w:color="auto" w:fill="D3D3D3"/>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4" w:right="149"/>
              <w:jc w:val="both"/>
              <w:rPr>
                <w:rFonts w:ascii="宋体" w:hAnsi="宋体" w:cs="宋体" w:eastAsia="宋体" w:hint="default"/>
                <w:sz w:val="18"/>
                <w:szCs w:val="18"/>
              </w:rPr>
            </w:pPr>
            <w:r>
              <w:rPr>
                <w:rFonts w:ascii="宋体" w:hAnsi="宋体" w:cs="宋体" w:eastAsia="宋体" w:hint="default"/>
                <w:sz w:val="18"/>
                <w:szCs w:val="18"/>
              </w:rPr>
              <w:t>品及运输距离增加，导致运输费用增加；②业务量增 加，为更贴近市场化运营，我司于本年更改业务人员 管理模式，导致差旅费增加；③业绩上涨，销售人员 规模增加，职工薪酬增加。</w:t>
            </w:r>
          </w:p>
        </w:tc>
      </w:tr>
      <w:tr>
        <w:trPr>
          <w:trHeight w:val="634" w:hRule="exact"/>
        </w:trPr>
        <w:tc>
          <w:tcPr>
            <w:tcW w:w="101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330,298,333.10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305,004,964.88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8.29%</w:t>
            </w:r>
          </w:p>
        </w:tc>
        <w:tc>
          <w:tcPr>
            <w:tcW w:w="4415"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10"/>
              <w:ind w:left="104" w:right="92"/>
              <w:jc w:val="left"/>
              <w:rPr>
                <w:rFonts w:ascii="宋体" w:hAnsi="宋体" w:cs="宋体" w:eastAsia="宋体" w:hint="default"/>
                <w:sz w:val="18"/>
                <w:szCs w:val="18"/>
              </w:rPr>
            </w:pPr>
            <w:r>
              <w:rPr>
                <w:rFonts w:ascii="宋体" w:hAnsi="宋体" w:cs="宋体" w:eastAsia="宋体" w:hint="default"/>
                <w:sz w:val="18"/>
                <w:szCs w:val="18"/>
              </w:rPr>
              <w:t>管理费用增加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万，主要系公司人员及规模增加导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致职工薪酬增加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1892" w:hRule="exact"/>
        </w:trPr>
        <w:tc>
          <w:tcPr>
            <w:tcW w:w="1013"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38,209,167.15</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51,210,126.17</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-25.39%</w:t>
            </w:r>
          </w:p>
        </w:tc>
        <w:tc>
          <w:tcPr>
            <w:tcW w:w="4415" w:type="dxa"/>
            <w:tcBorders>
              <w:top w:val="single" w:sz="4" w:space="0" w:color="000000"/>
              <w:left w:val="single" w:sz="4" w:space="0" w:color="000000"/>
              <w:bottom w:val="single" w:sz="12" w:space="0" w:color="000000"/>
              <w:right w:val="single" w:sz="12" w:space="0" w:color="000000"/>
            </w:tcBorders>
          </w:tcPr>
          <w:p>
            <w:pPr>
              <w:pStyle w:val="TableParagraph"/>
              <w:spacing w:line="307" w:lineRule="auto" w:before="12"/>
              <w:ind w:left="104" w:right="92"/>
              <w:jc w:val="both"/>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、利息支出减少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830 </w:t>
            </w:r>
            <w:r>
              <w:rPr>
                <w:rFonts w:ascii="宋体" w:hAnsi="宋体" w:cs="宋体" w:eastAsia="宋体" w:hint="default"/>
                <w:spacing w:val="-4"/>
                <w:sz w:val="18"/>
                <w:szCs w:val="18"/>
              </w:rPr>
              <w:t>万：本年应收账款回笼率</w:t>
            </w:r>
            <w:r>
              <w:rPr>
                <w:rFonts w:ascii="宋体" w:hAnsi="宋体" w:cs="宋体" w:eastAsia="宋体" w:hint="default"/>
                <w:sz w:val="18"/>
                <w:szCs w:val="18"/>
              </w:rPr>
              <w:t> 提升，资金相对宽裕，另采取资金集中措施后，资金 整体使用效率提高，故本年融资额大幅减少；且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年央行几次降息及公司对银行谈判能力增强共同影响 融资成本下降</w:t>
            </w:r>
            <w:r>
              <w:rPr>
                <w:rFonts w:ascii="宋体" w:hAnsi="宋体" w:cs="宋体" w:eastAsia="宋体" w:hint="default"/>
                <w:spacing w:val="-48"/>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、由于自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日起人民币处 于贬值状态，故本年汇兑损失减少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w:t>
            </w:r>
          </w:p>
        </w:tc>
      </w:tr>
    </w:tbl>
    <w:p>
      <w:pPr>
        <w:spacing w:line="316" w:lineRule="auto" w:before="52"/>
        <w:ind w:left="132" w:right="104" w:firstLine="0"/>
        <w:jc w:val="left"/>
        <w:rPr>
          <w:rFonts w:ascii="宋体" w:hAnsi="宋体" w:cs="宋体" w:eastAsia="宋体" w:hint="default"/>
          <w:sz w:val="18"/>
          <w:szCs w:val="18"/>
        </w:rPr>
      </w:pPr>
      <w:r>
        <w:rPr>
          <w:rFonts w:ascii="宋体" w:hAnsi="宋体" w:cs="宋体" w:eastAsia="宋体" w:hint="default"/>
          <w:spacing w:val="-2"/>
          <w:sz w:val="18"/>
          <w:szCs w:val="18"/>
        </w:rPr>
        <w:t>注：若报告期内公司销售费用、管理费用、财务费用等财务数据同比发生重大变动的，应当结合业务模式和费用构成，说明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产生变化的主要驱动因素。</w:t>
      </w:r>
    </w:p>
    <w:p>
      <w:pPr>
        <w:spacing w:line="240" w:lineRule="auto" w:before="6"/>
        <w:rPr>
          <w:rFonts w:ascii="宋体" w:hAnsi="宋体" w:cs="宋体" w:eastAsia="宋体" w:hint="default"/>
          <w:sz w:val="22"/>
          <w:szCs w:val="22"/>
        </w:rPr>
      </w:pPr>
    </w:p>
    <w:p>
      <w:pPr>
        <w:spacing w:before="0"/>
        <w:ind w:left="132"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line="386" w:lineRule="auto" w:before="0"/>
        <w:ind w:left="132" w:right="211" w:firstLine="420"/>
        <w:jc w:val="both"/>
        <w:rPr>
          <w:rFonts w:ascii="宋体" w:hAnsi="宋体" w:cs="宋体" w:eastAsia="宋体" w:hint="default"/>
          <w:sz w:val="21"/>
          <w:szCs w:val="21"/>
        </w:rPr>
      </w:pPr>
      <w:r>
        <w:rPr>
          <w:rFonts w:ascii="宋体" w:hAnsi="宋体" w:cs="宋体" w:eastAsia="宋体" w:hint="default"/>
          <w:spacing w:val="-1"/>
          <w:w w:val="95"/>
          <w:sz w:val="21"/>
          <w:szCs w:val="21"/>
        </w:rPr>
        <w:t>报告期内研发支出</w:t>
      </w:r>
      <w:r>
        <w:rPr>
          <w:rFonts w:ascii="Times New Roman" w:hAnsi="Times New Roman" w:cs="Times New Roman" w:eastAsia="Times New Roman" w:hint="default"/>
          <w:spacing w:val="-1"/>
          <w:w w:val="95"/>
          <w:sz w:val="21"/>
          <w:szCs w:val="21"/>
        </w:rPr>
        <w:t>210,537,095.81</w:t>
      </w:r>
      <w:r>
        <w:rPr>
          <w:rFonts w:ascii="宋体" w:hAnsi="宋体" w:cs="宋体" w:eastAsia="宋体" w:hint="default"/>
          <w:spacing w:val="-1"/>
          <w:w w:val="95"/>
          <w:sz w:val="21"/>
          <w:szCs w:val="21"/>
        </w:rPr>
        <w:t>元，同比基本持平。为了不断创新产品，提高公司核心竞争力，</w:t>
      </w:r>
      <w:r>
        <w:rPr>
          <w:rFonts w:ascii="Times New Roman" w:hAnsi="Times New Roman" w:cs="Times New Roman" w:eastAsia="Times New Roman" w:hint="default"/>
          <w:spacing w:val="-1"/>
          <w:w w:val="95"/>
          <w:sz w:val="21"/>
          <w:szCs w:val="21"/>
        </w:rPr>
        <w:t>2015</w:t>
      </w:r>
      <w:r>
        <w:rPr>
          <w:rFonts w:ascii="Times New Roman" w:hAnsi="Times New Roman" w:cs="Times New Roman" w:eastAsia="Times New Roman" w:hint="default"/>
          <w:spacing w:val="-46"/>
          <w:w w:val="95"/>
          <w:sz w:val="21"/>
          <w:szCs w:val="21"/>
        </w:rPr>
        <w:t> </w:t>
      </w:r>
      <w:r>
        <w:rPr>
          <w:rFonts w:ascii="Times New Roman" w:hAnsi="Times New Roman" w:cs="Times New Roman" w:eastAsia="Times New Roman" w:hint="default"/>
          <w:spacing w:val="-46"/>
          <w:w w:val="95"/>
          <w:sz w:val="21"/>
          <w:szCs w:val="21"/>
        </w:rPr>
      </w:r>
      <w:r>
        <w:rPr>
          <w:rFonts w:ascii="宋体" w:hAnsi="宋体" w:cs="宋体" w:eastAsia="宋体" w:hint="default"/>
          <w:spacing w:val="-4"/>
          <w:sz w:val="21"/>
          <w:szCs w:val="21"/>
        </w:rPr>
        <w:t>年新设立研发项目“耐老化环保型软态导体电缆的研发”、“</w:t>
      </w:r>
      <w:r>
        <w:rPr>
          <w:rFonts w:ascii="Times New Roman" w:hAnsi="Times New Roman" w:cs="Times New Roman" w:eastAsia="Times New Roman" w:hint="default"/>
          <w:spacing w:val="-4"/>
          <w:sz w:val="21"/>
          <w:szCs w:val="21"/>
        </w:rPr>
        <w:t>220kV</w:t>
      </w:r>
      <w:r>
        <w:rPr>
          <w:rFonts w:ascii="宋体" w:hAnsi="宋体" w:cs="宋体" w:eastAsia="宋体" w:hint="default"/>
          <w:spacing w:val="-4"/>
          <w:sz w:val="21"/>
          <w:szCs w:val="21"/>
        </w:rPr>
        <w:t>防滑、耐火型电力电缆的研发”、“智</w:t>
      </w:r>
      <w:r>
        <w:rPr>
          <w:rFonts w:ascii="宋体" w:hAnsi="宋体" w:cs="宋体" w:eastAsia="宋体" w:hint="default"/>
          <w:w w:val="99"/>
          <w:sz w:val="21"/>
          <w:szCs w:val="21"/>
        </w:rPr>
        <w:t> </w:t>
      </w:r>
      <w:r>
        <w:rPr>
          <w:rFonts w:ascii="宋体" w:hAnsi="宋体" w:cs="宋体" w:eastAsia="宋体" w:hint="default"/>
          <w:sz w:val="21"/>
          <w:szCs w:val="21"/>
        </w:rPr>
        <w:t>能型交联聚乙烯绝缘直流电缆的研发”、</w:t>
      </w:r>
      <w:r>
        <w:rPr>
          <w:rFonts w:ascii="Times New Roman" w:hAnsi="Times New Roman" w:cs="Times New Roman" w:eastAsia="Times New Roman" w:hint="default"/>
          <w:sz w:val="21"/>
          <w:szCs w:val="21"/>
        </w:rPr>
        <w:t>“</w:t>
      </w:r>
      <w:r>
        <w:rPr>
          <w:rFonts w:ascii="宋体" w:hAnsi="宋体" w:cs="宋体" w:eastAsia="宋体" w:hint="default"/>
          <w:sz w:val="21"/>
          <w:szCs w:val="21"/>
        </w:rPr>
        <w:t>新能源汽车充换电站运营管理系统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等。</w:t>
      </w:r>
    </w:p>
    <w:p>
      <w:pPr>
        <w:spacing w:line="393" w:lineRule="auto" w:before="35"/>
        <w:ind w:left="132" w:right="104" w:firstLine="420"/>
        <w:jc w:val="left"/>
        <w:rPr>
          <w:rFonts w:ascii="宋体" w:hAnsi="宋体" w:cs="宋体" w:eastAsia="宋体" w:hint="default"/>
          <w:sz w:val="21"/>
          <w:szCs w:val="21"/>
        </w:rPr>
      </w:pPr>
      <w:r>
        <w:rPr>
          <w:rFonts w:ascii="宋体" w:hAnsi="宋体" w:cs="宋体" w:eastAsia="宋体" w:hint="default"/>
          <w:spacing w:val="-5"/>
          <w:w w:val="99"/>
          <w:sz w:val="21"/>
          <w:szCs w:val="21"/>
        </w:rPr>
        <w:t>报告期内，公司及子公司共有</w:t>
      </w:r>
      <w:r>
        <w:rPr>
          <w:rFonts w:ascii="Times New Roman" w:hAnsi="Times New Roman" w:cs="Times New Roman" w:eastAsia="Times New Roman" w:hint="default"/>
          <w:spacing w:val="-5"/>
          <w:w w:val="99"/>
          <w:sz w:val="21"/>
          <w:szCs w:val="21"/>
        </w:rPr>
        <w:t>7</w:t>
      </w:r>
      <w:r>
        <w:rPr>
          <w:rFonts w:ascii="宋体" w:hAnsi="宋体" w:cs="宋体" w:eastAsia="宋体" w:hint="default"/>
          <w:spacing w:val="-5"/>
          <w:w w:val="99"/>
          <w:sz w:val="21"/>
          <w:szCs w:val="21"/>
        </w:rPr>
        <w:t>项新产品通过省级新产品鉴定，分别是“高性能防盐雾通信同轴电缆”、</w:t>
      </w:r>
      <w:r>
        <w:rPr>
          <w:rFonts w:ascii="宋体" w:hAnsi="宋体" w:cs="宋体" w:eastAsia="宋体" w:hint="default"/>
          <w:w w:val="99"/>
          <w:sz w:val="21"/>
          <w:szCs w:val="21"/>
        </w:rPr>
        <w:t> </w:t>
      </w:r>
      <w:r>
        <w:rPr>
          <w:rFonts w:ascii="宋体" w:hAnsi="宋体" w:cs="宋体" w:eastAsia="宋体" w:hint="default"/>
          <w:sz w:val="21"/>
          <w:szCs w:val="21"/>
        </w:rPr>
        <w:t>“环保免清洗无缝挤压式铝管同轴电缆”、“高压电缆</w:t>
      </w:r>
      <w:r>
        <w:rPr>
          <w:rFonts w:ascii="Times New Roman" w:hAnsi="Times New Roman" w:cs="Times New Roman" w:eastAsia="Times New Roman" w:hint="default"/>
          <w:sz w:val="21"/>
          <w:szCs w:val="21"/>
        </w:rPr>
        <w:t>(220kV)</w:t>
      </w:r>
      <w:r>
        <w:rPr>
          <w:rFonts w:ascii="宋体" w:hAnsi="宋体" w:cs="宋体" w:eastAsia="宋体" w:hint="default"/>
          <w:sz w:val="21"/>
          <w:szCs w:val="21"/>
        </w:rPr>
        <w:t>超净</w:t>
      </w:r>
      <w:r>
        <w:rPr>
          <w:rFonts w:ascii="Times New Roman" w:hAnsi="Times New Roman" w:cs="Times New Roman" w:eastAsia="Times New Roman" w:hint="default"/>
          <w:sz w:val="21"/>
          <w:szCs w:val="21"/>
        </w:rPr>
        <w:t>XLPE</w:t>
      </w:r>
      <w:r>
        <w:rPr>
          <w:rFonts w:ascii="宋体" w:hAnsi="宋体" w:cs="宋体" w:eastAsia="宋体" w:hint="default"/>
          <w:sz w:val="21"/>
          <w:szCs w:val="21"/>
        </w:rPr>
        <w:t>绝缘料”、“同心式电力通讯复</w:t>
      </w:r>
      <w:r>
        <w:rPr>
          <w:rFonts w:ascii="宋体" w:hAnsi="宋体" w:cs="宋体" w:eastAsia="宋体" w:hint="default"/>
          <w:w w:val="99"/>
          <w:sz w:val="21"/>
          <w:szCs w:val="21"/>
        </w:rPr>
        <w:t> </w:t>
      </w:r>
      <w:r>
        <w:rPr>
          <w:rFonts w:ascii="宋体" w:hAnsi="宋体" w:cs="宋体" w:eastAsia="宋体" w:hint="default"/>
          <w:sz w:val="21"/>
          <w:szCs w:val="21"/>
        </w:rPr>
        <w:t>合型入户电缆”、“同向式耐转动新能源电缆”、“耐老化环保型软态导体电缆”、“低烟无卤型煤矿用</w:t>
      </w:r>
      <w:r>
        <w:rPr>
          <w:rFonts w:ascii="宋体" w:hAnsi="宋体" w:cs="宋体" w:eastAsia="宋体" w:hint="default"/>
          <w:w w:val="99"/>
          <w:sz w:val="21"/>
          <w:szCs w:val="21"/>
        </w:rPr>
        <w:t> </w:t>
      </w:r>
      <w:r>
        <w:rPr>
          <w:rFonts w:ascii="宋体" w:hAnsi="宋体" w:cs="宋体" w:eastAsia="宋体" w:hint="default"/>
          <w:sz w:val="21"/>
          <w:szCs w:val="21"/>
        </w:rPr>
        <w:t>橡套软电缆”。</w:t>
      </w:r>
    </w:p>
    <w:p>
      <w:pPr>
        <w:spacing w:before="58"/>
        <w:ind w:left="132" w:right="104" w:firstLine="0"/>
        <w:jc w:val="left"/>
        <w:rPr>
          <w:rFonts w:ascii="宋体" w:hAnsi="宋体" w:cs="宋体" w:eastAsia="宋体" w:hint="default"/>
          <w:sz w:val="21"/>
          <w:szCs w:val="21"/>
        </w:rPr>
      </w:pPr>
      <w:r>
        <w:rPr>
          <w:rFonts w:ascii="宋体" w:hAnsi="宋体" w:cs="宋体" w:eastAsia="宋体" w:hint="default"/>
          <w:b/>
          <w:bCs/>
          <w:sz w:val="21"/>
          <w:szCs w:val="21"/>
        </w:rPr>
        <w:t>公司研发投入情况</w:t>
      </w:r>
      <w:r>
        <w:rPr>
          <w:rFonts w:ascii="宋体" w:hAnsi="宋体" w:cs="宋体" w:eastAsia="宋体" w:hint="default"/>
          <w:sz w:val="21"/>
          <w:szCs w:val="21"/>
        </w:rPr>
      </w:r>
    </w:p>
    <w:p>
      <w:pPr>
        <w:spacing w:line="240" w:lineRule="auto" w:before="13"/>
        <w:rPr>
          <w:rFonts w:ascii="宋体" w:hAnsi="宋体" w:cs="宋体" w:eastAsia="宋体" w:hint="default"/>
          <w:b/>
          <w:bCs/>
          <w:sz w:val="9"/>
          <w:szCs w:val="9"/>
        </w:rPr>
      </w:pPr>
    </w:p>
    <w:tbl>
      <w:tblPr>
        <w:tblW w:w="0" w:type="auto"/>
        <w:jc w:val="left"/>
        <w:tblInd w:w="119" w:type="dxa"/>
        <w:tblLayout w:type="fixed"/>
        <w:tblCellMar>
          <w:top w:w="0" w:type="dxa"/>
          <w:left w:w="0" w:type="dxa"/>
          <w:bottom w:w="0" w:type="dxa"/>
          <w:right w:w="0" w:type="dxa"/>
        </w:tblCellMar>
        <w:tblLook w:val="01E0"/>
      </w:tblPr>
      <w:tblGrid>
        <w:gridCol w:w="3112"/>
        <w:gridCol w:w="2152"/>
        <w:gridCol w:w="2152"/>
        <w:gridCol w:w="2152"/>
      </w:tblGrid>
      <w:tr>
        <w:trPr>
          <w:trHeight w:val="332" w:hRule="exact"/>
        </w:trPr>
        <w:tc>
          <w:tcPr>
            <w:tcW w:w="3112"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215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71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2" w:hRule="exact"/>
        </w:trPr>
        <w:tc>
          <w:tcPr>
            <w:tcW w:w="311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486</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437</w:t>
            </w:r>
          </w:p>
        </w:tc>
        <w:tc>
          <w:tcPr>
            <w:tcW w:w="2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2"/>
                <w:sz w:val="18"/>
              </w:rPr>
              <w:t>11.21%</w:t>
            </w:r>
          </w:p>
        </w:tc>
      </w:tr>
      <w:tr>
        <w:trPr>
          <w:trHeight w:val="322" w:hRule="exact"/>
        </w:trPr>
        <w:tc>
          <w:tcPr>
            <w:tcW w:w="311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12.79%</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13.43%</w:t>
            </w:r>
          </w:p>
        </w:tc>
        <w:tc>
          <w:tcPr>
            <w:tcW w:w="2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-0.64%</w:t>
            </w:r>
          </w:p>
        </w:tc>
      </w:tr>
      <w:tr>
        <w:trPr>
          <w:trHeight w:val="322" w:hRule="exact"/>
        </w:trPr>
        <w:tc>
          <w:tcPr>
            <w:tcW w:w="311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210,537,095.81</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213,067,247.87</w:t>
            </w:r>
          </w:p>
        </w:tc>
        <w:tc>
          <w:tcPr>
            <w:tcW w:w="2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z w:val="18"/>
              </w:rPr>
              <w:t>-1.19%</w:t>
            </w:r>
          </w:p>
        </w:tc>
      </w:tr>
      <w:tr>
        <w:trPr>
          <w:trHeight w:val="322" w:hRule="exact"/>
        </w:trPr>
        <w:tc>
          <w:tcPr>
            <w:tcW w:w="311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3.07%</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3.64%</w:t>
            </w:r>
          </w:p>
        </w:tc>
        <w:tc>
          <w:tcPr>
            <w:tcW w:w="2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-0.57%</w:t>
            </w:r>
          </w:p>
        </w:tc>
      </w:tr>
      <w:tr>
        <w:trPr>
          <w:trHeight w:val="322" w:hRule="exact"/>
        </w:trPr>
        <w:tc>
          <w:tcPr>
            <w:tcW w:w="311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152" w:type="dxa"/>
            <w:tcBorders>
              <w:top w:val="single" w:sz="4" w:space="0" w:color="000000"/>
              <w:left w:val="single" w:sz="4" w:space="0" w:color="000000"/>
              <w:bottom w:val="single" w:sz="4" w:space="0" w:color="000000"/>
              <w:right w:val="single" w:sz="12" w:space="0" w:color="000000"/>
            </w:tcBorders>
          </w:tcPr>
          <w:p>
            <w:pPr/>
          </w:p>
        </w:tc>
      </w:tr>
      <w:tr>
        <w:trPr>
          <w:trHeight w:val="332" w:hRule="exact"/>
        </w:trPr>
        <w:tc>
          <w:tcPr>
            <w:tcW w:w="311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0.00%</w:t>
            </w:r>
          </w:p>
        </w:tc>
        <w:tc>
          <w:tcPr>
            <w:tcW w:w="21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c>
          <w:tcPr>
            <w:tcW w:w="2152" w:type="dxa"/>
            <w:tcBorders>
              <w:top w:val="single" w:sz="4" w:space="0" w:color="000000"/>
              <w:left w:val="single" w:sz="4" w:space="0" w:color="000000"/>
              <w:bottom w:val="single" w:sz="12" w:space="0" w:color="000000"/>
              <w:right w:val="single" w:sz="12" w:space="0" w:color="000000"/>
            </w:tcBorders>
          </w:tcPr>
          <w:p>
            <w:pP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7"/>
        <w:ind w:left="132" w:right="5874"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5"/>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50" w:footer="1012" w:top="1440" w:bottom="1200" w:left="1000" w:right="920"/>
        </w:sectPr>
      </w:pPr>
    </w:p>
    <w:p>
      <w:pPr>
        <w:spacing w:line="240" w:lineRule="auto" w:before="9"/>
        <w:rPr>
          <w:rFonts w:ascii="宋体" w:hAnsi="宋体" w:cs="宋体" w:eastAsia="宋体" w:hint="default"/>
          <w:sz w:val="14"/>
          <w:szCs w:val="14"/>
        </w:rPr>
      </w:pPr>
    </w:p>
    <w:p>
      <w:pPr>
        <w:spacing w:before="34"/>
        <w:ind w:left="132" w:right="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3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76"/>
        <w:gridCol w:w="2392"/>
        <w:gridCol w:w="2392"/>
        <w:gridCol w:w="2392"/>
      </w:tblGrid>
      <w:tr>
        <w:trPr>
          <w:trHeight w:val="332" w:hRule="exact"/>
        </w:trPr>
        <w:tc>
          <w:tcPr>
            <w:tcW w:w="267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8"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6,206,235,052.04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5,094,770,060.97</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21.82%</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5,937,770,285.28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4,846,833,854.01</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pacing w:val="-1"/>
                <w:sz w:val="18"/>
              </w:rPr>
              <w:t>22.51%</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268,464,766.76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247,936,206.96</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8.28%</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173,286,214.69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851,861.75</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20,242.06%</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501,363,381.07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120,517,608.38</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316.01%</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-328,077,166.38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-119,665</w:t>
            </w:r>
            <w:r>
              <w:rPr>
                <w:rFonts w:ascii="Times New Roman"/>
                <w:spacing w:val="-13"/>
                <w:sz w:val="18"/>
              </w:rPr>
              <w:t> </w:t>
            </w:r>
            <w:r>
              <w:rPr>
                <w:rFonts w:ascii="Times New Roman"/>
                <w:sz w:val="18"/>
              </w:rPr>
              <w:t>,746.63</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-174.16%</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1,616,458,352.73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1,562,552,279.62</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3.45%</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1,574,595,629.02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1,626,797,509.92</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-3.21%</w:t>
            </w:r>
          </w:p>
        </w:tc>
      </w:tr>
      <w:tr>
        <w:trPr>
          <w:trHeight w:val="322" w:hRule="exact"/>
        </w:trPr>
        <w:tc>
          <w:tcPr>
            <w:tcW w:w="267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41,862,723.71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-64,245,230.30</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pacing w:val="-1"/>
                <w:sz w:val="18"/>
              </w:rPr>
              <w:t>165.16%</w:t>
            </w:r>
          </w:p>
        </w:tc>
      </w:tr>
      <w:tr>
        <w:trPr>
          <w:trHeight w:val="332" w:hRule="exact"/>
        </w:trPr>
        <w:tc>
          <w:tcPr>
            <w:tcW w:w="2676"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-10,859,188.31</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63,778,922.02</w:t>
            </w:r>
          </w:p>
        </w:tc>
        <w:tc>
          <w:tcPr>
            <w:tcW w:w="239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2"/>
                <w:sz w:val="18"/>
              </w:rPr>
              <w:t>-117.03%</w:t>
            </w:r>
          </w:p>
        </w:tc>
      </w:tr>
    </w:tbl>
    <w:p>
      <w:pPr>
        <w:spacing w:line="240" w:lineRule="auto" w:before="7"/>
        <w:rPr>
          <w:rFonts w:ascii="宋体" w:hAnsi="宋体" w:cs="宋体" w:eastAsia="宋体" w:hint="default"/>
          <w:sz w:val="7"/>
          <w:szCs w:val="7"/>
        </w:rPr>
      </w:pPr>
    </w:p>
    <w:p>
      <w:pPr>
        <w:pStyle w:val="Heading2"/>
        <w:spacing w:line="240" w:lineRule="auto" w:before="26"/>
        <w:ind w:right="262"/>
        <w:jc w:val="left"/>
        <w:rPr>
          <w:b w:val="0"/>
          <w:bCs w:val="0"/>
        </w:rPr>
      </w:pPr>
      <w:r>
        <w:rPr/>
        <w:t>相关数据同比发生重大变动的主要影响因素说明</w:t>
      </w:r>
      <w:r>
        <w:rPr>
          <w:b w:val="0"/>
          <w:bCs w:val="0"/>
        </w:rPr>
      </w:r>
    </w:p>
    <w:p>
      <w:pPr>
        <w:spacing w:before="85"/>
        <w:ind w:left="132" w:right="26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before="0"/>
        <w:ind w:left="238" w:right="2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）投资活动现金流入小计同比增加</w:t>
      </w:r>
      <w:r>
        <w:rPr>
          <w:rFonts w:ascii="Times New Roman" w:hAnsi="Times New Roman" w:cs="Times New Roman" w:eastAsia="Times New Roman" w:hint="default"/>
          <w:sz w:val="21"/>
          <w:szCs w:val="21"/>
        </w:rPr>
        <w:t>20,242.06%</w:t>
      </w:r>
      <w:r>
        <w:rPr>
          <w:rFonts w:ascii="宋体" w:hAnsi="宋体" w:cs="宋体" w:eastAsia="宋体" w:hint="default"/>
          <w:sz w:val="21"/>
          <w:szCs w:val="21"/>
        </w:rPr>
        <w:t>，主要原因系短期低风险保本型理财产品赎回</w:t>
      </w:r>
      <w:r>
        <w:rPr>
          <w:rFonts w:ascii="Times New Roman" w:hAnsi="Times New Roman" w:cs="Times New Roman" w:eastAsia="Times New Roman" w:hint="default"/>
          <w:sz w:val="21"/>
          <w:szCs w:val="21"/>
        </w:rPr>
        <w:t>1.67</w:t>
      </w:r>
      <w:r>
        <w:rPr>
          <w:rFonts w:ascii="宋体" w:hAnsi="宋体" w:cs="宋体" w:eastAsia="宋体" w:hint="default"/>
          <w:sz w:val="21"/>
          <w:szCs w:val="21"/>
        </w:rPr>
        <w:t>亿。</w:t>
      </w:r>
    </w:p>
    <w:p>
      <w:pPr>
        <w:spacing w:line="386" w:lineRule="auto" w:before="177"/>
        <w:ind w:left="132" w:right="262" w:firstLine="105"/>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）投资活动现金流出小计同比增加</w:t>
      </w:r>
      <w:r>
        <w:rPr>
          <w:rFonts w:ascii="Times New Roman" w:hAnsi="Times New Roman" w:cs="Times New Roman" w:eastAsia="Times New Roman" w:hint="default"/>
          <w:w w:val="95"/>
          <w:sz w:val="21"/>
          <w:szCs w:val="21"/>
        </w:rPr>
        <w:t>316.01%</w:t>
      </w:r>
      <w:r>
        <w:rPr>
          <w:rFonts w:ascii="宋体" w:hAnsi="宋体" w:cs="宋体" w:eastAsia="宋体" w:hint="default"/>
          <w:w w:val="95"/>
          <w:sz w:val="21"/>
          <w:szCs w:val="21"/>
        </w:rPr>
        <w:t>，主要原因系为提高闲置资金的使用效率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我司在保障正常</w:t>
      </w:r>
      <w:r>
        <w:rPr>
          <w:rFonts w:ascii="宋体" w:hAnsi="宋体" w:cs="宋体" w:eastAsia="宋体" w:hint="default"/>
          <w:spacing w:val="47"/>
          <w:w w:val="95"/>
          <w:sz w:val="21"/>
          <w:szCs w:val="21"/>
        </w:rPr>
        <w:t> </w:t>
      </w:r>
      <w:r>
        <w:rPr>
          <w:rFonts w:ascii="宋体" w:hAnsi="宋体" w:cs="宋体" w:eastAsia="宋体" w:hint="default"/>
          <w:spacing w:val="47"/>
          <w:w w:val="95"/>
          <w:sz w:val="21"/>
          <w:szCs w:val="21"/>
        </w:rPr>
      </w:r>
      <w:r>
        <w:rPr>
          <w:rFonts w:ascii="宋体" w:hAnsi="宋体" w:cs="宋体" w:eastAsia="宋体" w:hint="default"/>
          <w:sz w:val="21"/>
          <w:szCs w:val="21"/>
        </w:rPr>
        <w:t>生产经营资金需求及资金安全的前提下，购买短期低风险保本型理财产品</w:t>
      </w:r>
      <w:r>
        <w:rPr>
          <w:rFonts w:ascii="Times New Roman" w:hAnsi="Times New Roman" w:cs="Times New Roman" w:eastAsia="Times New Roman" w:hint="default"/>
          <w:sz w:val="21"/>
          <w:szCs w:val="21"/>
        </w:rPr>
        <w:t>4.26</w:t>
      </w:r>
      <w:r>
        <w:rPr>
          <w:rFonts w:ascii="宋体" w:hAnsi="宋体" w:cs="宋体" w:eastAsia="宋体" w:hint="default"/>
          <w:sz w:val="21"/>
          <w:szCs w:val="21"/>
        </w:rPr>
        <w:t>亿。</w:t>
      </w:r>
    </w:p>
    <w:p>
      <w:pPr>
        <w:spacing w:line="386" w:lineRule="auto" w:before="35"/>
        <w:ind w:left="132" w:right="262" w:firstLine="105"/>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）投资活动产生的现金流量净额同比减少</w:t>
      </w:r>
      <w:r>
        <w:rPr>
          <w:rFonts w:ascii="Times New Roman" w:hAnsi="Times New Roman" w:cs="Times New Roman" w:eastAsia="Times New Roman" w:hint="default"/>
          <w:w w:val="95"/>
          <w:sz w:val="21"/>
          <w:szCs w:val="21"/>
        </w:rPr>
        <w:t>174.16%</w:t>
      </w:r>
      <w:r>
        <w:rPr>
          <w:rFonts w:ascii="宋体" w:hAnsi="宋体" w:cs="宋体" w:eastAsia="宋体" w:hint="default"/>
          <w:w w:val="95"/>
          <w:sz w:val="21"/>
          <w:szCs w:val="21"/>
        </w:rPr>
        <w:t>，主要原因系</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年末购买短期低风险保本型理财</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产品</w:t>
      </w:r>
      <w:r>
        <w:rPr>
          <w:rFonts w:ascii="Times New Roman" w:hAnsi="Times New Roman" w:cs="Times New Roman" w:eastAsia="Times New Roman" w:hint="default"/>
          <w:sz w:val="21"/>
          <w:szCs w:val="21"/>
        </w:rPr>
        <w:t>2.6</w:t>
      </w:r>
      <w:r>
        <w:rPr>
          <w:rFonts w:ascii="宋体" w:hAnsi="宋体" w:cs="宋体" w:eastAsia="宋体" w:hint="default"/>
          <w:sz w:val="21"/>
          <w:szCs w:val="21"/>
        </w:rPr>
        <w:t>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年购置土地、房屋建筑物</w:t>
      </w:r>
      <w:r>
        <w:rPr>
          <w:rFonts w:ascii="Times New Roman" w:hAnsi="Times New Roman" w:cs="Times New Roman" w:eastAsia="Times New Roman" w:hint="default"/>
          <w:sz w:val="21"/>
          <w:szCs w:val="21"/>
        </w:rPr>
        <w:t>6915</w:t>
      </w:r>
      <w:r>
        <w:rPr>
          <w:rFonts w:ascii="宋体" w:hAnsi="宋体" w:cs="宋体" w:eastAsia="宋体" w:hint="default"/>
          <w:sz w:val="21"/>
          <w:szCs w:val="21"/>
        </w:rPr>
        <w:t>万元。</w:t>
      </w:r>
    </w:p>
    <w:p>
      <w:pPr>
        <w:spacing w:line="386" w:lineRule="auto" w:before="35"/>
        <w:ind w:left="132" w:right="262" w:firstLine="105"/>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）筹资活动产生的现金流量净额同比增加</w:t>
      </w:r>
      <w:r>
        <w:rPr>
          <w:rFonts w:ascii="Times New Roman" w:hAnsi="Times New Roman" w:cs="Times New Roman" w:eastAsia="Times New Roman" w:hint="default"/>
          <w:w w:val="95"/>
          <w:sz w:val="21"/>
          <w:szCs w:val="21"/>
        </w:rPr>
        <w:t>165.16%</w:t>
      </w:r>
      <w:r>
        <w:rPr>
          <w:rFonts w:ascii="宋体" w:hAnsi="宋体" w:cs="宋体" w:eastAsia="宋体" w:hint="default"/>
          <w:w w:val="95"/>
          <w:sz w:val="21"/>
          <w:szCs w:val="21"/>
        </w:rPr>
        <w:t>，主要原因系</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年三个月以上到期的银行保证金</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较上年减少</w:t>
      </w:r>
      <w:r>
        <w:rPr>
          <w:rFonts w:ascii="Times New Roman" w:hAnsi="Times New Roman" w:cs="Times New Roman" w:eastAsia="Times New Roman" w:hint="default"/>
          <w:sz w:val="21"/>
          <w:szCs w:val="21"/>
        </w:rPr>
        <w:t>4200</w:t>
      </w:r>
      <w:r>
        <w:rPr>
          <w:rFonts w:ascii="宋体" w:hAnsi="宋体" w:cs="宋体" w:eastAsia="宋体" w:hint="default"/>
          <w:sz w:val="21"/>
          <w:szCs w:val="21"/>
        </w:rPr>
        <w:t>万，</w:t>
      </w:r>
      <w:r>
        <w:rPr>
          <w:rFonts w:ascii="Times New Roman" w:hAnsi="Times New Roman" w:cs="Times New Roman" w:eastAsia="Times New Roman" w:hint="default"/>
          <w:sz w:val="21"/>
          <w:szCs w:val="21"/>
        </w:rPr>
        <w:t>2014</w:t>
      </w:r>
      <w:r>
        <w:rPr>
          <w:rFonts w:ascii="宋体" w:hAnsi="宋体" w:cs="宋体" w:eastAsia="宋体" w:hint="default"/>
          <w:sz w:val="21"/>
          <w:szCs w:val="21"/>
        </w:rPr>
        <w:t>年三个月以上到期的银行保证金较上年增加</w:t>
      </w:r>
      <w:r>
        <w:rPr>
          <w:rFonts w:ascii="Times New Roman" w:hAnsi="Times New Roman" w:cs="Times New Roman" w:eastAsia="Times New Roman" w:hint="default"/>
          <w:sz w:val="21"/>
          <w:szCs w:val="21"/>
        </w:rPr>
        <w:t>5800</w:t>
      </w:r>
      <w:r>
        <w:rPr>
          <w:rFonts w:ascii="宋体" w:hAnsi="宋体" w:cs="宋体" w:eastAsia="宋体" w:hint="default"/>
          <w:sz w:val="21"/>
          <w:szCs w:val="21"/>
        </w:rPr>
        <w:t>万。</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spacing w:before="0"/>
        <w:ind w:left="132" w:right="262"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32" w:right="26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262"/>
        <w:jc w:val="left"/>
        <w:rPr>
          <w:b w:val="0"/>
          <w:bCs w:val="0"/>
        </w:rPr>
      </w:pP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32" w:right="26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262"/>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spacing w:before="0"/>
        <w:ind w:left="132" w:right="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0" w:right="3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32"/>
        <w:gridCol w:w="1545"/>
        <w:gridCol w:w="855"/>
        <w:gridCol w:w="1485"/>
        <w:gridCol w:w="1020"/>
        <w:gridCol w:w="795"/>
        <w:gridCol w:w="2437"/>
      </w:tblGrid>
      <w:tr>
        <w:trPr>
          <w:trHeight w:val="332" w:hRule="exact"/>
        </w:trPr>
        <w:tc>
          <w:tcPr>
            <w:tcW w:w="1432" w:type="dxa"/>
            <w:vMerge w:val="restart"/>
            <w:tcBorders>
              <w:top w:val="single" w:sz="12" w:space="0" w:color="000000"/>
              <w:left w:val="single" w:sz="12" w:space="0" w:color="000000"/>
              <w:right w:val="single" w:sz="4" w:space="0" w:color="000000"/>
            </w:tcBorders>
            <w:shd w:val="clear" w:color="auto" w:fill="D3D3D3"/>
          </w:tcPr>
          <w:p>
            <w:pPr/>
          </w:p>
        </w:tc>
        <w:tc>
          <w:tcPr>
            <w:tcW w:w="2400"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505"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795" w:type="dxa"/>
            <w:vMerge w:val="restart"/>
            <w:tcBorders>
              <w:top w:val="single" w:sz="12" w:space="0" w:color="000000"/>
              <w:left w:val="single" w:sz="4" w:space="0" w:color="000000"/>
              <w:right w:val="single" w:sz="4" w:space="0" w:color="000000"/>
            </w:tcBorders>
            <w:shd w:val="clear" w:color="auto" w:fill="D3D3D3"/>
          </w:tcPr>
          <w:p>
            <w:pPr>
              <w:pStyle w:val="TableParagraph"/>
              <w:spacing w:line="316" w:lineRule="auto" w:before="16"/>
              <w:ind w:left="302" w:right="12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437"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0" w:hRule="exact"/>
        </w:trPr>
        <w:tc>
          <w:tcPr>
            <w:tcW w:w="1432" w:type="dxa"/>
            <w:vMerge/>
            <w:tcBorders>
              <w:left w:val="single" w:sz="12" w:space="0" w:color="000000"/>
              <w:bottom w:val="single" w:sz="4" w:space="0" w:color="000000"/>
              <w:right w:val="single" w:sz="4" w:space="0" w:color="000000"/>
            </w:tcBorders>
            <w:shd w:val="clear" w:color="auto" w:fill="D3D3D3"/>
          </w:tcPr>
          <w:p>
            <w:pPr/>
          </w:p>
        </w:tc>
        <w:tc>
          <w:tcPr>
            <w:tcW w:w="1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占总资</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44" w:right="0"/>
              <w:jc w:val="left"/>
              <w:rPr>
                <w:rFonts w:ascii="宋体" w:hAnsi="宋体" w:cs="宋体" w:eastAsia="宋体" w:hint="default"/>
                <w:sz w:val="18"/>
                <w:szCs w:val="18"/>
              </w:rPr>
            </w:pPr>
            <w:r>
              <w:rPr>
                <w:rFonts w:ascii="宋体" w:hAnsi="宋体" w:cs="宋体" w:eastAsia="宋体" w:hint="default"/>
                <w:sz w:val="18"/>
                <w:szCs w:val="18"/>
              </w:rPr>
              <w:t>占总资产</w:t>
            </w:r>
          </w:p>
        </w:tc>
        <w:tc>
          <w:tcPr>
            <w:tcW w:w="795" w:type="dxa"/>
            <w:vMerge/>
            <w:tcBorders>
              <w:left w:val="single" w:sz="4" w:space="0" w:color="000000"/>
              <w:bottom w:val="single" w:sz="4" w:space="0" w:color="000000"/>
              <w:right w:val="single" w:sz="4" w:space="0" w:color="000000"/>
            </w:tcBorders>
            <w:shd w:val="clear" w:color="auto" w:fill="D3D3D3"/>
          </w:tcPr>
          <w:p>
            <w:pPr/>
          </w:p>
        </w:tc>
        <w:tc>
          <w:tcPr>
            <w:tcW w:w="2437" w:type="dxa"/>
            <w:vMerge/>
            <w:tcBorders>
              <w:left w:val="single" w:sz="4" w:space="0" w:color="000000"/>
              <w:bottom w:val="single" w:sz="4" w:space="0" w:color="000000"/>
              <w:right w:val="single" w:sz="12" w:space="0" w:color="000000"/>
            </w:tcBorders>
            <w:shd w:val="clear" w:color="auto" w:fill="D3D3D3"/>
          </w:tcPr>
          <w:p>
            <w:pPr/>
          </w:p>
        </w:tc>
      </w:tr>
    </w:tbl>
    <w:p>
      <w:pPr>
        <w:spacing w:after="0"/>
        <w:sectPr>
          <w:pgSz w:w="11910" w:h="16840"/>
          <w:pgMar w:header="850" w:footer="1012" w:top="1440" w:bottom="1200" w:left="1000" w:right="78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432"/>
        <w:gridCol w:w="1545"/>
        <w:gridCol w:w="855"/>
        <w:gridCol w:w="1485"/>
        <w:gridCol w:w="1020"/>
        <w:gridCol w:w="795"/>
        <w:gridCol w:w="2437"/>
      </w:tblGrid>
      <w:tr>
        <w:trPr>
          <w:trHeight w:val="322"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
        </w:tc>
        <w:tc>
          <w:tcPr>
            <w:tcW w:w="15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产比例</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37"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22"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737,780,460.96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4" w:right="0"/>
              <w:jc w:val="center"/>
              <w:rPr>
                <w:rFonts w:ascii="Times New Roman" w:hAnsi="Times New Roman" w:cs="Times New Roman" w:eastAsia="Times New Roman" w:hint="default"/>
                <w:sz w:val="18"/>
                <w:szCs w:val="18"/>
              </w:rPr>
            </w:pPr>
            <w:r>
              <w:rPr>
                <w:rFonts w:ascii="Times New Roman"/>
                <w:sz w:val="18"/>
              </w:rPr>
              <w:t>14.63%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790,435,306.28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-2.27%</w:t>
            </w:r>
          </w:p>
        </w:tc>
        <w:tc>
          <w:tcPr>
            <w:tcW w:w="2437" w:type="dxa"/>
            <w:tcBorders>
              <w:top w:val="single" w:sz="4" w:space="0" w:color="000000"/>
              <w:left w:val="single" w:sz="4" w:space="0" w:color="000000"/>
              <w:bottom w:val="single" w:sz="4" w:space="0" w:color="000000"/>
              <w:right w:val="single" w:sz="12" w:space="0" w:color="000000"/>
            </w:tcBorders>
          </w:tcPr>
          <w:p>
            <w:pPr/>
          </w:p>
        </w:tc>
      </w:tr>
      <w:tr>
        <w:trPr>
          <w:trHeight w:val="2194"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2,037,692,824.26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40.40%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1,958,448,310.47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41.87%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-1.47%</w:t>
            </w:r>
          </w:p>
        </w:tc>
        <w:tc>
          <w:tcPr>
            <w:tcW w:w="2437" w:type="dxa"/>
            <w:tcBorders>
              <w:top w:val="single" w:sz="4" w:space="0" w:color="000000"/>
              <w:left w:val="single" w:sz="4" w:space="0" w:color="000000"/>
              <w:bottom w:val="single" w:sz="4" w:space="0" w:color="000000"/>
              <w:right w:val="single" w:sz="12" w:space="0" w:color="000000"/>
            </w:tcBorders>
          </w:tcPr>
          <w:p>
            <w:pPr>
              <w:pStyle w:val="TableParagraph"/>
              <w:spacing w:line="312" w:lineRule="auto" w:before="12"/>
              <w:ind w:left="102" w:right="90"/>
              <w:jc w:val="left"/>
              <w:rPr>
                <w:rFonts w:ascii="宋体" w:hAnsi="宋体" w:cs="宋体" w:eastAsia="宋体" w:hint="default"/>
                <w:sz w:val="18"/>
                <w:szCs w:val="18"/>
              </w:rPr>
            </w:pPr>
            <w:r>
              <w:rPr>
                <w:rFonts w:ascii="宋体" w:hAnsi="宋体" w:cs="宋体" w:eastAsia="宋体" w:hint="default"/>
                <w:sz w:val="18"/>
                <w:szCs w:val="18"/>
              </w:rPr>
              <w:t>销售额增长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17.11%</w:t>
            </w:r>
            <w:r>
              <w:rPr>
                <w:rFonts w:ascii="宋体" w:hAnsi="宋体" w:cs="宋体" w:eastAsia="宋体" w:hint="default"/>
                <w:sz w:val="18"/>
                <w:szCs w:val="18"/>
              </w:rPr>
              <w:t>，应收账 款增加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7900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万，在销售规模</w:t>
            </w:r>
            <w:r>
              <w:rPr>
                <w:rFonts w:ascii="宋体" w:hAnsi="宋体" w:cs="宋体" w:eastAsia="宋体" w:hint="default"/>
                <w:sz w:val="18"/>
                <w:szCs w:val="18"/>
              </w:rPr>
              <w:t> 增加的情况下我司采取升级 应收账款管理机制，调整客 户信用政策等措施，加强了 对应收账款的管理，因此应 收账款比重下降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1.47%</w:t>
            </w:r>
            <w:r>
              <w:rPr>
                <w:rFonts w:ascii="宋体" w:hAnsi="宋体" w:cs="宋体" w:eastAsia="宋体" w:hint="default"/>
                <w:sz w:val="18"/>
                <w:szCs w:val="18"/>
              </w:rPr>
              <w:t>。</w:t>
            </w:r>
          </w:p>
        </w:tc>
      </w:tr>
      <w:tr>
        <w:trPr>
          <w:trHeight w:val="322"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491,047,745.53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Times New Roman" w:hAnsi="Times New Roman" w:cs="Times New Roman" w:eastAsia="Times New Roman" w:hint="default"/>
                <w:sz w:val="18"/>
                <w:szCs w:val="18"/>
              </w:rPr>
            </w:pPr>
            <w:r>
              <w:rPr>
                <w:rFonts w:ascii="Times New Roman"/>
                <w:sz w:val="18"/>
              </w:rPr>
              <w:t>9.74%</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404,599,612.05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8.65%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1.09%</w:t>
            </w:r>
          </w:p>
        </w:tc>
        <w:tc>
          <w:tcPr>
            <w:tcW w:w="2437" w:type="dxa"/>
            <w:tcBorders>
              <w:top w:val="single" w:sz="4" w:space="0" w:color="000000"/>
              <w:left w:val="single" w:sz="4" w:space="0" w:color="000000"/>
              <w:bottom w:val="single" w:sz="4" w:space="0" w:color="000000"/>
              <w:right w:val="single" w:sz="12" w:space="0" w:color="000000"/>
            </w:tcBorders>
          </w:tcPr>
          <w:p>
            <w:pPr/>
          </w:p>
        </w:tc>
      </w:tr>
      <w:tr>
        <w:trPr>
          <w:trHeight w:val="1258"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10,841,705.72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0.21%</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3,407,096.61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0.07%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0.14%</w:t>
            </w:r>
          </w:p>
        </w:tc>
        <w:tc>
          <w:tcPr>
            <w:tcW w:w="2437" w:type="dxa"/>
            <w:tcBorders>
              <w:top w:val="single" w:sz="4" w:space="0" w:color="000000"/>
              <w:left w:val="single" w:sz="4" w:space="0" w:color="000000"/>
              <w:bottom w:val="single" w:sz="4" w:space="0" w:color="000000"/>
              <w:right w:val="single" w:sz="12" w:space="0" w:color="000000"/>
            </w:tcBorders>
          </w:tcPr>
          <w:p>
            <w:pPr>
              <w:pStyle w:val="TableParagraph"/>
              <w:spacing w:line="312" w:lineRule="auto" w:before="11"/>
              <w:ind w:left="102" w:right="153"/>
              <w:jc w:val="left"/>
              <w:rPr>
                <w:rFonts w:ascii="宋体" w:hAnsi="宋体" w:cs="宋体" w:eastAsia="宋体" w:hint="default"/>
                <w:sz w:val="18"/>
                <w:szCs w:val="18"/>
              </w:rPr>
            </w:pPr>
            <w:r>
              <w:rPr>
                <w:rFonts w:ascii="宋体" w:hAnsi="宋体" w:cs="宋体" w:eastAsia="宋体" w:hint="default"/>
                <w:sz w:val="18"/>
                <w:szCs w:val="18"/>
              </w:rPr>
              <w:t>长期股权投资较年初增加 </w:t>
            </w:r>
            <w:r>
              <w:rPr>
                <w:rFonts w:ascii="Times New Roman" w:hAnsi="Times New Roman" w:cs="Times New Roman" w:eastAsia="Times New Roman" w:hint="default"/>
                <w:sz w:val="18"/>
                <w:szCs w:val="18"/>
              </w:rPr>
              <w:t>743.46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万，主要系本年新增 投资山东万恩新能源科技有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22"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639,829,641.41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4" w:right="0"/>
              <w:jc w:val="center"/>
              <w:rPr>
                <w:rFonts w:ascii="Times New Roman" w:hAnsi="Times New Roman" w:cs="Times New Roman" w:eastAsia="Times New Roman" w:hint="default"/>
                <w:sz w:val="18"/>
                <w:szCs w:val="18"/>
              </w:rPr>
            </w:pPr>
            <w:r>
              <w:rPr>
                <w:rFonts w:ascii="Times New Roman"/>
                <w:sz w:val="18"/>
              </w:rPr>
              <w:t>12.69%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665,697,823.39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14.23%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-1.54%</w:t>
            </w:r>
          </w:p>
        </w:tc>
        <w:tc>
          <w:tcPr>
            <w:tcW w:w="2437" w:type="dxa"/>
            <w:tcBorders>
              <w:top w:val="single" w:sz="4" w:space="0" w:color="000000"/>
              <w:left w:val="single" w:sz="4" w:space="0" w:color="000000"/>
              <w:bottom w:val="single" w:sz="4" w:space="0" w:color="000000"/>
              <w:right w:val="single" w:sz="12" w:space="0" w:color="000000"/>
            </w:tcBorders>
          </w:tcPr>
          <w:p>
            <w:pPr/>
          </w:p>
        </w:tc>
      </w:tr>
      <w:tr>
        <w:trPr>
          <w:trHeight w:val="1570"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18,068,272.50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0.36%</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1,725,746.51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0.04%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0.32%</w:t>
            </w:r>
          </w:p>
        </w:tc>
        <w:tc>
          <w:tcPr>
            <w:tcW w:w="24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在建工程较年初增加</w:t>
            </w:r>
          </w:p>
          <w:p>
            <w:pPr>
              <w:pStyle w:val="TableParagraph"/>
              <w:spacing w:line="300" w:lineRule="auto" w:before="76"/>
              <w:ind w:left="10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1634.25 </w:t>
            </w:r>
            <w:r>
              <w:rPr>
                <w:rFonts w:ascii="宋体" w:hAnsi="宋体" w:cs="宋体" w:eastAsia="宋体" w:hint="default"/>
                <w:spacing w:val="-4"/>
                <w:sz w:val="18"/>
                <w:szCs w:val="18"/>
              </w:rPr>
              <w:t>万，主要系新建青山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677.37</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万，新增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 低烟无卤等流水线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660.78 </w:t>
            </w:r>
            <w:r>
              <w:rPr>
                <w:rFonts w:ascii="宋体" w:hAnsi="宋体" w:cs="宋体" w:eastAsia="宋体" w:hint="default"/>
                <w:sz w:val="18"/>
                <w:szCs w:val="18"/>
              </w:rPr>
              <w:t>万，其他工程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r>
      <w:tr>
        <w:trPr>
          <w:trHeight w:val="1570" w:hRule="exact"/>
        </w:trPr>
        <w:tc>
          <w:tcPr>
            <w:tcW w:w="14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219,000,000.00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4.34%</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640,944,731.84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-9.36%</w:t>
            </w:r>
          </w:p>
        </w:tc>
        <w:tc>
          <w:tcPr>
            <w:tcW w:w="243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2" w:right="154"/>
              <w:jc w:val="left"/>
              <w:rPr>
                <w:rFonts w:ascii="宋体" w:hAnsi="宋体" w:cs="宋体" w:eastAsia="宋体" w:hint="default"/>
                <w:sz w:val="18"/>
                <w:szCs w:val="18"/>
              </w:rPr>
            </w:pPr>
            <w:r>
              <w:rPr>
                <w:rFonts w:ascii="宋体" w:hAnsi="宋体" w:cs="宋体" w:eastAsia="宋体" w:hint="default"/>
                <w:sz w:val="18"/>
                <w:szCs w:val="18"/>
              </w:rPr>
              <w:t>一方面公司加强应收款管 理，回笼率提升，偿还了部 分银行借款；另一方面公司 对负债结构进行调整，发行 短期融资券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w:t>
            </w:r>
          </w:p>
        </w:tc>
      </w:tr>
      <w:tr>
        <w:trPr>
          <w:trHeight w:val="644" w:hRule="exact"/>
        </w:trPr>
        <w:tc>
          <w:tcPr>
            <w:tcW w:w="143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160,000,000.00</w:t>
            </w:r>
          </w:p>
        </w:tc>
        <w:tc>
          <w:tcPr>
            <w:tcW w:w="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3.17%</w:t>
            </w:r>
          </w:p>
        </w:tc>
        <w:tc>
          <w:tcPr>
            <w:tcW w:w="1485" w:type="dxa"/>
            <w:tcBorders>
              <w:top w:val="single" w:sz="4" w:space="0" w:color="000000"/>
              <w:left w:val="single" w:sz="4" w:space="0" w:color="000000"/>
              <w:bottom w:val="single" w:sz="12" w:space="0" w:color="000000"/>
              <w:right w:val="single" w:sz="4" w:space="0" w:color="000000"/>
            </w:tcBorders>
          </w:tcPr>
          <w:p>
            <w:pPr/>
          </w:p>
        </w:tc>
        <w:tc>
          <w:tcPr>
            <w:tcW w:w="1020" w:type="dxa"/>
            <w:tcBorders>
              <w:top w:val="single" w:sz="4" w:space="0" w:color="000000"/>
              <w:left w:val="single" w:sz="4" w:space="0" w:color="000000"/>
              <w:bottom w:val="single" w:sz="12" w:space="0" w:color="000000"/>
              <w:right w:val="single" w:sz="4" w:space="0" w:color="000000"/>
            </w:tcBorders>
          </w:tcPr>
          <w:p>
            <w:pPr/>
          </w:p>
        </w:tc>
        <w:tc>
          <w:tcPr>
            <w:tcW w:w="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3.17%</w:t>
            </w:r>
          </w:p>
        </w:tc>
        <w:tc>
          <w:tcPr>
            <w:tcW w:w="2437"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12"/>
              <w:ind w:left="102" w:right="153"/>
              <w:jc w:val="left"/>
              <w:rPr>
                <w:rFonts w:ascii="宋体" w:hAnsi="宋体" w:cs="宋体" w:eastAsia="宋体" w:hint="default"/>
                <w:sz w:val="18"/>
                <w:szCs w:val="18"/>
              </w:rPr>
            </w:pPr>
            <w:r>
              <w:rPr>
                <w:rFonts w:ascii="宋体" w:hAnsi="宋体" w:cs="宋体" w:eastAsia="宋体" w:hint="default"/>
                <w:sz w:val="18"/>
                <w:szCs w:val="18"/>
              </w:rPr>
              <w:t>取得进出口银行政策性低息 借款 </w:t>
            </w:r>
            <w:r>
              <w:rPr>
                <w:rFonts w:ascii="Times New Roman" w:hAnsi="Times New Roman" w:cs="Times New Roman" w:eastAsia="Times New Roman" w:hint="default"/>
                <w:sz w:val="18"/>
                <w:szCs w:val="18"/>
              </w:rPr>
              <w:t>1.6 </w:t>
            </w:r>
            <w:r>
              <w:rPr>
                <w:rFonts w:ascii="宋体" w:hAnsi="宋体" w:cs="宋体" w:eastAsia="宋体" w:hint="default"/>
                <w:sz w:val="18"/>
                <w:szCs w:val="18"/>
              </w:rPr>
              <w:t>亿</w:t>
            </w:r>
            <w:r>
              <w:rPr>
                <w:rFonts w:ascii="宋体" w:hAnsi="宋体" w:cs="宋体" w:eastAsia="宋体" w:hint="default"/>
                <w:spacing w:val="-46"/>
                <w:sz w:val="18"/>
                <w:szCs w:val="18"/>
              </w:rPr>
              <w:t> </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708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88"/>
        <w:gridCol w:w="3190"/>
        <w:gridCol w:w="3191"/>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1"/>
              <w:ind w:left="1940" w:right="0"/>
              <w:jc w:val="left"/>
              <w:rPr>
                <w:rFonts w:ascii="Times New Roman" w:hAnsi="Times New Roman" w:cs="Times New Roman" w:eastAsia="Times New Roman" w:hint="default"/>
                <w:sz w:val="18"/>
                <w:szCs w:val="18"/>
              </w:rPr>
            </w:pPr>
            <w:r>
              <w:rPr>
                <w:rFonts w:ascii="Times New Roman"/>
                <w:sz w:val="18"/>
              </w:rPr>
              <w:t>317,367,172.00</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123,986,250.76</w:t>
            </w:r>
          </w:p>
        </w:tc>
        <w:tc>
          <w:tcPr>
            <w:tcW w:w="31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155.97%</w:t>
            </w:r>
          </w:p>
        </w:tc>
      </w:tr>
    </w:tbl>
    <w:p>
      <w:pPr>
        <w:spacing w:line="240" w:lineRule="auto" w:before="4"/>
        <w:rPr>
          <w:rFonts w:ascii="宋体" w:hAnsi="宋体" w:cs="宋体" w:eastAsia="宋体" w:hint="default"/>
          <w:sz w:val="19"/>
          <w:szCs w:val="19"/>
        </w:rPr>
      </w:pPr>
    </w:p>
    <w:p>
      <w:pPr>
        <w:spacing w:before="34"/>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54"/>
        <w:gridCol w:w="760"/>
        <w:gridCol w:w="514"/>
        <w:gridCol w:w="622"/>
        <w:gridCol w:w="622"/>
        <w:gridCol w:w="622"/>
        <w:gridCol w:w="618"/>
        <w:gridCol w:w="616"/>
        <w:gridCol w:w="526"/>
        <w:gridCol w:w="705"/>
        <w:gridCol w:w="571"/>
        <w:gridCol w:w="693"/>
        <w:gridCol w:w="690"/>
        <w:gridCol w:w="690"/>
        <w:gridCol w:w="668"/>
      </w:tblGrid>
      <w:tr>
        <w:trPr>
          <w:trHeight w:val="642" w:hRule="exact"/>
        </w:trPr>
        <w:tc>
          <w:tcPr>
            <w:tcW w:w="65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1"/>
              <w:ind w:left="133" w:right="139"/>
              <w:jc w:val="left"/>
              <w:rPr>
                <w:rFonts w:ascii="宋体" w:hAnsi="宋体" w:cs="宋体" w:eastAsia="宋体" w:hint="default"/>
                <w:sz w:val="18"/>
                <w:szCs w:val="18"/>
              </w:rPr>
            </w:pPr>
            <w:r>
              <w:rPr>
                <w:rFonts w:ascii="宋体" w:hAnsi="宋体" w:cs="宋体" w:eastAsia="宋体" w:hint="default"/>
                <w:sz w:val="18"/>
                <w:szCs w:val="18"/>
              </w:rPr>
              <w:t>被投 资公</w:t>
            </w:r>
          </w:p>
        </w:tc>
        <w:tc>
          <w:tcPr>
            <w:tcW w:w="7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85" w:right="10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51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1" w:right="160"/>
              <w:jc w:val="left"/>
              <w:rPr>
                <w:rFonts w:ascii="宋体" w:hAnsi="宋体" w:cs="宋体" w:eastAsia="宋体" w:hint="default"/>
                <w:sz w:val="18"/>
                <w:szCs w:val="18"/>
              </w:rPr>
            </w:pPr>
            <w:r>
              <w:rPr>
                <w:rFonts w:ascii="宋体" w:hAnsi="宋体" w:cs="宋体" w:eastAsia="宋体" w:hint="default"/>
                <w:sz w:val="18"/>
                <w:szCs w:val="18"/>
              </w:rPr>
              <w:t>投 资</w:t>
            </w:r>
          </w:p>
        </w:tc>
        <w:tc>
          <w:tcPr>
            <w:tcW w:w="6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25" w:right="125"/>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27" w:right="12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26" w:right="12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15" w:right="122" w:hanging="92"/>
              <w:jc w:val="left"/>
              <w:rPr>
                <w:rFonts w:ascii="宋体" w:hAnsi="宋体" w:cs="宋体" w:eastAsia="宋体" w:hint="default"/>
                <w:sz w:val="18"/>
                <w:szCs w:val="18"/>
              </w:rPr>
            </w:pPr>
            <w:r>
              <w:rPr>
                <w:rFonts w:ascii="宋体" w:hAnsi="宋体" w:cs="宋体" w:eastAsia="宋体" w:hint="default"/>
                <w:sz w:val="18"/>
                <w:szCs w:val="18"/>
              </w:rPr>
              <w:t>合作 方</w:t>
            </w:r>
          </w:p>
        </w:tc>
        <w:tc>
          <w:tcPr>
            <w:tcW w:w="61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22" w:right="12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2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9" w:right="165"/>
              <w:jc w:val="left"/>
              <w:rPr>
                <w:rFonts w:ascii="宋体" w:hAnsi="宋体" w:cs="宋体" w:eastAsia="宋体" w:hint="default"/>
                <w:sz w:val="18"/>
                <w:szCs w:val="18"/>
              </w:rPr>
            </w:pPr>
            <w:r>
              <w:rPr>
                <w:rFonts w:ascii="宋体" w:hAnsi="宋体" w:cs="宋体" w:eastAsia="宋体" w:hint="default"/>
                <w:sz w:val="18"/>
                <w:szCs w:val="18"/>
              </w:rPr>
              <w:t>产 品</w:t>
            </w:r>
          </w:p>
        </w:tc>
        <w:tc>
          <w:tcPr>
            <w:tcW w:w="7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6" w:right="167"/>
              <w:jc w:val="left"/>
              <w:rPr>
                <w:rFonts w:ascii="宋体" w:hAnsi="宋体" w:cs="宋体" w:eastAsia="宋体" w:hint="default"/>
                <w:sz w:val="18"/>
                <w:szCs w:val="18"/>
              </w:rPr>
            </w:pPr>
            <w:r>
              <w:rPr>
                <w:rFonts w:ascii="宋体" w:hAnsi="宋体" w:cs="宋体" w:eastAsia="宋体" w:hint="default"/>
                <w:sz w:val="18"/>
                <w:szCs w:val="18"/>
              </w:rPr>
              <w:t>截至 资产</w:t>
            </w:r>
          </w:p>
        </w:tc>
        <w:tc>
          <w:tcPr>
            <w:tcW w:w="57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91" w:right="188"/>
              <w:jc w:val="center"/>
              <w:rPr>
                <w:rFonts w:ascii="宋体" w:hAnsi="宋体" w:cs="宋体" w:eastAsia="宋体" w:hint="default"/>
                <w:sz w:val="18"/>
                <w:szCs w:val="18"/>
              </w:rPr>
            </w:pPr>
            <w:r>
              <w:rPr>
                <w:rFonts w:ascii="宋体" w:hAnsi="宋体" w:cs="宋体" w:eastAsia="宋体" w:hint="default"/>
                <w:sz w:val="18"/>
                <w:szCs w:val="18"/>
              </w:rPr>
              <w:t>预 计</w:t>
            </w:r>
          </w:p>
        </w:tc>
        <w:tc>
          <w:tcPr>
            <w:tcW w:w="69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0" w:right="161"/>
              <w:jc w:val="left"/>
              <w:rPr>
                <w:rFonts w:ascii="宋体" w:hAnsi="宋体" w:cs="宋体" w:eastAsia="宋体" w:hint="default"/>
                <w:sz w:val="18"/>
                <w:szCs w:val="18"/>
              </w:rPr>
            </w:pPr>
            <w:r>
              <w:rPr>
                <w:rFonts w:ascii="宋体" w:hAnsi="宋体" w:cs="宋体" w:eastAsia="宋体" w:hint="default"/>
                <w:sz w:val="18"/>
                <w:szCs w:val="18"/>
              </w:rPr>
              <w:t>本期 投资</w:t>
            </w:r>
          </w:p>
        </w:tc>
        <w:tc>
          <w:tcPr>
            <w:tcW w:w="6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0" w:right="15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59" w:right="15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6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11"/>
              <w:ind w:left="148" w:right="138"/>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6" w:lineRule="auto"/>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654"/>
        <w:gridCol w:w="760"/>
        <w:gridCol w:w="514"/>
        <w:gridCol w:w="622"/>
        <w:gridCol w:w="622"/>
        <w:gridCol w:w="622"/>
        <w:gridCol w:w="618"/>
        <w:gridCol w:w="616"/>
        <w:gridCol w:w="526"/>
        <w:gridCol w:w="705"/>
        <w:gridCol w:w="571"/>
        <w:gridCol w:w="693"/>
        <w:gridCol w:w="690"/>
        <w:gridCol w:w="690"/>
        <w:gridCol w:w="668"/>
      </w:tblGrid>
      <w:tr>
        <w:trPr>
          <w:trHeight w:val="1580" w:hRule="exact"/>
        </w:trPr>
        <w:tc>
          <w:tcPr>
            <w:tcW w:w="65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3"/>
              <w:ind w:left="221" w:right="139" w:hanging="89"/>
              <w:jc w:val="left"/>
              <w:rPr>
                <w:rFonts w:ascii="宋体" w:hAnsi="宋体" w:cs="宋体" w:eastAsia="宋体" w:hint="default"/>
                <w:sz w:val="18"/>
                <w:szCs w:val="18"/>
              </w:rPr>
            </w:pPr>
            <w:r>
              <w:rPr>
                <w:rFonts w:ascii="宋体" w:hAnsi="宋体" w:cs="宋体" w:eastAsia="宋体" w:hint="default"/>
                <w:sz w:val="18"/>
                <w:szCs w:val="18"/>
              </w:rPr>
              <w:t>司名 称</w:t>
            </w:r>
          </w:p>
        </w:tc>
        <w:tc>
          <w:tcPr>
            <w:tcW w:w="760"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51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
              <w:ind w:left="161" w:right="160"/>
              <w:jc w:val="left"/>
              <w:rPr>
                <w:rFonts w:ascii="宋体" w:hAnsi="宋体" w:cs="宋体" w:eastAsia="宋体" w:hint="default"/>
                <w:sz w:val="18"/>
                <w:szCs w:val="18"/>
              </w:rPr>
            </w:pPr>
            <w:r>
              <w:rPr>
                <w:rFonts w:ascii="宋体" w:hAnsi="宋体" w:cs="宋体" w:eastAsia="宋体" w:hint="default"/>
                <w:sz w:val="18"/>
                <w:szCs w:val="18"/>
              </w:rPr>
              <w:t>方 式</w:t>
            </w:r>
          </w:p>
        </w:tc>
        <w:tc>
          <w:tcPr>
            <w:tcW w:w="622"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622"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622"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618"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616"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52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
              <w:ind w:left="169" w:right="165"/>
              <w:jc w:val="left"/>
              <w:rPr>
                <w:rFonts w:ascii="宋体" w:hAnsi="宋体" w:cs="宋体" w:eastAsia="宋体" w:hint="default"/>
                <w:sz w:val="18"/>
                <w:szCs w:val="18"/>
              </w:rPr>
            </w:pPr>
            <w:r>
              <w:rPr>
                <w:rFonts w:ascii="宋体" w:hAnsi="宋体" w:cs="宋体" w:eastAsia="宋体" w:hint="default"/>
                <w:sz w:val="18"/>
                <w:szCs w:val="18"/>
              </w:rPr>
              <w:t>类 型</w:t>
            </w:r>
          </w:p>
        </w:tc>
        <w:tc>
          <w:tcPr>
            <w:tcW w:w="7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
              <w:ind w:left="166" w:right="167"/>
              <w:jc w:val="both"/>
              <w:rPr>
                <w:rFonts w:ascii="宋体" w:hAnsi="宋体" w:cs="宋体" w:eastAsia="宋体" w:hint="default"/>
                <w:sz w:val="18"/>
                <w:szCs w:val="18"/>
              </w:rPr>
            </w:pPr>
            <w:r>
              <w:rPr>
                <w:rFonts w:ascii="宋体" w:hAnsi="宋体" w:cs="宋体" w:eastAsia="宋体" w:hint="default"/>
                <w:sz w:val="18"/>
                <w:szCs w:val="18"/>
              </w:rPr>
              <w:t>负债 表日 的进 展情 况</w:t>
            </w:r>
          </w:p>
        </w:tc>
        <w:tc>
          <w:tcPr>
            <w:tcW w:w="57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
              <w:ind w:left="191" w:right="188"/>
              <w:jc w:val="center"/>
              <w:rPr>
                <w:rFonts w:ascii="宋体" w:hAnsi="宋体" w:cs="宋体" w:eastAsia="宋体" w:hint="default"/>
                <w:sz w:val="18"/>
                <w:szCs w:val="18"/>
              </w:rPr>
            </w:pPr>
            <w:r>
              <w:rPr>
                <w:rFonts w:ascii="宋体" w:hAnsi="宋体" w:cs="宋体" w:eastAsia="宋体" w:hint="default"/>
                <w:sz w:val="18"/>
                <w:szCs w:val="18"/>
              </w:rPr>
              <w:t>收 益</w:t>
            </w:r>
          </w:p>
        </w:tc>
        <w:tc>
          <w:tcPr>
            <w:tcW w:w="69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60" w:right="0"/>
              <w:jc w:val="left"/>
              <w:rPr>
                <w:rFonts w:ascii="宋体" w:hAnsi="宋体" w:cs="宋体" w:eastAsia="宋体" w:hint="default"/>
                <w:sz w:val="18"/>
                <w:szCs w:val="18"/>
              </w:rPr>
            </w:pPr>
            <w:r>
              <w:rPr>
                <w:rFonts w:ascii="宋体" w:hAnsi="宋体" w:cs="宋体" w:eastAsia="宋体" w:hint="default"/>
                <w:sz w:val="18"/>
                <w:szCs w:val="18"/>
              </w:rPr>
              <w:t>盈亏</w:t>
            </w:r>
          </w:p>
        </w:tc>
        <w:tc>
          <w:tcPr>
            <w:tcW w:w="690"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6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
              <w:ind w:left="159" w:right="159"/>
              <w:jc w:val="left"/>
              <w:rPr>
                <w:rFonts w:ascii="宋体" w:hAnsi="宋体" w:cs="宋体" w:eastAsia="宋体" w:hint="default"/>
                <w:sz w:val="18"/>
                <w:szCs w:val="18"/>
              </w:rPr>
            </w:pPr>
            <w:r>
              <w:rPr>
                <w:rFonts w:ascii="宋体" w:hAnsi="宋体" w:cs="宋体" w:eastAsia="宋体" w:hint="default"/>
                <w:sz w:val="18"/>
                <w:szCs w:val="18"/>
              </w:rPr>
              <w:t>（如 有）</w:t>
            </w:r>
          </w:p>
        </w:tc>
        <w:tc>
          <w:tcPr>
            <w:tcW w:w="66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13"/>
              <w:ind w:left="148" w:right="138"/>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6562"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92" w:right="180"/>
              <w:jc w:val="both"/>
              <w:rPr>
                <w:rFonts w:ascii="宋体" w:hAnsi="宋体" w:cs="宋体" w:eastAsia="宋体" w:hint="default"/>
                <w:sz w:val="18"/>
                <w:szCs w:val="18"/>
              </w:rPr>
            </w:pPr>
            <w:r>
              <w:rPr>
                <w:rFonts w:ascii="宋体" w:hAnsi="宋体" w:cs="宋体" w:eastAsia="宋体" w:hint="default"/>
                <w:sz w:val="18"/>
                <w:szCs w:val="18"/>
              </w:rPr>
              <w:t>万马 联合 新能 源投 资有 限公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实业投 资，投 资管 理，投 资咨询</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104" w:right="218"/>
              <w:jc w:val="left"/>
              <w:rPr>
                <w:rFonts w:ascii="宋体" w:hAnsi="宋体" w:cs="宋体" w:eastAsia="宋体" w:hint="default"/>
                <w:sz w:val="18"/>
                <w:szCs w:val="18"/>
              </w:rPr>
            </w:pPr>
            <w:r>
              <w:rPr>
                <w:rFonts w:ascii="宋体" w:hAnsi="宋体" w:cs="宋体" w:eastAsia="宋体" w:hint="default"/>
                <w:sz w:val="18"/>
                <w:szCs w:val="18"/>
              </w:rPr>
              <w:t>新 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102" w:right="144"/>
              <w:jc w:val="both"/>
              <w:rPr>
                <w:rFonts w:ascii="宋体" w:hAnsi="宋体" w:cs="宋体" w:eastAsia="宋体" w:hint="default"/>
                <w:sz w:val="18"/>
                <w:szCs w:val="18"/>
              </w:rPr>
            </w:pPr>
            <w:r>
              <w:rPr>
                <w:rFonts w:ascii="宋体" w:hAnsi="宋体" w:cs="宋体" w:eastAsia="宋体" w:hint="default"/>
                <w:sz w:val="18"/>
                <w:szCs w:val="18"/>
              </w:rPr>
              <w:t>国开 发展 基金 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02" w:right="232"/>
              <w:jc w:val="both"/>
              <w:rPr>
                <w:rFonts w:ascii="宋体" w:hAnsi="宋体" w:cs="宋体" w:eastAsia="宋体" w:hint="default"/>
                <w:sz w:val="18"/>
                <w:szCs w:val="18"/>
              </w:rPr>
            </w:pPr>
            <w:r>
              <w:rPr>
                <w:rFonts w:ascii="宋体" w:hAnsi="宋体" w:cs="宋体" w:eastAsia="宋体" w:hint="default"/>
                <w:sz w:val="18"/>
                <w:szCs w:val="18"/>
              </w:rPr>
              <w:t>股 权 投 资</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04" w:right="229"/>
              <w:jc w:val="both"/>
              <w:rPr>
                <w:rFonts w:ascii="宋体" w:hAnsi="宋体" w:cs="宋体" w:eastAsia="宋体" w:hint="default"/>
                <w:sz w:val="18"/>
                <w:szCs w:val="18"/>
              </w:rPr>
            </w:pPr>
            <w:r>
              <w:rPr>
                <w:rFonts w:ascii="宋体" w:hAnsi="宋体" w:cs="宋体" w:eastAsia="宋体" w:hint="default"/>
                <w:sz w:val="18"/>
                <w:szCs w:val="18"/>
              </w:rPr>
              <w:t>股权 已全 部过 户</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16" w:right="0"/>
              <w:jc w:val="left"/>
              <w:rPr>
                <w:rFonts w:ascii="Times New Roman" w:hAnsi="Times New Roman" w:cs="Times New Roman" w:eastAsia="Times New Roman" w:hint="default"/>
                <w:sz w:val="18"/>
                <w:szCs w:val="18"/>
              </w:rPr>
            </w:pPr>
            <w:r>
              <w:rPr>
                <w:rFonts w:ascii="Times New Roman"/>
                <w:sz w:val="18"/>
              </w:rPr>
              <w:t>-219,7</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93.30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51"/>
              <w:ind w:left="102" w:right="96"/>
              <w:jc w:val="left"/>
              <w:rPr>
                <w:rFonts w:ascii="Times New Roman" w:hAnsi="Times New Roman" w:cs="Times New Roman" w:eastAsia="Times New Roman" w:hint="default"/>
                <w:sz w:val="18"/>
                <w:szCs w:val="18"/>
              </w:rPr>
            </w:pPr>
            <w:r>
              <w:rPr>
                <w:rFonts w:ascii="Times New Roman"/>
                <w:sz w:val="18"/>
              </w:rPr>
              <w:t>http://</w:t>
            </w:r>
            <w:r>
              <w:rPr>
                <w:rFonts w:ascii="Times New Roman"/>
                <w:w w:val="99"/>
                <w:sz w:val="18"/>
              </w:rPr>
              <w:t> </w:t>
            </w:r>
            <w:hyperlink r:id="rId16">
              <w:r>
                <w:rPr>
                  <w:rFonts w:ascii="Times New Roman"/>
                  <w:spacing w:val="-3"/>
                  <w:sz w:val="18"/>
                </w:rPr>
                <w:t>www.</w:t>
              </w:r>
            </w:hyperlink>
            <w:r>
              <w:rPr>
                <w:rFonts w:ascii="Times New Roman"/>
                <w:sz w:val="18"/>
              </w:rPr>
              <w:t> cninf o.com</w:t>
            </w:r>
          </w:p>
          <w:p>
            <w:pPr>
              <w:pStyle w:val="TableParagraph"/>
              <w:spacing w:line="362" w:lineRule="auto" w:before="3"/>
              <w:ind w:left="102" w:right="93"/>
              <w:jc w:val="left"/>
              <w:rPr>
                <w:rFonts w:ascii="Times New Roman" w:hAnsi="Times New Roman" w:cs="Times New Roman" w:eastAsia="Times New Roman" w:hint="default"/>
                <w:sz w:val="18"/>
                <w:szCs w:val="18"/>
              </w:rPr>
            </w:pPr>
            <w:r>
              <w:rPr>
                <w:rFonts w:ascii="Times New Roman"/>
                <w:sz w:val="18"/>
              </w:rPr>
              <w:t>.cn/cn info-n ew/di</w:t>
            </w:r>
            <w:r>
              <w:rPr>
                <w:rFonts w:ascii="Times New Roman"/>
                <w:w w:val="99"/>
                <w:sz w:val="18"/>
              </w:rPr>
              <w:t> </w:t>
            </w:r>
            <w:r>
              <w:rPr>
                <w:rFonts w:ascii="Times New Roman"/>
                <w:sz w:val="18"/>
              </w:rPr>
              <w:t>sclosu</w:t>
            </w:r>
            <w:r>
              <w:rPr>
                <w:rFonts w:ascii="Times New Roman"/>
                <w:sz w:val="18"/>
              </w:rPr>
              <w:t> re/szs</w:t>
            </w:r>
            <w:r>
              <w:rPr>
                <w:rFonts w:ascii="Times New Roman"/>
                <w:w w:val="99"/>
                <w:sz w:val="18"/>
              </w:rPr>
              <w:t> </w:t>
            </w:r>
            <w:r>
              <w:rPr>
                <w:rFonts w:ascii="Times New Roman"/>
                <w:sz w:val="18"/>
              </w:rPr>
              <w:t>e_sm</w:t>
            </w:r>
            <w:r>
              <w:rPr>
                <w:rFonts w:ascii="Times New Roman"/>
                <w:w w:val="99"/>
                <w:sz w:val="18"/>
              </w:rPr>
              <w:t> </w:t>
            </w:r>
            <w:r>
              <w:rPr>
                <w:rFonts w:ascii="Times New Roman"/>
                <w:sz w:val="18"/>
              </w:rPr>
              <w:t>e/bull</w:t>
            </w:r>
            <w:r>
              <w:rPr>
                <w:rFonts w:ascii="Times New Roman"/>
                <w:w w:val="99"/>
                <w:sz w:val="18"/>
              </w:rPr>
              <w:t> </w:t>
            </w:r>
            <w:r>
              <w:rPr>
                <w:rFonts w:ascii="Times New Roman"/>
                <w:sz w:val="18"/>
              </w:rPr>
              <w:t>etin_d</w:t>
            </w:r>
            <w:r>
              <w:rPr>
                <w:rFonts w:ascii="Times New Roman"/>
                <w:sz w:val="18"/>
              </w:rPr>
              <w:t> etail/t</w:t>
            </w:r>
            <w:r>
              <w:rPr>
                <w:rFonts w:ascii="Times New Roman"/>
                <w:w w:val="99"/>
                <w:sz w:val="18"/>
              </w:rPr>
              <w:t> </w:t>
            </w:r>
            <w:r>
              <w:rPr>
                <w:rFonts w:ascii="Times New Roman"/>
                <w:sz w:val="18"/>
              </w:rPr>
              <w:t>rue/1</w:t>
            </w:r>
            <w:r>
              <w:rPr>
                <w:rFonts w:ascii="Times New Roman"/>
                <w:sz w:val="18"/>
              </w:rPr>
              <w:t> 20175</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5310?</w:t>
            </w:r>
          </w:p>
          <w:p>
            <w:pPr>
              <w:pStyle w:val="TableParagraph"/>
              <w:spacing w:line="362" w:lineRule="auto" w:before="105"/>
              <w:ind w:left="102" w:right="103"/>
              <w:jc w:val="both"/>
              <w:rPr>
                <w:rFonts w:ascii="Times New Roman" w:hAnsi="Times New Roman" w:cs="Times New Roman" w:eastAsia="Times New Roman" w:hint="default"/>
                <w:sz w:val="18"/>
                <w:szCs w:val="18"/>
              </w:rPr>
            </w:pPr>
            <w:r>
              <w:rPr>
                <w:rFonts w:ascii="Times New Roman"/>
                <w:sz w:val="18"/>
              </w:rPr>
              <w:t>annou nceTi</w:t>
            </w:r>
            <w:r>
              <w:rPr>
                <w:rFonts w:ascii="Times New Roman"/>
                <w:w w:val="99"/>
                <w:sz w:val="18"/>
              </w:rPr>
              <w:t> </w:t>
            </w:r>
            <w:r>
              <w:rPr>
                <w:rFonts w:ascii="Times New Roman"/>
                <w:sz w:val="18"/>
              </w:rPr>
              <w:t>me=2</w:t>
            </w:r>
            <w:r>
              <w:rPr>
                <w:rFonts w:ascii="Times New Roman"/>
                <w:sz w:val="18"/>
              </w:rPr>
              <w:t> 015-1</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1-06</w:t>
            </w:r>
          </w:p>
        </w:tc>
      </w:tr>
      <w:tr>
        <w:trPr>
          <w:trHeight w:val="5312" w:hRule="exact"/>
        </w:trPr>
        <w:tc>
          <w:tcPr>
            <w:tcW w:w="6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92" w:right="180"/>
              <w:jc w:val="both"/>
              <w:rPr>
                <w:rFonts w:ascii="宋体" w:hAnsi="宋体" w:cs="宋体" w:eastAsia="宋体" w:hint="default"/>
                <w:sz w:val="18"/>
                <w:szCs w:val="18"/>
              </w:rPr>
            </w:pPr>
            <w:r>
              <w:rPr>
                <w:rFonts w:ascii="宋体" w:hAnsi="宋体" w:cs="宋体" w:eastAsia="宋体" w:hint="default"/>
                <w:sz w:val="18"/>
                <w:szCs w:val="18"/>
              </w:rPr>
              <w:t>山东 万恩 新能 源科 技有 限公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5"/>
              <w:jc w:val="both"/>
              <w:rPr>
                <w:rFonts w:ascii="宋体" w:hAnsi="宋体" w:cs="宋体" w:eastAsia="宋体" w:hint="default"/>
                <w:sz w:val="18"/>
                <w:szCs w:val="18"/>
              </w:rPr>
            </w:pPr>
            <w:r>
              <w:rPr>
                <w:rFonts w:ascii="宋体" w:hAnsi="宋体" w:cs="宋体" w:eastAsia="宋体" w:hint="default"/>
                <w:sz w:val="18"/>
                <w:szCs w:val="18"/>
              </w:rPr>
              <w:t>电动车 充电设 备及设 施的设 计、研 发、销 售；电 动车充 电设备 及设施 项目的 建设与 运营； 销售： 汽车、 汽车配 件等</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104" w:right="218"/>
              <w:jc w:val="left"/>
              <w:rPr>
                <w:rFonts w:ascii="宋体" w:hAnsi="宋体" w:cs="宋体" w:eastAsia="宋体" w:hint="default"/>
                <w:sz w:val="18"/>
                <w:szCs w:val="18"/>
              </w:rPr>
            </w:pPr>
            <w:r>
              <w:rPr>
                <w:rFonts w:ascii="宋体" w:hAnsi="宋体" w:cs="宋体" w:eastAsia="宋体" w:hint="default"/>
                <w:sz w:val="18"/>
                <w:szCs w:val="18"/>
              </w:rPr>
              <w:t>新 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8,347</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Times New Roman" w:hAnsi="Times New Roman" w:cs="Times New Roman" w:eastAsia="Times New Roman" w:hint="default"/>
                <w:sz w:val="18"/>
                <w:szCs w:val="18"/>
              </w:rPr>
            </w:pPr>
            <w:r>
              <w:rPr>
                <w:rFonts w:ascii="Times New Roman"/>
                <w:sz w:val="18"/>
              </w:rPr>
              <w:t>31.00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102" w:right="14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2" w:right="144"/>
              <w:jc w:val="left"/>
              <w:rPr>
                <w:rFonts w:ascii="宋体" w:hAnsi="宋体" w:cs="宋体" w:eastAsia="宋体" w:hint="default"/>
                <w:sz w:val="18"/>
                <w:szCs w:val="18"/>
              </w:rPr>
            </w:pPr>
            <w:r>
              <w:rPr>
                <w:rFonts w:ascii="宋体" w:hAnsi="宋体" w:cs="宋体" w:eastAsia="宋体" w:hint="default"/>
                <w:sz w:val="18"/>
                <w:szCs w:val="18"/>
              </w:rPr>
              <w:t>浙江 万马 电气 电缆 集团 有限 公 司、 山东 天恩 综合 能源 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102" w:right="232"/>
              <w:jc w:val="both"/>
              <w:rPr>
                <w:rFonts w:ascii="宋体" w:hAnsi="宋体" w:cs="宋体" w:eastAsia="宋体" w:hint="default"/>
                <w:sz w:val="18"/>
                <w:szCs w:val="18"/>
              </w:rPr>
            </w:pPr>
            <w:r>
              <w:rPr>
                <w:rFonts w:ascii="宋体" w:hAnsi="宋体" w:cs="宋体" w:eastAsia="宋体" w:hint="default"/>
                <w:sz w:val="18"/>
                <w:szCs w:val="18"/>
              </w:rPr>
              <w:t>股 权 投 资</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104" w:right="229"/>
              <w:jc w:val="both"/>
              <w:rPr>
                <w:rFonts w:ascii="宋体" w:hAnsi="宋体" w:cs="宋体" w:eastAsia="宋体" w:hint="default"/>
                <w:sz w:val="18"/>
                <w:szCs w:val="18"/>
              </w:rPr>
            </w:pPr>
            <w:r>
              <w:rPr>
                <w:rFonts w:ascii="宋体" w:hAnsi="宋体" w:cs="宋体" w:eastAsia="宋体" w:hint="default"/>
                <w:sz w:val="18"/>
                <w:szCs w:val="18"/>
              </w:rPr>
              <w:t>股权 已全 部过 户</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773.</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76</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16" w:right="0"/>
              <w:jc w:val="left"/>
              <w:rPr>
                <w:rFonts w:ascii="Times New Roman" w:hAnsi="Times New Roman" w:cs="Times New Roman" w:eastAsia="Times New Roman" w:hint="default"/>
                <w:sz w:val="18"/>
                <w:szCs w:val="18"/>
              </w:rPr>
            </w:pPr>
            <w:r>
              <w:rPr>
                <w:rFonts w:ascii="Times New Roman"/>
                <w:sz w:val="18"/>
              </w:rPr>
              <w:t>-935,4</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82.42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51"/>
              <w:ind w:left="102" w:right="96"/>
              <w:jc w:val="left"/>
              <w:rPr>
                <w:rFonts w:ascii="Times New Roman" w:hAnsi="Times New Roman" w:cs="Times New Roman" w:eastAsia="Times New Roman" w:hint="default"/>
                <w:sz w:val="18"/>
                <w:szCs w:val="18"/>
              </w:rPr>
            </w:pPr>
            <w:r>
              <w:rPr>
                <w:rFonts w:ascii="Times New Roman"/>
                <w:sz w:val="18"/>
              </w:rPr>
              <w:t>http://</w:t>
            </w:r>
            <w:r>
              <w:rPr>
                <w:rFonts w:ascii="Times New Roman"/>
                <w:w w:val="99"/>
                <w:sz w:val="18"/>
              </w:rPr>
              <w:t> </w:t>
            </w:r>
            <w:hyperlink r:id="rId16">
              <w:r>
                <w:rPr>
                  <w:rFonts w:ascii="Times New Roman"/>
                  <w:spacing w:val="-3"/>
                  <w:sz w:val="18"/>
                </w:rPr>
                <w:t>www.</w:t>
              </w:r>
            </w:hyperlink>
            <w:r>
              <w:rPr>
                <w:rFonts w:ascii="Times New Roman"/>
                <w:sz w:val="18"/>
              </w:rPr>
              <w:t> cninf o.com</w:t>
            </w:r>
          </w:p>
          <w:p>
            <w:pPr>
              <w:pStyle w:val="TableParagraph"/>
              <w:spacing w:line="362" w:lineRule="auto" w:before="3"/>
              <w:ind w:left="102" w:right="93"/>
              <w:jc w:val="left"/>
              <w:rPr>
                <w:rFonts w:ascii="Times New Roman" w:hAnsi="Times New Roman" w:cs="Times New Roman" w:eastAsia="Times New Roman" w:hint="default"/>
                <w:sz w:val="18"/>
                <w:szCs w:val="18"/>
              </w:rPr>
            </w:pPr>
            <w:r>
              <w:rPr>
                <w:rFonts w:ascii="Times New Roman"/>
                <w:sz w:val="18"/>
              </w:rPr>
              <w:t>.cn/cn info-n ew/di</w:t>
            </w:r>
            <w:r>
              <w:rPr>
                <w:rFonts w:ascii="Times New Roman"/>
                <w:w w:val="99"/>
                <w:sz w:val="18"/>
              </w:rPr>
              <w:t> </w:t>
            </w:r>
            <w:r>
              <w:rPr>
                <w:rFonts w:ascii="Times New Roman"/>
                <w:sz w:val="18"/>
              </w:rPr>
              <w:t>sclosu</w:t>
            </w:r>
            <w:r>
              <w:rPr>
                <w:rFonts w:ascii="Times New Roman"/>
                <w:sz w:val="18"/>
              </w:rPr>
              <w:t> re/szs</w:t>
            </w:r>
            <w:r>
              <w:rPr>
                <w:rFonts w:ascii="Times New Roman"/>
                <w:w w:val="99"/>
                <w:sz w:val="18"/>
              </w:rPr>
              <w:t> </w:t>
            </w:r>
            <w:r>
              <w:rPr>
                <w:rFonts w:ascii="Times New Roman"/>
                <w:sz w:val="18"/>
              </w:rPr>
              <w:t>e_sm</w:t>
            </w:r>
            <w:r>
              <w:rPr>
                <w:rFonts w:ascii="Times New Roman"/>
                <w:w w:val="99"/>
                <w:sz w:val="18"/>
              </w:rPr>
              <w:t> </w:t>
            </w:r>
            <w:r>
              <w:rPr>
                <w:rFonts w:ascii="Times New Roman"/>
                <w:sz w:val="18"/>
              </w:rPr>
              <w:t>e/bull</w:t>
            </w:r>
            <w:r>
              <w:rPr>
                <w:rFonts w:ascii="Times New Roman"/>
                <w:w w:val="99"/>
                <w:sz w:val="18"/>
              </w:rPr>
              <w:t> </w:t>
            </w:r>
            <w:r>
              <w:rPr>
                <w:rFonts w:ascii="Times New Roman"/>
                <w:sz w:val="18"/>
              </w:rPr>
              <w:t>etin_d</w:t>
            </w:r>
            <w:r>
              <w:rPr>
                <w:rFonts w:ascii="Times New Roman"/>
                <w:sz w:val="18"/>
              </w:rPr>
              <w:t> etail/t</w:t>
            </w:r>
            <w:r>
              <w:rPr>
                <w:rFonts w:ascii="Times New Roman"/>
                <w:w w:val="99"/>
                <w:sz w:val="18"/>
              </w:rPr>
              <w:t> </w:t>
            </w:r>
            <w:r>
              <w:rPr>
                <w:rFonts w:ascii="Times New Roman"/>
                <w:sz w:val="18"/>
              </w:rPr>
              <w:t>rue/1</w:t>
            </w:r>
            <w:r>
              <w:rPr>
                <w:rFonts w:ascii="Times New Roman"/>
                <w:sz w:val="18"/>
              </w:rPr>
              <w:t> 20112</w:t>
            </w:r>
          </w:p>
          <w:p>
            <w:pPr>
              <w:pStyle w:val="TableParagraph"/>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t>3831?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annou</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654"/>
        <w:gridCol w:w="760"/>
        <w:gridCol w:w="514"/>
        <w:gridCol w:w="622"/>
        <w:gridCol w:w="622"/>
        <w:gridCol w:w="622"/>
        <w:gridCol w:w="618"/>
        <w:gridCol w:w="616"/>
        <w:gridCol w:w="526"/>
        <w:gridCol w:w="705"/>
        <w:gridCol w:w="571"/>
        <w:gridCol w:w="693"/>
        <w:gridCol w:w="690"/>
        <w:gridCol w:w="690"/>
        <w:gridCol w:w="668"/>
      </w:tblGrid>
      <w:tr>
        <w:trPr>
          <w:trHeight w:val="1258" w:hRule="exact"/>
        </w:trPr>
        <w:tc>
          <w:tcPr>
            <w:tcW w:w="654" w:type="dxa"/>
            <w:tcBorders>
              <w:top w:val="single" w:sz="4" w:space="0" w:color="000000"/>
              <w:left w:val="single" w:sz="12"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52"/>
              <w:ind w:left="102" w:right="122"/>
              <w:jc w:val="both"/>
              <w:rPr>
                <w:rFonts w:ascii="Times New Roman" w:hAnsi="Times New Roman" w:cs="Times New Roman" w:eastAsia="Times New Roman" w:hint="default"/>
                <w:sz w:val="18"/>
                <w:szCs w:val="18"/>
              </w:rPr>
            </w:pPr>
            <w:r>
              <w:rPr>
                <w:rFonts w:ascii="Times New Roman"/>
                <w:sz w:val="18"/>
              </w:rPr>
              <w:t>nceTi</w:t>
            </w:r>
            <w:r>
              <w:rPr>
                <w:rFonts w:ascii="Times New Roman"/>
                <w:w w:val="99"/>
                <w:sz w:val="18"/>
              </w:rPr>
              <w:t> </w:t>
            </w:r>
            <w:r>
              <w:rPr>
                <w:rFonts w:ascii="Times New Roman"/>
                <w:sz w:val="18"/>
              </w:rPr>
              <w:t>me=2</w:t>
            </w:r>
            <w:r>
              <w:rPr>
                <w:rFonts w:ascii="Times New Roman"/>
                <w:sz w:val="18"/>
              </w:rPr>
              <w:t> 015-0</w:t>
            </w:r>
          </w:p>
          <w:p>
            <w:pPr>
              <w:pStyle w:val="TableParagraph"/>
              <w:spacing w:line="240" w:lineRule="auto" w:before="3"/>
              <w:ind w:left="102" w:right="0"/>
              <w:jc w:val="both"/>
              <w:rPr>
                <w:rFonts w:ascii="Times New Roman" w:hAnsi="Times New Roman" w:cs="Times New Roman" w:eastAsia="Times New Roman" w:hint="default"/>
                <w:sz w:val="18"/>
                <w:szCs w:val="18"/>
              </w:rPr>
            </w:pPr>
            <w:r>
              <w:rPr>
                <w:rFonts w:ascii="Times New Roman"/>
                <w:sz w:val="18"/>
              </w:rPr>
              <w:t>6-09</w:t>
            </w:r>
          </w:p>
        </w:tc>
      </w:tr>
      <w:tr>
        <w:trPr>
          <w:trHeight w:val="1268" w:hRule="exact"/>
        </w:trPr>
        <w:tc>
          <w:tcPr>
            <w:tcW w:w="654"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47,17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2.00</w:t>
            </w:r>
          </w:p>
        </w:tc>
        <w:tc>
          <w:tcPr>
            <w:tcW w:w="622"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 w:right="0"/>
              <w:jc w:val="center"/>
              <w:rPr>
                <w:rFonts w:ascii="Times New Roman" w:hAnsi="Times New Roman" w:cs="Times New Roman" w:eastAsia="Times New Roman" w:hint="default"/>
                <w:sz w:val="18"/>
                <w:szCs w:val="18"/>
              </w:rPr>
            </w:pPr>
            <w:r>
              <w:rPr>
                <w:rFonts w:ascii="Times New Roman"/>
                <w:sz w:val="18"/>
              </w:rPr>
              <w:t>--</w:t>
            </w:r>
          </w:p>
        </w:tc>
        <w:tc>
          <w:tcPr>
            <w:tcW w:w="526"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70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85" w:right="0"/>
              <w:jc w:val="center"/>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677</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73.7</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6</w:t>
            </w:r>
          </w:p>
        </w:tc>
        <w:tc>
          <w:tcPr>
            <w:tcW w:w="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,275.7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69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 w:right="0"/>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12" w:space="0" w:color="000000"/>
              <w:right w:val="single" w:sz="12"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21"/>
          <w:szCs w:val="21"/>
        </w:rPr>
      </w:pPr>
    </w:p>
    <w:p>
      <w:pPr>
        <w:spacing w:before="34"/>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878"/>
        <w:gridCol w:w="851"/>
        <w:gridCol w:w="964"/>
        <w:gridCol w:w="783"/>
        <w:gridCol w:w="942"/>
        <w:gridCol w:w="797"/>
        <w:gridCol w:w="988"/>
        <w:gridCol w:w="900"/>
        <w:gridCol w:w="722"/>
        <w:gridCol w:w="870"/>
        <w:gridCol w:w="869"/>
      </w:tblGrid>
      <w:tr>
        <w:trPr>
          <w:trHeight w:val="1580" w:hRule="exact"/>
        </w:trPr>
        <w:tc>
          <w:tcPr>
            <w:tcW w:w="87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334" w:right="162"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5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330" w:right="149"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96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97" w:right="114"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78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6" w:right="115"/>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94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6" w:right="104"/>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79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23" w:right="121"/>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98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8" w:right="12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9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75" w:right="173"/>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7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74" w:right="175"/>
              <w:jc w:val="both"/>
              <w:rPr>
                <w:rFonts w:ascii="宋体" w:hAnsi="宋体" w:cs="宋体" w:eastAsia="宋体" w:hint="default"/>
                <w:sz w:val="18"/>
                <w:szCs w:val="18"/>
              </w:rPr>
            </w:pPr>
            <w:r>
              <w:rPr>
                <w:rFonts w:ascii="宋体" w:hAnsi="宋体" w:cs="宋体" w:eastAsia="宋体" w:hint="default"/>
                <w:sz w:val="18"/>
                <w:szCs w:val="18"/>
              </w:rPr>
              <w:t>尚未 使用 募集 资金 总额</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1" w:right="157"/>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9" w:right="14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25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2" w:right="197"/>
              <w:jc w:val="both"/>
              <w:rPr>
                <w:rFonts w:ascii="宋体" w:hAnsi="宋体" w:cs="宋体" w:eastAsia="宋体" w:hint="default"/>
                <w:sz w:val="18"/>
                <w:szCs w:val="18"/>
              </w:rPr>
            </w:pPr>
            <w:r>
              <w:rPr>
                <w:rFonts w:ascii="宋体" w:hAnsi="宋体" w:cs="宋体" w:eastAsia="宋体" w:hint="default"/>
                <w:sz w:val="18"/>
                <w:szCs w:val="18"/>
              </w:rPr>
              <w:t>非公开 发行人 民币普 通股</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40,733.46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1,312.6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40,733.46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17,041.28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7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40,733.46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center"/>
              <w:rPr>
                <w:rFonts w:ascii="Times New Roman" w:hAnsi="Times New Roman" w:cs="Times New Roman" w:eastAsia="Times New Roman" w:hint="default"/>
                <w:sz w:val="18"/>
                <w:szCs w:val="18"/>
              </w:rPr>
            </w:pPr>
            <w:r>
              <w:rPr>
                <w:rFonts w:ascii="Times New Roman"/>
                <w:sz w:val="18"/>
              </w:rPr>
              <w:t>1,312.6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40,733.46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17,041.28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41.84%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564" w:type="dxa"/>
            <w:gridSpan w:val="11"/>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60" w:hRule="exact"/>
        </w:trPr>
        <w:tc>
          <w:tcPr>
            <w:tcW w:w="9564" w:type="dxa"/>
            <w:gridSpan w:val="11"/>
            <w:tcBorders>
              <w:top w:val="single" w:sz="4" w:space="0" w:color="000000"/>
              <w:left w:val="single" w:sz="12" w:space="0" w:color="000000"/>
              <w:bottom w:val="single" w:sz="12" w:space="0" w:color="000000"/>
              <w:right w:val="single" w:sz="12" w:space="0" w:color="000000"/>
            </w:tcBorders>
          </w:tcPr>
          <w:p>
            <w:pPr>
              <w:pStyle w:val="TableParagraph"/>
              <w:spacing w:line="300" w:lineRule="auto" w:before="49"/>
              <w:ind w:left="92" w:right="1" w:firstLine="360"/>
              <w:jc w:val="left"/>
              <w:rPr>
                <w:rFonts w:ascii="宋体" w:hAnsi="宋体" w:cs="宋体" w:eastAsia="宋体" w:hint="default"/>
                <w:sz w:val="18"/>
                <w:szCs w:val="18"/>
              </w:rPr>
            </w:pPr>
            <w:r>
              <w:rPr>
                <w:rFonts w:ascii="宋体" w:hAnsi="宋体" w:cs="宋体" w:eastAsia="宋体" w:hint="default"/>
                <w:spacing w:val="-5"/>
                <w:sz w:val="18"/>
                <w:szCs w:val="18"/>
              </w:rPr>
              <w:t>经中国证券监督管理委员会《关于核准浙江万马电缆股份有限公司非公开发行股票的批复》（证监许可</w:t>
            </w:r>
            <w:r>
              <w:rPr>
                <w:rFonts w:ascii="Times New Roman" w:hAnsi="Times New Roman" w:cs="Times New Roman" w:eastAsia="Times New Roman" w:hint="default"/>
                <w:spacing w:val="-5"/>
                <w:sz w:val="18"/>
                <w:szCs w:val="18"/>
              </w:rPr>
              <w:t>[2011]517</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号） 文件核准，本公司以非公开发行方式发行人民币普通股（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31,600,000.00 </w:t>
            </w:r>
            <w:r>
              <w:rPr>
                <w:rFonts w:ascii="宋体" w:hAnsi="宋体" w:cs="宋体" w:eastAsia="宋体" w:hint="default"/>
                <w:sz w:val="18"/>
                <w:szCs w:val="18"/>
              </w:rPr>
              <w:t>股，发行价格为每股 </w:t>
            </w:r>
            <w:r>
              <w:rPr>
                <w:rFonts w:ascii="Times New Roman" w:hAnsi="Times New Roman" w:cs="Times New Roman" w:eastAsia="Times New Roman" w:hint="default"/>
                <w:sz w:val="18"/>
                <w:szCs w:val="18"/>
              </w:rPr>
              <w:t>13.32</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元，募集资金</w:t>
            </w:r>
            <w:r>
              <w:rPr>
                <w:rFonts w:ascii="宋体" w:hAnsi="宋体" w:cs="宋体" w:eastAsia="宋体" w:hint="default"/>
                <w:sz w:val="18"/>
                <w:szCs w:val="18"/>
              </w:rPr>
              <w:t> 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420,912,000.00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元。扣除承销费和保荐费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12,627,360.00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元后的募集资金为人民币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408,284,640.00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元，已</w:t>
            </w:r>
          </w:p>
          <w:p>
            <w:pPr>
              <w:pStyle w:val="TableParagraph"/>
              <w:spacing w:line="240" w:lineRule="auto" w:before="13"/>
              <w:ind w:left="92" w:right="0"/>
              <w:jc w:val="left"/>
              <w:rPr>
                <w:rFonts w:ascii="宋体" w:hAnsi="宋体" w:cs="宋体" w:eastAsia="宋体" w:hint="default"/>
                <w:sz w:val="18"/>
                <w:szCs w:val="18"/>
              </w:rPr>
            </w:pPr>
            <w:r>
              <w:rPr>
                <w:rFonts w:ascii="宋体" w:hAnsi="宋体" w:cs="宋体" w:eastAsia="宋体" w:hint="default"/>
                <w:sz w:val="18"/>
                <w:szCs w:val="18"/>
              </w:rPr>
              <w:t>由主承销商平安证券有限责任公司于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日存入本公司募集资金专户。另扣除与本次非公开发行相关的审</w:t>
            </w:r>
          </w:p>
          <w:p>
            <w:pPr>
              <w:pStyle w:val="TableParagraph"/>
              <w:spacing w:line="300" w:lineRule="auto" w:before="63"/>
              <w:ind w:left="92" w:right="92"/>
              <w:jc w:val="left"/>
              <w:rPr>
                <w:rFonts w:ascii="宋体" w:hAnsi="宋体" w:cs="宋体" w:eastAsia="宋体" w:hint="default"/>
                <w:sz w:val="18"/>
                <w:szCs w:val="18"/>
              </w:rPr>
            </w:pPr>
            <w:r>
              <w:rPr>
                <w:rFonts w:ascii="宋体" w:hAnsi="宋体" w:cs="宋体" w:eastAsia="宋体" w:hint="default"/>
                <w:sz w:val="18"/>
                <w:szCs w:val="18"/>
              </w:rPr>
              <w:t>计费、律师费和验资费等费用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950,000.00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元后，本公司本次募集资金净额为人民币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407,334,640.00</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元。上述资金到位情</w:t>
            </w:r>
            <w:r>
              <w:rPr>
                <w:rFonts w:ascii="宋体" w:hAnsi="宋体" w:cs="宋体" w:eastAsia="宋体" w:hint="default"/>
                <w:sz w:val="18"/>
                <w:szCs w:val="18"/>
              </w:rPr>
              <w:t> 况业经信永中和会计师事务所有限责任公司验证，并出具 </w:t>
            </w:r>
            <w:r>
              <w:rPr>
                <w:rFonts w:ascii="Times New Roman" w:hAnsi="Times New Roman" w:cs="Times New Roman" w:eastAsia="Times New Roman" w:hint="default"/>
                <w:sz w:val="18"/>
                <w:szCs w:val="18"/>
              </w:rPr>
              <w:t>XYZH/2011A1006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号《验资报告》。</w:t>
            </w:r>
          </w:p>
          <w:p>
            <w:pPr>
              <w:pStyle w:val="TableParagraph"/>
              <w:spacing w:line="307" w:lineRule="auto" w:before="54"/>
              <w:ind w:left="92" w:right="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日，根据《深圳证券交易所中小企业板上市公司规范运作指引（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年修订）》相关规定，全部募 集资金投资项目完成，实际结余资金低于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万的，董事会将募集资金账户余额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万元全部永久性补充流动资金。 信永中和会计师事务所（特殊普通合伙）对本公司公开发行募集资金结项情况进行了审核，并出具了 </w:t>
            </w:r>
            <w:r>
              <w:rPr>
                <w:rFonts w:ascii="Times New Roman" w:hAnsi="Times New Roman" w:cs="Times New Roman" w:eastAsia="Times New Roman" w:hint="default"/>
                <w:sz w:val="18"/>
                <w:szCs w:val="18"/>
              </w:rPr>
              <w:t>XYZH/2015SHA10032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号专项审核报告。截止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日，本公司定向增发募集资金已按照规定全部使用完毕。</w:t>
            </w:r>
          </w:p>
        </w:tc>
      </w:tr>
    </w:tbl>
    <w:p>
      <w:pPr>
        <w:spacing w:after="0" w:line="307" w:lineRule="auto"/>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9"/>
        <w:rPr>
          <w:rFonts w:ascii="宋体" w:hAnsi="宋体" w:cs="宋体" w:eastAsia="宋体" w:hint="default"/>
          <w:sz w:val="14"/>
          <w:szCs w:val="14"/>
        </w:rPr>
      </w:pPr>
    </w:p>
    <w:p>
      <w:pPr>
        <w:spacing w:before="34"/>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1000"/>
        <w:gridCol w:w="735"/>
        <w:gridCol w:w="605"/>
        <w:gridCol w:w="780"/>
      </w:tblGrid>
      <w:tr>
        <w:trPr>
          <w:trHeight w:val="1580" w:hRule="exact"/>
        </w:trPr>
        <w:tc>
          <w:tcPr>
            <w:tcW w:w="177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21" w:right="158"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11"/>
              <w:ind w:left="115" w:right="11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6" w:right="11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16" w:right="11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1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0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3" w:right="13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3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82" w:right="180"/>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6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7" w:right="11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8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11"/>
              <w:ind w:left="114" w:right="10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22" w:hRule="exact"/>
        </w:trPr>
        <w:tc>
          <w:tcPr>
            <w:tcW w:w="9568" w:type="dxa"/>
            <w:gridSpan w:val="11"/>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
              <w:ind w:left="92" w:right="216"/>
              <w:jc w:val="left"/>
              <w:rPr>
                <w:rFonts w:ascii="宋体" w:hAnsi="宋体" w:cs="宋体" w:eastAsia="宋体" w:hint="default"/>
                <w:sz w:val="18"/>
                <w:szCs w:val="18"/>
              </w:rPr>
            </w:pPr>
            <w:r>
              <w:rPr>
                <w:rFonts w:ascii="宋体" w:hAnsi="宋体" w:cs="宋体" w:eastAsia="宋体" w:hint="default"/>
                <w:sz w:val="18"/>
                <w:szCs w:val="18"/>
              </w:rPr>
              <w:t>风力发电用特种电 缆投资项目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3,542.1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3,542.1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731.22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216"/>
              <w:jc w:val="left"/>
              <w:rPr>
                <w:rFonts w:ascii="宋体" w:hAnsi="宋体" w:cs="宋体" w:eastAsia="宋体" w:hint="default"/>
                <w:sz w:val="18"/>
                <w:szCs w:val="18"/>
              </w:rPr>
            </w:pPr>
            <w:r>
              <w:rPr>
                <w:rFonts w:ascii="宋体" w:hAnsi="宋体" w:cs="宋体" w:eastAsia="宋体" w:hint="default"/>
                <w:sz w:val="18"/>
                <w:szCs w:val="18"/>
              </w:rPr>
              <w:t>轨道交通用特种电 缆投资项目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1,312.6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244.04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1770" w:type="dxa"/>
            <w:tcBorders>
              <w:top w:val="single" w:sz="4" w:space="0" w:color="000000"/>
              <w:left w:val="single" w:sz="12"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1000"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未单</w:t>
            </w:r>
          </w:p>
        </w:tc>
        <w:tc>
          <w:tcPr>
            <w:tcW w:w="780" w:type="dxa"/>
            <w:vMerge w:val="restart"/>
            <w:tcBorders>
              <w:top w:val="single" w:sz="4" w:space="0" w:color="000000"/>
              <w:left w:val="single" w:sz="4" w:space="0" w:color="000000"/>
              <w:right w:val="single" w:sz="12" w:space="0" w:color="000000"/>
            </w:tcBorders>
          </w:tcPr>
          <w:p>
            <w:pPr/>
          </w:p>
        </w:tc>
      </w:tr>
      <w:tr>
        <w:trPr>
          <w:trHeight w:val="629" w:hRule="exact"/>
        </w:trPr>
        <w:tc>
          <w:tcPr>
            <w:tcW w:w="1770" w:type="dxa"/>
            <w:tcBorders>
              <w:top w:val="nil" w:sz="6" w:space="0" w:color="auto"/>
              <w:left w:val="single" w:sz="12"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17,041.</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28</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6" w:right="0"/>
              <w:jc w:val="left"/>
              <w:rPr>
                <w:rFonts w:ascii="Times New Roman" w:hAnsi="Times New Roman" w:cs="Times New Roman" w:eastAsia="Times New Roman" w:hint="default"/>
                <w:sz w:val="18"/>
                <w:szCs w:val="18"/>
              </w:rPr>
            </w:pPr>
            <w:r>
              <w:rPr>
                <w:rFonts w:ascii="Times New Roman"/>
                <w:sz w:val="18"/>
              </w:rPr>
              <w:t>17,041.</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28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0"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30"/>
              <w:jc w:val="left"/>
              <w:rPr>
                <w:rFonts w:ascii="宋体" w:hAnsi="宋体" w:cs="宋体" w:eastAsia="宋体" w:hint="default"/>
                <w:sz w:val="18"/>
                <w:szCs w:val="18"/>
              </w:rPr>
            </w:pPr>
            <w:r>
              <w:rPr>
                <w:rFonts w:ascii="宋体" w:hAnsi="宋体" w:cs="宋体" w:eastAsia="宋体" w:hint="default"/>
                <w:sz w:val="18"/>
                <w:szCs w:val="18"/>
              </w:rPr>
              <w:t>独核 算效</w:t>
            </w:r>
          </w:p>
        </w:tc>
        <w:tc>
          <w:tcPr>
            <w:tcW w:w="780" w:type="dxa"/>
            <w:vMerge/>
            <w:tcBorders>
              <w:left w:val="single" w:sz="4" w:space="0" w:color="000000"/>
              <w:right w:val="single" w:sz="12" w:space="0" w:color="000000"/>
            </w:tcBorders>
          </w:tcPr>
          <w:p>
            <w:pPr/>
          </w:p>
        </w:tc>
      </w:tr>
      <w:tr>
        <w:trPr>
          <w:trHeight w:val="312" w:hRule="exact"/>
        </w:trPr>
        <w:tc>
          <w:tcPr>
            <w:tcW w:w="1770" w:type="dxa"/>
            <w:tcBorders>
              <w:top w:val="nil" w:sz="6" w:space="0" w:color="auto"/>
              <w:left w:val="single" w:sz="12"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1000"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80" w:type="dxa"/>
            <w:vMerge/>
            <w:tcBorders>
              <w:left w:val="single" w:sz="4" w:space="0" w:color="000000"/>
              <w:bottom w:val="single" w:sz="4" w:space="0" w:color="000000"/>
              <w:right w:val="single" w:sz="12" w:space="0" w:color="000000"/>
            </w:tcBorders>
          </w:tcPr>
          <w:p>
            <w:pP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8" w:right="0"/>
              <w:jc w:val="left"/>
              <w:rPr>
                <w:rFonts w:ascii="Times New Roman" w:hAnsi="Times New Roman" w:cs="Times New Roman" w:eastAsia="Times New Roman" w:hint="default"/>
                <w:sz w:val="18"/>
                <w:szCs w:val="18"/>
              </w:rPr>
            </w:pPr>
            <w:r>
              <w:rPr>
                <w:rFonts w:ascii="Times New Roman"/>
                <w:sz w:val="18"/>
              </w:rPr>
              <w:t>40,733.</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1,312.6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6" w:right="0"/>
              <w:jc w:val="left"/>
              <w:rPr>
                <w:rFonts w:ascii="Times New Roman" w:hAnsi="Times New Roman" w:cs="Times New Roman" w:eastAsia="Times New Roman" w:hint="default"/>
                <w:sz w:val="18"/>
                <w:szCs w:val="18"/>
              </w:rPr>
            </w:pPr>
            <w:r>
              <w:rPr>
                <w:rFonts w:ascii="Times New Roman"/>
                <w:sz w:val="18"/>
              </w:rPr>
              <w:t>40,733.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46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975.26</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12"/>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68" w:type="dxa"/>
            <w:gridSpan w:val="11"/>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2" w:hRule="exact"/>
        </w:trPr>
        <w:tc>
          <w:tcPr>
            <w:tcW w:w="17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40,733.</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1,312.6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40,733.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46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975.26</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Times New Roman" w:hAnsi="Times New Roman" w:cs="Times New Roman" w:eastAsia="Times New Roman" w:hint="default"/>
                <w:sz w:val="18"/>
                <w:szCs w:val="18"/>
              </w:rPr>
            </w:pPr>
            <w:r>
              <w:rPr>
                <w:rFonts w:ascii="Times New Roman"/>
                <w:sz w:val="18"/>
              </w:rPr>
              <w:t>--</w:t>
            </w:r>
          </w:p>
        </w:tc>
      </w:tr>
      <w:tr>
        <w:trPr>
          <w:trHeight w:val="462" w:hRule="exact"/>
        </w:trPr>
        <w:tc>
          <w:tcPr>
            <w:tcW w:w="1770" w:type="dxa"/>
            <w:tcBorders>
              <w:top w:val="single" w:sz="4" w:space="0" w:color="000000"/>
              <w:left w:val="single" w:sz="12"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12" w:space="0" w:color="000000"/>
            </w:tcBorders>
          </w:tcPr>
          <w:p>
            <w:pPr>
              <w:pStyle w:val="TableParagraph"/>
              <w:spacing w:line="240" w:lineRule="auto" w:before="96"/>
              <w:ind w:left="103" w:right="0"/>
              <w:jc w:val="left"/>
              <w:rPr>
                <w:rFonts w:ascii="宋体" w:hAnsi="宋体" w:cs="宋体" w:eastAsia="宋体" w:hint="default"/>
                <w:sz w:val="20"/>
                <w:szCs w:val="20"/>
              </w:rPr>
            </w:pPr>
            <w:r>
              <w:rPr>
                <w:rFonts w:ascii="宋体" w:hAnsi="宋体" w:cs="宋体" w:eastAsia="宋体" w:hint="default"/>
                <w:sz w:val="20"/>
                <w:szCs w:val="20"/>
              </w:rPr>
              <w:t>风力发电用特种电缆投资项目未达到预计效益的原因：</w:t>
            </w:r>
          </w:p>
        </w:tc>
      </w:tr>
      <w:tr>
        <w:trPr>
          <w:trHeight w:val="379"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募投项目实施以后，国内外经济环境发生了很大的变化，风力发电行业出现了一定</w:t>
            </w:r>
          </w:p>
        </w:tc>
      </w:tr>
      <w:tr>
        <w:trPr>
          <w:trHeight w:val="360"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程度的产能过剩。公司募集资金投资项目为风电行业的配套零部件产品的价格竞争比较</w:t>
            </w:r>
          </w:p>
        </w:tc>
      </w:tr>
      <w:tr>
        <w:trPr>
          <w:trHeight w:val="360"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激烈，对项目的盈利能力和货款的回收带来压力，继续投入已经很难取得预期的投资回</w:t>
            </w:r>
          </w:p>
        </w:tc>
      </w:tr>
      <w:tr>
        <w:trPr>
          <w:trHeight w:val="311"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报。为提高募集资金使用效率，降低财务费用，公司终止“风力发电用特种电缆投资项</w:t>
            </w:r>
          </w:p>
        </w:tc>
      </w:tr>
      <w:tr>
        <w:trPr>
          <w:trHeight w:val="336"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11" w:lineRule="exact"/>
              <w:ind w:left="92"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目”募集资金的投入，虽然已经形成了一定风力发电特种电缆的产能，但整体未能达到</w:t>
            </w:r>
          </w:p>
        </w:tc>
      </w:tr>
      <w:tr>
        <w:trPr>
          <w:trHeight w:val="527"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187" w:lineRule="exact"/>
              <w:ind w:left="92"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91"/>
              <w:ind w:left="103" w:right="0"/>
              <w:jc w:val="left"/>
              <w:rPr>
                <w:rFonts w:ascii="宋体" w:hAnsi="宋体" w:cs="宋体" w:eastAsia="宋体" w:hint="default"/>
                <w:sz w:val="20"/>
                <w:szCs w:val="20"/>
              </w:rPr>
            </w:pPr>
            <w:r>
              <w:rPr>
                <w:rFonts w:ascii="宋体" w:hAnsi="宋体" w:cs="宋体" w:eastAsia="宋体" w:hint="default"/>
                <w:sz w:val="20"/>
                <w:szCs w:val="20"/>
              </w:rPr>
              <w:t>原预期产能和销售规模。</w:t>
            </w:r>
          </w:p>
        </w:tc>
      </w:tr>
      <w:tr>
        <w:trPr>
          <w:trHeight w:val="297"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27" w:lineRule="exact"/>
              <w:ind w:left="103" w:right="0"/>
              <w:jc w:val="left"/>
              <w:rPr>
                <w:rFonts w:ascii="宋体" w:hAnsi="宋体" w:cs="宋体" w:eastAsia="宋体" w:hint="default"/>
                <w:sz w:val="20"/>
                <w:szCs w:val="20"/>
              </w:rPr>
            </w:pPr>
            <w:r>
              <w:rPr>
                <w:rFonts w:ascii="宋体" w:hAnsi="宋体" w:cs="宋体" w:eastAsia="宋体" w:hint="default"/>
                <w:sz w:val="20"/>
                <w:szCs w:val="20"/>
              </w:rPr>
              <w:t>轨道交通用特种电缆投资项目未达到预计效益的原因：</w:t>
            </w:r>
          </w:p>
        </w:tc>
      </w:tr>
      <w:tr>
        <w:trPr>
          <w:trHeight w:val="325"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40" w:lineRule="auto" w:before="7"/>
              <w:ind w:left="504" w:right="0"/>
              <w:jc w:val="left"/>
              <w:rPr>
                <w:rFonts w:ascii="宋体" w:hAnsi="宋体" w:cs="宋体" w:eastAsia="宋体" w:hint="default"/>
                <w:sz w:val="20"/>
                <w:szCs w:val="20"/>
              </w:rPr>
            </w:pPr>
            <w:r>
              <w:rPr>
                <w:rFonts w:ascii="宋体" w:hAnsi="宋体" w:cs="宋体" w:eastAsia="宋体" w:hint="default"/>
                <w:sz w:val="20"/>
                <w:szCs w:val="20"/>
              </w:rPr>
              <w:t>公司轨道交通用特种电缆投资项目按照原计划进行投资，项目未实现预期效益的主</w:t>
            </w:r>
          </w:p>
        </w:tc>
      </w:tr>
      <w:tr>
        <w:trPr>
          <w:trHeight w:val="312"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要原因：一方面由于轨道交通行业、铁路工程建设公司等方面资金密切相关，公司轨道</w:t>
            </w:r>
          </w:p>
        </w:tc>
      </w:tr>
      <w:tr>
        <w:trPr>
          <w:trHeight w:val="312"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交通用电缆销售形成的应收账款账期较长，公司为控制风险，主动缩减轨道交通行业的</w:t>
            </w:r>
          </w:p>
        </w:tc>
      </w:tr>
      <w:tr>
        <w:trPr>
          <w:trHeight w:val="312"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销售规模，调整客户结构，挑选优质订单；另一方面，由于市场竞争日益加剧，轨道交</w:t>
            </w:r>
          </w:p>
        </w:tc>
      </w:tr>
      <w:tr>
        <w:trPr>
          <w:trHeight w:val="317" w:hRule="exact"/>
        </w:trPr>
        <w:tc>
          <w:tcPr>
            <w:tcW w:w="1770" w:type="dxa"/>
            <w:tcBorders>
              <w:top w:val="nil" w:sz="6" w:space="0" w:color="auto"/>
              <w:left w:val="single" w:sz="12" w:space="0" w:color="000000"/>
              <w:bottom w:val="single" w:sz="4" w:space="0" w:color="000000"/>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通行业招标订单的毛利水平逐渐下降，未达到预期毛利率。</w:t>
            </w:r>
          </w:p>
        </w:tc>
      </w:tr>
      <w:tr>
        <w:trPr>
          <w:trHeight w:val="319" w:hRule="exact"/>
        </w:trPr>
        <w:tc>
          <w:tcPr>
            <w:tcW w:w="1770" w:type="dxa"/>
            <w:tcBorders>
              <w:top w:val="single" w:sz="4" w:space="0" w:color="000000"/>
              <w:left w:val="single" w:sz="12"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12"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本报告期项目可行性未发生重大变化。</w:t>
            </w:r>
          </w:p>
        </w:tc>
      </w:tr>
      <w:tr>
        <w:trPr>
          <w:trHeight w:val="312"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项目可行性发生重</w:t>
            </w: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79"/>
                <w:sz w:val="20"/>
                <w:szCs w:val="20"/>
              </w:rPr>
              <w:t> </w:t>
            </w:r>
            <w:r>
              <w:rPr>
                <w:rFonts w:ascii="宋体" w:hAnsi="宋体" w:cs="宋体" w:eastAsia="宋体" w:hint="default"/>
                <w:sz w:val="20"/>
                <w:szCs w:val="20"/>
              </w:rPr>
              <w:t>年</w:t>
            </w:r>
            <w:r>
              <w:rPr>
                <w:rFonts w:ascii="宋体" w:hAnsi="宋体" w:cs="宋体" w:eastAsia="宋体" w:hint="default"/>
                <w:spacing w:val="-77"/>
                <w:sz w:val="20"/>
                <w:szCs w:val="20"/>
              </w:rPr>
              <w:t> </w:t>
            </w:r>
            <w:r>
              <w:rPr>
                <w:rFonts w:ascii="宋体" w:hAnsi="宋体" w:cs="宋体" w:eastAsia="宋体" w:hint="default"/>
                <w:sz w:val="20"/>
                <w:szCs w:val="20"/>
              </w:rPr>
              <w:t>5</w:t>
            </w:r>
            <w:r>
              <w:rPr>
                <w:rFonts w:ascii="宋体" w:hAnsi="宋体" w:cs="宋体" w:eastAsia="宋体" w:hint="default"/>
                <w:spacing w:val="-79"/>
                <w:sz w:val="20"/>
                <w:szCs w:val="20"/>
              </w:rPr>
              <w:t> </w:t>
            </w:r>
            <w:r>
              <w:rPr>
                <w:rFonts w:ascii="宋体" w:hAnsi="宋体" w:cs="宋体" w:eastAsia="宋体" w:hint="default"/>
                <w:sz w:val="20"/>
                <w:szCs w:val="20"/>
              </w:rPr>
              <w:t>月，公司终止继续扩大投资“风力发电用特种电缆投资项目”，将剩余募集资</w:t>
            </w:r>
          </w:p>
        </w:tc>
      </w:tr>
      <w:tr>
        <w:trPr>
          <w:trHeight w:val="312" w:hRule="exact"/>
        </w:trPr>
        <w:tc>
          <w:tcPr>
            <w:tcW w:w="177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大变化的情况说明</w:t>
            </w:r>
          </w:p>
        </w:tc>
        <w:tc>
          <w:tcPr>
            <w:tcW w:w="7798" w:type="dxa"/>
            <w:gridSpan w:val="10"/>
            <w:tcBorders>
              <w:top w:val="nil" w:sz="6" w:space="0" w:color="auto"/>
              <w:left w:val="single" w:sz="4" w:space="0" w:color="000000"/>
              <w:bottom w:val="nil" w:sz="6" w:space="0" w:color="auto"/>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金及节余募集资金永久性补充流动资金，用于公司生产经营。详见</w:t>
            </w:r>
            <w:r>
              <w:rPr>
                <w:rFonts w:ascii="宋体" w:hAnsi="宋体" w:cs="宋体" w:eastAsia="宋体" w:hint="default"/>
                <w:spacing w:val="-53"/>
                <w:sz w:val="20"/>
                <w:szCs w:val="20"/>
              </w:rPr>
              <w:t> </w:t>
            </w:r>
            <w:r>
              <w:rPr>
                <w:rFonts w:ascii="宋体" w:hAnsi="宋体" w:cs="宋体" w:eastAsia="宋体" w:hint="default"/>
                <w:sz w:val="20"/>
                <w:szCs w:val="20"/>
              </w:rPr>
              <w:t>2013</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4"/>
                <w:sz w:val="20"/>
                <w:szCs w:val="20"/>
              </w:rPr>
              <w:t> </w:t>
            </w:r>
            <w:r>
              <w:rPr>
                <w:rFonts w:ascii="宋体" w:hAnsi="宋体" w:cs="宋体" w:eastAsia="宋体" w:hint="default"/>
                <w:sz w:val="20"/>
                <w:szCs w:val="20"/>
              </w:rPr>
              <w:t>日巨</w:t>
            </w:r>
          </w:p>
        </w:tc>
      </w:tr>
      <w:tr>
        <w:trPr>
          <w:trHeight w:val="313" w:hRule="exact"/>
        </w:trPr>
        <w:tc>
          <w:tcPr>
            <w:tcW w:w="1770" w:type="dxa"/>
            <w:tcBorders>
              <w:top w:val="nil" w:sz="6" w:space="0" w:color="auto"/>
              <w:left w:val="single" w:sz="12" w:space="0" w:color="000000"/>
              <w:bottom w:val="single" w:sz="4" w:space="0" w:color="000000"/>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潮资讯网《关于终止实施“风力发电用特种电缆投资项目”并用本项目剩余募集资金及</w:t>
            </w:r>
          </w:p>
        </w:tc>
      </w:tr>
    </w:tbl>
    <w:p>
      <w:pPr>
        <w:spacing w:after="0" w:line="256" w:lineRule="exact"/>
        <w:jc w:val="left"/>
        <w:rPr>
          <w:rFonts w:ascii="宋体" w:hAnsi="宋体" w:cs="宋体" w:eastAsia="宋体" w:hint="default"/>
          <w:sz w:val="20"/>
          <w:szCs w:val="20"/>
        </w:rPr>
        <w:sectPr>
          <w:pgSz w:w="11910" w:h="16840"/>
          <w:pgMar w:header="850" w:footer="1012" w:top="1440" w:bottom="1200" w:left="1000" w:right="102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770"/>
        <w:gridCol w:w="7798"/>
      </w:tblGrid>
      <w:tr>
        <w:trPr>
          <w:trHeight w:val="322"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节余资金（含利息）永久补充流动资金的公告》（公告编号：临</w:t>
            </w:r>
            <w:r>
              <w:rPr>
                <w:rFonts w:ascii="宋体" w:hAnsi="宋体" w:cs="宋体" w:eastAsia="宋体" w:hint="default"/>
                <w:spacing w:val="-67"/>
                <w:sz w:val="20"/>
                <w:szCs w:val="20"/>
              </w:rPr>
              <w:t> </w:t>
            </w:r>
            <w:r>
              <w:rPr>
                <w:rFonts w:ascii="宋体" w:hAnsi="宋体" w:cs="宋体" w:eastAsia="宋体" w:hint="default"/>
                <w:sz w:val="20"/>
                <w:szCs w:val="20"/>
              </w:rPr>
              <w:t>2013-028）</w:t>
            </w: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0"/>
              <w:ind w:left="92"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2"/>
              <w:ind w:left="9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1"/>
              <w:ind w:left="9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770" w:type="dxa"/>
            <w:vMerge w:val="restart"/>
            <w:tcBorders>
              <w:top w:val="single" w:sz="4" w:space="0" w:color="000000"/>
              <w:left w:val="single" w:sz="12" w:space="0" w:color="000000"/>
              <w:right w:val="single" w:sz="4" w:space="0" w:color="000000"/>
            </w:tcBorders>
            <w:shd w:val="clear" w:color="auto" w:fill="D3D3D3"/>
          </w:tcPr>
          <w:p>
            <w:pPr>
              <w:pStyle w:val="TableParagraph"/>
              <w:spacing w:line="316" w:lineRule="auto" w:before="16"/>
              <w:ind w:left="92"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34" w:hRule="exact"/>
        </w:trPr>
        <w:tc>
          <w:tcPr>
            <w:tcW w:w="1770" w:type="dxa"/>
            <w:vMerge/>
            <w:tcBorders>
              <w:left w:val="single" w:sz="12"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11"/>
              <w:ind w:left="103"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月风力电缆项目和轨道交通项目分别置换先期投入资金 </w:t>
            </w:r>
            <w:r>
              <w:rPr>
                <w:rFonts w:ascii="Times New Roman" w:hAnsi="Times New Roman" w:cs="Times New Roman" w:eastAsia="Times New Roman" w:hint="default"/>
                <w:sz w:val="18"/>
                <w:szCs w:val="18"/>
              </w:rPr>
              <w:t>1,187.10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2,474.33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 元。</w:t>
            </w:r>
          </w:p>
        </w:tc>
      </w:tr>
      <w:tr>
        <w:trPr>
          <w:trHeight w:val="322" w:hRule="exact"/>
        </w:trPr>
        <w:tc>
          <w:tcPr>
            <w:tcW w:w="1770" w:type="dxa"/>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92"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938" w:hRule="exact"/>
        </w:trPr>
        <w:tc>
          <w:tcPr>
            <w:tcW w:w="1770" w:type="dxa"/>
            <w:vMerge/>
            <w:tcBorders>
              <w:left w:val="single" w:sz="12"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日第二届第十一次董事会决议，在确保募集资金投资项目保质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4"/>
                <w:sz w:val="18"/>
                <w:szCs w:val="18"/>
              </w:rPr>
              <w:t>保量、有序实施的前提下，运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元闲置募集资金暂时补充公司流动资金，使用期限不</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日前全部归还到募集资金专用账户。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日第二届董事会第十五次会议及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年第二</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次临时股东大会决议</w:t>
            </w:r>
            <w:r>
              <w:rPr>
                <w:rFonts w:ascii="宋体" w:hAnsi="宋体" w:cs="宋体" w:eastAsia="宋体" w:hint="default"/>
                <w:spacing w:val="-82"/>
                <w:sz w:val="18"/>
                <w:szCs w:val="18"/>
              </w:rPr>
              <w:t>，</w:t>
            </w:r>
            <w:r>
              <w:rPr>
                <w:rFonts w:ascii="宋体" w:hAnsi="宋体" w:cs="宋体" w:eastAsia="宋体" w:hint="default"/>
                <w:sz w:val="18"/>
                <w:szCs w:val="18"/>
              </w:rPr>
              <w:t>在确保募集资金投资项目保质保量</w:t>
            </w:r>
            <w:r>
              <w:rPr>
                <w:rFonts w:ascii="宋体" w:hAnsi="宋体" w:cs="宋体" w:eastAsia="宋体" w:hint="default"/>
                <w:spacing w:val="-80"/>
                <w:sz w:val="18"/>
                <w:szCs w:val="18"/>
              </w:rPr>
              <w:t>、</w:t>
            </w:r>
            <w:r>
              <w:rPr>
                <w:rFonts w:ascii="宋体" w:hAnsi="宋体" w:cs="宋体" w:eastAsia="宋体" w:hint="default"/>
                <w:sz w:val="18"/>
                <w:szCs w:val="18"/>
              </w:rPr>
              <w:t>有序实施的前提下</w:t>
            </w:r>
            <w:r>
              <w:rPr>
                <w:rFonts w:ascii="宋体" w:hAnsi="宋体" w:cs="宋体" w:eastAsia="宋体" w:hint="default"/>
                <w:spacing w:val="-82"/>
                <w:sz w:val="18"/>
                <w:szCs w:val="18"/>
              </w:rPr>
              <w:t>，</w:t>
            </w:r>
            <w:r>
              <w:rPr>
                <w:rFonts w:ascii="宋体" w:hAnsi="宋体" w:cs="宋体" w:eastAsia="宋体" w:hint="default"/>
                <w:sz w:val="18"/>
                <w:szCs w:val="18"/>
              </w:rPr>
              <w:t>运用</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300" w:lineRule="auto" w:before="63"/>
              <w:ind w:left="103" w:right="93"/>
              <w:jc w:val="left"/>
              <w:rPr>
                <w:rFonts w:ascii="宋体" w:hAnsi="宋体" w:cs="宋体" w:eastAsia="宋体" w:hint="default"/>
                <w:sz w:val="18"/>
                <w:szCs w:val="18"/>
              </w:rPr>
            </w:pPr>
            <w:r>
              <w:rPr>
                <w:rFonts w:ascii="宋体" w:hAnsi="宋体" w:cs="宋体" w:eastAsia="宋体" w:hint="default"/>
                <w:sz w:val="18"/>
                <w:szCs w:val="18"/>
              </w:rPr>
              <w:t>元募集资金暂时补充流动资金，暂借期限不超过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个月。上述募集资金已于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 前全部归还到募集资金专用账户。</w:t>
            </w:r>
          </w:p>
          <w:p>
            <w:pPr>
              <w:pStyle w:val="TableParagraph"/>
              <w:spacing w:line="309" w:lineRule="auto" w:before="31"/>
              <w:ind w:left="103" w:right="9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日第二届董事会第二十次会议及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 五次临时股东大会决议，在确保募集资金投资项目保质保量、有序实施的前提下，运用 </w:t>
            </w:r>
            <w:r>
              <w:rPr>
                <w:rFonts w:ascii="Times New Roman" w:hAnsi="Times New Roman" w:cs="Times New Roman" w:eastAsia="Times New Roman" w:hint="default"/>
                <w:spacing w:val="-2"/>
                <w:sz w:val="18"/>
                <w:szCs w:val="18"/>
              </w:rPr>
              <w:t>110,000,000.00</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元募集资金暂时补充流动资金，暂借期限不超过</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1"/>
                <w:sz w:val="18"/>
                <w:szCs w:val="18"/>
              </w:rPr>
              <w:t> </w:t>
            </w:r>
            <w:r>
              <w:rPr>
                <w:rFonts w:ascii="宋体" w:hAnsi="宋体" w:cs="宋体" w:eastAsia="宋体" w:hint="default"/>
                <w:spacing w:val="-9"/>
                <w:sz w:val="18"/>
                <w:szCs w:val="18"/>
              </w:rPr>
              <w:t>个月。上述募集资金已于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z w:val="18"/>
                <w:szCs w:val="18"/>
              </w:rPr>
              <w:t>日前全部归还到募集资金专用账户。</w:t>
            </w:r>
          </w:p>
          <w:p>
            <w:pPr>
              <w:pStyle w:val="TableParagraph"/>
              <w:spacing w:line="309" w:lineRule="auto" w:before="63"/>
              <w:ind w:left="103"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日第三届董事会第一次会议及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 二次临时股东大会决议，在确保募集资金投资项目保质保量、有序实施的前提下，运用 </w:t>
            </w:r>
            <w:r>
              <w:rPr>
                <w:rFonts w:ascii="Times New Roman" w:hAnsi="Times New Roman" w:cs="Times New Roman" w:eastAsia="Times New Roman" w:hint="default"/>
                <w:sz w:val="18"/>
                <w:szCs w:val="18"/>
              </w:rPr>
              <w:t>100,000,000.00 </w:t>
            </w:r>
            <w:r>
              <w:rPr>
                <w:rFonts w:ascii="宋体" w:hAnsi="宋体" w:cs="宋体" w:eastAsia="宋体" w:hint="default"/>
                <w:spacing w:val="-3"/>
                <w:sz w:val="18"/>
                <w:szCs w:val="18"/>
              </w:rPr>
              <w:t>元募集资金暂时补充流动资金，暂借期限不超过 </w:t>
            </w:r>
            <w:r>
              <w:rPr>
                <w:rFonts w:ascii="Times New Roman" w:hAnsi="Times New Roman" w:cs="Times New Roman" w:eastAsia="Times New Roman" w:hint="default"/>
                <w:sz w:val="18"/>
                <w:szCs w:val="18"/>
              </w:rPr>
              <w:t>12  </w:t>
            </w:r>
            <w:r>
              <w:rPr>
                <w:rFonts w:ascii="宋体" w:hAnsi="宋体" w:cs="宋体" w:eastAsia="宋体" w:hint="default"/>
                <w:spacing w:val="-6"/>
                <w:sz w:val="18"/>
                <w:szCs w:val="18"/>
              </w:rPr>
              <w:t>个月。上述募集资金已于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2014</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日前全部归还到募集资金专用账户。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日第三届董事会第十六次会议及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年第一</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次临时股东大会决议，在不影响募集资金投资项目正常实施的前提下，运用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元募集</w:t>
            </w:r>
          </w:p>
          <w:p>
            <w:pPr>
              <w:pStyle w:val="TableParagraph"/>
              <w:spacing w:line="300" w:lineRule="auto" w:before="63"/>
              <w:ind w:left="103" w:right="92"/>
              <w:jc w:val="left"/>
              <w:rPr>
                <w:rFonts w:ascii="宋体" w:hAnsi="宋体" w:cs="宋体" w:eastAsia="宋体" w:hint="default"/>
                <w:sz w:val="18"/>
                <w:szCs w:val="18"/>
              </w:rPr>
            </w:pPr>
            <w:r>
              <w:rPr>
                <w:rFonts w:ascii="宋体" w:hAnsi="宋体" w:cs="宋体" w:eastAsia="宋体" w:hint="default"/>
                <w:sz w:val="18"/>
                <w:szCs w:val="18"/>
              </w:rPr>
              <w:t>资金暂时补充流动资金，暂借期限不超过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个月。上述募集资金已于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日前全部 归还到募集资金专用账户。</w:t>
            </w:r>
          </w:p>
        </w:tc>
      </w:tr>
      <w:tr>
        <w:trPr>
          <w:trHeight w:val="946"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2"/>
              <w:ind w:left="92"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1"/>
              <w:ind w:left="92" w:right="2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截至报告期末，募集资金已全部使用完毕。</w:t>
            </w:r>
          </w:p>
        </w:tc>
      </w:tr>
      <w:tr>
        <w:trPr>
          <w:trHeight w:val="956" w:hRule="exact"/>
        </w:trPr>
        <w:tc>
          <w:tcPr>
            <w:tcW w:w="177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16" w:lineRule="auto" w:before="11"/>
              <w:ind w:left="92" w:right="2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spacing w:before="34"/>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57" w:lineRule="auto" w:before="0"/>
        <w:ind w:left="132" w:right="63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after="0" w:line="357" w:lineRule="auto"/>
        <w:jc w:val="left"/>
        <w:rPr>
          <w:rFonts w:ascii="宋体" w:hAnsi="宋体" w:cs="宋体" w:eastAsia="宋体" w:hint="default"/>
          <w:sz w:val="18"/>
          <w:szCs w:val="18"/>
        </w:rPr>
        <w:sectPr>
          <w:footerReference w:type="default" r:id="rId17"/>
          <w:pgSz w:w="11910" w:h="16840"/>
          <w:pgMar w:footer="1012" w:header="850" w:top="1440" w:bottom="1200" w:left="1000" w:right="1020"/>
          <w:pgNumType w:start="30"/>
        </w:sectPr>
      </w:pPr>
    </w:p>
    <w:p>
      <w:pPr>
        <w:spacing w:line="240" w:lineRule="auto" w:before="5"/>
        <w:rPr>
          <w:rFonts w:ascii="宋体" w:hAnsi="宋体" w:cs="宋体" w:eastAsia="宋体" w:hint="default"/>
          <w:sz w:val="13"/>
          <w:szCs w:val="13"/>
        </w:rPr>
      </w:pPr>
    </w:p>
    <w:p>
      <w:pPr>
        <w:pStyle w:val="Heading2"/>
        <w:spacing w:line="240" w:lineRule="auto" w:before="26"/>
        <w:ind w:right="144"/>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2"/>
        <w:rPr>
          <w:rFonts w:ascii="宋体" w:hAnsi="宋体" w:cs="宋体" w:eastAsia="宋体" w:hint="default"/>
          <w:sz w:val="19"/>
          <w:szCs w:val="19"/>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44"/>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012" w:top="1440" w:bottom="1200" w:left="1000" w:right="1020"/>
        </w:sectPr>
      </w:pPr>
    </w:p>
    <w:p>
      <w:pPr>
        <w:spacing w:before="44"/>
        <w:ind w:left="13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32" w:right="-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4828" w:space="4091"/>
            <w:col w:w="971"/>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68"/>
        <w:gridCol w:w="945"/>
        <w:gridCol w:w="1080"/>
        <w:gridCol w:w="900"/>
        <w:gridCol w:w="1380"/>
        <w:gridCol w:w="1158"/>
        <w:gridCol w:w="1045"/>
        <w:gridCol w:w="1045"/>
        <w:gridCol w:w="1046"/>
      </w:tblGrid>
      <w:tr>
        <w:trPr>
          <w:trHeight w:val="644" w:hRule="exact"/>
        </w:trPr>
        <w:tc>
          <w:tcPr>
            <w:tcW w:w="96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356" w:right="172"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3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5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16" w:hRule="exact"/>
        </w:trPr>
        <w:tc>
          <w:tcPr>
            <w:tcW w:w="968"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浙江万马</w:t>
            </w:r>
          </w:p>
        </w:tc>
        <w:tc>
          <w:tcPr>
            <w:tcW w:w="94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电线电缆</w:t>
            </w:r>
          </w:p>
        </w:tc>
        <w:tc>
          <w:tcPr>
            <w:tcW w:w="90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629"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316" w:lineRule="auto" w:before="10"/>
              <w:ind w:left="92" w:right="134"/>
              <w:jc w:val="left"/>
              <w:rPr>
                <w:rFonts w:ascii="宋体" w:hAnsi="宋体" w:cs="宋体" w:eastAsia="宋体" w:hint="default"/>
                <w:sz w:val="18"/>
                <w:szCs w:val="18"/>
              </w:rPr>
            </w:pPr>
            <w:r>
              <w:rPr>
                <w:rFonts w:ascii="宋体" w:hAnsi="宋体" w:cs="宋体" w:eastAsia="宋体" w:hint="default"/>
                <w:sz w:val="18"/>
                <w:szCs w:val="18"/>
              </w:rPr>
              <w:t>高分子材 料有限公</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64"/>
              <w:jc w:val="left"/>
              <w:rPr>
                <w:rFonts w:ascii="宋体" w:hAnsi="宋体" w:cs="宋体" w:eastAsia="宋体" w:hint="default"/>
                <w:sz w:val="18"/>
                <w:szCs w:val="18"/>
              </w:rPr>
            </w:pPr>
            <w:r>
              <w:rPr>
                <w:rFonts w:ascii="宋体" w:hAnsi="宋体" w:cs="宋体" w:eastAsia="宋体" w:hint="default"/>
                <w:sz w:val="18"/>
                <w:szCs w:val="18"/>
              </w:rPr>
              <w:t>用绝缘料、 </w:t>
            </w:r>
            <w:r>
              <w:rPr>
                <w:rFonts w:ascii="宋体" w:hAnsi="宋体" w:cs="宋体" w:eastAsia="宋体" w:hint="default"/>
                <w:spacing w:val="-8"/>
                <w:sz w:val="18"/>
                <w:szCs w:val="18"/>
              </w:rPr>
              <w:t>屏蔽料、护</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Times New Roman"/>
                <w:sz w:val="18"/>
              </w:rPr>
              <w:t>18,675</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934,318,300.94</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583,957,532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7" w:right="0"/>
              <w:jc w:val="left"/>
              <w:rPr>
                <w:rFonts w:ascii="Times New Roman" w:hAnsi="Times New Roman" w:cs="Times New Roman" w:eastAsia="Times New Roman" w:hint="default"/>
                <w:sz w:val="18"/>
                <w:szCs w:val="18"/>
              </w:rPr>
            </w:pPr>
            <w:r>
              <w:rPr>
                <w:rFonts w:ascii="Times New Roman"/>
                <w:sz w:val="18"/>
              </w:rPr>
              <w:t>1,667,800,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792.36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73,475,172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78,729,155</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.86</w:t>
            </w:r>
          </w:p>
        </w:tc>
      </w:tr>
      <w:tr>
        <w:trPr>
          <w:trHeight w:val="313" w:hRule="exact"/>
        </w:trPr>
        <w:tc>
          <w:tcPr>
            <w:tcW w:w="968"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套料等</w:t>
            </w:r>
          </w:p>
        </w:tc>
        <w:tc>
          <w:tcPr>
            <w:tcW w:w="90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15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12" w:space="0" w:color="000000"/>
            </w:tcBorders>
          </w:tcPr>
          <w:p>
            <w:pPr/>
          </w:p>
        </w:tc>
      </w:tr>
      <w:tr>
        <w:trPr>
          <w:trHeight w:val="1258" w:hRule="exact"/>
        </w:trPr>
        <w:tc>
          <w:tcPr>
            <w:tcW w:w="96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
              <w:ind w:left="92" w:right="134"/>
              <w:jc w:val="both"/>
              <w:rPr>
                <w:rFonts w:ascii="宋体" w:hAnsi="宋体" w:cs="宋体" w:eastAsia="宋体" w:hint="default"/>
                <w:sz w:val="18"/>
                <w:szCs w:val="18"/>
              </w:rPr>
            </w:pPr>
            <w:r>
              <w:rPr>
                <w:rFonts w:ascii="宋体" w:hAnsi="宋体" w:cs="宋体" w:eastAsia="宋体" w:hint="default"/>
                <w:sz w:val="18"/>
                <w:szCs w:val="18"/>
              </w:rPr>
              <w:t>浙江万马 天屹通信 线缆有限 公司</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4" w:right="64"/>
              <w:jc w:val="left"/>
              <w:rPr>
                <w:rFonts w:ascii="宋体" w:hAnsi="宋体" w:cs="宋体" w:eastAsia="宋体" w:hint="default"/>
                <w:sz w:val="18"/>
                <w:szCs w:val="18"/>
              </w:rPr>
            </w:pPr>
            <w:r>
              <w:rPr>
                <w:rFonts w:ascii="宋体" w:hAnsi="宋体" w:cs="宋体" w:eastAsia="宋体" w:hint="default"/>
                <w:sz w:val="18"/>
                <w:szCs w:val="18"/>
              </w:rPr>
              <w:t>同轴电缆、 光缆及光 电复合缆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375,279,404.41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193,384,823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Times New Roman" w:hAnsi="Times New Roman" w:cs="Times New Roman" w:eastAsia="Times New Roman" w:hint="default"/>
                <w:sz w:val="18"/>
                <w:szCs w:val="18"/>
              </w:rPr>
            </w:pPr>
            <w:r>
              <w:rPr>
                <w:rFonts w:ascii="Times New Roman"/>
                <w:sz w:val="18"/>
              </w:rPr>
              <w:t>425,106,07</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9.37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44,154,306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right"/>
              <w:rPr>
                <w:rFonts w:ascii="Times New Roman" w:hAnsi="Times New Roman" w:cs="Times New Roman" w:eastAsia="Times New Roman" w:hint="default"/>
                <w:sz w:val="18"/>
                <w:szCs w:val="18"/>
              </w:rPr>
            </w:pPr>
            <w:r>
              <w:rPr>
                <w:rFonts w:ascii="Times New Roman"/>
                <w:spacing w:val="-1"/>
                <w:sz w:val="18"/>
              </w:rPr>
              <w:t>41,753,462</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.33</w:t>
            </w:r>
          </w:p>
        </w:tc>
      </w:tr>
      <w:tr>
        <w:trPr>
          <w:trHeight w:val="1258" w:hRule="exact"/>
        </w:trPr>
        <w:tc>
          <w:tcPr>
            <w:tcW w:w="96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134"/>
              <w:jc w:val="both"/>
              <w:rPr>
                <w:rFonts w:ascii="宋体" w:hAnsi="宋体" w:cs="宋体" w:eastAsia="宋体" w:hint="default"/>
                <w:sz w:val="18"/>
                <w:szCs w:val="18"/>
              </w:rPr>
            </w:pPr>
            <w:r>
              <w:rPr>
                <w:rFonts w:ascii="宋体" w:hAnsi="宋体" w:cs="宋体" w:eastAsia="宋体" w:hint="default"/>
                <w:sz w:val="18"/>
                <w:szCs w:val="18"/>
              </w:rPr>
              <w:t>浙江万马 集团特种 电子电缆 有限公司</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4" w:right="244"/>
              <w:jc w:val="both"/>
              <w:rPr>
                <w:rFonts w:ascii="宋体" w:hAnsi="宋体" w:cs="宋体" w:eastAsia="宋体" w:hint="default"/>
                <w:sz w:val="18"/>
                <w:szCs w:val="18"/>
              </w:rPr>
            </w:pPr>
            <w:r>
              <w:rPr>
                <w:rFonts w:ascii="宋体" w:hAnsi="宋体" w:cs="宋体" w:eastAsia="宋体" w:hint="default"/>
                <w:sz w:val="18"/>
                <w:szCs w:val="18"/>
              </w:rPr>
              <w:t>卫星电视 用同轴电 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305,615,361.46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220,023,192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Times New Roman" w:hAnsi="Times New Roman" w:cs="Times New Roman" w:eastAsia="Times New Roman" w:hint="default"/>
                <w:sz w:val="18"/>
                <w:szCs w:val="18"/>
              </w:rPr>
            </w:pPr>
            <w:r>
              <w:rPr>
                <w:rFonts w:ascii="Times New Roman"/>
                <w:sz w:val="18"/>
              </w:rPr>
              <w:t>371,342,16</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53,571,500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right"/>
              <w:rPr>
                <w:rFonts w:ascii="Times New Roman" w:hAnsi="Times New Roman" w:cs="Times New Roman" w:eastAsia="Times New Roman" w:hint="default"/>
                <w:sz w:val="18"/>
                <w:szCs w:val="18"/>
              </w:rPr>
            </w:pPr>
            <w:r>
              <w:rPr>
                <w:rFonts w:ascii="Times New Roman"/>
                <w:spacing w:val="-1"/>
                <w:sz w:val="18"/>
              </w:rPr>
              <w:t>49,349,562</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.12</w:t>
            </w:r>
          </w:p>
        </w:tc>
      </w:tr>
      <w:tr>
        <w:trPr>
          <w:trHeight w:val="318" w:hRule="exact"/>
        </w:trPr>
        <w:tc>
          <w:tcPr>
            <w:tcW w:w="968" w:type="dxa"/>
            <w:tcBorders>
              <w:top w:val="single" w:sz="4" w:space="0" w:color="000000"/>
              <w:left w:val="single" w:sz="12"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汽车充电</w:t>
            </w:r>
          </w:p>
        </w:tc>
        <w:tc>
          <w:tcPr>
            <w:tcW w:w="90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1248"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2" w:right="134"/>
              <w:jc w:val="both"/>
              <w:rPr>
                <w:rFonts w:ascii="宋体" w:hAnsi="宋体" w:cs="宋体" w:eastAsia="宋体" w:hint="default"/>
                <w:sz w:val="18"/>
                <w:szCs w:val="18"/>
              </w:rPr>
            </w:pPr>
            <w:r>
              <w:rPr>
                <w:rFonts w:ascii="宋体" w:hAnsi="宋体" w:cs="宋体" w:eastAsia="宋体" w:hint="default"/>
                <w:sz w:val="18"/>
                <w:szCs w:val="18"/>
              </w:rPr>
              <w:t>浙江万马 新能源有 限公司</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pacing w:val="-8"/>
                <w:sz w:val="18"/>
                <w:szCs w:val="18"/>
              </w:rPr>
              <w:t>设备，电动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汽车充电 站的系统 设计及工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96,360,797.23</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54,614,196.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70,256,164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15,082,565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9"/>
              <w:jc w:val="right"/>
              <w:rPr>
                <w:rFonts w:ascii="Times New Roman" w:hAnsi="Times New Roman" w:cs="Times New Roman" w:eastAsia="Times New Roman" w:hint="default"/>
                <w:sz w:val="18"/>
                <w:szCs w:val="18"/>
              </w:rPr>
            </w:pPr>
            <w:r>
              <w:rPr>
                <w:rFonts w:ascii="Times New Roman"/>
                <w:spacing w:val="-1"/>
                <w:sz w:val="18"/>
              </w:rPr>
              <w:t>11,661,773</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.93</w:t>
            </w:r>
          </w:p>
        </w:tc>
      </w:tr>
      <w:tr>
        <w:trPr>
          <w:trHeight w:val="316" w:hRule="exact"/>
        </w:trPr>
        <w:tc>
          <w:tcPr>
            <w:tcW w:w="968" w:type="dxa"/>
            <w:tcBorders>
              <w:top w:val="nil" w:sz="6" w:space="0" w:color="auto"/>
              <w:left w:val="single" w:sz="12"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程施工</w:t>
            </w:r>
          </w:p>
        </w:tc>
        <w:tc>
          <w:tcPr>
            <w:tcW w:w="90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15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12" w:space="0" w:color="000000"/>
            </w:tcBorders>
          </w:tcPr>
          <w:p>
            <w:pPr/>
          </w:p>
        </w:tc>
      </w:tr>
      <w:tr>
        <w:trPr>
          <w:trHeight w:val="946" w:hRule="exact"/>
        </w:trPr>
        <w:tc>
          <w:tcPr>
            <w:tcW w:w="96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2" w:right="134"/>
              <w:jc w:val="both"/>
              <w:rPr>
                <w:rFonts w:ascii="宋体" w:hAnsi="宋体" w:cs="宋体" w:eastAsia="宋体" w:hint="default"/>
                <w:sz w:val="18"/>
                <w:szCs w:val="18"/>
              </w:rPr>
            </w:pPr>
            <w:r>
              <w:rPr>
                <w:rFonts w:ascii="宋体" w:hAnsi="宋体" w:cs="宋体" w:eastAsia="宋体" w:hint="default"/>
                <w:sz w:val="18"/>
                <w:szCs w:val="18"/>
              </w:rPr>
              <w:t>香港骐骥 国际发展 有限公司</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244"/>
              <w:jc w:val="left"/>
              <w:rPr>
                <w:rFonts w:ascii="宋体" w:hAnsi="宋体" w:cs="宋体" w:eastAsia="宋体" w:hint="default"/>
                <w:sz w:val="18"/>
                <w:szCs w:val="18"/>
              </w:rPr>
            </w:pPr>
            <w:r>
              <w:rPr>
                <w:rFonts w:ascii="宋体" w:hAnsi="宋体" w:cs="宋体" w:eastAsia="宋体" w:hint="default"/>
                <w:sz w:val="18"/>
                <w:szCs w:val="18"/>
              </w:rPr>
              <w:t>货物进出 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55,833,241.89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41,094,275.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1,143,103,</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755.94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3,015,977.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2,761,128.</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17</w:t>
            </w:r>
          </w:p>
        </w:tc>
      </w:tr>
      <w:tr>
        <w:trPr>
          <w:trHeight w:val="1256" w:hRule="exact"/>
        </w:trPr>
        <w:tc>
          <w:tcPr>
            <w:tcW w:w="9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2" w:right="134"/>
              <w:jc w:val="both"/>
              <w:rPr>
                <w:rFonts w:ascii="宋体" w:hAnsi="宋体" w:cs="宋体" w:eastAsia="宋体" w:hint="default"/>
                <w:sz w:val="18"/>
                <w:szCs w:val="18"/>
              </w:rPr>
            </w:pPr>
            <w:r>
              <w:rPr>
                <w:rFonts w:ascii="宋体" w:hAnsi="宋体" w:cs="宋体" w:eastAsia="宋体" w:hint="default"/>
                <w:sz w:val="18"/>
                <w:szCs w:val="18"/>
              </w:rPr>
              <w:t>浙江万马 光伏有限 公司</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z w:val="18"/>
                <w:szCs w:val="18"/>
              </w:rPr>
              <w:t>新能源领 域的技术 </w:t>
            </w:r>
            <w:r>
              <w:rPr>
                <w:rFonts w:ascii="宋体" w:hAnsi="宋体" w:cs="宋体" w:eastAsia="宋体" w:hint="default"/>
                <w:spacing w:val="-8"/>
                <w:sz w:val="18"/>
                <w:szCs w:val="18"/>
              </w:rPr>
              <w:t>开发、技术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转让、技术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232,351.97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262,131.70</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-28,688.53</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-28,546.94</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440" w:bottom="280" w:left="1000" w:right="102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968"/>
        <w:gridCol w:w="945"/>
        <w:gridCol w:w="1080"/>
        <w:gridCol w:w="900"/>
        <w:gridCol w:w="1380"/>
        <w:gridCol w:w="1158"/>
        <w:gridCol w:w="1045"/>
        <w:gridCol w:w="1045"/>
        <w:gridCol w:w="1046"/>
      </w:tblGrid>
      <w:tr>
        <w:trPr>
          <w:trHeight w:val="634" w:hRule="exact"/>
        </w:trPr>
        <w:tc>
          <w:tcPr>
            <w:tcW w:w="968" w:type="dxa"/>
            <w:tcBorders>
              <w:top w:val="single" w:sz="4" w:space="0" w:color="000000"/>
              <w:left w:val="single" w:sz="12"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pacing w:val="-8"/>
                <w:sz w:val="18"/>
                <w:szCs w:val="18"/>
              </w:rPr>
              <w:t>服务、技术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咨询等</w:t>
            </w:r>
          </w:p>
        </w:tc>
        <w:tc>
          <w:tcPr>
            <w:tcW w:w="90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12" w:space="0" w:color="000000"/>
            </w:tcBorders>
          </w:tcPr>
          <w:p>
            <w:pPr/>
          </w:p>
        </w:tc>
      </w:tr>
      <w:tr>
        <w:trPr>
          <w:trHeight w:val="1570" w:hRule="exact"/>
        </w:trPr>
        <w:tc>
          <w:tcPr>
            <w:tcW w:w="9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92" w:right="134"/>
              <w:jc w:val="both"/>
              <w:rPr>
                <w:rFonts w:ascii="宋体" w:hAnsi="宋体" w:cs="宋体" w:eastAsia="宋体" w:hint="default"/>
                <w:sz w:val="18"/>
                <w:szCs w:val="18"/>
              </w:rPr>
            </w:pPr>
            <w:r>
              <w:rPr>
                <w:rFonts w:ascii="宋体" w:hAnsi="宋体" w:cs="宋体" w:eastAsia="宋体" w:hint="default"/>
                <w:sz w:val="18"/>
                <w:szCs w:val="18"/>
              </w:rPr>
              <w:t>浙江万马 专用线缆 科技有限 公司</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64"/>
              <w:jc w:val="left"/>
              <w:rPr>
                <w:rFonts w:ascii="宋体" w:hAnsi="宋体" w:cs="宋体" w:eastAsia="宋体" w:hint="default"/>
                <w:sz w:val="18"/>
                <w:szCs w:val="18"/>
              </w:rPr>
            </w:pPr>
            <w:r>
              <w:rPr>
                <w:rFonts w:ascii="宋体" w:hAnsi="宋体" w:cs="宋体" w:eastAsia="宋体" w:hint="default"/>
                <w:sz w:val="18"/>
                <w:szCs w:val="18"/>
              </w:rPr>
              <w:t>电力电缆、 特种电缆、 民用及电 气装备用 线缆等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178,397,440.45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pacing w:val="-1"/>
                <w:sz w:val="18"/>
              </w:rPr>
              <w:t>48,095,832.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22" w:right="0"/>
              <w:jc w:val="left"/>
              <w:rPr>
                <w:rFonts w:ascii="Times New Roman" w:hAnsi="Times New Roman" w:cs="Times New Roman" w:eastAsia="Times New Roman" w:hint="default"/>
                <w:sz w:val="18"/>
                <w:szCs w:val="18"/>
              </w:rPr>
            </w:pPr>
            <w:r>
              <w:rPr>
                <w:rFonts w:ascii="Times New Roman"/>
                <w:sz w:val="18"/>
              </w:rPr>
              <w:t>175,431,34</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2.66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pacing w:val="-1"/>
                <w:sz w:val="18"/>
              </w:rPr>
              <w:t>10,148,486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1"/>
              <w:jc w:val="right"/>
              <w:rPr>
                <w:rFonts w:ascii="Times New Roman" w:hAnsi="Times New Roman" w:cs="Times New Roman" w:eastAsia="Times New Roman" w:hint="default"/>
                <w:sz w:val="18"/>
                <w:szCs w:val="18"/>
              </w:rPr>
            </w:pPr>
            <w:r>
              <w:rPr>
                <w:rFonts w:ascii="Times New Roman"/>
                <w:spacing w:val="-1"/>
                <w:sz w:val="18"/>
              </w:rPr>
              <w:t>7,621,603.</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98</w:t>
            </w:r>
          </w:p>
        </w:tc>
      </w:tr>
      <w:tr>
        <w:trPr>
          <w:trHeight w:val="322" w:hRule="exact"/>
        </w:trPr>
        <w:tc>
          <w:tcPr>
            <w:tcW w:w="968" w:type="dxa"/>
            <w:tcBorders>
              <w:top w:val="single" w:sz="4" w:space="0" w:color="000000"/>
              <w:left w:val="single" w:sz="12"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3KV</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及以</w:t>
            </w:r>
          </w:p>
        </w:tc>
        <w:tc>
          <w:tcPr>
            <w:tcW w:w="90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932"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316" w:lineRule="auto" w:before="6"/>
              <w:ind w:left="92" w:right="134"/>
              <w:jc w:val="both"/>
              <w:rPr>
                <w:rFonts w:ascii="宋体" w:hAnsi="宋体" w:cs="宋体" w:eastAsia="宋体" w:hint="default"/>
                <w:sz w:val="18"/>
                <w:szCs w:val="18"/>
              </w:rPr>
            </w:pPr>
            <w:r>
              <w:rPr>
                <w:rFonts w:ascii="宋体" w:hAnsi="宋体" w:cs="宋体" w:eastAsia="宋体" w:hint="default"/>
                <w:sz w:val="18"/>
                <w:szCs w:val="18"/>
              </w:rPr>
              <w:t>浙江万马 电缆有限 公司</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4" w:right="100"/>
              <w:jc w:val="left"/>
              <w:rPr>
                <w:rFonts w:ascii="宋体" w:hAnsi="宋体" w:cs="宋体" w:eastAsia="宋体" w:hint="default"/>
                <w:sz w:val="18"/>
                <w:szCs w:val="18"/>
              </w:rPr>
            </w:pPr>
            <w:r>
              <w:rPr>
                <w:rFonts w:ascii="宋体" w:hAnsi="宋体" w:cs="宋体" w:eastAsia="宋体" w:hint="default"/>
                <w:sz w:val="18"/>
                <w:szCs w:val="18"/>
              </w:rPr>
              <w:t>下电力电 </w:t>
            </w:r>
            <w:r>
              <w:rPr>
                <w:rFonts w:ascii="宋体" w:hAnsi="宋体" w:cs="宋体" w:eastAsia="宋体" w:hint="default"/>
                <w:spacing w:val="-8"/>
                <w:sz w:val="18"/>
                <w:szCs w:val="18"/>
              </w:rPr>
              <w:t>缆、控制电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缆和架空</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64,347,639.17</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30,352,955.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369,304,43</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3.71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21" w:right="0"/>
              <w:jc w:val="left"/>
              <w:rPr>
                <w:rFonts w:ascii="Times New Roman" w:hAnsi="Times New Roman" w:cs="Times New Roman" w:eastAsia="Times New Roman" w:hint="default"/>
                <w:sz w:val="18"/>
                <w:szCs w:val="18"/>
              </w:rPr>
            </w:pPr>
            <w:r>
              <w:rPr>
                <w:rFonts w:ascii="Times New Roman"/>
                <w:sz w:val="18"/>
              </w:rPr>
              <w:t>558,403.83</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
                <w:sz w:val="18"/>
              </w:rPr>
              <w:t>419,325.17</w:t>
            </w:r>
          </w:p>
        </w:tc>
      </w:tr>
      <w:tr>
        <w:trPr>
          <w:trHeight w:val="315" w:hRule="exact"/>
        </w:trPr>
        <w:tc>
          <w:tcPr>
            <w:tcW w:w="968" w:type="dxa"/>
            <w:tcBorders>
              <w:top w:val="nil" w:sz="6" w:space="0" w:color="auto"/>
              <w:left w:val="single" w:sz="12"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电缆等</w:t>
            </w:r>
          </w:p>
        </w:tc>
        <w:tc>
          <w:tcPr>
            <w:tcW w:w="90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15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12" w:space="0" w:color="000000"/>
            </w:tcBorders>
          </w:tcPr>
          <w:p>
            <w:pPr/>
          </w:p>
        </w:tc>
      </w:tr>
      <w:tr>
        <w:trPr>
          <w:trHeight w:val="318" w:hRule="exact"/>
        </w:trPr>
        <w:tc>
          <w:tcPr>
            <w:tcW w:w="968" w:type="dxa"/>
            <w:tcBorders>
              <w:top w:val="single" w:sz="4" w:space="0" w:color="000000"/>
              <w:left w:val="single" w:sz="12"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互联网技</w:t>
            </w:r>
          </w:p>
        </w:tc>
        <w:tc>
          <w:tcPr>
            <w:tcW w:w="90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8"/>
                <w:sz w:val="18"/>
                <w:szCs w:val="18"/>
              </w:rPr>
              <w:t>术开发，物</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联网技术</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8"/>
                <w:sz w:val="18"/>
                <w:szCs w:val="18"/>
              </w:rPr>
              <w:t>开发，智能</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936"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316" w:lineRule="auto" w:before="10"/>
              <w:ind w:left="92" w:right="134"/>
              <w:jc w:val="both"/>
              <w:rPr>
                <w:rFonts w:ascii="宋体" w:hAnsi="宋体" w:cs="宋体" w:eastAsia="宋体" w:hint="default"/>
                <w:sz w:val="18"/>
                <w:szCs w:val="18"/>
              </w:rPr>
            </w:pPr>
            <w:r>
              <w:rPr>
                <w:rFonts w:ascii="宋体" w:hAnsi="宋体" w:cs="宋体" w:eastAsia="宋体" w:hint="default"/>
                <w:sz w:val="18"/>
                <w:szCs w:val="18"/>
              </w:rPr>
              <w:t>浙江爱充 网络科技 有限公司</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z w:val="18"/>
                <w:szCs w:val="18"/>
              </w:rPr>
              <w:t>终端产品 </w:t>
            </w:r>
            <w:r>
              <w:rPr>
                <w:rFonts w:ascii="宋体" w:hAnsi="宋体" w:cs="宋体" w:eastAsia="宋体" w:hint="default"/>
                <w:spacing w:val="-8"/>
                <w:sz w:val="18"/>
                <w:szCs w:val="18"/>
              </w:rPr>
              <w:t>的开发，充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电设施网</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pacing w:val="-1"/>
                <w:sz w:val="18"/>
              </w:rPr>
              <w:t>102,270,658.94</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96,523,014.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-3,468,676.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-3,468,675.</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66</w:t>
            </w: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络的规划、</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8"/>
                <w:sz w:val="18"/>
                <w:szCs w:val="18"/>
              </w:rPr>
              <w:t>设计，电动</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汽车租赁</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6" w:hRule="exact"/>
        </w:trPr>
        <w:tc>
          <w:tcPr>
            <w:tcW w:w="968" w:type="dxa"/>
            <w:tcBorders>
              <w:top w:val="nil" w:sz="6" w:space="0" w:color="auto"/>
              <w:left w:val="single" w:sz="12"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服务等</w:t>
            </w:r>
          </w:p>
        </w:tc>
        <w:tc>
          <w:tcPr>
            <w:tcW w:w="90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158"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12" w:space="0" w:color="000000"/>
            </w:tcBorders>
          </w:tcPr>
          <w:p>
            <w:pPr/>
          </w:p>
        </w:tc>
      </w:tr>
      <w:tr>
        <w:trPr>
          <w:trHeight w:val="1258" w:hRule="exact"/>
        </w:trPr>
        <w:tc>
          <w:tcPr>
            <w:tcW w:w="96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134"/>
              <w:jc w:val="both"/>
              <w:rPr>
                <w:rFonts w:ascii="宋体" w:hAnsi="宋体" w:cs="宋体" w:eastAsia="宋体" w:hint="default"/>
                <w:sz w:val="18"/>
                <w:szCs w:val="18"/>
              </w:rPr>
            </w:pPr>
            <w:r>
              <w:rPr>
                <w:rFonts w:ascii="宋体" w:hAnsi="宋体" w:cs="宋体" w:eastAsia="宋体" w:hint="default"/>
                <w:sz w:val="18"/>
                <w:szCs w:val="18"/>
              </w:rPr>
              <w:t>万马联合 新能源投 资有限公 司</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4" w:right="64"/>
              <w:jc w:val="both"/>
              <w:rPr>
                <w:rFonts w:ascii="宋体" w:hAnsi="宋体" w:cs="宋体" w:eastAsia="宋体" w:hint="default"/>
                <w:sz w:val="18"/>
                <w:szCs w:val="18"/>
              </w:rPr>
            </w:pPr>
            <w:r>
              <w:rPr>
                <w:rFonts w:ascii="宋体" w:hAnsi="宋体" w:cs="宋体" w:eastAsia="宋体" w:hint="default"/>
                <w:sz w:val="18"/>
                <w:szCs w:val="18"/>
              </w:rPr>
              <w:t>实业投资， 投资管理， 投资咨询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Times New Roman" w:hAnsi="Times New Roman" w:cs="Times New Roman" w:eastAsia="Times New Roman" w:hint="default"/>
                <w:sz w:val="18"/>
                <w:szCs w:val="18"/>
              </w:rPr>
            </w:pPr>
            <w:r>
              <w:rPr>
                <w:rFonts w:ascii="Times New Roman"/>
                <w:sz w:val="18"/>
              </w:rPr>
              <w:t>30,500</w:t>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304,885,339.44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304,672,926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-327,073.3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pacing w:val="-1"/>
                <w:sz w:val="18"/>
              </w:rPr>
              <w:t>-327,073.3</w:t>
            </w:r>
          </w:p>
          <w:p>
            <w:pPr>
              <w:pStyle w:val="TableParagraph"/>
              <w:spacing w:line="240" w:lineRule="auto" w:before="105"/>
              <w:ind w:right="92"/>
              <w:jc w:val="right"/>
              <w:rPr>
                <w:rFonts w:ascii="Times New Roman" w:hAnsi="Times New Roman" w:cs="Times New Roman" w:eastAsia="Times New Roman" w:hint="default"/>
                <w:sz w:val="18"/>
                <w:szCs w:val="18"/>
              </w:rPr>
            </w:pPr>
            <w:r>
              <w:rPr>
                <w:rFonts w:ascii="Times New Roman"/>
                <w:sz w:val="18"/>
              </w:rPr>
              <w:t>7</w:t>
            </w:r>
          </w:p>
        </w:tc>
      </w:tr>
      <w:tr>
        <w:trPr>
          <w:trHeight w:val="317" w:hRule="exact"/>
        </w:trPr>
        <w:tc>
          <w:tcPr>
            <w:tcW w:w="968" w:type="dxa"/>
            <w:tcBorders>
              <w:top w:val="single" w:sz="4" w:space="0" w:color="000000"/>
              <w:left w:val="single" w:sz="12"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光伏领域</w:t>
            </w:r>
          </w:p>
        </w:tc>
        <w:tc>
          <w:tcPr>
            <w:tcW w:w="90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浙江电腾</w:t>
            </w: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629"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316" w:lineRule="auto" w:before="10"/>
              <w:ind w:left="92" w:right="134"/>
              <w:jc w:val="left"/>
              <w:rPr>
                <w:rFonts w:ascii="宋体" w:hAnsi="宋体" w:cs="宋体" w:eastAsia="宋体" w:hint="default"/>
                <w:sz w:val="18"/>
                <w:szCs w:val="18"/>
              </w:rPr>
            </w:pPr>
            <w:r>
              <w:rPr>
                <w:rFonts w:ascii="宋体" w:hAnsi="宋体" w:cs="宋体" w:eastAsia="宋体" w:hint="default"/>
                <w:sz w:val="18"/>
                <w:szCs w:val="18"/>
              </w:rPr>
              <w:t>云光伏科 技有限公</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pacing w:val="-8"/>
                <w:sz w:val="18"/>
                <w:szCs w:val="18"/>
              </w:rPr>
              <w:t>发、技术转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让、技术服</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23,910,289.39</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7,002,481.9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4,445,412.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-2,161,286.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46,774.55</w:t>
            </w:r>
          </w:p>
        </w:tc>
      </w:tr>
      <w:tr>
        <w:trPr>
          <w:trHeight w:val="307"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pacing w:val="-8"/>
                <w:sz w:val="18"/>
                <w:szCs w:val="18"/>
              </w:rPr>
              <w:t>务、技术咨</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968" w:type="dxa"/>
            <w:tcBorders>
              <w:top w:val="nil" w:sz="6" w:space="0" w:color="auto"/>
              <w:left w:val="single" w:sz="12"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询等</w:t>
            </w:r>
          </w:p>
        </w:tc>
        <w:tc>
          <w:tcPr>
            <w:tcW w:w="90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15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12" w:space="0" w:color="000000"/>
            </w:tcBorders>
          </w:tcPr>
          <w:p>
            <w:pPr/>
          </w:p>
        </w:tc>
      </w:tr>
      <w:tr>
        <w:trPr>
          <w:trHeight w:val="317" w:hRule="exact"/>
        </w:trPr>
        <w:tc>
          <w:tcPr>
            <w:tcW w:w="968" w:type="dxa"/>
            <w:tcBorders>
              <w:top w:val="single" w:sz="4" w:space="0" w:color="000000"/>
              <w:left w:val="single" w:sz="12"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电动车充</w:t>
            </w:r>
          </w:p>
        </w:tc>
        <w:tc>
          <w:tcPr>
            <w:tcW w:w="90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电设备及</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设施的设</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山东万恩</w:t>
            </w: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计、研发、</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629"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316" w:lineRule="auto" w:before="10"/>
              <w:ind w:left="92" w:right="134"/>
              <w:jc w:val="left"/>
              <w:rPr>
                <w:rFonts w:ascii="宋体" w:hAnsi="宋体" w:cs="宋体" w:eastAsia="宋体" w:hint="default"/>
                <w:sz w:val="18"/>
                <w:szCs w:val="18"/>
              </w:rPr>
            </w:pPr>
            <w:r>
              <w:rPr>
                <w:rFonts w:ascii="宋体" w:hAnsi="宋体" w:cs="宋体" w:eastAsia="宋体" w:hint="default"/>
                <w:sz w:val="18"/>
                <w:szCs w:val="18"/>
              </w:rPr>
              <w:t>新能源科 技有限公</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pacing w:val="-8"/>
                <w:sz w:val="18"/>
                <w:szCs w:val="18"/>
              </w:rPr>
              <w:t>销售；电动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车充电设</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65,186,160.07</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35,037,706.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8,464,373.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-3,113,701.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nil" w:sz="6" w:space="0" w:color="auto"/>
              <w:left w:val="single" w:sz="4" w:space="0" w:color="000000"/>
              <w:bottom w:val="nil" w:sz="6" w:space="0" w:color="auto"/>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-3,017,685.</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23</w:t>
            </w:r>
          </w:p>
        </w:tc>
      </w:tr>
      <w:tr>
        <w:trPr>
          <w:trHeight w:val="307" w:hRule="exact"/>
        </w:trPr>
        <w:tc>
          <w:tcPr>
            <w:tcW w:w="968"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备及设施</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项目的建</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968" w:type="dxa"/>
            <w:tcBorders>
              <w:top w:val="nil" w:sz="6" w:space="0" w:color="auto"/>
              <w:left w:val="single" w:sz="12"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设与运营；</w:t>
            </w:r>
          </w:p>
        </w:tc>
        <w:tc>
          <w:tcPr>
            <w:tcW w:w="90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15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12" w:space="0" w:color="000000"/>
            </w:tcBorders>
          </w:tcPr>
          <w:p>
            <w:pPr/>
          </w:p>
        </w:tc>
      </w:tr>
      <w:tr>
        <w:trPr>
          <w:trHeight w:val="355" w:hRule="exact"/>
        </w:trPr>
        <w:tc>
          <w:tcPr>
            <w:tcW w:w="968" w:type="dxa"/>
            <w:tcBorders>
              <w:top w:val="nil" w:sz="6" w:space="0" w:color="auto"/>
              <w:left w:val="single" w:sz="12" w:space="0" w:color="000000"/>
              <w:bottom w:val="single" w:sz="12" w:space="0" w:color="000000"/>
              <w:right w:val="single" w:sz="4" w:space="0" w:color="000000"/>
            </w:tcBorders>
          </w:tcPr>
          <w:p>
            <w:pPr/>
          </w:p>
        </w:tc>
        <w:tc>
          <w:tcPr>
            <w:tcW w:w="945" w:type="dxa"/>
            <w:tcBorders>
              <w:top w:val="nil" w:sz="6" w:space="0" w:color="auto"/>
              <w:left w:val="single" w:sz="4" w:space="0" w:color="000000"/>
              <w:bottom w:val="single" w:sz="12" w:space="0" w:color="000000"/>
              <w:right w:val="single" w:sz="4" w:space="0" w:color="000000"/>
            </w:tcBorders>
          </w:tcPr>
          <w:p>
            <w:pPr/>
          </w:p>
        </w:tc>
        <w:tc>
          <w:tcPr>
            <w:tcW w:w="10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销售：汽</w:t>
            </w:r>
          </w:p>
        </w:tc>
        <w:tc>
          <w:tcPr>
            <w:tcW w:w="900" w:type="dxa"/>
            <w:tcBorders>
              <w:top w:val="nil" w:sz="6" w:space="0" w:color="auto"/>
              <w:left w:val="single" w:sz="4" w:space="0" w:color="000000"/>
              <w:bottom w:val="single" w:sz="12" w:space="0" w:color="000000"/>
              <w:right w:val="single" w:sz="4" w:space="0" w:color="000000"/>
            </w:tcBorders>
          </w:tcPr>
          <w:p>
            <w:pPr/>
          </w:p>
        </w:tc>
        <w:tc>
          <w:tcPr>
            <w:tcW w:w="1380" w:type="dxa"/>
            <w:tcBorders>
              <w:top w:val="nil" w:sz="6" w:space="0" w:color="auto"/>
              <w:left w:val="single" w:sz="4" w:space="0" w:color="000000"/>
              <w:bottom w:val="single" w:sz="12" w:space="0" w:color="000000"/>
              <w:right w:val="single" w:sz="4" w:space="0" w:color="000000"/>
            </w:tcBorders>
          </w:tcPr>
          <w:p>
            <w:pPr/>
          </w:p>
        </w:tc>
        <w:tc>
          <w:tcPr>
            <w:tcW w:w="1158" w:type="dxa"/>
            <w:tcBorders>
              <w:top w:val="nil" w:sz="6" w:space="0" w:color="auto"/>
              <w:left w:val="single" w:sz="4" w:space="0" w:color="000000"/>
              <w:bottom w:val="single" w:sz="12" w:space="0" w:color="000000"/>
              <w:right w:val="single" w:sz="4" w:space="0" w:color="000000"/>
            </w:tcBorders>
          </w:tcPr>
          <w:p>
            <w:pPr/>
          </w:p>
        </w:tc>
        <w:tc>
          <w:tcPr>
            <w:tcW w:w="1045" w:type="dxa"/>
            <w:tcBorders>
              <w:top w:val="nil" w:sz="6" w:space="0" w:color="auto"/>
              <w:left w:val="single" w:sz="4" w:space="0" w:color="000000"/>
              <w:bottom w:val="single" w:sz="12" w:space="0" w:color="000000"/>
              <w:right w:val="single" w:sz="4" w:space="0" w:color="000000"/>
            </w:tcBorders>
          </w:tcPr>
          <w:p>
            <w:pPr/>
          </w:p>
        </w:tc>
        <w:tc>
          <w:tcPr>
            <w:tcW w:w="1045" w:type="dxa"/>
            <w:tcBorders>
              <w:top w:val="nil" w:sz="6" w:space="0" w:color="auto"/>
              <w:left w:val="single" w:sz="4" w:space="0" w:color="000000"/>
              <w:bottom w:val="single" w:sz="12" w:space="0" w:color="000000"/>
              <w:right w:val="single" w:sz="4" w:space="0" w:color="000000"/>
            </w:tcBorders>
          </w:tcPr>
          <w:p>
            <w:pPr/>
          </w:p>
        </w:tc>
        <w:tc>
          <w:tcPr>
            <w:tcW w:w="1046" w:type="dxa"/>
            <w:tcBorders>
              <w:top w:val="nil" w:sz="6" w:space="0" w:color="auto"/>
              <w:left w:val="single" w:sz="4" w:space="0" w:color="000000"/>
              <w:bottom w:val="single" w:sz="12" w:space="0" w:color="000000"/>
              <w:right w:val="single" w:sz="12" w:space="0" w:color="000000"/>
            </w:tcBorders>
          </w:tcPr>
          <w:p>
            <w:pPr/>
          </w:p>
        </w:tc>
      </w:tr>
    </w:tbl>
    <w:p>
      <w:pPr>
        <w:spacing w:after="0"/>
        <w:sectPr>
          <w:pgSz w:w="11910" w:h="16840"/>
          <w:pgMar w:header="850" w:footer="1012" w:top="1440" w:bottom="1200" w:left="1000" w:right="102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968"/>
        <w:gridCol w:w="945"/>
        <w:gridCol w:w="1080"/>
        <w:gridCol w:w="900"/>
        <w:gridCol w:w="1380"/>
        <w:gridCol w:w="1158"/>
        <w:gridCol w:w="1045"/>
        <w:gridCol w:w="1045"/>
        <w:gridCol w:w="1046"/>
      </w:tblGrid>
      <w:tr>
        <w:trPr>
          <w:trHeight w:val="644" w:hRule="exact"/>
        </w:trPr>
        <w:tc>
          <w:tcPr>
            <w:tcW w:w="968" w:type="dxa"/>
            <w:tcBorders>
              <w:top w:val="single" w:sz="4" w:space="0" w:color="000000"/>
              <w:left w:val="single" w:sz="12" w:space="0" w:color="000000"/>
              <w:bottom w:val="single" w:sz="12" w:space="0" w:color="000000"/>
              <w:right w:val="single" w:sz="4" w:space="0" w:color="000000"/>
            </w:tcBorders>
          </w:tcPr>
          <w:p>
            <w:pPr/>
          </w:p>
        </w:tc>
        <w:tc>
          <w:tcPr>
            <w:tcW w:w="945"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pacing w:val="-8"/>
                <w:sz w:val="18"/>
                <w:szCs w:val="18"/>
              </w:rPr>
              <w:t>车、汽车配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件等</w:t>
            </w:r>
          </w:p>
        </w:tc>
        <w:tc>
          <w:tcPr>
            <w:tcW w:w="900" w:type="dxa"/>
            <w:tcBorders>
              <w:top w:val="single" w:sz="4" w:space="0" w:color="000000"/>
              <w:left w:val="single" w:sz="4" w:space="0" w:color="000000"/>
              <w:bottom w:val="single" w:sz="12" w:space="0" w:color="000000"/>
              <w:right w:val="single" w:sz="4" w:space="0" w:color="000000"/>
            </w:tcBorders>
          </w:tcPr>
          <w:p>
            <w:pPr/>
          </w:p>
        </w:tc>
        <w:tc>
          <w:tcPr>
            <w:tcW w:w="1380" w:type="dxa"/>
            <w:tcBorders>
              <w:top w:val="single" w:sz="4" w:space="0" w:color="000000"/>
              <w:left w:val="single" w:sz="4" w:space="0" w:color="000000"/>
              <w:bottom w:val="single" w:sz="12" w:space="0" w:color="000000"/>
              <w:right w:val="single" w:sz="4" w:space="0" w:color="000000"/>
            </w:tcBorders>
          </w:tcPr>
          <w:p>
            <w:pPr/>
          </w:p>
        </w:tc>
        <w:tc>
          <w:tcPr>
            <w:tcW w:w="1158" w:type="dxa"/>
            <w:tcBorders>
              <w:top w:val="single" w:sz="4" w:space="0" w:color="000000"/>
              <w:left w:val="single" w:sz="4" w:space="0" w:color="000000"/>
              <w:bottom w:val="single" w:sz="12" w:space="0" w:color="000000"/>
              <w:right w:val="single" w:sz="4" w:space="0" w:color="000000"/>
            </w:tcBorders>
          </w:tcPr>
          <w:p>
            <w:pPr/>
          </w:p>
        </w:tc>
        <w:tc>
          <w:tcPr>
            <w:tcW w:w="1045" w:type="dxa"/>
            <w:tcBorders>
              <w:top w:val="single" w:sz="4" w:space="0" w:color="000000"/>
              <w:left w:val="single" w:sz="4" w:space="0" w:color="000000"/>
              <w:bottom w:val="single" w:sz="12" w:space="0" w:color="000000"/>
              <w:right w:val="single" w:sz="4" w:space="0" w:color="000000"/>
            </w:tcBorders>
          </w:tcPr>
          <w:p>
            <w:pPr/>
          </w:p>
        </w:tc>
        <w:tc>
          <w:tcPr>
            <w:tcW w:w="1045" w:type="dxa"/>
            <w:tcBorders>
              <w:top w:val="single" w:sz="4" w:space="0" w:color="000000"/>
              <w:left w:val="single" w:sz="4" w:space="0" w:color="000000"/>
              <w:bottom w:val="single" w:sz="12" w:space="0" w:color="000000"/>
              <w:right w:val="single" w:sz="4" w:space="0" w:color="000000"/>
            </w:tcBorders>
          </w:tcPr>
          <w:p>
            <w:pPr/>
          </w:p>
        </w:tc>
        <w:tc>
          <w:tcPr>
            <w:tcW w:w="1046" w:type="dxa"/>
            <w:tcBorders>
              <w:top w:val="single" w:sz="4" w:space="0" w:color="000000"/>
              <w:left w:val="single" w:sz="4" w:space="0" w:color="000000"/>
              <w:bottom w:val="single" w:sz="12" w:space="0" w:color="000000"/>
              <w:right w:val="single" w:sz="12" w:space="0" w:color="000000"/>
            </w:tcBorders>
          </w:tcPr>
          <w:p>
            <w:pPr/>
          </w:p>
        </w:tc>
      </w:tr>
    </w:tbl>
    <w:p>
      <w:pPr>
        <w:spacing w:before="12"/>
        <w:ind w:left="132" w:right="14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88"/>
        <w:gridCol w:w="3190"/>
        <w:gridCol w:w="3191"/>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年末实现净利润</w:t>
            </w:r>
            <w:r>
              <w:rPr>
                <w:rFonts w:ascii="Times New Roman" w:hAnsi="Times New Roman" w:cs="Times New Roman" w:eastAsia="Times New Roman" w:hint="default"/>
                <w:sz w:val="18"/>
                <w:szCs w:val="18"/>
              </w:rPr>
              <w:t>-327,073.37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spacing w:before="53"/>
        <w:ind w:left="132"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24"/>
          <w:szCs w:val="24"/>
        </w:rPr>
      </w:pPr>
    </w:p>
    <w:p>
      <w:pPr>
        <w:spacing w:before="0"/>
        <w:ind w:left="132" w:right="0" w:firstLine="0"/>
        <w:jc w:val="both"/>
        <w:rPr>
          <w:rFonts w:ascii="宋体" w:hAnsi="宋体" w:cs="宋体" w:eastAsia="宋体" w:hint="default"/>
          <w:sz w:val="21"/>
          <w:szCs w:val="21"/>
        </w:rPr>
      </w:pPr>
      <w:r>
        <w:rPr>
          <w:rFonts w:ascii="宋体" w:hAnsi="宋体" w:cs="宋体" w:eastAsia="宋体" w:hint="default"/>
          <w:b/>
          <w:bCs/>
          <w:sz w:val="21"/>
          <w:szCs w:val="21"/>
        </w:rPr>
        <w:t>（一）行业竞争格局和发展趋势</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pStyle w:val="Heading2"/>
        <w:spacing w:line="240" w:lineRule="auto"/>
        <w:ind w:left="17" w:right="6990"/>
        <w:jc w:val="center"/>
        <w:rPr>
          <w:b w:val="0"/>
          <w:bCs w:val="0"/>
        </w:rPr>
      </w:pPr>
      <w:r>
        <w:rPr>
          <w:rFonts w:ascii="Times New Roman" w:hAnsi="Times New Roman" w:cs="Times New Roman" w:eastAsia="Times New Roman" w:hint="default"/>
        </w:rPr>
        <w:t>1</w:t>
      </w:r>
      <w:r>
        <w:rPr/>
        <w:t>、电线电缆行业</w:t>
      </w:r>
      <w:r>
        <w:rPr>
          <w:b w:val="0"/>
          <w:bCs w:val="0"/>
        </w:rPr>
      </w:r>
    </w:p>
    <w:p>
      <w:pPr>
        <w:pStyle w:val="Heading3"/>
        <w:spacing w:line="338" w:lineRule="auto" w:before="135"/>
        <w:ind w:left="132" w:right="110" w:firstLine="420"/>
        <w:jc w:val="both"/>
      </w:pPr>
      <w:r>
        <w:rPr>
          <w:rFonts w:ascii="Times New Roman" w:hAnsi="Times New Roman" w:cs="Times New Roman" w:eastAsia="Times New Roman" w:hint="default"/>
          <w:spacing w:val="-1"/>
        </w:rPr>
        <w:t>2016</w:t>
      </w:r>
      <w:r>
        <w:rPr>
          <w:spacing w:val="-1"/>
        </w:rPr>
        <w:t>年，国网计划投资</w:t>
      </w:r>
      <w:r>
        <w:rPr>
          <w:rFonts w:ascii="Times New Roman" w:hAnsi="Times New Roman" w:cs="Times New Roman" w:eastAsia="Times New Roman" w:hint="default"/>
          <w:spacing w:val="-1"/>
        </w:rPr>
        <w:t>4390</w:t>
      </w:r>
      <w:r>
        <w:rPr>
          <w:spacing w:val="-1"/>
        </w:rPr>
        <w:t>亿元建设电网，较</w:t>
      </w:r>
      <w:r>
        <w:rPr>
          <w:rFonts w:ascii="Times New Roman" w:hAnsi="Times New Roman" w:cs="Times New Roman" w:eastAsia="Times New Roman" w:hint="default"/>
          <w:spacing w:val="-1"/>
        </w:rPr>
        <w:t>2015</w:t>
      </w:r>
      <w:r>
        <w:rPr>
          <w:spacing w:val="-1"/>
        </w:rPr>
        <w:t>年计划投资额增加</w:t>
      </w:r>
      <w:r>
        <w:rPr>
          <w:rFonts w:ascii="Times New Roman" w:hAnsi="Times New Roman" w:cs="Times New Roman" w:eastAsia="Times New Roman" w:hint="default"/>
          <w:spacing w:val="-1"/>
        </w:rPr>
        <w:t>4.47%</w:t>
      </w:r>
      <w:r>
        <w:rPr>
          <w:spacing w:val="-1"/>
        </w:rPr>
        <w:t>（摘自《国家</w:t>
      </w:r>
      <w:r>
        <w:rPr/>
        <w:t> 电网公司</w:t>
      </w:r>
      <w:r>
        <w:rPr>
          <w:rFonts w:ascii="Times New Roman" w:hAnsi="Times New Roman" w:cs="Times New Roman" w:eastAsia="Times New Roman" w:hint="default"/>
        </w:rPr>
        <w:t>2015</w:t>
      </w:r>
      <w:r>
        <w:rPr/>
        <w:t>社会责任报告》）。国家电网公司董事长刘振亚表示，从</w:t>
      </w:r>
      <w:r>
        <w:rPr>
          <w:rFonts w:ascii="Times New Roman" w:hAnsi="Times New Roman" w:cs="Times New Roman" w:eastAsia="Times New Roman" w:hint="default"/>
        </w:rPr>
        <w:t>2015</w:t>
      </w:r>
      <w:r>
        <w:rPr/>
        <w:t>年到</w:t>
      </w:r>
      <w:r>
        <w:rPr>
          <w:rFonts w:ascii="Times New Roman" w:hAnsi="Times New Roman" w:cs="Times New Roman" w:eastAsia="Times New Roman" w:hint="default"/>
        </w:rPr>
        <w:t>2020</w:t>
      </w:r>
      <w:r>
        <w:rPr/>
        <w:t>年国家</w:t>
      </w:r>
      <w:r>
        <w:rPr>
          <w:spacing w:val="-90"/>
        </w:rPr>
        <w:t> </w:t>
      </w:r>
      <w:r>
        <w:rPr>
          <w:spacing w:val="-90"/>
        </w:rPr>
      </w:r>
      <w:r>
        <w:rPr/>
        <w:t>电网将投资</w:t>
      </w:r>
      <w:r>
        <w:rPr>
          <w:rFonts w:ascii="Times New Roman" w:hAnsi="Times New Roman" w:cs="Times New Roman" w:eastAsia="Times New Roman" w:hint="default"/>
        </w:rPr>
        <w:t>2.7</w:t>
      </w:r>
      <w:r>
        <w:rPr/>
        <w:t>万亿建设特高压等电网工程，带动相关产业投资</w:t>
      </w:r>
      <w:r>
        <w:rPr>
          <w:rFonts w:ascii="Times New Roman" w:hAnsi="Times New Roman" w:cs="Times New Roman" w:eastAsia="Times New Roman" w:hint="default"/>
        </w:rPr>
        <w:t>3</w:t>
      </w:r>
      <w:r>
        <w:rPr/>
        <w:t>万亿，总投资将达到</w:t>
      </w:r>
      <w:r>
        <w:rPr>
          <w:rFonts w:ascii="Times New Roman" w:hAnsi="Times New Roman" w:cs="Times New Roman" w:eastAsia="Times New Roman" w:hint="default"/>
        </w:rPr>
        <w:t>5.7</w:t>
      </w:r>
      <w:r>
        <w:rPr/>
        <w:t>万亿</w:t>
      </w:r>
      <w:r>
        <w:rPr>
          <w:spacing w:val="-89"/>
        </w:rPr>
        <w:t> </w:t>
      </w:r>
      <w:r>
        <w:rPr/>
        <w:t>到</w:t>
      </w:r>
      <w:r>
        <w:rPr>
          <w:rFonts w:ascii="Times New Roman" w:hAnsi="Times New Roman" w:cs="Times New Roman" w:eastAsia="Times New Roman" w:hint="default"/>
        </w:rPr>
        <w:t>6</w:t>
      </w:r>
      <w:r>
        <w:rPr/>
        <w:t>万亿元。可以预见，大规模的电网建设将为电力电缆行业提供广阔的发展空间。</w:t>
      </w:r>
    </w:p>
    <w:p>
      <w:pPr>
        <w:spacing w:line="338" w:lineRule="auto" w:before="27"/>
        <w:ind w:left="552" w:right="144" w:hanging="1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）智能电网、新能源电缆等特种电缆市场需求旺盛。</w:t>
      </w:r>
      <w:r>
        <w:rPr>
          <w:rFonts w:ascii="宋体" w:hAnsi="宋体" w:cs="宋体" w:eastAsia="宋体" w:hint="default"/>
          <w:b/>
          <w:bCs/>
          <w:w w:val="99"/>
          <w:sz w:val="24"/>
          <w:szCs w:val="24"/>
        </w:rPr>
        <w:t> </w:t>
      </w:r>
      <w:r>
        <w:rPr>
          <w:rFonts w:ascii="宋体" w:hAnsi="宋体" w:cs="宋体" w:eastAsia="宋体" w:hint="default"/>
          <w:sz w:val="24"/>
          <w:szCs w:val="24"/>
        </w:rPr>
        <w:t>目前，国家电网每年在智能电网上投资</w:t>
      </w:r>
      <w:r>
        <w:rPr>
          <w:rFonts w:ascii="Times New Roman" w:hAnsi="Times New Roman" w:cs="Times New Roman" w:eastAsia="Times New Roman" w:hint="default"/>
          <w:sz w:val="24"/>
          <w:szCs w:val="24"/>
        </w:rPr>
        <w:t>3000</w:t>
      </w:r>
      <w:r>
        <w:rPr>
          <w:rFonts w:ascii="宋体" w:hAnsi="宋体" w:cs="宋体" w:eastAsia="宋体" w:hint="default"/>
          <w:sz w:val="24"/>
          <w:szCs w:val="24"/>
        </w:rPr>
        <w:t>亿。</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w:t>
      </w:r>
      <w:r>
        <w:rPr>
          <w:rFonts w:ascii="Times New Roman" w:hAnsi="Times New Roman" w:cs="Times New Roman" w:eastAsia="Times New Roman" w:hint="default"/>
          <w:sz w:val="24"/>
          <w:szCs w:val="24"/>
        </w:rPr>
        <w:t>6</w:t>
      </w:r>
      <w:r>
        <w:rPr>
          <w:rFonts w:ascii="宋体" w:hAnsi="宋体" w:cs="宋体" w:eastAsia="宋体" w:hint="default"/>
          <w:sz w:val="24"/>
          <w:szCs w:val="24"/>
        </w:rPr>
        <w:t>日国家发改委、能源局联合</w:t>
      </w:r>
    </w:p>
    <w:p>
      <w:pPr>
        <w:pStyle w:val="Heading3"/>
        <w:spacing w:line="350" w:lineRule="auto" w:before="27"/>
        <w:ind w:left="132" w:right="112"/>
        <w:jc w:val="both"/>
      </w:pPr>
      <w:r>
        <w:rPr/>
        <w:t>发布的《关于促进智能电网发展的指导意见》提出，到</w:t>
      </w:r>
      <w:r>
        <w:rPr>
          <w:rFonts w:ascii="Times New Roman" w:hAnsi="Times New Roman" w:cs="Times New Roman" w:eastAsia="Times New Roman" w:hint="default"/>
        </w:rPr>
        <w:t>2020</w:t>
      </w:r>
      <w:r>
        <w:rPr/>
        <w:t>年，初步建成安全可靠、开放兼</w:t>
      </w:r>
      <w:r>
        <w:rPr>
          <w:spacing w:val="-89"/>
        </w:rPr>
        <w:t> </w:t>
      </w:r>
      <w:r>
        <w:rPr>
          <w:spacing w:val="-89"/>
        </w:rPr>
      </w:r>
      <w:r>
        <w:rPr/>
        <w:t>容、双向互动、高效经济、清洁环保的智能电网体系，满足电源开发和用户需求，全面支撑</w:t>
      </w:r>
      <w:r>
        <w:rPr>
          <w:spacing w:val="-89"/>
        </w:rPr>
        <w:t> </w:t>
      </w:r>
      <w:r>
        <w:rPr>
          <w:spacing w:val="-89"/>
        </w:rPr>
      </w:r>
      <w:r>
        <w:rPr/>
        <w:t>现代能源体系建设，推动我国能源生产和消费革命；带动战略性新兴产业发展，形成有国际</w:t>
      </w:r>
      <w:r>
        <w:rPr>
          <w:spacing w:val="-89"/>
        </w:rPr>
        <w:t> </w:t>
      </w:r>
      <w:r>
        <w:rPr>
          <w:spacing w:val="-89"/>
        </w:rPr>
      </w:r>
      <w:r>
        <w:rPr/>
        <w:t>竞争力的智能电网装备体系。</w:t>
      </w:r>
    </w:p>
    <w:p>
      <w:pPr>
        <w:pStyle w:val="Heading3"/>
        <w:spacing w:line="338" w:lineRule="auto" w:before="43"/>
        <w:ind w:left="132" w:right="110" w:firstLine="420"/>
        <w:jc w:val="both"/>
      </w:pPr>
      <w:r>
        <w:rPr>
          <w:spacing w:val="2"/>
        </w:rPr>
        <w:t>新能源电缆，包括风力发电电缆、光伏发电电缆等，中国风能协会数据显示，</w:t>
      </w:r>
      <w:r>
        <w:rPr>
          <w:rFonts w:ascii="Times New Roman" w:hAnsi="Times New Roman" w:cs="Times New Roman" w:eastAsia="Times New Roman" w:hint="default"/>
          <w:spacing w:val="2"/>
        </w:rPr>
        <w:t>2015</w:t>
      </w:r>
      <w:r>
        <w:rPr>
          <w:spacing w:val="2"/>
        </w:rPr>
        <w:t>年全</w:t>
      </w:r>
      <w:r>
        <w:rPr/>
        <w:t> 国新增风电装机</w:t>
      </w:r>
      <w:r>
        <w:rPr>
          <w:rFonts w:ascii="Times New Roman" w:hAnsi="Times New Roman" w:cs="Times New Roman" w:eastAsia="Times New Roman" w:hint="default"/>
        </w:rPr>
        <w:t>3050</w:t>
      </w:r>
      <w:r>
        <w:rPr/>
        <w:t>万千瓦，同比上升</w:t>
      </w:r>
      <w:r>
        <w:rPr>
          <w:rFonts w:ascii="Times New Roman" w:hAnsi="Times New Roman" w:cs="Times New Roman" w:eastAsia="Times New Roman" w:hint="default"/>
        </w:rPr>
        <w:t>31.5%</w:t>
      </w:r>
      <w:r>
        <w:rPr/>
        <w:t>；累计装机</w:t>
      </w:r>
      <w:r>
        <w:rPr>
          <w:rFonts w:ascii="Times New Roman" w:hAnsi="Times New Roman" w:cs="Times New Roman" w:eastAsia="Times New Roman" w:hint="default"/>
        </w:rPr>
        <w:t>1.45</w:t>
      </w:r>
      <w:r>
        <w:rPr/>
        <w:t>亿千瓦，同比上升</w:t>
      </w:r>
      <w:r>
        <w:rPr>
          <w:rFonts w:ascii="Times New Roman" w:hAnsi="Times New Roman" w:cs="Times New Roman" w:eastAsia="Times New Roman" w:hint="default"/>
        </w:rPr>
        <w:t>26.6%</w:t>
      </w:r>
      <w:r>
        <w:rPr/>
        <w:t>。根据</w:t>
      </w:r>
      <w:r>
        <w:rPr>
          <w:spacing w:val="-73"/>
        </w:rPr>
        <w:t> </w:t>
      </w:r>
      <w:r>
        <w:rPr>
          <w:spacing w:val="-73"/>
        </w:rPr>
      </w:r>
      <w:r>
        <w:rPr/>
        <w:t>国家能源局《关于下达</w:t>
      </w:r>
      <w:r>
        <w:rPr>
          <w:rFonts w:ascii="Times New Roman" w:hAnsi="Times New Roman" w:cs="Times New Roman" w:eastAsia="Times New Roman" w:hint="default"/>
        </w:rPr>
        <w:t>2016</w:t>
      </w:r>
      <w:r>
        <w:rPr/>
        <w:t>年全国风电开发建设方案的通知》，</w:t>
      </w:r>
      <w:r>
        <w:rPr>
          <w:rFonts w:ascii="Times New Roman" w:hAnsi="Times New Roman" w:cs="Times New Roman" w:eastAsia="Times New Roman" w:hint="default"/>
        </w:rPr>
        <w:t>2016</w:t>
      </w:r>
      <w:r>
        <w:rPr/>
        <w:t>年，我国风电新增装机</w:t>
      </w:r>
      <w:r>
        <w:rPr>
          <w:spacing w:val="-89"/>
        </w:rPr>
        <w:t> </w:t>
      </w:r>
      <w:r>
        <w:rPr>
          <w:spacing w:val="-89"/>
        </w:rPr>
      </w:r>
      <w:r>
        <w:rPr>
          <w:spacing w:val="-1"/>
        </w:rPr>
        <w:t>目标为</w:t>
      </w:r>
      <w:r>
        <w:rPr>
          <w:rFonts w:ascii="Times New Roman" w:hAnsi="Times New Roman" w:cs="Times New Roman" w:eastAsia="Times New Roman" w:hint="default"/>
          <w:spacing w:val="-1"/>
        </w:rPr>
        <w:t>3083</w:t>
      </w:r>
      <w:r>
        <w:rPr>
          <w:spacing w:val="-1"/>
        </w:rPr>
        <w:t>万千瓦，风电投资将维持高位。《能源发展战略行动计划（</w:t>
      </w:r>
      <w:r>
        <w:rPr>
          <w:rFonts w:ascii="Times New Roman" w:hAnsi="Times New Roman" w:cs="Times New Roman" w:eastAsia="Times New Roman" w:hint="default"/>
          <w:spacing w:val="-1"/>
        </w:rPr>
        <w:t>2014-2020</w:t>
      </w:r>
      <w:r>
        <w:rPr>
          <w:spacing w:val="-1"/>
        </w:rPr>
        <w:t>年）》提出</w:t>
      </w:r>
      <w:r>
        <w:rPr>
          <w:spacing w:val="-118"/>
        </w:rPr>
        <w:t> </w:t>
      </w:r>
      <w:r>
        <w:rPr>
          <w:spacing w:val="-118"/>
        </w:rPr>
      </w:r>
      <w:r>
        <w:rPr>
          <w:spacing w:val="-2"/>
        </w:rPr>
        <w:t>了大力发展风电的举措，并提出到</w:t>
      </w:r>
      <w:r>
        <w:rPr>
          <w:rFonts w:ascii="Times New Roman" w:hAnsi="Times New Roman" w:cs="Times New Roman" w:eastAsia="Times New Roman" w:hint="default"/>
          <w:spacing w:val="-2"/>
        </w:rPr>
        <w:t>2020</w:t>
      </w:r>
      <w:r>
        <w:rPr>
          <w:spacing w:val="-2"/>
        </w:rPr>
        <w:t>年风电装机达到</w:t>
      </w:r>
      <w:r>
        <w:rPr>
          <w:rFonts w:ascii="Times New Roman" w:hAnsi="Times New Roman" w:cs="Times New Roman" w:eastAsia="Times New Roman" w:hint="default"/>
          <w:spacing w:val="-2"/>
        </w:rPr>
        <w:t>2</w:t>
      </w:r>
      <w:r>
        <w:rPr>
          <w:spacing w:val="-2"/>
        </w:rPr>
        <w:t>亿千瓦的目标。我国风电正进入加速</w:t>
      </w:r>
      <w:r>
        <w:rPr>
          <w:spacing w:val="-116"/>
        </w:rPr>
        <w:t> </w:t>
      </w:r>
      <w:r>
        <w:rPr>
          <w:spacing w:val="-116"/>
        </w:rPr>
      </w:r>
      <w:r>
        <w:rPr>
          <w:spacing w:val="2"/>
        </w:rPr>
        <w:t>发展期。光伏发电电缆方面，</w:t>
      </w:r>
      <w:r>
        <w:rPr>
          <w:rFonts w:ascii="Times New Roman" w:hAnsi="Times New Roman" w:cs="Times New Roman" w:eastAsia="Times New Roman" w:hint="default"/>
          <w:spacing w:val="2"/>
        </w:rPr>
        <w:t>2016</w:t>
      </w:r>
      <w:r>
        <w:rPr>
          <w:spacing w:val="2"/>
        </w:rPr>
        <w:t>年，国家能源局计划光伏发电新增装机</w:t>
      </w:r>
      <w:r>
        <w:rPr>
          <w:rFonts w:ascii="Times New Roman" w:hAnsi="Times New Roman" w:cs="Times New Roman" w:eastAsia="Times New Roman" w:hint="default"/>
          <w:spacing w:val="2"/>
        </w:rPr>
        <w:t>15GW</w:t>
      </w:r>
      <w:r>
        <w:rPr>
          <w:spacing w:val="2"/>
        </w:rPr>
        <w:t>以上，保持</w:t>
      </w:r>
      <w:r>
        <w:rPr>
          <w:spacing w:val="-106"/>
        </w:rPr>
        <w:t> </w:t>
      </w:r>
      <w:r>
        <w:rPr>
          <w:spacing w:val="-106"/>
        </w:rPr>
      </w:r>
      <w:r>
        <w:rPr/>
        <w:t>大规模光伏发电建设态势。中国光伏行业协会发布的《</w:t>
      </w:r>
      <w:r>
        <w:rPr>
          <w:rFonts w:ascii="Times New Roman" w:hAnsi="Times New Roman" w:cs="Times New Roman" w:eastAsia="Times New Roman" w:hint="default"/>
        </w:rPr>
        <w:t>2016</w:t>
      </w:r>
      <w:r>
        <w:rPr/>
        <w:t>年中国光伏产业发展形势展望》</w:t>
      </w:r>
    </w:p>
    <w:p>
      <w:pPr>
        <w:spacing w:after="0" w:line="338" w:lineRule="auto"/>
        <w:jc w:val="both"/>
        <w:sectPr>
          <w:pgSz w:w="11910" w:h="16840"/>
          <w:pgMar w:header="850" w:footer="1012" w:top="1440" w:bottom="1200" w:left="1000" w:right="1020"/>
        </w:sectPr>
      </w:pPr>
    </w:p>
    <w:p>
      <w:pPr>
        <w:spacing w:line="240" w:lineRule="auto" w:before="6"/>
        <w:rPr>
          <w:rFonts w:ascii="宋体" w:hAnsi="宋体" w:cs="宋体" w:eastAsia="宋体" w:hint="default"/>
          <w:sz w:val="19"/>
          <w:szCs w:val="19"/>
        </w:rPr>
      </w:pPr>
    </w:p>
    <w:p>
      <w:pPr>
        <w:pStyle w:val="Heading3"/>
        <w:spacing w:line="338" w:lineRule="auto"/>
        <w:ind w:right="109"/>
        <w:jc w:val="both"/>
      </w:pPr>
      <w:r>
        <w:rPr>
          <w:spacing w:val="-4"/>
        </w:rPr>
        <w:t>预计，</w:t>
      </w:r>
      <w:r>
        <w:rPr>
          <w:rFonts w:ascii="Times New Roman" w:hAnsi="Times New Roman" w:cs="Times New Roman" w:eastAsia="Times New Roman" w:hint="default"/>
          <w:spacing w:val="-4"/>
        </w:rPr>
        <w:t>2016</w:t>
      </w:r>
      <w:r>
        <w:rPr>
          <w:spacing w:val="-4"/>
        </w:rPr>
        <w:t>年光伏装机市场将达到</w:t>
      </w:r>
      <w:r>
        <w:rPr>
          <w:rFonts w:ascii="Times New Roman" w:hAnsi="Times New Roman" w:cs="Times New Roman" w:eastAsia="Times New Roman" w:hint="default"/>
          <w:spacing w:val="-4"/>
        </w:rPr>
        <w:t>20GW</w:t>
      </w:r>
      <w:r>
        <w:rPr>
          <w:spacing w:val="-4"/>
        </w:rPr>
        <w:t>以上。依此计算，</w:t>
      </w:r>
      <w:r>
        <w:rPr>
          <w:rFonts w:ascii="Times New Roman" w:hAnsi="Times New Roman" w:cs="Times New Roman" w:eastAsia="Times New Roman" w:hint="default"/>
          <w:spacing w:val="-4"/>
        </w:rPr>
        <w:t>2016</w:t>
      </w:r>
      <w:r>
        <w:rPr>
          <w:spacing w:val="-4"/>
        </w:rPr>
        <w:t>年我国光伏电缆需求将达</w:t>
      </w:r>
      <w:r>
        <w:rPr>
          <w:rFonts w:ascii="Times New Roman" w:hAnsi="Times New Roman" w:cs="Times New Roman" w:eastAsia="Times New Roman" w:hint="default"/>
          <w:spacing w:val="-4"/>
        </w:rPr>
        <w:t>33.75</w:t>
      </w:r>
      <w:r>
        <w:rPr>
          <w:rFonts w:ascii="Times New Roman" w:hAnsi="Times New Roman" w:cs="Times New Roman" w:eastAsia="Times New Roman" w:hint="default"/>
          <w:spacing w:val="-45"/>
        </w:rPr>
        <w:t> </w:t>
      </w:r>
      <w:r>
        <w:rPr>
          <w:spacing w:val="-3"/>
        </w:rPr>
        <w:t>万千米</w:t>
      </w:r>
      <w:r>
        <w:rPr>
          <w:rFonts w:ascii="Times New Roman" w:hAnsi="Times New Roman" w:cs="Times New Roman" w:eastAsia="Times New Roman" w:hint="default"/>
          <w:spacing w:val="-3"/>
        </w:rPr>
        <w:t>~45</w:t>
      </w:r>
      <w:r>
        <w:rPr>
          <w:spacing w:val="-3"/>
        </w:rPr>
        <w:t>万千米。长远来看，根据国家能源局预计，“十三五”时期，我国每年将新增</w:t>
      </w:r>
      <w:r>
        <w:rPr>
          <w:rFonts w:ascii="Times New Roman" w:hAnsi="Times New Roman" w:cs="Times New Roman" w:eastAsia="Times New Roman" w:hint="default"/>
          <w:spacing w:val="-3"/>
        </w:rPr>
        <w:t>1500</w:t>
      </w:r>
      <w:r>
        <w:rPr>
          <w:rFonts w:ascii="Times New Roman" w:hAnsi="Times New Roman" w:cs="Times New Roman" w:eastAsia="Times New Roman" w:hint="default"/>
          <w:spacing w:val="-19"/>
        </w:rPr>
        <w:t> </w:t>
      </w:r>
      <w:r>
        <w:rPr/>
        <w:t>万</w:t>
      </w:r>
      <w:r>
        <w:rPr>
          <w:rFonts w:ascii="Times New Roman" w:hAnsi="Times New Roman" w:cs="Times New Roman" w:eastAsia="Times New Roman" w:hint="default"/>
        </w:rPr>
        <w:t>~2000</w:t>
      </w:r>
      <w:r>
        <w:rPr/>
        <w:t>万千瓦的光伏发电，光伏电缆市场将保持</w:t>
      </w:r>
      <w:r>
        <w:rPr>
          <w:rFonts w:ascii="Times New Roman" w:hAnsi="Times New Roman" w:cs="Times New Roman" w:eastAsia="Times New Roman" w:hint="default"/>
        </w:rPr>
        <w:t>33.75</w:t>
      </w:r>
      <w:r>
        <w:rPr/>
        <w:t>万千米</w:t>
      </w:r>
      <w:r>
        <w:rPr>
          <w:rFonts w:ascii="Times New Roman" w:hAnsi="Times New Roman" w:cs="Times New Roman" w:eastAsia="Times New Roman" w:hint="default"/>
        </w:rPr>
        <w:t>~45</w:t>
      </w:r>
      <w:r>
        <w:rPr/>
        <w:t>万千米的年需求量。</w:t>
      </w:r>
    </w:p>
    <w:p>
      <w:pPr>
        <w:pStyle w:val="Heading3"/>
        <w:spacing w:line="350" w:lineRule="auto" w:before="27"/>
        <w:ind w:right="109" w:firstLine="420"/>
        <w:jc w:val="both"/>
      </w:pPr>
      <w:r>
        <w:rPr>
          <w:spacing w:val="2"/>
        </w:rPr>
        <w:t>机车车辆电缆。电气化铁路牵引功率大、节能环保、能大幅度提高运输能力和速度具有</w:t>
      </w:r>
      <w:r>
        <w:rPr/>
        <w:t> 技术、经济、环保方面的优越性，是各国铁路优先发展的铁路牵引动力方式，我国电气化铁</w:t>
      </w:r>
      <w:r>
        <w:rPr>
          <w:spacing w:val="-89"/>
        </w:rPr>
        <w:t> </w:t>
      </w:r>
      <w:r>
        <w:rPr>
          <w:spacing w:val="-89"/>
        </w:rPr>
      </w:r>
      <w:r>
        <w:rPr>
          <w:spacing w:val="-1"/>
        </w:rPr>
        <w:t>路总里程已突破</w:t>
      </w:r>
      <w:r>
        <w:rPr>
          <w:rFonts w:ascii="Times New Roman" w:hAnsi="Times New Roman" w:cs="Times New Roman" w:eastAsia="Times New Roman" w:hint="default"/>
          <w:spacing w:val="-1"/>
        </w:rPr>
        <w:t>4.8</w:t>
      </w:r>
      <w:r>
        <w:rPr>
          <w:spacing w:val="-1"/>
        </w:rPr>
        <w:t>万公里，根据中国铁路“十二五”发展规划，“十二五”末，中国铁路营</w:t>
      </w:r>
      <w:r>
        <w:rPr>
          <w:spacing w:val="-99"/>
        </w:rPr>
        <w:t> </w:t>
      </w:r>
      <w:r>
        <w:rPr>
          <w:spacing w:val="-99"/>
        </w:rPr>
      </w:r>
      <w:r>
        <w:rPr>
          <w:spacing w:val="-2"/>
        </w:rPr>
        <w:t>业里程将达到</w:t>
      </w:r>
      <w:r>
        <w:rPr>
          <w:rFonts w:ascii="Times New Roman" w:hAnsi="Times New Roman" w:cs="Times New Roman" w:eastAsia="Times New Roman" w:hint="default"/>
          <w:spacing w:val="-2"/>
        </w:rPr>
        <w:t>12</w:t>
      </w:r>
      <w:r>
        <w:rPr>
          <w:spacing w:val="-2"/>
        </w:rPr>
        <w:t>万公里左右，电气化率将达到</w:t>
      </w:r>
      <w:r>
        <w:rPr>
          <w:rFonts w:ascii="Times New Roman" w:hAnsi="Times New Roman" w:cs="Times New Roman" w:eastAsia="Times New Roman" w:hint="default"/>
          <w:spacing w:val="-2"/>
        </w:rPr>
        <w:t>600</w:t>
      </w:r>
      <w:r>
        <w:rPr>
          <w:spacing w:val="-2"/>
        </w:rPr>
        <w:t>％以上。机车车辆用电力电缆是电气化铁路</w:t>
      </w:r>
      <w:r>
        <w:rPr>
          <w:spacing w:val="-116"/>
        </w:rPr>
        <w:t> </w:t>
      </w:r>
      <w:r>
        <w:rPr>
          <w:spacing w:val="-116"/>
        </w:rPr>
      </w:r>
      <w:r>
        <w:rPr/>
        <w:t>牵引供电系统的重要组成部分，高质量的机车车辆用电力电缆是电气化铁路上应用的电力机</w:t>
      </w:r>
      <w:r>
        <w:rPr>
          <w:spacing w:val="-89"/>
        </w:rPr>
        <w:t> </w:t>
      </w:r>
      <w:r>
        <w:rPr>
          <w:spacing w:val="-89"/>
        </w:rPr>
      </w:r>
      <w:r>
        <w:rPr/>
        <w:t>车的高铁安全、可靠运行的重要保障。因此，为满足国内铁路电气化改造的需求，机车车辆</w:t>
      </w:r>
      <w:r>
        <w:rPr>
          <w:spacing w:val="-89"/>
        </w:rPr>
        <w:t> </w:t>
      </w:r>
      <w:r>
        <w:rPr>
          <w:spacing w:val="-89"/>
        </w:rPr>
      </w:r>
      <w:r>
        <w:rPr/>
        <w:t>用电力电缆市场前景可观。</w:t>
      </w:r>
    </w:p>
    <w:p>
      <w:pPr>
        <w:pStyle w:val="Heading3"/>
        <w:spacing w:line="357" w:lineRule="auto" w:before="43"/>
        <w:ind w:right="113" w:firstLine="420"/>
        <w:jc w:val="both"/>
      </w:pPr>
      <w:r>
        <w:rPr>
          <w:spacing w:val="2"/>
        </w:rPr>
        <w:t>智能电网、新能源等建设都需要用到大量的特种电缆。此外，船用电缆、汽车电线、矿</w:t>
      </w:r>
      <w:r>
        <w:rPr/>
        <w:t> 用电缆、飞机电缆等特种电缆，更以每年上万千米的速度增长。</w:t>
      </w:r>
    </w:p>
    <w:p>
      <w:pPr>
        <w:pStyle w:val="Heading2"/>
        <w:spacing w:line="240" w:lineRule="auto" w:before="36"/>
        <w:ind w:left="412" w:right="0"/>
        <w:jc w:val="left"/>
        <w:rPr>
          <w:b w:val="0"/>
          <w:bCs w:val="0"/>
        </w:rPr>
      </w:pPr>
      <w:r>
        <w:rPr/>
        <w:t>（</w:t>
      </w:r>
      <w:r>
        <w:rPr>
          <w:rFonts w:ascii="Times New Roman" w:hAnsi="Times New Roman" w:cs="Times New Roman" w:eastAsia="Times New Roman" w:hint="default"/>
        </w:rPr>
        <w:t>2</w:t>
      </w:r>
      <w:r>
        <w:rPr/>
        <w:t>）“一带一路”战略和中国装备加速走出去将为我国电线电缆行业带来新机遇</w:t>
      </w:r>
      <w:r>
        <w:rPr>
          <w:b w:val="0"/>
          <w:bCs w:val="0"/>
        </w:rPr>
      </w:r>
    </w:p>
    <w:p>
      <w:pPr>
        <w:pStyle w:val="Heading3"/>
        <w:spacing w:line="350" w:lineRule="auto" w:before="135"/>
        <w:ind w:right="110" w:firstLine="420"/>
        <w:jc w:val="both"/>
      </w:pPr>
      <w:r>
        <w:rPr>
          <w:rFonts w:ascii="Times New Roman" w:hAnsi="Times New Roman" w:cs="Times New Roman" w:eastAsia="Times New Roman" w:hint="default"/>
          <w:spacing w:val="-1"/>
        </w:rPr>
        <w:t>“</w:t>
      </w:r>
      <w:r>
        <w:rPr>
          <w:spacing w:val="-1"/>
        </w:rPr>
        <w:t>一带一路”战略的核心是国家的互联互通，其中，电源电网将是许多“一带一路”国家</w:t>
      </w:r>
      <w:r>
        <w:rPr/>
        <w:t> 首先需要解决的问题。电力设备也将随着电源电网的建设同步输出，给国内电力设备企业带</w:t>
      </w:r>
      <w:r>
        <w:rPr>
          <w:spacing w:val="-89"/>
        </w:rPr>
        <w:t> </w:t>
      </w:r>
      <w:r>
        <w:rPr>
          <w:spacing w:val="-89"/>
        </w:rPr>
      </w:r>
      <w:r>
        <w:rPr/>
        <w:t>来强劲增长点。电线电缆作为电力设备的重要组成部分，公司也将受益于“一带一路”战略</w:t>
      </w:r>
      <w:r>
        <w:rPr>
          <w:spacing w:val="-89"/>
        </w:rPr>
        <w:t> </w:t>
      </w:r>
      <w:r>
        <w:rPr>
          <w:spacing w:val="-89"/>
        </w:rPr>
      </w:r>
      <w:r>
        <w:rPr/>
        <w:t>的实施。</w:t>
      </w:r>
    </w:p>
    <w:p>
      <w:pPr>
        <w:pStyle w:val="Heading3"/>
        <w:spacing w:line="338" w:lineRule="auto" w:before="43"/>
        <w:ind w:right="112" w:firstLine="420"/>
        <w:jc w:val="both"/>
      </w:pPr>
      <w:r>
        <w:rPr/>
        <w:t>十五届五中全会上，“走出去”战略的最终明确，并成为四大新战略</w:t>
      </w:r>
      <w:r>
        <w:rPr>
          <w:rFonts w:ascii="Times New Roman" w:hAnsi="Times New Roman" w:cs="Times New Roman" w:eastAsia="Times New Roman" w:hint="default"/>
        </w:rPr>
        <w:t>(</w:t>
      </w:r>
      <w:r>
        <w:rPr/>
        <w:t>西部大开发战略、 </w:t>
      </w:r>
      <w:r>
        <w:rPr>
          <w:spacing w:val="-2"/>
        </w:rPr>
        <w:t>城镇化战略、人才战略和“走出去”战略</w:t>
      </w:r>
      <w:r>
        <w:rPr>
          <w:rFonts w:ascii="Times New Roman" w:hAnsi="Times New Roman" w:cs="Times New Roman" w:eastAsia="Times New Roman" w:hint="default"/>
          <w:spacing w:val="-2"/>
        </w:rPr>
        <w:t>)</w:t>
      </w:r>
      <w:r>
        <w:rPr>
          <w:spacing w:val="-2"/>
        </w:rPr>
        <w:t>之一。</w:t>
      </w:r>
      <w:r>
        <w:rPr>
          <w:rFonts w:ascii="Times New Roman" w:hAnsi="Times New Roman" w:cs="Times New Roman" w:eastAsia="Times New Roman" w:hint="default"/>
          <w:spacing w:val="-2"/>
        </w:rPr>
        <w:t>2015</w:t>
      </w:r>
      <w:r>
        <w:rPr>
          <w:spacing w:val="-2"/>
        </w:rPr>
        <w:t>年《政府工作报告》提出，我国将扩大</w:t>
      </w:r>
      <w:r>
        <w:rPr>
          <w:spacing w:val="-79"/>
        </w:rPr>
        <w:t> </w:t>
      </w:r>
      <w:r>
        <w:rPr>
          <w:spacing w:val="-79"/>
        </w:rPr>
      </w:r>
      <w:r>
        <w:rPr/>
        <w:t>国际产能合作，推动装备、技术、标准、服务走出去，打造中国制造金字品牌。</w:t>
      </w:r>
    </w:p>
    <w:p>
      <w:pPr>
        <w:pStyle w:val="Heading3"/>
        <w:spacing w:line="357" w:lineRule="auto" w:before="55"/>
        <w:ind w:right="112" w:firstLine="420"/>
        <w:jc w:val="both"/>
      </w:pPr>
      <w:r>
        <w:rPr>
          <w:spacing w:val="2"/>
        </w:rPr>
        <w:t>随着国家“一带一路”战略和“走出去”战略的实施，海外市场的拓展将迎来一个新的</w:t>
      </w:r>
      <w:r>
        <w:rPr/>
        <w:t> 时期，电线电缆行业将获得更多新的机遇。</w:t>
      </w:r>
    </w:p>
    <w:p>
      <w:pPr>
        <w:spacing w:line="338" w:lineRule="auto" w:before="36"/>
        <w:ind w:left="532" w:right="0" w:hanging="1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）城镇化的推进，成为电线电缆行业发展的强劲动力</w:t>
      </w:r>
      <w:r>
        <w:rPr>
          <w:rFonts w:ascii="宋体" w:hAnsi="宋体" w:cs="宋体" w:eastAsia="宋体" w:hint="default"/>
          <w:b/>
          <w:bCs/>
          <w:w w:val="99"/>
          <w:sz w:val="24"/>
          <w:szCs w:val="24"/>
        </w:rPr>
        <w:t> </w:t>
      </w:r>
      <w:r>
        <w:rPr>
          <w:rFonts w:ascii="宋体" w:hAnsi="宋体" w:cs="宋体" w:eastAsia="宋体" w:hint="default"/>
          <w:spacing w:val="2"/>
          <w:sz w:val="24"/>
          <w:szCs w:val="24"/>
        </w:rPr>
        <w:t>城镇化是未来经济发展的一个重要驱动力，在城市轨道交通、新城镇建设等硬件基本工</w:t>
      </w:r>
    </w:p>
    <w:p>
      <w:pPr>
        <w:pStyle w:val="Heading3"/>
        <w:spacing w:line="350" w:lineRule="auto" w:before="55"/>
        <w:ind w:right="108"/>
        <w:jc w:val="both"/>
      </w:pPr>
      <w:r>
        <w:rPr/>
        <w:t>程方面，将有力拉动多种工业产品的内需市场，其中包括电线电缆。《国家新型城镇化规划</w:t>
      </w:r>
      <w:r>
        <w:rPr>
          <w:spacing w:val="-89"/>
        </w:rPr>
        <w:t> </w:t>
      </w:r>
      <w:r>
        <w:rPr>
          <w:spacing w:val="-89"/>
        </w:rPr>
      </w:r>
      <w:r>
        <w:rPr>
          <w:rFonts w:ascii="Times New Roman" w:hAnsi="Times New Roman" w:cs="Times New Roman" w:eastAsia="Times New Roman" w:hint="default"/>
        </w:rPr>
        <w:t>(2014-2020</w:t>
      </w:r>
      <w:r>
        <w:rPr/>
        <w:t>年</w:t>
      </w:r>
      <w:r>
        <w:rPr>
          <w:rFonts w:ascii="Times New Roman" w:hAnsi="Times New Roman" w:cs="Times New Roman" w:eastAsia="Times New Roman" w:hint="default"/>
        </w:rPr>
        <w:t>)</w:t>
      </w:r>
      <w:r>
        <w:rPr/>
        <w:t>》指出，到</w:t>
      </w:r>
      <w:r>
        <w:rPr>
          <w:rFonts w:ascii="Times New Roman" w:hAnsi="Times New Roman" w:cs="Times New Roman" w:eastAsia="Times New Roman" w:hint="default"/>
        </w:rPr>
        <w:t>2020</w:t>
      </w:r>
      <w:r>
        <w:rPr/>
        <w:t>年，我国常住人口城镇化率达到</w:t>
      </w:r>
      <w:r>
        <w:rPr>
          <w:rFonts w:ascii="Times New Roman" w:hAnsi="Times New Roman" w:cs="Times New Roman" w:eastAsia="Times New Roman" w:hint="default"/>
        </w:rPr>
        <w:t>60%</w:t>
      </w:r>
      <w:r>
        <w:rPr/>
        <w:t>左右。这意味着我国将进</w:t>
      </w:r>
      <w:r>
        <w:rPr>
          <w:spacing w:val="-52"/>
        </w:rPr>
        <w:t> </w:t>
      </w:r>
      <w:r>
        <w:rPr>
          <w:spacing w:val="-52"/>
        </w:rPr>
      </w:r>
      <w:r>
        <w:rPr/>
        <w:t>入新一轮城镇建设高潮期，大规模城市配套设施的建设将带动包括电线电缆在内的建筑材料</w:t>
      </w:r>
      <w:r>
        <w:rPr>
          <w:spacing w:val="-89"/>
        </w:rPr>
        <w:t> </w:t>
      </w:r>
      <w:r>
        <w:rPr>
          <w:spacing w:val="-89"/>
        </w:rPr>
      </w:r>
      <w:r>
        <w:rPr/>
        <w:t>行业的进一步发展。</w:t>
      </w:r>
    </w:p>
    <w:p>
      <w:pPr>
        <w:pStyle w:val="Heading2"/>
        <w:spacing w:line="240" w:lineRule="auto" w:before="43"/>
        <w:ind w:left="412" w:right="0"/>
        <w:jc w:val="left"/>
        <w:rPr>
          <w:b w:val="0"/>
          <w:bCs w:val="0"/>
        </w:rPr>
      </w:pPr>
      <w:r>
        <w:rPr/>
        <w:t>（</w:t>
      </w:r>
      <w:r>
        <w:rPr>
          <w:rFonts w:ascii="Times New Roman" w:hAnsi="Times New Roman" w:cs="Times New Roman" w:eastAsia="Times New Roman" w:hint="default"/>
        </w:rPr>
        <w:t>4</w:t>
      </w:r>
      <w:r>
        <w:rPr/>
        <w:t>）全球能源互联网建设，为电力基础设施建设开启广阔的市场。</w:t>
      </w:r>
      <w:r>
        <w:rPr>
          <w:b w:val="0"/>
          <w:bCs w:val="0"/>
        </w:rPr>
      </w:r>
    </w:p>
    <w:p>
      <w:pPr>
        <w:spacing w:after="0" w:line="240" w:lineRule="auto"/>
        <w:jc w:val="left"/>
        <w:sectPr>
          <w:pgSz w:w="11910" w:h="16840"/>
          <w:pgMar w:header="850" w:footer="1012" w:top="1440" w:bottom="1200" w:left="1020" w:right="1020"/>
        </w:sectPr>
      </w:pPr>
    </w:p>
    <w:p>
      <w:pPr>
        <w:spacing w:line="240" w:lineRule="auto" w:before="6"/>
        <w:rPr>
          <w:rFonts w:ascii="宋体" w:hAnsi="宋体" w:cs="宋体" w:eastAsia="宋体" w:hint="default"/>
          <w:b/>
          <w:bCs/>
          <w:sz w:val="19"/>
          <w:szCs w:val="19"/>
        </w:rPr>
      </w:pPr>
    </w:p>
    <w:p>
      <w:pPr>
        <w:pStyle w:val="Heading3"/>
        <w:spacing w:line="345" w:lineRule="auto"/>
        <w:ind w:right="96" w:firstLine="420"/>
        <w:jc w:val="left"/>
      </w:pPr>
      <w:r>
        <w:rPr>
          <w:spacing w:val="2"/>
        </w:rPr>
        <w:t>国家电网公司董事长刘振亚提出的全球能源互联网，是以特高压电网为骨干网架、以各</w:t>
      </w:r>
      <w:r>
        <w:rPr/>
        <w:t> </w:t>
      </w:r>
      <w:r>
        <w:rPr>
          <w:spacing w:val="-2"/>
        </w:rPr>
        <w:t>国范围智能电网为基础、以输送清洁能源为主导的全球能源配置平台。构建全球能源互联网，</w:t>
      </w:r>
      <w:r>
        <w:rPr/>
        <w:t> </w:t>
      </w:r>
      <w:r>
        <w:rPr>
          <w:spacing w:val="-2"/>
        </w:rPr>
        <w:t>大规模实施‘两个替代’</w:t>
      </w:r>
      <w:r>
        <w:rPr>
          <w:rFonts w:ascii="Times New Roman" w:hAnsi="Times New Roman" w:cs="Times New Roman" w:eastAsia="Times New Roman" w:hint="default"/>
          <w:spacing w:val="-2"/>
        </w:rPr>
        <w:t>——</w:t>
      </w:r>
      <w:r>
        <w:rPr>
          <w:spacing w:val="-2"/>
        </w:rPr>
        <w:t>清洁替代和电能替代，是实现世界能源可持续发展的必由之路，</w:t>
      </w:r>
      <w:r>
        <w:rPr/>
        <w:t> 是破解化石能源困局的治本之策。</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日，国家发改委、能源局、工信部发布《关于 </w:t>
      </w:r>
      <w:r>
        <w:rPr>
          <w:spacing w:val="-5"/>
        </w:rPr>
        <w:t>推进“互联网</w:t>
      </w:r>
      <w:r>
        <w:rPr>
          <w:rFonts w:ascii="Times New Roman" w:hAnsi="Times New Roman" w:cs="Times New Roman" w:eastAsia="Times New Roman" w:hint="default"/>
          <w:spacing w:val="-5"/>
        </w:rPr>
        <w:t>+</w:t>
      </w:r>
      <w:r>
        <w:rPr>
          <w:spacing w:val="-5"/>
        </w:rPr>
        <w:t>”智慧能源发展的指导意见》，提出到</w:t>
      </w:r>
      <w:r>
        <w:rPr>
          <w:rFonts w:ascii="Times New Roman" w:hAnsi="Times New Roman" w:cs="Times New Roman" w:eastAsia="Times New Roman" w:hint="default"/>
          <w:spacing w:val="-5"/>
        </w:rPr>
        <w:t>2025</w:t>
      </w:r>
      <w:r>
        <w:rPr>
          <w:spacing w:val="-5"/>
        </w:rPr>
        <w:t>年，初步建成能源互联网产业体系，</w:t>
      </w:r>
      <w:r>
        <w:rPr>
          <w:spacing w:val="-118"/>
        </w:rPr>
        <w:t> </w:t>
      </w:r>
      <w:r>
        <w:rPr>
          <w:spacing w:val="-118"/>
        </w:rPr>
      </w:r>
      <w:r>
        <w:rPr/>
        <w:t>成为经济增长重要驱动力。形成较为完备的技术及标准体系并推动实现国际化，引领世界能</w:t>
      </w:r>
      <w:r>
        <w:rPr>
          <w:spacing w:val="-89"/>
        </w:rPr>
        <w:t> </w:t>
      </w:r>
      <w:r>
        <w:rPr>
          <w:spacing w:val="-89"/>
        </w:rPr>
      </w:r>
      <w:r>
        <w:rPr>
          <w:spacing w:val="-2"/>
        </w:rPr>
        <w:t>源互联网发展，有力支撑能源生产和消费革命。国家电网公司董事长刘振亚预计，到</w:t>
      </w:r>
      <w:r>
        <w:rPr>
          <w:rFonts w:ascii="Times New Roman" w:hAnsi="Times New Roman" w:cs="Times New Roman" w:eastAsia="Times New Roman" w:hint="default"/>
          <w:spacing w:val="-2"/>
        </w:rPr>
        <w:t>2050</w:t>
      </w:r>
      <w:r>
        <w:rPr>
          <w:spacing w:val="-2"/>
        </w:rPr>
        <w:t>年，</w:t>
      </w:r>
      <w:r>
        <w:rPr>
          <w:spacing w:val="-115"/>
        </w:rPr>
        <w:t> </w:t>
      </w:r>
      <w:r>
        <w:rPr>
          <w:spacing w:val="-5"/>
        </w:rPr>
        <w:t>全球能源互联网累计投资将超过</w:t>
      </w:r>
      <w:r>
        <w:rPr>
          <w:rFonts w:ascii="Times New Roman" w:hAnsi="Times New Roman" w:cs="Times New Roman" w:eastAsia="Times New Roman" w:hint="default"/>
          <w:spacing w:val="-5"/>
        </w:rPr>
        <w:t>100</w:t>
      </w:r>
      <w:r>
        <w:rPr>
          <w:spacing w:val="-5"/>
        </w:rPr>
        <w:t>万亿美元，对全球经济发展、产业升级形成显著推动作用。</w:t>
      </w:r>
    </w:p>
    <w:p>
      <w:pPr>
        <w:pStyle w:val="Heading2"/>
        <w:spacing w:line="240" w:lineRule="auto" w:before="19"/>
        <w:ind w:left="532" w:right="104"/>
        <w:jc w:val="left"/>
        <w:rPr>
          <w:b w:val="0"/>
          <w:bCs w:val="0"/>
        </w:rPr>
      </w:pPr>
      <w:r>
        <w:rPr>
          <w:rFonts w:ascii="Times New Roman" w:hAnsi="Times New Roman" w:cs="Times New Roman" w:eastAsia="Times New Roman" w:hint="default"/>
        </w:rPr>
        <w:t>2</w:t>
      </w:r>
      <w:r>
        <w:rPr/>
        <w:t>、新材料领域</w:t>
      </w:r>
      <w:r>
        <w:rPr>
          <w:b w:val="0"/>
          <w:bCs w:val="0"/>
        </w:rPr>
      </w:r>
    </w:p>
    <w:p>
      <w:pPr>
        <w:pStyle w:val="Heading2"/>
        <w:spacing w:line="240" w:lineRule="auto" w:before="135"/>
        <w:ind w:left="412" w:right="104"/>
        <w:jc w:val="left"/>
        <w:rPr>
          <w:b w:val="0"/>
          <w:bCs w:val="0"/>
        </w:rPr>
      </w:pPr>
      <w:r>
        <w:rPr/>
        <w:t>（</w:t>
      </w:r>
      <w:r>
        <w:rPr>
          <w:rFonts w:ascii="Times New Roman" w:hAnsi="Times New Roman" w:cs="Times New Roman" w:eastAsia="Times New Roman" w:hint="default"/>
        </w:rPr>
        <w:t>1</w:t>
      </w:r>
      <w:r>
        <w:rPr/>
        <w:t>）线缆材料</w:t>
      </w:r>
      <w:r>
        <w:rPr>
          <w:b w:val="0"/>
          <w:bCs w:val="0"/>
        </w:rPr>
      </w:r>
    </w:p>
    <w:p>
      <w:pPr>
        <w:pStyle w:val="Heading3"/>
        <w:spacing w:line="348" w:lineRule="auto" w:before="135"/>
        <w:ind w:right="232" w:firstLine="300"/>
        <w:jc w:val="both"/>
      </w:pPr>
      <w:r>
        <w:rPr/>
        <w:t>《国家中长期科学和技术发展规划纲要（</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43"/>
        </w:rPr>
        <w:t> </w:t>
      </w:r>
      <w:r>
        <w:rPr>
          <w:spacing w:val="2"/>
        </w:rPr>
        <w:t>年）》将能够满足国民经济基础产</w:t>
      </w:r>
      <w:r>
        <w:rPr/>
        <w:t> 业发展需求的高性能复合材料、高性能工程塑料、具有环保和健康功能的绿色材料等产品列</w:t>
      </w:r>
      <w:r>
        <w:rPr>
          <w:spacing w:val="-89"/>
        </w:rPr>
        <w:t> </w:t>
      </w:r>
      <w:r>
        <w:rPr>
          <w:spacing w:val="-89"/>
        </w:rPr>
      </w:r>
      <w:r>
        <w:rPr/>
        <w:t>为制造业中的优先主题。</w:t>
      </w:r>
    </w:p>
    <w:p>
      <w:pPr>
        <w:pStyle w:val="Heading3"/>
        <w:spacing w:line="357" w:lineRule="auto" w:before="46"/>
        <w:ind w:right="232" w:firstLine="420"/>
        <w:jc w:val="both"/>
      </w:pPr>
      <w:r>
        <w:rPr>
          <w:spacing w:val="2"/>
        </w:rPr>
        <w:t>绿色环保成为线缆材料发展趋势，市场开始逐步接受并积极推广环保型线缆材料，环保</w:t>
      </w:r>
      <w:r>
        <w:rPr/>
        <w:t> 型电力电缆的使用率越来越高。无卤低烟阻燃聚烯烃线缆材料和交联聚乙烯线缆材料的市场</w:t>
      </w:r>
      <w:r>
        <w:rPr>
          <w:spacing w:val="-89"/>
        </w:rPr>
        <w:t> </w:t>
      </w:r>
      <w:r>
        <w:rPr>
          <w:spacing w:val="-89"/>
        </w:rPr>
      </w:r>
      <w:r>
        <w:rPr/>
        <w:t>份额持续提升，市场空间巨大。</w:t>
      </w:r>
    </w:p>
    <w:p>
      <w:pPr>
        <w:pStyle w:val="Heading3"/>
        <w:spacing w:line="357" w:lineRule="auto" w:before="36"/>
        <w:ind w:right="232" w:firstLine="420"/>
        <w:jc w:val="both"/>
      </w:pPr>
      <w:r>
        <w:rPr>
          <w:spacing w:val="2"/>
        </w:rPr>
        <w:t>高端产品市场空间巨大。超光滑屏蔽料、抗水树电缆料、超高压直流电缆料以及一些跨</w:t>
      </w:r>
      <w:r>
        <w:rPr/>
        <w:t> 行业需求的高端材料产品，国内只有少数厂家可以供货，大部分的市场份额还为国外厂商所</w:t>
      </w:r>
      <w:r>
        <w:rPr>
          <w:spacing w:val="-89"/>
        </w:rPr>
        <w:t> </w:t>
      </w:r>
      <w:r>
        <w:rPr>
          <w:spacing w:val="-89"/>
        </w:rPr>
      </w:r>
      <w:r>
        <w:rPr/>
        <w:t>占据。未来，我国在高端材料研发方面的发展空间很大。</w:t>
      </w:r>
    </w:p>
    <w:p>
      <w:pPr>
        <w:pStyle w:val="Heading3"/>
        <w:spacing w:line="357" w:lineRule="auto" w:before="36"/>
        <w:ind w:right="96" w:firstLine="420"/>
        <w:jc w:val="left"/>
      </w:pPr>
      <w:r>
        <w:rPr>
          <w:spacing w:val="2"/>
        </w:rPr>
        <w:t>特种线缆材料发展前景广阔。核电、石油开采钻井、高速铁路、铁路信号电缆、船用电</w:t>
      </w:r>
      <w:r>
        <w:rPr/>
        <w:t> </w:t>
      </w:r>
      <w:r>
        <w:rPr>
          <w:spacing w:val="-2"/>
        </w:rPr>
        <w:t>缆、汽车电线、矿用电缆、飞机电缆等特种电缆，每年高速增长。特种电缆市场的高速发展，</w:t>
      </w:r>
      <w:r>
        <w:rPr>
          <w:spacing w:val="-117"/>
        </w:rPr>
        <w:t> </w:t>
      </w:r>
      <w:r>
        <w:rPr>
          <w:spacing w:val="-117"/>
        </w:rPr>
      </w:r>
      <w:r>
        <w:rPr/>
        <w:t>将带动对特种线缆材料的大量需求。</w:t>
      </w:r>
    </w:p>
    <w:p>
      <w:pPr>
        <w:pStyle w:val="Heading3"/>
        <w:spacing w:line="338" w:lineRule="auto" w:before="36"/>
        <w:ind w:left="532" w:right="104" w:hanging="12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）其他新材料</w:t>
      </w:r>
      <w:r>
        <w:rPr>
          <w:rFonts w:ascii="宋体" w:hAnsi="宋体" w:cs="宋体" w:eastAsia="宋体" w:hint="default"/>
          <w:b/>
          <w:bCs/>
          <w:w w:val="99"/>
        </w:rPr>
        <w:t> </w:t>
      </w:r>
      <w:r>
        <w:rPr>
          <w:spacing w:val="2"/>
        </w:rPr>
        <w:t>弹性体材料。弹性体泛指在弱应力下形变显著，应力松弛后能迅速恢复到接近原有状态</w:t>
      </w:r>
    </w:p>
    <w:p>
      <w:pPr>
        <w:pStyle w:val="Heading3"/>
        <w:spacing w:line="343" w:lineRule="auto" w:before="55"/>
        <w:ind w:right="229"/>
        <w:jc w:val="both"/>
        <w:rPr>
          <w:rFonts w:ascii="Times New Roman" w:hAnsi="Times New Roman" w:cs="Times New Roman" w:eastAsia="Times New Roman" w:hint="default"/>
        </w:rPr>
      </w:pPr>
      <w:r>
        <w:rPr>
          <w:spacing w:val="-3"/>
        </w:rPr>
        <w:t>和尺寸的高分子材料。热塑性弹性体（</w:t>
      </w:r>
      <w:r>
        <w:rPr>
          <w:rFonts w:ascii="Times New Roman" w:hAnsi="Times New Roman" w:cs="Times New Roman" w:eastAsia="Times New Roman" w:hint="default"/>
          <w:spacing w:val="-3"/>
        </w:rPr>
        <w:t>TPE</w:t>
      </w:r>
      <w:r>
        <w:rPr>
          <w:spacing w:val="-3"/>
        </w:rPr>
        <w:t>）主要用于汽车行业，全球汽车业在</w:t>
      </w:r>
      <w:r>
        <w:rPr>
          <w:rFonts w:ascii="Times New Roman" w:hAnsi="Times New Roman" w:cs="Times New Roman" w:eastAsia="Times New Roman" w:hint="default"/>
          <w:spacing w:val="-3"/>
        </w:rPr>
        <w:t>TPE</w:t>
      </w:r>
      <w:r>
        <w:rPr>
          <w:spacing w:val="-3"/>
        </w:rPr>
        <w:t>产品消费</w:t>
      </w:r>
      <w:r>
        <w:rPr>
          <w:spacing w:val="-84"/>
        </w:rPr>
        <w:t> </w:t>
      </w:r>
      <w:r>
        <w:rPr>
          <w:spacing w:val="-3"/>
        </w:rPr>
        <w:t>总量中约占比</w:t>
      </w:r>
      <w:r>
        <w:rPr>
          <w:rFonts w:ascii="Times New Roman" w:hAnsi="Times New Roman" w:cs="Times New Roman" w:eastAsia="Times New Roman" w:hint="default"/>
          <w:spacing w:val="-3"/>
        </w:rPr>
        <w:t>40%</w:t>
      </w:r>
      <w:r>
        <w:rPr>
          <w:spacing w:val="-3"/>
        </w:rPr>
        <w:t>。因此，汽车业的发展为</w:t>
      </w:r>
      <w:r>
        <w:rPr>
          <w:rFonts w:ascii="Times New Roman" w:hAnsi="Times New Roman" w:cs="Times New Roman" w:eastAsia="Times New Roman" w:hint="default"/>
          <w:spacing w:val="-3"/>
        </w:rPr>
        <w:t>TPE</w:t>
      </w:r>
      <w:r>
        <w:rPr>
          <w:spacing w:val="-3"/>
        </w:rPr>
        <w:t>增长带来利好，新能源汽车的蓬勃发展，推动</w:t>
      </w:r>
      <w:r>
        <w:rPr>
          <w:spacing w:val="-99"/>
        </w:rPr>
        <w:t> </w:t>
      </w:r>
      <w:r>
        <w:rPr>
          <w:spacing w:val="-99"/>
        </w:rPr>
      </w:r>
      <w:r>
        <w:rPr/>
        <w:t>充电桩的快速发展，这也给弹性体的发展带来较大的机遇。另外，受发达地区建筑支出反弹</w:t>
      </w:r>
      <w:r>
        <w:rPr>
          <w:spacing w:val="-89"/>
        </w:rPr>
        <w:t> </w:t>
      </w:r>
      <w:r>
        <w:rPr>
          <w:spacing w:val="-89"/>
        </w:rPr>
      </w:r>
      <w:r>
        <w:rPr>
          <w:spacing w:val="-3"/>
        </w:rPr>
        <w:t>影响，未来沥青和屋面市场的</w:t>
      </w:r>
      <w:r>
        <w:rPr>
          <w:rFonts w:ascii="Times New Roman" w:hAnsi="Times New Roman" w:cs="Times New Roman" w:eastAsia="Times New Roman" w:hint="default"/>
          <w:spacing w:val="-3"/>
        </w:rPr>
        <w:t>TPE</w:t>
      </w:r>
      <w:r>
        <w:rPr>
          <w:spacing w:val="-3"/>
        </w:rPr>
        <w:t>需求也将快速增长。其他行业对</w:t>
      </w:r>
      <w:r>
        <w:rPr>
          <w:rFonts w:ascii="Times New Roman" w:hAnsi="Times New Roman" w:cs="Times New Roman" w:eastAsia="Times New Roman" w:hint="default"/>
          <w:spacing w:val="-3"/>
        </w:rPr>
        <w:t>TPE</w:t>
      </w:r>
      <w:r>
        <w:rPr>
          <w:spacing w:val="-3"/>
        </w:rPr>
        <w:t>的需求量也将增长，如</w:t>
      </w:r>
      <w:r>
        <w:rPr>
          <w:spacing w:val="-88"/>
        </w:rPr>
        <w:t> </w:t>
      </w:r>
      <w:r>
        <w:rPr>
          <w:spacing w:val="-88"/>
        </w:rPr>
      </w:r>
      <w:r>
        <w:rPr>
          <w:spacing w:val="-4"/>
        </w:rPr>
        <w:t>机械制造、体育用品和医疗技术，新的应用领域在不断涌现。生产商持续的产品创新，使</w:t>
      </w:r>
      <w:r>
        <w:rPr>
          <w:rFonts w:ascii="Times New Roman" w:hAnsi="Times New Roman" w:cs="Times New Roman" w:eastAsia="Times New Roman" w:hint="default"/>
          <w:spacing w:val="-4"/>
        </w:rPr>
        <w:t>TPE</w:t>
      </w:r>
    </w:p>
    <w:p>
      <w:pPr>
        <w:spacing w:after="0" w:line="343" w:lineRule="auto"/>
        <w:jc w:val="both"/>
        <w:rPr>
          <w:rFonts w:ascii="Times New Roman" w:hAnsi="Times New Roman" w:cs="Times New Roman" w:eastAsia="Times New Roman" w:hint="default"/>
        </w:rPr>
        <w:sectPr>
          <w:pgSz w:w="11910" w:h="16840"/>
          <w:pgMar w:header="850" w:footer="1012" w:top="1440" w:bottom="1200" w:left="1020" w:right="900"/>
        </w:sectPr>
      </w:pPr>
    </w:p>
    <w:p>
      <w:pPr>
        <w:spacing w:line="240" w:lineRule="auto" w:before="2"/>
        <w:rPr>
          <w:rFonts w:ascii="Times New Roman" w:hAnsi="Times New Roman" w:cs="Times New Roman" w:eastAsia="Times New Roman" w:hint="default"/>
          <w:sz w:val="22"/>
          <w:szCs w:val="22"/>
        </w:rPr>
      </w:pPr>
    </w:p>
    <w:p>
      <w:pPr>
        <w:pStyle w:val="Heading3"/>
        <w:spacing w:line="338" w:lineRule="auto"/>
        <w:ind w:right="230"/>
        <w:jc w:val="both"/>
      </w:pPr>
      <w:r>
        <w:rPr/>
        <w:t>不断取代传统弹性体和热塑性塑料。行业顾问公司史密斯瑞华的一项报告显示，全球</w:t>
      </w:r>
      <w:r>
        <w:rPr>
          <w:rFonts w:ascii="Times New Roman" w:hAnsi="Times New Roman" w:cs="Times New Roman" w:eastAsia="Times New Roman" w:hint="default"/>
        </w:rPr>
        <w:t>TPE</w:t>
      </w:r>
      <w:r>
        <w:rPr/>
        <w:t>的</w:t>
      </w:r>
      <w:r>
        <w:rPr>
          <w:spacing w:val="-43"/>
        </w:rPr>
        <w:t> </w:t>
      </w:r>
      <w:r>
        <w:rPr/>
        <w:t>消耗从</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370</w:t>
      </w:r>
      <w:r>
        <w:rPr/>
        <w:t>万吨增长到了</w:t>
      </w:r>
      <w:r>
        <w:rPr>
          <w:rFonts w:ascii="Times New Roman" w:hAnsi="Times New Roman" w:cs="Times New Roman" w:eastAsia="Times New Roman" w:hint="default"/>
        </w:rPr>
        <w:t>2015</w:t>
      </w:r>
      <w:r>
        <w:rPr/>
        <w:t>年的</w:t>
      </w:r>
      <w:r>
        <w:rPr>
          <w:rFonts w:ascii="Times New Roman" w:hAnsi="Times New Roman" w:cs="Times New Roman" w:eastAsia="Times New Roman" w:hint="default"/>
        </w:rPr>
        <w:t>420</w:t>
      </w:r>
      <w:r>
        <w:rPr/>
        <w:t>万吨。预测到</w:t>
      </w:r>
      <w:r>
        <w:rPr>
          <w:rFonts w:ascii="Times New Roman" w:hAnsi="Times New Roman" w:cs="Times New Roman" w:eastAsia="Times New Roman" w:hint="default"/>
        </w:rPr>
        <w:t>2020</w:t>
      </w:r>
      <w:r>
        <w:rPr/>
        <w:t>年将增长到</w:t>
      </w:r>
      <w:r>
        <w:rPr>
          <w:rFonts w:ascii="Times New Roman" w:hAnsi="Times New Roman" w:cs="Times New Roman" w:eastAsia="Times New Roman" w:hint="default"/>
        </w:rPr>
        <w:t>550</w:t>
      </w:r>
      <w:r>
        <w:rPr/>
        <w:t>万吨。</w:t>
      </w:r>
    </w:p>
    <w:p>
      <w:pPr>
        <w:pStyle w:val="Heading3"/>
        <w:spacing w:line="350" w:lineRule="auto" w:before="27"/>
        <w:ind w:right="96" w:firstLine="420"/>
        <w:jc w:val="left"/>
      </w:pPr>
      <w:r>
        <w:rPr>
          <w:spacing w:val="2"/>
        </w:rPr>
        <w:t>改性塑料。改性塑料是国家重点发展的科技领域之一，《中国制造</w:t>
      </w:r>
      <w:r>
        <w:rPr>
          <w:rFonts w:ascii="Times New Roman" w:hAnsi="Times New Roman" w:cs="Times New Roman" w:eastAsia="Times New Roman" w:hint="default"/>
          <w:spacing w:val="2"/>
        </w:rPr>
        <w:t>2025</w:t>
      </w:r>
      <w:r>
        <w:rPr>
          <w:spacing w:val="2"/>
        </w:rPr>
        <w:t>》把新材料行业</w:t>
      </w:r>
      <w:r>
        <w:rPr/>
        <w:t> 列为大力推进的十大战略重点领域之一，以特种金属功能材料、高性能结构材料、功能性高</w:t>
      </w:r>
      <w:r>
        <w:rPr>
          <w:spacing w:val="-89"/>
        </w:rPr>
        <w:t> </w:t>
      </w:r>
      <w:r>
        <w:rPr>
          <w:spacing w:val="-89"/>
        </w:rPr>
      </w:r>
      <w:r>
        <w:rPr>
          <w:spacing w:val="-2"/>
        </w:rPr>
        <w:t>分子材料、特种无机非金属材料和先进复合材料为发展重点，加快研发先进熔炼、凝固成型、</w:t>
      </w:r>
      <w:r>
        <w:rPr/>
        <w:t> 气相沉积、型材加工、高效合成等新材料制备关键技术和装备，加强基础研究和体系建设，</w:t>
      </w:r>
      <w:r>
        <w:rPr>
          <w:spacing w:val="-89"/>
        </w:rPr>
        <w:t> </w:t>
      </w:r>
      <w:r>
        <w:rPr>
          <w:spacing w:val="-89"/>
        </w:rPr>
      </w:r>
      <w:r>
        <w:rPr/>
        <w:t>突破产业化制备瓶颈。作为塑料中的高端技术产品，近年来我国改性塑料行业发展迅猛，产</w:t>
      </w:r>
      <w:r>
        <w:rPr>
          <w:spacing w:val="-89"/>
        </w:rPr>
        <w:t> </w:t>
      </w:r>
      <w:r>
        <w:rPr>
          <w:spacing w:val="-89"/>
        </w:rPr>
      </w:r>
      <w:r>
        <w:rPr>
          <w:spacing w:val="2"/>
        </w:rPr>
        <w:t>量、消费量年均增长分别达到</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15%</w:t>
      </w:r>
      <w:r>
        <w:rPr>
          <w:spacing w:val="2"/>
        </w:rPr>
        <w:t>。市场预计“十三五”期间，改性塑料制品产量年</w:t>
      </w:r>
      <w:r>
        <w:rPr>
          <w:spacing w:val="-104"/>
        </w:rPr>
        <w:t> </w:t>
      </w:r>
      <w:r>
        <w:rPr>
          <w:spacing w:val="-104"/>
        </w:rPr>
      </w:r>
      <w:r>
        <w:rPr/>
        <w:t>均增长</w:t>
      </w:r>
      <w:r>
        <w:rPr>
          <w:rFonts w:ascii="Times New Roman" w:hAnsi="Times New Roman" w:cs="Times New Roman" w:eastAsia="Times New Roman" w:hint="default"/>
        </w:rPr>
        <w:t>15%</w:t>
      </w:r>
      <w:r>
        <w:rPr/>
        <w:t>左右，工业总产值年均增长</w:t>
      </w:r>
      <w:r>
        <w:rPr>
          <w:rFonts w:ascii="Times New Roman" w:hAnsi="Times New Roman" w:cs="Times New Roman" w:eastAsia="Times New Roman" w:hint="default"/>
        </w:rPr>
        <w:t>12%</w:t>
      </w:r>
      <w:r>
        <w:rPr/>
        <w:t>左右，利润总额、利税总额年均增长</w:t>
      </w:r>
      <w:r>
        <w:rPr>
          <w:rFonts w:ascii="Times New Roman" w:hAnsi="Times New Roman" w:cs="Times New Roman" w:eastAsia="Times New Roman" w:hint="default"/>
        </w:rPr>
        <w:t>16%</w:t>
      </w:r>
      <w:r>
        <w:rPr/>
        <w:t>左右。</w:t>
      </w:r>
    </w:p>
    <w:p>
      <w:pPr>
        <w:pStyle w:val="Heading2"/>
        <w:spacing w:line="240" w:lineRule="auto" w:before="13"/>
        <w:ind w:left="532" w:right="104"/>
        <w:jc w:val="left"/>
        <w:rPr>
          <w:b w:val="0"/>
          <w:bCs w:val="0"/>
        </w:rPr>
      </w:pPr>
      <w:r>
        <w:rPr>
          <w:rFonts w:ascii="Times New Roman" w:hAnsi="Times New Roman" w:cs="Times New Roman" w:eastAsia="Times New Roman" w:hint="default"/>
        </w:rPr>
        <w:t>3</w:t>
      </w:r>
      <w:r>
        <w:rPr/>
        <w:t>、新能源领域</w:t>
      </w:r>
      <w:r>
        <w:rPr>
          <w:b w:val="0"/>
          <w:bCs w:val="0"/>
        </w:rPr>
      </w:r>
    </w:p>
    <w:p>
      <w:pPr>
        <w:spacing w:line="338" w:lineRule="auto" w:before="135"/>
        <w:ind w:left="532" w:right="104" w:hanging="1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）新能源汽车（充电桩）行业</w:t>
      </w:r>
      <w:r>
        <w:rPr>
          <w:rFonts w:ascii="宋体" w:hAnsi="宋体" w:cs="宋体" w:eastAsia="宋体" w:hint="default"/>
          <w:b/>
          <w:bCs/>
          <w:w w:val="99"/>
          <w:sz w:val="24"/>
          <w:szCs w:val="24"/>
        </w:rPr>
        <w:t> </w:t>
      </w:r>
      <w:r>
        <w:rPr>
          <w:rFonts w:ascii="宋体" w:hAnsi="宋体" w:cs="宋体" w:eastAsia="宋体" w:hint="default"/>
          <w:spacing w:val="-1"/>
          <w:sz w:val="24"/>
          <w:szCs w:val="24"/>
        </w:rPr>
        <w:t>节能与新能源汽车是《中国制造</w:t>
      </w:r>
      <w:r>
        <w:rPr>
          <w:rFonts w:ascii="Times New Roman" w:hAnsi="Times New Roman" w:cs="Times New Roman" w:eastAsia="Times New Roman" w:hint="default"/>
          <w:spacing w:val="-1"/>
          <w:sz w:val="24"/>
          <w:szCs w:val="24"/>
        </w:rPr>
        <w:t>2025</w:t>
      </w:r>
      <w:r>
        <w:rPr>
          <w:rFonts w:ascii="宋体" w:hAnsi="宋体" w:cs="宋体" w:eastAsia="宋体" w:hint="default"/>
          <w:spacing w:val="-1"/>
          <w:sz w:val="24"/>
          <w:szCs w:val="24"/>
        </w:rPr>
        <w:t>》重点发展的战略领域之一。根据国务院</w:t>
      </w:r>
      <w:r>
        <w:rPr>
          <w:rFonts w:ascii="Times New Roman" w:hAnsi="Times New Roman" w:cs="Times New Roman" w:eastAsia="Times New Roman" w:hint="default"/>
          <w:spacing w:val="-1"/>
          <w:sz w:val="24"/>
          <w:szCs w:val="24"/>
        </w:rPr>
        <w:t>2012</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6</w:t>
      </w:r>
      <w:r>
        <w:rPr>
          <w:rFonts w:ascii="宋体" w:hAnsi="宋体" w:cs="宋体" w:eastAsia="宋体" w:hint="default"/>
          <w:spacing w:val="-1"/>
          <w:sz w:val="24"/>
          <w:szCs w:val="24"/>
        </w:rPr>
        <w:t>月</w:t>
      </w:r>
    </w:p>
    <w:p>
      <w:pPr>
        <w:pStyle w:val="Heading3"/>
        <w:spacing w:line="345" w:lineRule="auto" w:before="27"/>
        <w:ind w:right="232"/>
        <w:jc w:val="both"/>
      </w:pPr>
      <w:r>
        <w:rPr>
          <w:rFonts w:ascii="Times New Roman" w:hAnsi="Times New Roman" w:cs="Times New Roman" w:eastAsia="Times New Roman" w:hint="default"/>
        </w:rPr>
        <w:t>28</w:t>
      </w:r>
      <w:r>
        <w:rPr/>
        <w:t>日印发的《节能与新能源汽车产业发展规划（</w:t>
      </w:r>
      <w:r>
        <w:rPr>
          <w:rFonts w:ascii="Times New Roman" w:hAnsi="Times New Roman" w:cs="Times New Roman" w:eastAsia="Times New Roman" w:hint="default"/>
        </w:rPr>
        <w:t>2012—2020</w:t>
      </w:r>
      <w:r>
        <w:rPr/>
        <w:t>年）》，我国计划到</w:t>
      </w:r>
      <w:r>
        <w:rPr>
          <w:rFonts w:ascii="Times New Roman" w:hAnsi="Times New Roman" w:cs="Times New Roman" w:eastAsia="Times New Roman" w:hint="default"/>
        </w:rPr>
        <w:t>2020</w:t>
      </w:r>
      <w:r>
        <w:rPr/>
        <w:t>年，纯</w:t>
      </w:r>
      <w:r>
        <w:rPr>
          <w:spacing w:val="-89"/>
        </w:rPr>
        <w:t> </w:t>
      </w:r>
      <w:r>
        <w:rPr>
          <w:spacing w:val="-89"/>
        </w:rPr>
      </w:r>
      <w:r>
        <w:rPr/>
        <w:t>电动汽车和插电式混合动力汽车生产能力达</w:t>
      </w:r>
      <w:r>
        <w:rPr>
          <w:rFonts w:ascii="Times New Roman" w:hAnsi="Times New Roman" w:cs="Times New Roman" w:eastAsia="Times New Roman" w:hint="default"/>
        </w:rPr>
        <w:t>200</w:t>
      </w:r>
      <w:r>
        <w:rPr/>
        <w:t>万辆、累计产销量超过</w:t>
      </w:r>
      <w:r>
        <w:rPr>
          <w:rFonts w:ascii="Times New Roman" w:hAnsi="Times New Roman" w:cs="Times New Roman" w:eastAsia="Times New Roman" w:hint="default"/>
        </w:rPr>
        <w:t>500</w:t>
      </w:r>
      <w:r>
        <w:rPr/>
        <w:t>万辆。发展规划还</w:t>
      </w:r>
      <w:r>
        <w:rPr>
          <w:spacing w:val="-89"/>
        </w:rPr>
        <w:t> </w:t>
      </w:r>
      <w:r>
        <w:rPr>
          <w:spacing w:val="-89"/>
        </w:rPr>
      </w:r>
      <w:r>
        <w:rPr/>
        <w:t>要求，充电设施建设要与新能源汽车产销规模相适应，满足重点区域内或城际间新能源汽车</w:t>
      </w:r>
      <w:r>
        <w:rPr>
          <w:spacing w:val="-89"/>
        </w:rPr>
        <w:t> </w:t>
      </w:r>
      <w:r>
        <w:rPr>
          <w:spacing w:val="-89"/>
        </w:rPr>
      </w:r>
      <w:r>
        <w:rPr/>
        <w:t>运行需要。</w:t>
      </w:r>
    </w:p>
    <w:p>
      <w:pPr>
        <w:pStyle w:val="Heading3"/>
        <w:spacing w:line="357" w:lineRule="auto" w:before="48"/>
        <w:ind w:right="230" w:firstLine="420"/>
        <w:jc w:val="left"/>
      </w:pPr>
      <w:r>
        <w:rPr>
          <w:spacing w:val="2"/>
        </w:rPr>
        <w:t>国家发改委、国家能源局、工信部和住建部联合印发的《电动汽车充电基础设施发展指</w:t>
      </w:r>
      <w:r>
        <w:rPr/>
        <w:t> 南（</w:t>
      </w:r>
      <w:r>
        <w:rPr>
          <w:rFonts w:ascii="Times New Roman" w:hAnsi="Times New Roman" w:cs="Times New Roman" w:eastAsia="Times New Roman" w:hint="default"/>
        </w:rPr>
        <w:t>2015-2020</w:t>
      </w:r>
      <w:r>
        <w:rPr/>
        <w:t>）》提出的充电基础设施建设目标是：到 </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t>年，新增集中式充换电站超过</w:t>
      </w:r>
    </w:p>
    <w:p>
      <w:pPr>
        <w:pStyle w:val="Heading3"/>
        <w:spacing w:line="338" w:lineRule="auto" w:before="5"/>
        <w:ind w:right="23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万座，分散式充电桩超过</w:t>
      </w:r>
      <w:r>
        <w:rPr>
          <w:spacing w:val="20"/>
        </w:rPr>
        <w:t> </w:t>
      </w:r>
      <w:r>
        <w:rPr>
          <w:rFonts w:ascii="Times New Roman" w:hAnsi="Times New Roman" w:cs="Times New Roman" w:eastAsia="Times New Roman" w:hint="default"/>
        </w:rPr>
        <w:t>480</w:t>
      </w:r>
      <w:r>
        <w:rPr>
          <w:rFonts w:ascii="Times New Roman" w:hAnsi="Times New Roman" w:cs="Times New Roman" w:eastAsia="Times New Roman" w:hint="default"/>
          <w:spacing w:val="14"/>
        </w:rPr>
        <w:t> </w:t>
      </w:r>
      <w:r>
        <w:rPr/>
        <w:t>万个，满足全国</w:t>
      </w:r>
      <w:r>
        <w:rPr>
          <w:spacing w:val="1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2"/>
        </w:rPr>
        <w:t> </w:t>
      </w:r>
      <w:r>
        <w:rPr/>
        <w:t>万辆电动汽车充电需求。质检总局</w:t>
      </w:r>
      <w:r>
        <w:rPr>
          <w:spacing w:val="-118"/>
        </w:rPr>
        <w:t> </w:t>
      </w:r>
      <w:r>
        <w:rPr>
          <w:spacing w:val="-118"/>
        </w:rPr>
      </w:r>
      <w:r>
        <w:rPr>
          <w:spacing w:val="-1"/>
        </w:rPr>
        <w:t>公布的数据显示，截至</w:t>
      </w:r>
      <w:r>
        <w:rPr>
          <w:rFonts w:ascii="Times New Roman" w:hAnsi="Times New Roman" w:cs="Times New Roman" w:eastAsia="Times New Roman" w:hint="default"/>
          <w:spacing w:val="-1"/>
        </w:rPr>
        <w:t>2015</w:t>
      </w:r>
      <w:r>
        <w:rPr>
          <w:spacing w:val="-1"/>
        </w:rPr>
        <w:t>年底，全国共建成充换电站</w:t>
      </w:r>
      <w:r>
        <w:rPr>
          <w:rFonts w:ascii="Times New Roman" w:hAnsi="Times New Roman" w:cs="Times New Roman" w:eastAsia="Times New Roman" w:hint="default"/>
          <w:spacing w:val="-1"/>
        </w:rPr>
        <w:t>3600</w:t>
      </w:r>
      <w:r>
        <w:rPr>
          <w:spacing w:val="-1"/>
        </w:rPr>
        <w:t>座，公共充电桩</w:t>
      </w:r>
      <w:r>
        <w:rPr>
          <w:rFonts w:ascii="Times New Roman" w:hAnsi="Times New Roman" w:cs="Times New Roman" w:eastAsia="Times New Roman" w:hint="default"/>
          <w:spacing w:val="-1"/>
        </w:rPr>
        <w:t>4.9</w:t>
      </w:r>
      <w:r>
        <w:rPr>
          <w:spacing w:val="-1"/>
        </w:rPr>
        <w:t>万个。这意味</w:t>
      </w:r>
      <w:r>
        <w:rPr>
          <w:spacing w:val="-94"/>
        </w:rPr>
        <w:t> </w:t>
      </w:r>
      <w:r>
        <w:rPr>
          <w:spacing w:val="-94"/>
        </w:rPr>
      </w:r>
      <w:r>
        <w:rPr/>
        <w:t>着未来五年，我国充换电站、充电桩建设规模将分别增长</w:t>
      </w:r>
      <w:r>
        <w:rPr>
          <w:rFonts w:ascii="Times New Roman" w:hAnsi="Times New Roman" w:cs="Times New Roman" w:eastAsia="Times New Roman" w:hint="default"/>
        </w:rPr>
        <w:t>2.34</w:t>
      </w:r>
      <w:r>
        <w:rPr/>
        <w:t>倍、</w:t>
      </w:r>
      <w:r>
        <w:rPr>
          <w:rFonts w:ascii="Times New Roman" w:hAnsi="Times New Roman" w:cs="Times New Roman" w:eastAsia="Times New Roman" w:hint="default"/>
        </w:rPr>
        <w:t>96.96</w:t>
      </w:r>
      <w:r>
        <w:rPr/>
        <w:t>倍。随着各地对充电</w:t>
      </w:r>
      <w:r>
        <w:rPr>
          <w:spacing w:val="-89"/>
        </w:rPr>
        <w:t> </w:t>
      </w:r>
      <w:r>
        <w:rPr>
          <w:spacing w:val="-89"/>
        </w:rPr>
      </w:r>
      <w:r>
        <w:rPr/>
        <w:t>设施建设投入加大，充电装备市场即将迎来大爆发时期。据市场预计，</w:t>
      </w:r>
      <w:r>
        <w:rPr>
          <w:rFonts w:ascii="Times New Roman" w:hAnsi="Times New Roman" w:cs="Times New Roman" w:eastAsia="Times New Roman" w:hint="default"/>
        </w:rPr>
        <w:t>2016</w:t>
      </w:r>
      <w:r>
        <w:rPr/>
        <w:t>年我国充电设施</w:t>
      </w:r>
      <w:r>
        <w:rPr>
          <w:spacing w:val="-89"/>
        </w:rPr>
        <w:t> </w:t>
      </w:r>
      <w:r>
        <w:rPr>
          <w:spacing w:val="-89"/>
        </w:rPr>
      </w:r>
      <w:r>
        <w:rPr/>
        <w:t>市场规模将达到</w:t>
      </w:r>
      <w:r>
        <w:rPr>
          <w:rFonts w:ascii="Times New Roman" w:hAnsi="Times New Roman" w:cs="Times New Roman" w:eastAsia="Times New Roman" w:hint="default"/>
        </w:rPr>
        <w:t>400</w:t>
      </w:r>
      <w:r>
        <w:rPr/>
        <w:t>亿元，到</w:t>
      </w:r>
      <w:r>
        <w:rPr>
          <w:rFonts w:ascii="Times New Roman" w:hAnsi="Times New Roman" w:cs="Times New Roman" w:eastAsia="Times New Roman" w:hint="default"/>
        </w:rPr>
        <w:t>2020</w:t>
      </w:r>
      <w:r>
        <w:rPr/>
        <w:t>年将突破</w:t>
      </w:r>
      <w:r>
        <w:rPr>
          <w:rFonts w:ascii="Times New Roman" w:hAnsi="Times New Roman" w:cs="Times New Roman" w:eastAsia="Times New Roman" w:hint="default"/>
        </w:rPr>
        <w:t>1000</w:t>
      </w:r>
      <w:r>
        <w:rPr/>
        <w:t>亿元。</w:t>
      </w:r>
    </w:p>
    <w:p>
      <w:pPr>
        <w:pStyle w:val="Heading3"/>
        <w:spacing w:line="340" w:lineRule="auto" w:before="27"/>
        <w:ind w:right="109" w:firstLine="420"/>
        <w:jc w:val="left"/>
      </w:pPr>
      <w:r>
        <w:rPr>
          <w:rFonts w:ascii="Times New Roman" w:hAnsi="Times New Roman" w:cs="Times New Roman" w:eastAsia="Times New Roman" w:hint="default"/>
          <w:spacing w:val="2"/>
        </w:rPr>
        <w:t>2016</w:t>
      </w:r>
      <w:r>
        <w:rPr>
          <w:spacing w:val="2"/>
        </w:rPr>
        <w:t>年，新能源汽车充电桩行业发展呈现出以下趋势：①试点政策推出，为新能源汽车</w:t>
      </w:r>
      <w:r>
        <w:rPr/>
        <w:t> </w:t>
      </w:r>
      <w:r>
        <w:rPr>
          <w:spacing w:val="3"/>
        </w:rPr>
        <w:t>充电桩行业提供了更为广阔的市场。财政部、科技部、工信部和国家发改委于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58"/>
        </w:rPr>
        <w:t> </w:t>
      </w:r>
      <w:r>
        <w:rPr/>
        <w:t>日发布的《关于</w:t>
      </w:r>
      <w:r>
        <w:rPr>
          <w:rFonts w:ascii="Times New Roman" w:hAnsi="Times New Roman" w:cs="Times New Roman" w:eastAsia="Times New Roman" w:hint="default"/>
        </w:rPr>
        <w:t>2016-2020</w:t>
      </w:r>
      <w:r>
        <w:rPr/>
        <w:t>年新能源汽车推广应用财政支持政策的通知》指出，“四部委在全 </w:t>
      </w:r>
      <w:r>
        <w:rPr>
          <w:spacing w:val="-2"/>
        </w:rPr>
        <w:t>国范围内开展新能源汽车推广应用工作”。财政部、科技部、工业和信息化部、发展改革委、</w:t>
      </w:r>
      <w:r>
        <w:rPr>
          <w:spacing w:val="-117"/>
        </w:rPr>
        <w:t> </w:t>
      </w:r>
      <w:r>
        <w:rPr>
          <w:spacing w:val="-117"/>
        </w:rPr>
      </w:r>
      <w:r>
        <w:rPr/>
        <w:t>国家能源局于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日发布的《关于“十三五”新能源汽车充电基础设施奖励政策及加 强新能源汽车推广应用的通知》也将充电基础设施奖励政策实行范围扩展到了全国。可见，</w:t>
      </w:r>
    </w:p>
    <w:p>
      <w:pPr>
        <w:spacing w:after="0" w:line="340" w:lineRule="auto"/>
        <w:jc w:val="left"/>
        <w:sectPr>
          <w:pgSz w:w="11910" w:h="16840"/>
          <w:pgMar w:header="850" w:footer="1012" w:top="1440" w:bottom="1200" w:left="1020" w:right="900"/>
        </w:sectPr>
      </w:pPr>
    </w:p>
    <w:p>
      <w:pPr>
        <w:spacing w:line="240" w:lineRule="auto" w:before="6"/>
        <w:rPr>
          <w:rFonts w:ascii="宋体" w:hAnsi="宋体" w:cs="宋体" w:eastAsia="宋体" w:hint="default"/>
          <w:sz w:val="19"/>
          <w:szCs w:val="19"/>
        </w:rPr>
      </w:pPr>
    </w:p>
    <w:p>
      <w:pPr>
        <w:pStyle w:val="Heading3"/>
        <w:spacing w:line="352" w:lineRule="auto"/>
        <w:ind w:left="232" w:right="96"/>
        <w:jc w:val="left"/>
      </w:pPr>
      <w:r>
        <w:rPr/>
        <w:t>新能源汽车推广政策受益范围大幅增加。这将刺激全国范围内的新能源汽车消费需求，从而</w:t>
      </w:r>
      <w:r>
        <w:rPr>
          <w:spacing w:val="-89"/>
        </w:rPr>
        <w:t> </w:t>
      </w:r>
      <w:r>
        <w:rPr>
          <w:spacing w:val="-89"/>
        </w:rPr>
      </w:r>
      <w:r>
        <w:rPr/>
        <w:t>带动新能源汽车充电桩行业的市场需求扩展。②新的充电国标发布，在促进充电设备互联互</w:t>
      </w:r>
      <w:r>
        <w:rPr>
          <w:spacing w:val="-89"/>
        </w:rPr>
        <w:t> </w:t>
      </w:r>
      <w:r>
        <w:rPr>
          <w:spacing w:val="-89"/>
        </w:rPr>
      </w:r>
      <w:r>
        <w:rPr/>
        <w:t>通，推动充电基础设施快速发展的同时，也加速了充电行业企业的优胜劣汰。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29"/>
        </w:rPr>
        <w:t> </w:t>
      </w:r>
      <w:r>
        <w:rPr/>
        <w:t>日，质检总局、国家标准委联合国家能源局、工信部、科技部等部门，在京发布新修订的电</w:t>
      </w:r>
      <w:r>
        <w:rPr>
          <w:spacing w:val="-89"/>
        </w:rPr>
        <w:t> </w:t>
      </w:r>
      <w:r>
        <w:rPr>
          <w:spacing w:val="-89"/>
        </w:rPr>
      </w:r>
      <w:r>
        <w:rPr>
          <w:spacing w:val="-5"/>
        </w:rPr>
        <w:t>动汽车充电接口及通信协议</w:t>
      </w:r>
      <w:r>
        <w:rPr>
          <w:rFonts w:ascii="Times New Roman" w:hAnsi="Times New Roman" w:cs="Times New Roman" w:eastAsia="Times New Roman" w:hint="default"/>
          <w:spacing w:val="-5"/>
        </w:rPr>
        <w:t>5</w:t>
      </w:r>
      <w:r>
        <w:rPr>
          <w:spacing w:val="-5"/>
        </w:rPr>
        <w:t>项国家标准（下称：新国标），新标准已于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日起实施。</w:t>
      </w:r>
      <w:r>
        <w:rPr>
          <w:spacing w:val="-96"/>
        </w:rPr>
        <w:t> </w:t>
      </w:r>
      <w:r>
        <w:rPr/>
        <w:t>新国标的出炉，有利于解决充电桩不兼容、充电难的问题，激发消费者购买新能源汽车的意</w:t>
      </w:r>
      <w:r>
        <w:rPr>
          <w:spacing w:val="-89"/>
        </w:rPr>
        <w:t> </w:t>
      </w:r>
      <w:r>
        <w:rPr>
          <w:spacing w:val="-89"/>
        </w:rPr>
      </w:r>
      <w:r>
        <w:rPr/>
        <w:t>愿，扩大新能源汽车及配套充电设施的市场需求，加快充电基础设施发展。同时，新国标对</w:t>
      </w:r>
      <w:r>
        <w:rPr>
          <w:spacing w:val="-89"/>
        </w:rPr>
        <w:t> </w:t>
      </w:r>
      <w:r>
        <w:rPr>
          <w:spacing w:val="-89"/>
        </w:rPr>
      </w:r>
      <w:r>
        <w:rPr/>
        <w:t>于一些非必选项的参数和标准扩充的可能性留有余地，对于涉及安全和兼容关键指标的门槛</w:t>
      </w:r>
      <w:r>
        <w:rPr>
          <w:spacing w:val="-89"/>
        </w:rPr>
        <w:t> </w:t>
      </w:r>
      <w:r>
        <w:rPr>
          <w:spacing w:val="-89"/>
        </w:rPr>
      </w:r>
      <w:r>
        <w:rPr/>
        <w:t>设定得则很高，试图倒逼充电桩企业、整车企业进行技术升级、优胜劣汰。这有利于拥有技</w:t>
      </w:r>
      <w:r>
        <w:rPr>
          <w:spacing w:val="-89"/>
        </w:rPr>
        <w:t> </w:t>
      </w:r>
      <w:r>
        <w:rPr>
          <w:spacing w:val="-89"/>
        </w:rPr>
      </w:r>
      <w:r>
        <w:rPr/>
        <w:t>术积累及研发优势的充电桩企业，凭借技术优势获得更大的市场份额。</w:t>
      </w:r>
    </w:p>
    <w:p>
      <w:pPr>
        <w:spacing w:line="338" w:lineRule="auto" w:before="41"/>
        <w:ind w:left="652" w:right="96" w:hanging="12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）新电改，将带来能源互联革命</w:t>
      </w:r>
      <w:r>
        <w:rPr>
          <w:rFonts w:ascii="宋体" w:hAnsi="宋体" w:cs="宋体" w:eastAsia="宋体" w:hint="default"/>
          <w:b/>
          <w:bCs/>
          <w:w w:val="99"/>
          <w:sz w:val="24"/>
          <w:szCs w:val="24"/>
        </w:rPr>
        <w:t> </w:t>
      </w:r>
      <w:r>
        <w:rPr>
          <w:rFonts w:ascii="宋体" w:hAnsi="宋体" w:cs="宋体" w:eastAsia="宋体" w:hint="default"/>
          <w:spacing w:val="-1"/>
          <w:sz w:val="24"/>
          <w:szCs w:val="24"/>
        </w:rPr>
        <w:t>根据电改“九号文”</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《关于进一步深化电力体制改革的若干意见》（中发〔</w:t>
      </w:r>
      <w:r>
        <w:rPr>
          <w:rFonts w:ascii="Times New Roman" w:hAnsi="Times New Roman" w:cs="Times New Roman" w:eastAsia="Times New Roman" w:hint="default"/>
          <w:spacing w:val="-1"/>
          <w:sz w:val="24"/>
          <w:szCs w:val="24"/>
        </w:rPr>
        <w:t>2015</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9</w:t>
      </w:r>
    </w:p>
    <w:p>
      <w:pPr>
        <w:pStyle w:val="Heading3"/>
        <w:spacing w:line="357" w:lineRule="auto" w:before="27"/>
        <w:ind w:left="232" w:right="232"/>
        <w:jc w:val="both"/>
      </w:pPr>
      <w:r>
        <w:rPr/>
        <w:t>号），确定新一轮改“管住中间、放开两头”的体制架构，重新定位电网企业功能和运营模</w:t>
      </w:r>
      <w:r>
        <w:rPr>
          <w:spacing w:val="-89"/>
        </w:rPr>
        <w:t> </w:t>
      </w:r>
      <w:r>
        <w:rPr>
          <w:spacing w:val="-89"/>
        </w:rPr>
      </w:r>
      <w:r>
        <w:rPr/>
        <w:t>式，新电改将带来的能源互联革命，将给公司绿色能源业务链（光伏产业、充电设备、电力</w:t>
      </w:r>
      <w:r>
        <w:rPr>
          <w:spacing w:val="-89"/>
        </w:rPr>
        <w:t> </w:t>
      </w:r>
      <w:r>
        <w:rPr>
          <w:spacing w:val="-89"/>
        </w:rPr>
      </w:r>
      <w:r>
        <w:rPr/>
        <w:t>传输等）带来商机。</w:t>
      </w:r>
    </w:p>
    <w:p>
      <w:pPr>
        <w:pStyle w:val="Heading3"/>
        <w:spacing w:line="352" w:lineRule="auto" w:before="36"/>
        <w:ind w:left="232" w:right="96" w:firstLine="420"/>
        <w:jc w:val="left"/>
      </w:pPr>
      <w:r>
        <w:rPr/>
        <w:t>根据新电改方案</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spacing w:val="-3"/>
        </w:rPr>
        <w:t>电网将逐步退出售电，用电企业和发电企业绕过电网自主交易，并拥有</w:t>
      </w:r>
      <w:r>
        <w:rPr/>
        <w:t> 自主选择权。由于国家发展改革委发布的《关于电动汽车用电格政策有关问题的通知》已经</w:t>
      </w:r>
      <w:r>
        <w:rPr>
          <w:spacing w:val="-89"/>
        </w:rPr>
        <w:t> </w:t>
      </w:r>
      <w:r>
        <w:rPr>
          <w:spacing w:val="-89"/>
        </w:rPr>
      </w:r>
      <w:r>
        <w:rPr/>
        <w:t>对企业向充换电用户收取电费、服务费做出了明确规定，未来新能源汽车充电服务业务将存</w:t>
      </w:r>
      <w:r>
        <w:rPr>
          <w:spacing w:val="-89"/>
        </w:rPr>
        <w:t> </w:t>
      </w:r>
      <w:r>
        <w:rPr>
          <w:spacing w:val="-89"/>
        </w:rPr>
      </w:r>
      <w:r>
        <w:rPr>
          <w:spacing w:val="-2"/>
        </w:rPr>
        <w:t>有一定的利率上升空间。发电成本低廉的发电企业将可以凭借低成本优势获得市场主动地位，</w:t>
      </w:r>
      <w:r>
        <w:rPr/>
        <w:t> 这对享受政府补贴并且成本处于下降进程中的光伏发电企业也带来利好。</w:t>
      </w:r>
    </w:p>
    <w:p>
      <w:pPr>
        <w:spacing w:line="240" w:lineRule="auto" w:before="0"/>
        <w:rPr>
          <w:rFonts w:ascii="宋体" w:hAnsi="宋体" w:cs="宋体" w:eastAsia="宋体" w:hint="default"/>
          <w:sz w:val="24"/>
          <w:szCs w:val="24"/>
        </w:rPr>
      </w:pPr>
    </w:p>
    <w:p>
      <w:pPr>
        <w:pStyle w:val="Heading2"/>
        <w:spacing w:line="240" w:lineRule="auto" w:before="195"/>
        <w:ind w:left="112" w:right="96"/>
        <w:jc w:val="left"/>
        <w:rPr>
          <w:b w:val="0"/>
          <w:bCs w:val="0"/>
        </w:rPr>
      </w:pPr>
      <w:r>
        <w:rPr/>
        <w:t>（二）公司发展战略</w:t>
      </w:r>
      <w:r>
        <w:rPr>
          <w:b w:val="0"/>
          <w:bCs w:val="0"/>
        </w:rPr>
      </w:r>
    </w:p>
    <w:p>
      <w:pPr>
        <w:pStyle w:val="Heading3"/>
        <w:spacing w:line="357" w:lineRule="auto" w:before="154"/>
        <w:ind w:left="232" w:right="230" w:firstLine="564"/>
        <w:jc w:val="both"/>
      </w:pPr>
      <w:r>
        <w:rPr>
          <w:spacing w:val="-2"/>
        </w:rPr>
        <w:t>公司紧紧围绕“绿色能源传输专家，环保新材领跑者”的愿景目标，坚持立足于电线电</w:t>
      </w:r>
      <w:r>
        <w:rPr/>
        <w:t> 缆主业，加大新材料、新能源业务的投资力度，并通过外延式发展助推公司转型。</w:t>
      </w:r>
    </w:p>
    <w:p>
      <w:pPr>
        <w:pStyle w:val="Heading3"/>
        <w:spacing w:line="357" w:lineRule="auto" w:before="36"/>
        <w:ind w:left="232" w:right="230" w:firstLine="564"/>
        <w:jc w:val="both"/>
      </w:pPr>
      <w:r>
        <w:rPr>
          <w:spacing w:val="-2"/>
        </w:rPr>
        <w:t>公司战略目标是：稳步健康发展电缆主业，大力发展“新材料、新能源”两翼，并依托</w:t>
      </w:r>
      <w:r>
        <w:rPr/>
        <w:t> 上市公司平台，积极推动资本运作，撬动成长新引擎。</w:t>
      </w:r>
    </w:p>
    <w:p>
      <w:pPr>
        <w:pStyle w:val="Heading3"/>
        <w:spacing w:line="348" w:lineRule="auto" w:before="36"/>
        <w:ind w:left="232" w:right="222" w:firstLine="564"/>
        <w:jc w:val="both"/>
      </w:pPr>
      <w:r>
        <w:rPr>
          <w:rFonts w:ascii="Times New Roman" w:hAnsi="Times New Roman" w:cs="Times New Roman" w:eastAsia="Times New Roman" w:hint="default"/>
          <w:b/>
          <w:bCs/>
        </w:rPr>
        <w:t>1</w:t>
      </w:r>
      <w:r>
        <w:rPr>
          <w:rFonts w:ascii="宋体" w:hAnsi="宋体" w:cs="宋体" w:eastAsia="宋体" w:hint="default"/>
          <w:b/>
          <w:bCs/>
        </w:rPr>
        <w:t>、电力通信，纵深扎根。</w:t>
      </w:r>
      <w:r>
        <w:rPr/>
        <w:t>围绕电力传输与分配，沿电力电缆使用路径继续深耕细作， 适时择机拓展电力装备相关业务，转型成为绿色能源传输整体解决方案提供商，立志成为行</w:t>
      </w:r>
      <w:r>
        <w:rPr>
          <w:spacing w:val="-89"/>
        </w:rPr>
        <w:t> </w:t>
      </w:r>
      <w:r>
        <w:rPr>
          <w:spacing w:val="-89"/>
        </w:rPr>
      </w:r>
      <w:r>
        <w:rPr/>
        <w:t>业一流的公司，进入第一梯队。放眼全球，加速布局国际市场。围绕电力设备，丰富电缆产</w:t>
      </w:r>
    </w:p>
    <w:p>
      <w:pPr>
        <w:spacing w:after="0" w:line="348" w:lineRule="auto"/>
        <w:jc w:val="both"/>
        <w:sectPr>
          <w:pgSz w:w="11910" w:h="16840"/>
          <w:pgMar w:header="850" w:footer="1012" w:top="1440" w:bottom="1200" w:left="900" w:right="900"/>
        </w:sectPr>
      </w:pPr>
    </w:p>
    <w:p>
      <w:pPr>
        <w:spacing w:line="240" w:lineRule="auto" w:before="6"/>
        <w:rPr>
          <w:rFonts w:ascii="宋体" w:hAnsi="宋体" w:cs="宋体" w:eastAsia="宋体" w:hint="default"/>
          <w:sz w:val="19"/>
          <w:szCs w:val="19"/>
        </w:rPr>
      </w:pPr>
    </w:p>
    <w:p>
      <w:pPr>
        <w:pStyle w:val="Heading3"/>
        <w:spacing w:line="357" w:lineRule="auto"/>
        <w:ind w:left="232" w:right="232"/>
        <w:jc w:val="both"/>
      </w:pPr>
      <w:r>
        <w:rPr/>
        <w:t>品系列，适度拓宽特殊领域专用产品线。上下游产业整合，从设计安装到服务提供整体解决</w:t>
      </w:r>
      <w:r>
        <w:rPr>
          <w:spacing w:val="-89"/>
        </w:rPr>
        <w:t> </w:t>
      </w:r>
      <w:r>
        <w:rPr>
          <w:spacing w:val="-89"/>
        </w:rPr>
      </w:r>
      <w:r>
        <w:rPr/>
        <w:t>方案。合理产业布局，降低成本、控制风险、资源共享。销售模式创新，做透大客户模式，</w:t>
      </w:r>
      <w:r>
        <w:rPr>
          <w:spacing w:val="-89"/>
        </w:rPr>
        <w:t> </w:t>
      </w:r>
      <w:r>
        <w:rPr>
          <w:spacing w:val="-89"/>
        </w:rPr>
      </w:r>
      <w:r>
        <w:rPr/>
        <w:t>探索渠道销售模式。</w:t>
      </w:r>
    </w:p>
    <w:p>
      <w:pPr>
        <w:pStyle w:val="Heading3"/>
        <w:spacing w:line="350" w:lineRule="auto" w:before="36"/>
        <w:ind w:left="232" w:right="96" w:firstLine="564"/>
        <w:jc w:val="left"/>
      </w:pPr>
      <w:r>
        <w:rPr>
          <w:rFonts w:ascii="Times New Roman" w:hAnsi="Times New Roman" w:cs="Times New Roman" w:eastAsia="Times New Roman" w:hint="default"/>
          <w:b/>
          <w:bCs/>
          <w:spacing w:val="-1"/>
          <w:w w:val="95"/>
        </w:rPr>
        <w:t>2</w:t>
      </w:r>
      <w:r>
        <w:rPr>
          <w:rFonts w:ascii="宋体" w:hAnsi="宋体" w:cs="宋体" w:eastAsia="宋体" w:hint="default"/>
          <w:b/>
          <w:bCs/>
          <w:spacing w:val="-1"/>
          <w:w w:val="95"/>
        </w:rPr>
        <w:t>、打造材料行业知名品牌。</w:t>
      </w:r>
      <w:r>
        <w:rPr>
          <w:spacing w:val="-1"/>
          <w:w w:val="95"/>
        </w:rPr>
        <w:t>着重于创新管理，从“环保新材领跑者、智能制造践行者、</w:t>
      </w:r>
      <w:r>
        <w:rPr/>
        <w:t> 绿色健康倡导者、社会责任担当者”的企业愿景着手，提升创新管理能力，实现“四化”建</w:t>
      </w:r>
      <w:r>
        <w:rPr>
          <w:spacing w:val="-89"/>
        </w:rPr>
        <w:t> </w:t>
      </w:r>
      <w:r>
        <w:rPr>
          <w:spacing w:val="-89"/>
        </w:rPr>
      </w:r>
      <w:r>
        <w:rPr/>
        <w:t>设：管理制度、机制、模式及产品的特色化；新品技术、品牌的高端化；工业生产、设备的</w:t>
      </w:r>
      <w:r>
        <w:rPr>
          <w:spacing w:val="-89"/>
        </w:rPr>
        <w:t> </w:t>
      </w:r>
      <w:r>
        <w:rPr>
          <w:spacing w:val="-89"/>
        </w:rPr>
      </w:r>
      <w:r>
        <w:rPr/>
        <w:t>智能化；人才、市场、资源模式的国际化。持续保持电力电缆材料行业龙头地位，在光电线</w:t>
      </w:r>
      <w:r>
        <w:rPr>
          <w:spacing w:val="-89"/>
        </w:rPr>
        <w:t> </w:t>
      </w:r>
      <w:r>
        <w:rPr>
          <w:spacing w:val="-89"/>
        </w:rPr>
      </w:r>
      <w:r>
        <w:rPr>
          <w:spacing w:val="-2"/>
        </w:rPr>
        <w:t>缆材料行业，打造弹性体行业第一、低烟无卤行业前三、特种</w:t>
      </w:r>
      <w:r>
        <w:rPr>
          <w:rFonts w:ascii="Times New Roman" w:hAnsi="Times New Roman" w:cs="Times New Roman" w:eastAsia="Times New Roman" w:hint="default"/>
          <w:spacing w:val="-2"/>
        </w:rPr>
        <w:t>PVC</w:t>
      </w:r>
      <w:r>
        <w:rPr>
          <w:spacing w:val="-2"/>
        </w:rPr>
        <w:t>行业前五的三大系列产品，</w:t>
      </w:r>
      <w:r>
        <w:rPr>
          <w:spacing w:val="-108"/>
        </w:rPr>
        <w:t> </w:t>
      </w:r>
      <w:r>
        <w:rPr/>
        <w:t>成为材料领域的知名品牌。</w:t>
      </w:r>
    </w:p>
    <w:p>
      <w:pPr>
        <w:pStyle w:val="Heading3"/>
        <w:spacing w:line="350" w:lineRule="auto" w:before="43"/>
        <w:ind w:left="232" w:right="96" w:firstLine="564"/>
        <w:jc w:val="left"/>
      </w:pPr>
      <w:r>
        <w:rPr>
          <w:rFonts w:ascii="Times New Roman" w:hAnsi="Times New Roman" w:cs="Times New Roman" w:eastAsia="Times New Roman" w:hint="default"/>
          <w:b/>
          <w:bCs/>
        </w:rPr>
        <w:t>3</w:t>
      </w:r>
      <w:r>
        <w:rPr>
          <w:rFonts w:ascii="宋体" w:hAnsi="宋体" w:cs="宋体" w:eastAsia="宋体" w:hint="default"/>
          <w:b/>
          <w:bCs/>
        </w:rPr>
        <w:t>、“互联网</w:t>
      </w:r>
      <w:r>
        <w:rPr>
          <w:rFonts w:ascii="Times New Roman" w:hAnsi="Times New Roman" w:cs="Times New Roman" w:eastAsia="Times New Roman" w:hint="default"/>
          <w:b/>
          <w:bCs/>
        </w:rPr>
        <w:t>+</w:t>
      </w:r>
      <w:r>
        <w:rPr>
          <w:rFonts w:ascii="宋体" w:hAnsi="宋体" w:cs="宋体" w:eastAsia="宋体" w:hint="default"/>
          <w:b/>
          <w:bCs/>
        </w:rPr>
        <w:t>”</w:t>
      </w:r>
      <w:r>
        <w:rPr>
          <w:rFonts w:ascii="宋体" w:hAnsi="宋体" w:cs="宋体" w:eastAsia="宋体" w:hint="default"/>
          <w:b/>
          <w:bCs/>
          <w:spacing w:val="22"/>
        </w:rPr>
        <w:t> </w:t>
      </w:r>
      <w:r>
        <w:rPr>
          <w:rFonts w:ascii="宋体" w:hAnsi="宋体" w:cs="宋体" w:eastAsia="宋体" w:hint="default"/>
          <w:b/>
          <w:bCs/>
        </w:rPr>
        <w:t>新能源业务。</w:t>
      </w:r>
      <w:r>
        <w:rPr/>
        <w:t>打造“国内充电第一品牌”的市场地位，万马新能源、 爱充网、新能源投资合力形成“智能设备制造</w:t>
      </w:r>
      <w:r>
        <w:rPr>
          <w:rFonts w:ascii="Times New Roman" w:hAnsi="Times New Roman" w:cs="Times New Roman" w:eastAsia="Times New Roman" w:hint="default"/>
        </w:rPr>
        <w:t>+</w:t>
      </w:r>
      <w:r>
        <w:rPr/>
        <w:t>服务网络运营</w:t>
      </w:r>
      <w:r>
        <w:rPr>
          <w:rFonts w:ascii="Times New Roman" w:hAnsi="Times New Roman" w:cs="Times New Roman" w:eastAsia="Times New Roman" w:hint="default"/>
        </w:rPr>
        <w:t>+</w:t>
      </w:r>
      <w:r>
        <w:rPr/>
        <w:t>投资建设充电网”三轮驱动格</w:t>
      </w:r>
      <w:r>
        <w:rPr>
          <w:spacing w:val="-115"/>
        </w:rPr>
        <w:t> </w:t>
      </w:r>
      <w:r>
        <w:rPr>
          <w:spacing w:val="-115"/>
        </w:rPr>
      </w:r>
      <w:r>
        <w:rPr/>
        <w:t>局。加大新品产品研发，加强生态圈合作，打造具有充分竞争力的智能充电设备终端。整合</w:t>
      </w:r>
      <w:r>
        <w:rPr>
          <w:spacing w:val="-89"/>
        </w:rPr>
        <w:t> </w:t>
      </w:r>
      <w:r>
        <w:rPr>
          <w:spacing w:val="-89"/>
        </w:rPr>
      </w:r>
      <w:r>
        <w:rPr/>
        <w:t>社会各类资源，合力打造爱充网络平台，通过商业模式创新业务渠道拓宽市场，为井喷发展</w:t>
      </w:r>
      <w:r>
        <w:rPr>
          <w:spacing w:val="-89"/>
        </w:rPr>
        <w:t> </w:t>
      </w:r>
      <w:r>
        <w:rPr>
          <w:spacing w:val="-89"/>
        </w:rPr>
      </w:r>
      <w:r>
        <w:rPr/>
        <w:t>的新能源汽车用户提供便捷、高效的各类增值服务。审时度势，推进立浙江辐射全球的新能</w:t>
      </w:r>
      <w:r>
        <w:rPr>
          <w:spacing w:val="-89"/>
        </w:rPr>
        <w:t> </w:t>
      </w:r>
      <w:r>
        <w:rPr>
          <w:spacing w:val="-89"/>
        </w:rPr>
      </w:r>
      <w:r>
        <w:rPr>
          <w:spacing w:val="-2"/>
        </w:rPr>
        <w:t>源投资。分布式光伏云平台，加快完善平台建设，为电站投资商、电力使用单位、电力公司、</w:t>
      </w:r>
      <w:r>
        <w:rPr>
          <w:spacing w:val="-117"/>
        </w:rPr>
        <w:t> </w:t>
      </w:r>
      <w:r>
        <w:rPr>
          <w:spacing w:val="-117"/>
        </w:rPr>
      </w:r>
      <w:r>
        <w:rPr/>
        <w:t>政府提供更好的云服务，并积极在全国不同区域试点。</w:t>
      </w:r>
    </w:p>
    <w:p>
      <w:pPr>
        <w:pStyle w:val="Heading3"/>
        <w:spacing w:line="352" w:lineRule="auto" w:before="43"/>
        <w:ind w:left="232" w:right="216" w:firstLine="564"/>
        <w:jc w:val="both"/>
      </w:pPr>
      <w:r>
        <w:rPr>
          <w:rFonts w:ascii="Times New Roman" w:hAnsi="Times New Roman" w:cs="Times New Roman" w:eastAsia="Times New Roman" w:hint="default"/>
          <w:b/>
          <w:bCs/>
          <w:spacing w:val="2"/>
          <w:w w:val="95"/>
        </w:rPr>
        <w:t>4</w:t>
      </w:r>
      <w:r>
        <w:rPr>
          <w:rFonts w:ascii="宋体" w:hAnsi="宋体" w:cs="宋体" w:eastAsia="宋体" w:hint="default"/>
          <w:b/>
          <w:bCs/>
          <w:spacing w:val="2"/>
          <w:w w:val="95"/>
        </w:rPr>
        <w:t>、积极推动资本运作，撬动成长新引擎。</w:t>
      </w:r>
      <w:r>
        <w:rPr>
          <w:spacing w:val="2"/>
          <w:w w:val="95"/>
        </w:rPr>
        <w:t>在兼并收购方面，公司董事会及管理层将以</w:t>
      </w:r>
      <w:r>
        <w:rPr/>
        <w:t> 公司发展战略为指导，围绕主营业务（含电缆、光缆、高分子材料等相关业务）的多元化，</w:t>
      </w:r>
      <w:r>
        <w:rPr>
          <w:spacing w:val="-89"/>
        </w:rPr>
        <w:t> </w:t>
      </w:r>
      <w:r>
        <w:rPr>
          <w:spacing w:val="-89"/>
        </w:rPr>
      </w:r>
      <w:r>
        <w:rPr/>
        <w:t>关注核电、机车电缆、电梯电缆、船用电缆等细分市场的龙头企业、新材料企业和在环保节</w:t>
      </w:r>
      <w:r>
        <w:rPr>
          <w:spacing w:val="-89"/>
        </w:rPr>
        <w:t> </w:t>
      </w:r>
      <w:r>
        <w:rPr>
          <w:spacing w:val="-89"/>
        </w:rPr>
      </w:r>
      <w:r>
        <w:rPr/>
        <w:t>能、新能源等新兴产业内的成长型企业，推进并购进程，不断丰富、完善公司产品线，以外</w:t>
      </w:r>
      <w:r>
        <w:rPr>
          <w:spacing w:val="-89"/>
        </w:rPr>
        <w:t> </w:t>
      </w:r>
      <w:r>
        <w:rPr>
          <w:spacing w:val="-89"/>
        </w:rPr>
      </w:r>
      <w:r>
        <w:rPr/>
        <w:t>延式发展促进公司实现跨跃式发展。</w:t>
      </w:r>
    </w:p>
    <w:p>
      <w:pPr>
        <w:spacing w:line="240" w:lineRule="auto" w:before="0"/>
        <w:rPr>
          <w:rFonts w:ascii="宋体" w:hAnsi="宋体" w:cs="宋体" w:eastAsia="宋体" w:hint="default"/>
          <w:sz w:val="24"/>
          <w:szCs w:val="24"/>
        </w:rPr>
      </w:pPr>
    </w:p>
    <w:p>
      <w:pPr>
        <w:pStyle w:val="Heading2"/>
        <w:spacing w:line="240" w:lineRule="auto" w:before="195"/>
        <w:ind w:left="112" w:right="96"/>
        <w:jc w:val="left"/>
        <w:rPr>
          <w:b w:val="0"/>
          <w:bCs w:val="0"/>
        </w:rPr>
      </w:pPr>
      <w:r>
        <w:rPr/>
        <w:t>（三）经营计划</w:t>
      </w:r>
      <w:r>
        <w:rPr>
          <w:b w:val="0"/>
          <w:bCs w:val="0"/>
        </w:rPr>
      </w:r>
    </w:p>
    <w:p>
      <w:pPr>
        <w:pStyle w:val="Heading3"/>
        <w:spacing w:line="348" w:lineRule="auto" w:before="154"/>
        <w:ind w:left="232" w:right="230" w:firstLine="564"/>
        <w:jc w:val="both"/>
      </w:pPr>
      <w:r>
        <w:rPr>
          <w:rFonts w:ascii="Times New Roman" w:hAnsi="Times New Roman" w:cs="Times New Roman" w:eastAsia="Times New Roman" w:hint="default"/>
          <w:spacing w:val="-2"/>
        </w:rPr>
        <w:t>2016</w:t>
      </w:r>
      <w:r>
        <w:rPr>
          <w:spacing w:val="-2"/>
        </w:rPr>
        <w:t>年，公司年度关键词是“创新·人才·激励”，即“找准创新突破口，积聚新颖人</w:t>
      </w:r>
      <w:r>
        <w:rPr/>
        <w:t> 才，完善激励措施，向创新型企业发展。”根据公司三年战略目标，结合当前市场形势和公</w:t>
      </w:r>
      <w:r>
        <w:rPr>
          <w:spacing w:val="-89"/>
        </w:rPr>
        <w:t> </w:t>
      </w:r>
      <w:r>
        <w:rPr>
          <w:spacing w:val="-89"/>
        </w:rPr>
      </w:r>
      <w:r>
        <w:rPr/>
        <w:t>司经营实际，确定年度营业收入目标为</w:t>
      </w:r>
      <w:r>
        <w:rPr>
          <w:rFonts w:ascii="Times New Roman" w:hAnsi="Times New Roman" w:cs="Times New Roman" w:eastAsia="Times New Roman" w:hint="default"/>
        </w:rPr>
        <w:t>70</w:t>
      </w:r>
      <w:r>
        <w:rPr/>
        <w:t>亿元，预算净利润与上年持平，主要措施如下：</w:t>
      </w:r>
    </w:p>
    <w:p>
      <w:pPr>
        <w:pStyle w:val="Heading3"/>
        <w:spacing w:line="348" w:lineRule="auto" w:before="16"/>
        <w:ind w:left="232" w:right="230" w:firstLine="480"/>
        <w:jc w:val="both"/>
      </w:pPr>
      <w:r>
        <w:rPr>
          <w:rFonts w:ascii="Times New Roman" w:hAnsi="Times New Roman" w:cs="Times New Roman" w:eastAsia="Times New Roman" w:hint="default"/>
          <w:spacing w:val="-3"/>
        </w:rPr>
        <w:t>1</w:t>
      </w:r>
      <w:r>
        <w:rPr>
          <w:spacing w:val="-3"/>
        </w:rPr>
        <w:t>、电线电缆主业以市场为龙头，围绕公司确定的重点市场，增加市场布局密度，持续优</w:t>
      </w:r>
      <w:r>
        <w:rPr/>
        <w:t> 化客户结构；从客户需求出发，提升产品质量；严格控制物料损耗，持续优化工艺流程，增</w:t>
      </w:r>
      <w:r>
        <w:rPr>
          <w:spacing w:val="-89"/>
        </w:rPr>
        <w:t> </w:t>
      </w:r>
      <w:r>
        <w:rPr>
          <w:spacing w:val="-89"/>
        </w:rPr>
      </w:r>
      <w:r>
        <w:rPr/>
        <w:t>强产品市场竞争力，逐步实现由单一产品制造商向具有总包能力及运维服务的方案解决者角</w:t>
      </w:r>
    </w:p>
    <w:p>
      <w:pPr>
        <w:spacing w:after="0" w:line="348" w:lineRule="auto"/>
        <w:jc w:val="both"/>
        <w:sectPr>
          <w:pgSz w:w="11910" w:h="16840"/>
          <w:pgMar w:header="850" w:footer="1012" w:top="1440" w:bottom="1200" w:left="900" w:right="900"/>
        </w:sectPr>
      </w:pPr>
    </w:p>
    <w:p>
      <w:pPr>
        <w:spacing w:line="240" w:lineRule="auto" w:before="6"/>
        <w:rPr>
          <w:rFonts w:ascii="宋体" w:hAnsi="宋体" w:cs="宋体" w:eastAsia="宋体" w:hint="default"/>
          <w:sz w:val="19"/>
          <w:szCs w:val="19"/>
        </w:rPr>
      </w:pPr>
    </w:p>
    <w:p>
      <w:pPr>
        <w:pStyle w:val="Heading3"/>
        <w:spacing w:line="240" w:lineRule="auto"/>
        <w:ind w:right="0"/>
        <w:jc w:val="both"/>
      </w:pPr>
      <w:r>
        <w:rPr/>
        <w:t>色转变。</w:t>
      </w:r>
    </w:p>
    <w:p>
      <w:pPr>
        <w:pStyle w:val="Heading3"/>
        <w:spacing w:line="348" w:lineRule="auto" w:before="154"/>
        <w:ind w:right="232" w:firstLine="480"/>
        <w:jc w:val="both"/>
      </w:pPr>
      <w:r>
        <w:rPr>
          <w:rFonts w:ascii="Times New Roman" w:hAnsi="Times New Roman" w:cs="Times New Roman" w:eastAsia="Times New Roman" w:hint="default"/>
          <w:spacing w:val="-3"/>
        </w:rPr>
        <w:t>2</w:t>
      </w:r>
      <w:r>
        <w:rPr>
          <w:spacing w:val="-3"/>
        </w:rPr>
        <w:t>、通信线缆以现有</w:t>
      </w:r>
      <w:r>
        <w:rPr>
          <w:rFonts w:ascii="Times New Roman" w:hAnsi="Times New Roman" w:cs="Times New Roman" w:eastAsia="Times New Roman" w:hint="default"/>
          <w:spacing w:val="-3"/>
        </w:rPr>
        <w:t>75</w:t>
      </w:r>
      <w:r>
        <w:rPr>
          <w:spacing w:val="-3"/>
        </w:rPr>
        <w:t>欧姆同轴电缆和光缆系列产品为主线，加快工业连接线及特种光缆</w:t>
      </w:r>
      <w:r>
        <w:rPr/>
        <w:t> 开发进度，逐步实施产品转型升级；开拓海外市场，逐步实现市场区域全球化经营，重点做</w:t>
      </w:r>
      <w:r>
        <w:rPr>
          <w:spacing w:val="-89"/>
        </w:rPr>
        <w:t> </w:t>
      </w:r>
      <w:r>
        <w:rPr>
          <w:spacing w:val="-89"/>
        </w:rPr>
      </w:r>
      <w:r>
        <w:rPr/>
        <w:t>好欧美高端市场的开发，创造新的增长点。</w:t>
      </w:r>
    </w:p>
    <w:p>
      <w:pPr>
        <w:pStyle w:val="Heading3"/>
        <w:spacing w:line="348" w:lineRule="auto" w:before="46"/>
        <w:ind w:right="232" w:firstLine="420"/>
        <w:jc w:val="both"/>
      </w:pPr>
      <w:r>
        <w:rPr>
          <w:rFonts w:ascii="Times New Roman" w:hAnsi="Times New Roman" w:cs="Times New Roman" w:eastAsia="Times New Roman" w:hint="default"/>
          <w:spacing w:val="-2"/>
        </w:rPr>
        <w:t>3</w:t>
      </w:r>
      <w:r>
        <w:rPr>
          <w:spacing w:val="-2"/>
        </w:rPr>
        <w:t>、高分子材料版块以工业</w:t>
      </w:r>
      <w:r>
        <w:rPr>
          <w:rFonts w:ascii="Times New Roman" w:hAnsi="Times New Roman" w:cs="Times New Roman" w:eastAsia="Times New Roman" w:hint="default"/>
          <w:spacing w:val="-2"/>
        </w:rPr>
        <w:t>4.0</w:t>
      </w:r>
      <w:r>
        <w:rPr>
          <w:spacing w:val="-2"/>
        </w:rPr>
        <w:t>、</w:t>
      </w:r>
      <w:r>
        <w:rPr>
          <w:rFonts w:ascii="Times New Roman" w:hAnsi="Times New Roman" w:cs="Times New Roman" w:eastAsia="Times New Roman" w:hint="default"/>
          <w:spacing w:val="-2"/>
        </w:rPr>
        <w:t>SAP</w:t>
      </w:r>
      <w:r>
        <w:rPr>
          <w:spacing w:val="-2"/>
        </w:rPr>
        <w:t>等信息化手段提升管理效率；重视人才建设；加大西</w:t>
      </w:r>
      <w:r>
        <w:rPr/>
        <w:t> 南、西北市场推广力度，积极拓展国际市场；加强超高压电缆料、弹性体等新品推广力度， 完善的研发体系；创新大客户管理模式；整合采购渠道。</w:t>
      </w:r>
    </w:p>
    <w:p>
      <w:pPr>
        <w:pStyle w:val="Heading3"/>
        <w:spacing w:line="350" w:lineRule="auto" w:before="46"/>
        <w:ind w:right="102" w:firstLine="420"/>
        <w:jc w:val="left"/>
      </w:pPr>
      <w:r>
        <w:rPr>
          <w:rFonts w:ascii="Times New Roman" w:hAnsi="Times New Roman" w:cs="Times New Roman" w:eastAsia="Times New Roman" w:hint="default"/>
          <w:spacing w:val="-2"/>
        </w:rPr>
        <w:t>4</w:t>
      </w:r>
      <w:r>
        <w:rPr>
          <w:spacing w:val="-2"/>
        </w:rPr>
        <w:t>、新能源版块积极抓住</w:t>
      </w:r>
      <w:r>
        <w:rPr>
          <w:rFonts w:ascii="Times New Roman" w:hAnsi="Times New Roman" w:cs="Times New Roman" w:eastAsia="Times New Roman" w:hint="default"/>
          <w:spacing w:val="-2"/>
        </w:rPr>
        <w:t>G20</w:t>
      </w:r>
      <w:r>
        <w:rPr>
          <w:spacing w:val="-2"/>
        </w:rPr>
        <w:t>峰会等市场新机遇，对接市场需求，研发一系列为国家电网、</w:t>
      </w:r>
      <w:r>
        <w:rPr/>
        <w:t> 新能源投资公司配套的新产品，积极开拓车企市场，开发并销售车载充电机系列车内电力电</w:t>
      </w:r>
      <w:r>
        <w:rPr>
          <w:spacing w:val="-89"/>
        </w:rPr>
        <w:t> </w:t>
      </w:r>
      <w:r>
        <w:rPr>
          <w:spacing w:val="-89"/>
        </w:rPr>
      </w:r>
      <w:r>
        <w:rPr/>
        <w:t>子产品；布局充电桩网点，整合社会各类资源，打造充电网络平台，充分挖掘、分析智能终</w:t>
      </w:r>
      <w:r>
        <w:rPr>
          <w:spacing w:val="-89"/>
        </w:rPr>
        <w:t> </w:t>
      </w:r>
      <w:r>
        <w:rPr>
          <w:spacing w:val="-89"/>
        </w:rPr>
      </w:r>
      <w:r>
        <w:rPr/>
        <w:t>端和用户带来的行业大数据，不断扩大公司知名度和影响力，经营业绩实现快速增长。</w:t>
      </w:r>
    </w:p>
    <w:p>
      <w:pPr>
        <w:pStyle w:val="Heading3"/>
        <w:spacing w:line="338" w:lineRule="auto" w:before="43"/>
        <w:ind w:right="230" w:firstLine="420"/>
        <w:jc w:val="both"/>
      </w:pPr>
      <w:r>
        <w:rPr>
          <w:rFonts w:ascii="Times New Roman" w:hAnsi="Times New Roman" w:cs="Times New Roman" w:eastAsia="Times New Roman" w:hint="default"/>
          <w:spacing w:val="-1"/>
        </w:rPr>
        <w:t>5</w:t>
      </w:r>
      <w:r>
        <w:rPr>
          <w:spacing w:val="-1"/>
        </w:rPr>
        <w:t>、整合上市公司平台资源，为产业发展提供立体多维度；以资本为纽带，通过投资与并</w:t>
      </w:r>
      <w:r>
        <w:rPr/>
        <w:t> 购等方式，实现产品与市场的扩张。</w:t>
      </w:r>
    </w:p>
    <w:p>
      <w:pPr>
        <w:pStyle w:val="Heading3"/>
        <w:spacing w:line="338" w:lineRule="auto" w:before="55"/>
        <w:ind w:right="211" w:firstLine="420"/>
        <w:jc w:val="both"/>
      </w:pPr>
      <w:r>
        <w:rPr>
          <w:rFonts w:ascii="Times New Roman" w:hAnsi="Times New Roman" w:cs="Times New Roman" w:eastAsia="Times New Roman" w:hint="default"/>
        </w:rPr>
        <w:t>6</w:t>
      </w:r>
      <w:r>
        <w:rPr/>
        <w:t>、积极采用超短期融资券等融资方式，扩大直接融资比例，进一步优化公司负债结构， 降低资金成本。</w:t>
      </w:r>
    </w:p>
    <w:p>
      <w:pPr>
        <w:spacing w:line="240" w:lineRule="auto" w:before="0"/>
        <w:rPr>
          <w:rFonts w:ascii="宋体" w:hAnsi="宋体" w:cs="宋体" w:eastAsia="宋体" w:hint="default"/>
          <w:sz w:val="24"/>
          <w:szCs w:val="24"/>
        </w:rPr>
      </w:pPr>
    </w:p>
    <w:p>
      <w:pPr>
        <w:spacing w:line="357" w:lineRule="auto" w:before="209"/>
        <w:ind w:left="592" w:right="104" w:hanging="360"/>
        <w:jc w:val="left"/>
        <w:rPr>
          <w:rFonts w:ascii="宋体" w:hAnsi="宋体" w:cs="宋体" w:eastAsia="宋体" w:hint="default"/>
          <w:sz w:val="24"/>
          <w:szCs w:val="24"/>
        </w:rPr>
      </w:pPr>
      <w:r>
        <w:rPr>
          <w:rFonts w:ascii="宋体" w:hAnsi="宋体" w:cs="宋体" w:eastAsia="宋体" w:hint="default"/>
          <w:b/>
          <w:bCs/>
          <w:sz w:val="24"/>
          <w:szCs w:val="24"/>
        </w:rPr>
        <w:t>（四）因维持当前业务并完成在建投资项目公司所需的资金需求</w:t>
      </w:r>
      <w:r>
        <w:rPr>
          <w:rFonts w:ascii="宋体" w:hAnsi="宋体" w:cs="宋体" w:eastAsia="宋体" w:hint="default"/>
          <w:b/>
          <w:bCs/>
          <w:w w:val="99"/>
          <w:sz w:val="24"/>
          <w:szCs w:val="24"/>
        </w:rPr>
        <w:t> </w:t>
      </w:r>
      <w:r>
        <w:rPr>
          <w:rFonts w:ascii="宋体" w:hAnsi="宋体" w:cs="宋体" w:eastAsia="宋体" w:hint="default"/>
          <w:spacing w:val="-3"/>
          <w:sz w:val="24"/>
          <w:szCs w:val="24"/>
        </w:rPr>
        <w:t>结合公司年度经营计划，不包括尚未发生的对外投资、收购资产、收购股权的资金需求，</w:t>
      </w:r>
    </w:p>
    <w:p>
      <w:pPr>
        <w:pStyle w:val="Heading3"/>
        <w:spacing w:line="338" w:lineRule="auto" w:before="36"/>
        <w:ind w:right="232"/>
        <w:jc w:val="both"/>
      </w:pPr>
      <w:r>
        <w:rPr>
          <w:rFonts w:ascii="Times New Roman" w:hAnsi="Times New Roman" w:cs="Times New Roman" w:eastAsia="Times New Roman" w:hint="default"/>
        </w:rPr>
        <w:t>2016</w:t>
      </w:r>
      <w:r>
        <w:rPr/>
        <w:t>年为维持当前业务并完成在建投资项目预计新增资金需求为</w:t>
      </w:r>
      <w:r>
        <w:rPr>
          <w:rFonts w:ascii="Times New Roman" w:hAnsi="Times New Roman" w:cs="Times New Roman" w:eastAsia="Times New Roman" w:hint="default"/>
        </w:rPr>
        <w:t>16</w:t>
      </w:r>
      <w:r>
        <w:rPr/>
        <w:t>亿元，其中：经营性资金</w:t>
      </w:r>
      <w:r>
        <w:rPr>
          <w:spacing w:val="-89"/>
        </w:rPr>
        <w:t> </w:t>
      </w:r>
      <w:r>
        <w:rPr>
          <w:spacing w:val="-89"/>
        </w:rPr>
      </w:r>
      <w:r>
        <w:rPr/>
        <w:t>需求</w:t>
      </w:r>
      <w:r>
        <w:rPr>
          <w:rFonts w:ascii="Times New Roman" w:hAnsi="Times New Roman" w:cs="Times New Roman" w:eastAsia="Times New Roman" w:hint="default"/>
        </w:rPr>
        <w:t>3.7</w:t>
      </w:r>
      <w:r>
        <w:rPr/>
        <w:t>亿元，资本性资金需求</w:t>
      </w:r>
      <w:r>
        <w:rPr>
          <w:rFonts w:ascii="Times New Roman" w:hAnsi="Times New Roman" w:cs="Times New Roman" w:eastAsia="Times New Roman" w:hint="default"/>
        </w:rPr>
        <w:t>12.3</w:t>
      </w:r>
      <w:r>
        <w:rPr/>
        <w:t>亿元。为满足经营和资本支出的需要，公司将采取多种融</w:t>
      </w:r>
      <w:r>
        <w:rPr>
          <w:spacing w:val="-89"/>
        </w:rPr>
        <w:t> </w:t>
      </w:r>
      <w:r>
        <w:rPr>
          <w:spacing w:val="-89"/>
        </w:rPr>
      </w:r>
      <w:r>
        <w:rPr/>
        <w:t>资方式以取得低成本的外部资金。具体情况如下：</w:t>
      </w:r>
    </w:p>
    <w:p>
      <w:pPr>
        <w:pStyle w:val="Heading3"/>
        <w:spacing w:line="338" w:lineRule="auto" w:before="55"/>
        <w:ind w:right="230" w:firstLine="480"/>
        <w:jc w:val="both"/>
      </w:pPr>
      <w:r>
        <w:rPr>
          <w:rFonts w:ascii="Times New Roman" w:hAnsi="Times New Roman" w:cs="Times New Roman" w:eastAsia="Times New Roman" w:hint="default"/>
        </w:rPr>
        <w:t>1</w:t>
      </w:r>
      <w:r>
        <w:rPr/>
        <w:t>、资金来源：截止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日，公司合并报表资产负债率为</w:t>
      </w:r>
      <w:r>
        <w:rPr>
          <w:spacing w:val="13"/>
        </w:rPr>
        <w:t> </w:t>
      </w:r>
      <w:r>
        <w:rPr>
          <w:rFonts w:ascii="Times New Roman" w:hAnsi="Times New Roman" w:cs="Times New Roman" w:eastAsia="Times New Roman" w:hint="default"/>
        </w:rPr>
        <w:t>39.19%</w:t>
      </w:r>
      <w:r>
        <w:rPr/>
        <w:t>，负债水平较 </w:t>
      </w:r>
      <w:r>
        <w:rPr>
          <w:spacing w:val="-7"/>
        </w:rPr>
        <w:t>低。截至本报告期末，公司拥有银行综合授信额度 </w:t>
      </w:r>
      <w:r>
        <w:rPr>
          <w:rFonts w:ascii="Times New Roman" w:hAnsi="Times New Roman" w:cs="Times New Roman" w:eastAsia="Times New Roman" w:hint="default"/>
        </w:rPr>
        <w:t>23.86 </w:t>
      </w:r>
      <w:r>
        <w:rPr>
          <w:spacing w:val="-6"/>
        </w:rPr>
        <w:t>亿元，其中未使用授信额度为</w:t>
      </w:r>
      <w:r>
        <w:rPr>
          <w:spacing w:val="36"/>
        </w:rPr>
        <w:t> </w:t>
      </w:r>
      <w:r>
        <w:rPr>
          <w:rFonts w:ascii="Times New Roman" w:hAnsi="Times New Roman" w:cs="Times New Roman" w:eastAsia="Times New Roman" w:hint="default"/>
        </w:rPr>
        <w:t>17.20 </w:t>
      </w:r>
      <w:r>
        <w:rPr/>
        <w:t>亿元。</w:t>
      </w:r>
    </w:p>
    <w:p>
      <w:pPr>
        <w:pStyle w:val="Heading3"/>
        <w:spacing w:line="338" w:lineRule="auto" w:before="55"/>
        <w:ind w:right="232" w:firstLine="480"/>
        <w:jc w:val="both"/>
      </w:pPr>
      <w:r>
        <w:rPr/>
        <w:t>鉴于上述情况，</w:t>
      </w:r>
      <w:r>
        <w:rPr>
          <w:rFonts w:ascii="Times New Roman" w:hAnsi="Times New Roman" w:cs="Times New Roman" w:eastAsia="Times New Roman" w:hint="default"/>
        </w:rPr>
        <w:t>2016</w:t>
      </w:r>
      <w:r>
        <w:rPr/>
        <w:t>年度公司所需资金来源主要是银行债务融资、银行间交易市场和债 券融资。</w:t>
      </w:r>
    </w:p>
    <w:p>
      <w:pPr>
        <w:pStyle w:val="Heading3"/>
        <w:spacing w:line="348" w:lineRule="auto" w:before="55"/>
        <w:ind w:right="230" w:firstLine="480"/>
        <w:jc w:val="both"/>
      </w:pPr>
      <w:r>
        <w:rPr>
          <w:rFonts w:ascii="Times New Roman" w:hAnsi="Times New Roman" w:cs="Times New Roman" w:eastAsia="Times New Roman" w:hint="default"/>
          <w:spacing w:val="-2"/>
        </w:rPr>
        <w:t>2</w:t>
      </w:r>
      <w:r>
        <w:rPr>
          <w:spacing w:val="-2"/>
        </w:rPr>
        <w:t>、资金成本：结合当前融资环境和本公司经营实际，预计公司</w:t>
      </w:r>
      <w:r>
        <w:rPr>
          <w:rFonts w:ascii="Times New Roman" w:hAnsi="Times New Roman" w:cs="Times New Roman" w:eastAsia="Times New Roman" w:hint="default"/>
          <w:spacing w:val="-2"/>
        </w:rPr>
        <w:t>2016</w:t>
      </w:r>
      <w:r>
        <w:rPr>
          <w:spacing w:val="-2"/>
        </w:rPr>
        <w:t>年度综合融资成本在</w:t>
      </w:r>
      <w:r>
        <w:rPr/>
        <w:t> 银行一年期基准贷款利率左右。资金成本受国家货币政策、本单位资信状况、银行关系以及</w:t>
      </w:r>
      <w:r>
        <w:rPr>
          <w:spacing w:val="-89"/>
        </w:rPr>
        <w:t> </w:t>
      </w:r>
      <w:r>
        <w:rPr>
          <w:spacing w:val="-89"/>
        </w:rPr>
      </w:r>
      <w:r>
        <w:rPr/>
        <w:t>融资方式等多种因素的影响，存在较大不确定性。敬请投资者关注风险。</w:t>
      </w:r>
    </w:p>
    <w:p>
      <w:pPr>
        <w:spacing w:after="0" w:line="348" w:lineRule="auto"/>
        <w:jc w:val="both"/>
        <w:sectPr>
          <w:pgSz w:w="11910" w:h="16840"/>
          <w:pgMar w:header="850" w:footer="1012" w:top="1440" w:bottom="1200" w:left="1020" w:right="900"/>
        </w:sectPr>
      </w:pPr>
    </w:p>
    <w:p>
      <w:pPr>
        <w:spacing w:line="240" w:lineRule="auto" w:before="6"/>
        <w:rPr>
          <w:rFonts w:ascii="宋体" w:hAnsi="宋体" w:cs="宋体" w:eastAsia="宋体" w:hint="default"/>
          <w:sz w:val="19"/>
          <w:szCs w:val="19"/>
        </w:rPr>
      </w:pPr>
    </w:p>
    <w:p>
      <w:pPr>
        <w:pStyle w:val="Heading3"/>
        <w:spacing w:line="348" w:lineRule="auto"/>
        <w:ind w:left="232" w:right="224" w:firstLine="480"/>
        <w:jc w:val="left"/>
      </w:pPr>
      <w:r>
        <w:rPr>
          <w:rFonts w:ascii="Times New Roman" w:hAnsi="Times New Roman" w:cs="Times New Roman" w:eastAsia="Times New Roman" w:hint="default"/>
          <w:spacing w:val="-5"/>
        </w:rPr>
        <w:t>3</w:t>
      </w:r>
      <w:r>
        <w:rPr>
          <w:spacing w:val="-5"/>
        </w:rPr>
        <w:t>、资金使用：</w:t>
      </w:r>
      <w:r>
        <w:rPr>
          <w:rFonts w:ascii="Times New Roman" w:hAnsi="Times New Roman" w:cs="Times New Roman" w:eastAsia="Times New Roman" w:hint="default"/>
          <w:spacing w:val="-5"/>
        </w:rPr>
        <w:t>2016</w:t>
      </w:r>
      <w:r>
        <w:rPr>
          <w:spacing w:val="-5"/>
        </w:rPr>
        <w:t>年度预算新增资金需求中资本性需求主要应用于非公项目的投资建设，</w:t>
      </w:r>
      <w:r>
        <w:rPr/>
        <w:t> 经营性资金需求系公司销售规模增加所需的经营性资金占用，包括但不限应收账款、存货等</w:t>
      </w:r>
      <w:r>
        <w:rPr>
          <w:spacing w:val="-89"/>
        </w:rPr>
        <w:t> </w:t>
      </w:r>
      <w:r>
        <w:rPr>
          <w:spacing w:val="-89"/>
        </w:rPr>
      </w:r>
      <w:r>
        <w:rPr/>
        <w:t>占用。</w:t>
      </w:r>
    </w:p>
    <w:p>
      <w:pPr>
        <w:spacing w:line="240" w:lineRule="auto" w:before="0"/>
        <w:rPr>
          <w:rFonts w:ascii="宋体" w:hAnsi="宋体" w:cs="宋体" w:eastAsia="宋体" w:hint="default"/>
          <w:sz w:val="24"/>
          <w:szCs w:val="24"/>
        </w:rPr>
      </w:pPr>
    </w:p>
    <w:p>
      <w:pPr>
        <w:pStyle w:val="Heading2"/>
        <w:spacing w:line="240" w:lineRule="auto" w:before="200"/>
        <w:ind w:left="112" w:right="224"/>
        <w:jc w:val="left"/>
        <w:rPr>
          <w:b w:val="0"/>
          <w:bCs w:val="0"/>
        </w:rPr>
      </w:pPr>
      <w:r>
        <w:rPr/>
        <w:t>（五）风险因素</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line="338" w:lineRule="auto" w:before="0"/>
        <w:ind w:left="712" w:right="22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、行业政策性风险</w:t>
      </w:r>
      <w:r>
        <w:rPr>
          <w:rFonts w:ascii="宋体" w:hAnsi="宋体" w:cs="宋体" w:eastAsia="宋体" w:hint="default"/>
          <w:b/>
          <w:bCs/>
          <w:w w:val="99"/>
          <w:sz w:val="24"/>
          <w:szCs w:val="24"/>
        </w:rPr>
        <w:t> </w:t>
      </w:r>
      <w:r>
        <w:rPr>
          <w:rFonts w:ascii="宋体" w:hAnsi="宋体" w:cs="宋体" w:eastAsia="宋体" w:hint="default"/>
          <w:sz w:val="24"/>
          <w:szCs w:val="24"/>
        </w:rPr>
        <w:t>公司主要涉及电线电缆行业、新材料行业、电动汽车充电桩行业及光伏行业。各行业的</w:t>
      </w:r>
    </w:p>
    <w:p>
      <w:pPr>
        <w:pStyle w:val="Heading3"/>
        <w:spacing w:line="357" w:lineRule="auto" w:before="55"/>
        <w:ind w:left="232" w:right="216"/>
        <w:jc w:val="left"/>
      </w:pPr>
      <w:r>
        <w:rPr/>
        <w:t>发展受到国家宏观政策的较大影响。国务院、国家发改委等相关部门发布政策继续优化产业</w:t>
      </w:r>
      <w:r>
        <w:rPr>
          <w:spacing w:val="-89"/>
        </w:rPr>
        <w:t> </w:t>
      </w:r>
      <w:r>
        <w:rPr>
          <w:spacing w:val="-89"/>
        </w:rPr>
      </w:r>
      <w:r>
        <w:rPr>
          <w:spacing w:val="-2"/>
        </w:rPr>
        <w:t>结构，强力推进节能减排工作，加快发展低碳经济，大力发展新能源、智能电网、电动汽车、</w:t>
      </w:r>
      <w:r>
        <w:rPr>
          <w:spacing w:val="-117"/>
        </w:rPr>
        <w:t> </w:t>
      </w:r>
      <w:r>
        <w:rPr>
          <w:spacing w:val="-117"/>
        </w:rPr>
      </w:r>
      <w:r>
        <w:rPr/>
        <w:t>能源互联网等战略性新兴产业。国家政策为公司发展带来机遇，同时也带来一定的政策变动</w:t>
      </w:r>
      <w:r>
        <w:rPr>
          <w:spacing w:val="-89"/>
        </w:rPr>
        <w:t> </w:t>
      </w:r>
      <w:r>
        <w:rPr>
          <w:spacing w:val="-89"/>
        </w:rPr>
      </w:r>
      <w:r>
        <w:rPr/>
        <w:t>的风险。</w:t>
      </w:r>
    </w:p>
    <w:p>
      <w:pPr>
        <w:spacing w:line="338" w:lineRule="auto" w:before="36"/>
        <w:ind w:left="712" w:right="22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、原材料价格大幅波动带来的经营风险</w:t>
      </w:r>
      <w:r>
        <w:rPr>
          <w:rFonts w:ascii="宋体" w:hAnsi="宋体" w:cs="宋体" w:eastAsia="宋体" w:hint="default"/>
          <w:b/>
          <w:bCs/>
          <w:w w:val="99"/>
          <w:sz w:val="24"/>
          <w:szCs w:val="24"/>
        </w:rPr>
        <w:t> </w:t>
      </w:r>
      <w:r>
        <w:rPr>
          <w:rFonts w:ascii="宋体" w:hAnsi="宋体" w:cs="宋体" w:eastAsia="宋体" w:hint="default"/>
          <w:sz w:val="24"/>
          <w:szCs w:val="24"/>
        </w:rPr>
        <w:t>电线电缆的最主要原材料为铜材，公司与客户签订的销售合同通常为闭口合同，即在签</w:t>
      </w:r>
    </w:p>
    <w:p>
      <w:pPr>
        <w:pStyle w:val="Heading3"/>
        <w:spacing w:line="240" w:lineRule="auto" w:before="55"/>
        <w:ind w:left="232" w:right="224"/>
        <w:jc w:val="left"/>
      </w:pPr>
      <w:r>
        <w:rPr/>
        <w:t>订合同时便锁定销货价格，铜价格波动会直接影响到公司经营业绩。尽管公司通过定价机制</w:t>
      </w:r>
    </w:p>
    <w:p>
      <w:pPr>
        <w:pStyle w:val="Heading3"/>
        <w:spacing w:line="348" w:lineRule="auto" w:before="154"/>
        <w:ind w:left="232" w:right="104"/>
        <w:jc w:val="left"/>
      </w:pPr>
      <w:r>
        <w:rPr>
          <w:spacing w:val="-10"/>
          <w:w w:val="99"/>
        </w:rPr>
        <w:t>（依据当前铜价，通过公司</w:t>
      </w:r>
      <w:r>
        <w:rPr>
          <w:rFonts w:ascii="Times New Roman" w:hAnsi="Times New Roman" w:cs="Times New Roman" w:eastAsia="Times New Roman" w:hint="default"/>
          <w:spacing w:val="-10"/>
          <w:w w:val="99"/>
        </w:rPr>
        <w:t>ERP</w:t>
      </w:r>
      <w:r>
        <w:rPr>
          <w:spacing w:val="-10"/>
          <w:w w:val="99"/>
        </w:rPr>
        <w:t>系统快速调整对外报价）、锁铜（与铜材供应商签订远期合约）、</w:t>
      </w:r>
      <w:r>
        <w:rPr>
          <w:spacing w:val="-84"/>
          <w:w w:val="99"/>
        </w:rPr>
        <w:t> </w:t>
      </w:r>
      <w:r>
        <w:rPr>
          <w:spacing w:val="-84"/>
          <w:w w:val="99"/>
        </w:rPr>
      </w:r>
      <w:r>
        <w:rPr/>
        <w:t>套期保值、按订单生产等方式，有效地降低了铜价波动带来的经营风险；并且公司始终坚持</w:t>
      </w:r>
      <w:r>
        <w:rPr>
          <w:spacing w:val="-89"/>
        </w:rPr>
        <w:t> </w:t>
      </w:r>
      <w:r>
        <w:rPr>
          <w:spacing w:val="-89"/>
        </w:rPr>
      </w:r>
      <w:r>
        <w:rPr>
          <w:spacing w:val="-5"/>
        </w:rPr>
        <w:t>“获取经营利润、远离铜材投机”的原则，但是铜材价格大幅波动仍将对本公司产生不利影响。</w:t>
      </w:r>
    </w:p>
    <w:p>
      <w:pPr>
        <w:spacing w:line="338" w:lineRule="auto" w:before="46"/>
        <w:ind w:left="712" w:right="22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、应收账款余额较高带来的财务风险</w:t>
      </w:r>
      <w:r>
        <w:rPr>
          <w:rFonts w:ascii="宋体" w:hAnsi="宋体" w:cs="宋体" w:eastAsia="宋体" w:hint="default"/>
          <w:b/>
          <w:bCs/>
          <w:w w:val="99"/>
          <w:sz w:val="24"/>
          <w:szCs w:val="24"/>
        </w:rPr>
        <w:t> </w:t>
      </w:r>
      <w:r>
        <w:rPr>
          <w:rFonts w:ascii="宋体" w:hAnsi="宋体" w:cs="宋体" w:eastAsia="宋体" w:hint="default"/>
          <w:sz w:val="24"/>
          <w:szCs w:val="24"/>
        </w:rPr>
        <w:t>公司应收账款余额及占流动资产的比重较高。虽然客户的信用状况良好，公司历史产生</w:t>
      </w:r>
    </w:p>
    <w:p>
      <w:pPr>
        <w:pStyle w:val="Heading3"/>
        <w:spacing w:line="357" w:lineRule="auto" w:before="55"/>
        <w:ind w:left="232" w:right="352"/>
        <w:jc w:val="both"/>
      </w:pPr>
      <w:r>
        <w:rPr/>
        <w:t>的坏账较少，但一旦客户的财务状况恶化或信用状况发生重大变化，将对公司的生产经营及</w:t>
      </w:r>
      <w:r>
        <w:rPr>
          <w:spacing w:val="-89"/>
        </w:rPr>
        <w:t> </w:t>
      </w:r>
      <w:r>
        <w:rPr>
          <w:spacing w:val="-89"/>
        </w:rPr>
      </w:r>
      <w:r>
        <w:rPr/>
        <w:t>未来偿债能力产生不利影响。公司将采取有效措施以加强应收账款回收、控制应收账款金额</w:t>
      </w:r>
      <w:r>
        <w:rPr>
          <w:spacing w:val="-89"/>
        </w:rPr>
        <w:t> </w:t>
      </w:r>
      <w:r>
        <w:rPr>
          <w:spacing w:val="-89"/>
        </w:rPr>
      </w:r>
      <w:r>
        <w:rPr/>
        <w:t>及其增长速度。</w:t>
      </w:r>
    </w:p>
    <w:p>
      <w:pPr>
        <w:pStyle w:val="Heading3"/>
        <w:spacing w:line="338" w:lineRule="auto" w:before="36"/>
        <w:ind w:left="712" w:right="224"/>
        <w:jc w:val="left"/>
      </w:pPr>
      <w:r>
        <w:rPr>
          <w:rFonts w:ascii="Times New Roman" w:hAnsi="Times New Roman" w:cs="Times New Roman" w:eastAsia="Times New Roman" w:hint="default"/>
          <w:b/>
          <w:bCs/>
        </w:rPr>
        <w:t>4</w:t>
      </w:r>
      <w:r>
        <w:rPr>
          <w:rFonts w:ascii="宋体" w:hAnsi="宋体" w:cs="宋体" w:eastAsia="宋体" w:hint="default"/>
          <w:b/>
          <w:bCs/>
        </w:rPr>
        <w:t>、产品质量风险</w:t>
      </w:r>
      <w:r>
        <w:rPr>
          <w:rFonts w:ascii="宋体" w:hAnsi="宋体" w:cs="宋体" w:eastAsia="宋体" w:hint="default"/>
          <w:b/>
          <w:bCs/>
          <w:w w:val="99"/>
        </w:rPr>
        <w:t> </w:t>
      </w:r>
      <w:r>
        <w:rPr/>
        <w:t>公司主要产品为电力电缆产品，产品质量非常关键，一旦出现故障，有可能造成用户电</w:t>
      </w:r>
    </w:p>
    <w:p>
      <w:pPr>
        <w:pStyle w:val="Heading3"/>
        <w:spacing w:line="357" w:lineRule="auto" w:before="55"/>
        <w:ind w:left="232" w:right="352"/>
        <w:jc w:val="both"/>
      </w:pPr>
      <w:r>
        <w:rPr/>
        <w:t>力系统严重事故，甚至危及电网的安全，给公司信誉带来重大损害，影响公司生产经营。公</w:t>
      </w:r>
      <w:r>
        <w:rPr>
          <w:spacing w:val="-89"/>
        </w:rPr>
        <w:t> </w:t>
      </w:r>
      <w:r>
        <w:rPr>
          <w:spacing w:val="-89"/>
        </w:rPr>
      </w:r>
      <w:r>
        <w:rPr/>
        <w:t>司产品出厂后，如果下游用户在安装检验过程中发现质量问题，要求公司返工或退货，将会</w:t>
      </w:r>
      <w:r>
        <w:rPr>
          <w:spacing w:val="-89"/>
        </w:rPr>
        <w:t> </w:t>
      </w:r>
      <w:r>
        <w:rPr>
          <w:spacing w:val="-89"/>
        </w:rPr>
      </w:r>
      <w:r>
        <w:rPr/>
        <w:t>直接影响公司的经济效益。</w:t>
      </w:r>
    </w:p>
    <w:p>
      <w:pPr>
        <w:pStyle w:val="Heading3"/>
        <w:spacing w:line="240" w:lineRule="auto" w:before="36"/>
        <w:ind w:left="712" w:right="224"/>
        <w:jc w:val="left"/>
      </w:pPr>
      <w:r>
        <w:rPr/>
        <w:t>虽然公司自设立以来，从未发生任何影响客户电力运营的产品质量事故，也从未因产品</w:t>
      </w:r>
    </w:p>
    <w:p>
      <w:pPr>
        <w:spacing w:after="0" w:line="240" w:lineRule="auto"/>
        <w:jc w:val="left"/>
        <w:sectPr>
          <w:footerReference w:type="default" r:id="rId18"/>
          <w:pgSz w:w="11910" w:h="16840"/>
          <w:pgMar w:footer="1012" w:header="850" w:top="1440" w:bottom="1200" w:left="900" w:right="780"/>
          <w:pgNumType w:start="40"/>
        </w:sectPr>
      </w:pPr>
    </w:p>
    <w:p>
      <w:pPr>
        <w:spacing w:line="240" w:lineRule="auto" w:before="6"/>
        <w:rPr>
          <w:rFonts w:ascii="宋体" w:hAnsi="宋体" w:cs="宋体" w:eastAsia="宋体" w:hint="default"/>
          <w:sz w:val="19"/>
          <w:szCs w:val="19"/>
        </w:rPr>
      </w:pPr>
    </w:p>
    <w:p>
      <w:pPr>
        <w:pStyle w:val="Heading3"/>
        <w:spacing w:line="357" w:lineRule="auto"/>
        <w:ind w:left="132" w:right="104"/>
        <w:jc w:val="left"/>
      </w:pPr>
      <w:r>
        <w:rPr/>
        <w:t>质量问题与客户发生法律纠纷，但是如果公司产品出现质量缺陷，将会对公司生产经营产生</w:t>
      </w:r>
      <w:r>
        <w:rPr>
          <w:spacing w:val="-89"/>
        </w:rPr>
        <w:t> </w:t>
      </w:r>
      <w:r>
        <w:rPr>
          <w:spacing w:val="-89"/>
        </w:rPr>
      </w:r>
      <w:r>
        <w:rPr/>
        <w:t>不利影响。</w:t>
      </w:r>
    </w:p>
    <w:p>
      <w:pPr>
        <w:spacing w:line="240" w:lineRule="auto" w:before="9"/>
        <w:rPr>
          <w:rFonts w:ascii="宋体" w:hAnsi="宋体" w:cs="宋体" w:eastAsia="宋体" w:hint="default"/>
          <w:sz w:val="19"/>
          <w:szCs w:val="19"/>
        </w:rPr>
      </w:pPr>
    </w:p>
    <w:p>
      <w:pPr>
        <w:pStyle w:val="Heading2"/>
        <w:spacing w:line="240" w:lineRule="auto"/>
        <w:ind w:right="144"/>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65"/>
        <w:gridCol w:w="1290"/>
        <w:gridCol w:w="1035"/>
        <w:gridCol w:w="5579"/>
      </w:tblGrid>
      <w:tr>
        <w:trPr>
          <w:trHeight w:val="644" w:hRule="exact"/>
        </w:trPr>
        <w:tc>
          <w:tcPr>
            <w:tcW w:w="166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03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31" w:right="151"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557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634" w:hRule="exact"/>
        </w:trPr>
        <w:tc>
          <w:tcPr>
            <w:tcW w:w="16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79"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9"/>
              <w:ind w:left="103" w:right="145"/>
              <w:jc w:val="left"/>
              <w:rPr>
                <w:rFonts w:ascii="宋体" w:hAnsi="宋体" w:cs="宋体" w:eastAsia="宋体" w:hint="default"/>
                <w:sz w:val="18"/>
                <w:szCs w:val="18"/>
              </w:rPr>
            </w:pPr>
            <w:r>
              <w:rPr>
                <w:rFonts w:ascii="宋体" w:hAnsi="宋体" w:cs="宋体" w:eastAsia="宋体" w:hint="default"/>
                <w:sz w:val="18"/>
                <w:szCs w:val="18"/>
              </w:rPr>
              <w:t>就公司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年度报告中所涉及的线缆、新材料、新能源充电业务做 充分交流，并对公司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年的战略方向做阐述。</w:t>
            </w:r>
          </w:p>
        </w:tc>
      </w:tr>
      <w:tr>
        <w:trPr>
          <w:trHeight w:val="634" w:hRule="exact"/>
        </w:trPr>
        <w:tc>
          <w:tcPr>
            <w:tcW w:w="16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79"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9"/>
              <w:ind w:left="103" w:right="90"/>
              <w:jc w:val="left"/>
              <w:rPr>
                <w:rFonts w:ascii="宋体" w:hAnsi="宋体" w:cs="宋体" w:eastAsia="宋体" w:hint="default"/>
                <w:sz w:val="18"/>
                <w:szCs w:val="18"/>
              </w:rPr>
            </w:pPr>
            <w:r>
              <w:rPr>
                <w:rFonts w:ascii="宋体" w:hAnsi="宋体" w:cs="宋体" w:eastAsia="宋体" w:hint="default"/>
                <w:spacing w:val="-2"/>
                <w:sz w:val="18"/>
                <w:szCs w:val="18"/>
              </w:rPr>
              <w:t>公司对万马新能源及爱充网的背景、发展历程、近期的发展情况做详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细介绍，并就新能源汽车及相关宏观政策与大家广泛交流。</w:t>
            </w:r>
          </w:p>
        </w:tc>
      </w:tr>
      <w:tr>
        <w:trPr>
          <w:trHeight w:val="634" w:hRule="exact"/>
        </w:trPr>
        <w:tc>
          <w:tcPr>
            <w:tcW w:w="16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79"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1"/>
              <w:ind w:left="103" w:right="90"/>
              <w:jc w:val="left"/>
              <w:rPr>
                <w:rFonts w:ascii="宋体" w:hAnsi="宋体" w:cs="宋体" w:eastAsia="宋体" w:hint="default"/>
                <w:sz w:val="18"/>
                <w:szCs w:val="18"/>
              </w:rPr>
            </w:pPr>
            <w:r>
              <w:rPr>
                <w:rFonts w:ascii="宋体" w:hAnsi="宋体" w:cs="宋体" w:eastAsia="宋体" w:hint="default"/>
                <w:spacing w:val="-2"/>
                <w:sz w:val="18"/>
                <w:szCs w:val="18"/>
              </w:rPr>
              <w:t>公司就宏观经济形势、行业发展状态及公司上半年的主要经营策略与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投资者做交流。并对公司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年非公开发行预案作要点介绍。</w:t>
            </w:r>
          </w:p>
        </w:tc>
      </w:tr>
      <w:tr>
        <w:trPr>
          <w:trHeight w:val="634" w:hRule="exact"/>
        </w:trPr>
        <w:tc>
          <w:tcPr>
            <w:tcW w:w="16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董秘兼财务总监屠国良先生对公司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年第三季报告做解读，并对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年非公开发行预案进展情况做介绍。</w:t>
            </w:r>
          </w:p>
        </w:tc>
      </w:tr>
      <w:tr>
        <w:trPr>
          <w:trHeight w:val="956" w:hRule="exact"/>
        </w:trPr>
        <w:tc>
          <w:tcPr>
            <w:tcW w:w="166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79"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10"/>
              <w:ind w:left="103" w:right="90"/>
              <w:jc w:val="both"/>
              <w:rPr>
                <w:rFonts w:ascii="宋体" w:hAnsi="宋体" w:cs="宋体" w:eastAsia="宋体" w:hint="default"/>
                <w:sz w:val="18"/>
                <w:szCs w:val="18"/>
              </w:rPr>
            </w:pPr>
            <w:r>
              <w:rPr>
                <w:rFonts w:ascii="宋体" w:hAnsi="宋体" w:cs="宋体" w:eastAsia="宋体" w:hint="default"/>
                <w:spacing w:val="-2"/>
                <w:sz w:val="18"/>
                <w:szCs w:val="18"/>
              </w:rPr>
              <w:t>对公司在新能源汽车充电领域的“充电桩产品制造”、“充电网络运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营”、“充电网络建设投资”三块业务做详细的阐述。在交流的过程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中双方对行业趋势、公司的发展战略进行了简要的探讨</w:t>
            </w:r>
          </w:p>
        </w:tc>
      </w:tr>
    </w:tbl>
    <w:p>
      <w:pPr>
        <w:spacing w:after="0" w:line="316" w:lineRule="auto"/>
        <w:jc w:val="both"/>
        <w:rPr>
          <w:rFonts w:ascii="宋体" w:hAnsi="宋体" w:cs="宋体" w:eastAsia="宋体" w:hint="default"/>
          <w:sz w:val="18"/>
          <w:szCs w:val="18"/>
        </w:rPr>
        <w:sectPr>
          <w:pgSz w:w="11910" w:h="16840"/>
          <w:pgMar w:header="850" w:footer="1012" w:top="1440" w:bottom="120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391" w:right="3468"/>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04"/>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4"/>
          <w:szCs w:val="24"/>
        </w:rPr>
      </w:pPr>
    </w:p>
    <w:p>
      <w:pPr>
        <w:spacing w:before="0"/>
        <w:ind w:left="658"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、报告期内普通股利润分配政策，特别是现金分红政策的制定、执行或调整情况</w:t>
      </w:r>
      <w:r>
        <w:rPr>
          <w:rFonts w:ascii="宋体" w:hAnsi="宋体" w:cs="宋体" w:eastAsia="宋体" w:hint="default"/>
          <w:sz w:val="21"/>
          <w:szCs w:val="21"/>
        </w:rPr>
      </w:r>
    </w:p>
    <w:p>
      <w:pPr>
        <w:spacing w:before="87"/>
        <w:ind w:left="67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line="386" w:lineRule="auto" w:before="0"/>
        <w:ind w:left="132" w:right="209" w:firstLine="5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日，第三届董事会第二十五次会议审议通过了《关于修改公司章程的议案》。为</w:t>
      </w:r>
      <w:r>
        <w:rPr>
          <w:rFonts w:ascii="宋体" w:hAnsi="宋体" w:cs="宋体" w:eastAsia="宋体" w:hint="default"/>
          <w:w w:val="99"/>
          <w:sz w:val="21"/>
          <w:szCs w:val="21"/>
        </w:rPr>
        <w:t> </w:t>
      </w:r>
      <w:r>
        <w:rPr>
          <w:rFonts w:ascii="宋体" w:hAnsi="宋体" w:cs="宋体" w:eastAsia="宋体" w:hint="default"/>
          <w:w w:val="95"/>
          <w:sz w:val="21"/>
          <w:szCs w:val="21"/>
        </w:rPr>
        <w:t>进一步规范公司治理，有效保障中小投资者合法权益，根据《上市公司章程指引（</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年修订）》等相关</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规定，公司董事会对《公司章程》相应条款予以修订，对公司章程第</w:t>
      </w:r>
      <w:r>
        <w:rPr>
          <w:rFonts w:ascii="Times New Roman" w:hAnsi="Times New Roman" w:cs="Times New Roman" w:eastAsia="Times New Roman" w:hint="default"/>
          <w:w w:val="95"/>
          <w:sz w:val="21"/>
          <w:szCs w:val="21"/>
        </w:rPr>
        <w:t>159</w:t>
      </w:r>
      <w:r>
        <w:rPr>
          <w:rFonts w:ascii="宋体" w:hAnsi="宋体" w:cs="宋体" w:eastAsia="宋体" w:hint="default"/>
          <w:w w:val="95"/>
          <w:sz w:val="21"/>
          <w:szCs w:val="21"/>
        </w:rPr>
        <w:t>条进行了修订（详见</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15</w:t>
      </w:r>
      <w:r>
        <w:rPr>
          <w:rFonts w:ascii="Times New Roman" w:hAnsi="Times New Roman" w:cs="Times New Roman" w:eastAsia="Times New Roman" w:hint="default"/>
          <w:spacing w:val="44"/>
          <w:w w:val="95"/>
          <w:sz w:val="21"/>
          <w:szCs w:val="21"/>
        </w:rPr>
        <w:t> </w:t>
      </w:r>
      <w:r>
        <w:rPr>
          <w:rFonts w:ascii="Times New Roman" w:hAnsi="Times New Roman" w:cs="Times New Roman" w:eastAsia="Times New Roman" w:hint="default"/>
          <w:spacing w:val="44"/>
          <w:w w:val="95"/>
          <w:sz w:val="21"/>
          <w:szCs w:val="21"/>
        </w:rPr>
      </w:r>
      <w:r>
        <w:rPr>
          <w:rFonts w:ascii="宋体" w:hAnsi="宋体" w:cs="宋体" w:eastAsia="宋体" w:hint="default"/>
          <w:sz w:val="21"/>
          <w:szCs w:val="21"/>
        </w:rPr>
        <w:t>日巨潮资讯网公司公告《公司章程（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月）》。），提高了现金分红最低比例。</w:t>
      </w:r>
    </w:p>
    <w:p>
      <w:pPr>
        <w:spacing w:line="391" w:lineRule="auto" w:before="35"/>
        <w:ind w:left="132" w:right="104" w:firstLine="5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日，第三届董事会第三十二次会议审议通过《关于修订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的议案》，为</w:t>
      </w:r>
      <w:r>
        <w:rPr>
          <w:rFonts w:ascii="宋体" w:hAnsi="宋体" w:cs="宋体" w:eastAsia="宋体" w:hint="default"/>
          <w:w w:val="99"/>
          <w:sz w:val="21"/>
          <w:szCs w:val="21"/>
        </w:rPr>
        <w:t> </w:t>
      </w:r>
      <w:r>
        <w:rPr>
          <w:rFonts w:ascii="宋体" w:hAnsi="宋体" w:cs="宋体" w:eastAsia="宋体" w:hint="default"/>
          <w:sz w:val="21"/>
          <w:szCs w:val="21"/>
        </w:rPr>
        <w:t>进一步规范公司治理，有效保障中小投资者合法权益，根据《关于进一步落实上市公司现金分红有关事项</w:t>
      </w:r>
      <w:r>
        <w:rPr>
          <w:rFonts w:ascii="宋体" w:hAnsi="宋体" w:cs="宋体" w:eastAsia="宋体" w:hint="default"/>
          <w:w w:val="99"/>
          <w:sz w:val="21"/>
          <w:szCs w:val="21"/>
        </w:rPr>
        <w:t> </w:t>
      </w:r>
      <w:r>
        <w:rPr>
          <w:rFonts w:ascii="宋体" w:hAnsi="宋体" w:cs="宋体" w:eastAsia="宋体" w:hint="default"/>
          <w:spacing w:val="-11"/>
          <w:w w:val="99"/>
          <w:sz w:val="21"/>
          <w:szCs w:val="21"/>
        </w:rPr>
        <w:t>的通知》（证监发〔</w:t>
      </w:r>
      <w:r>
        <w:rPr>
          <w:rFonts w:ascii="Times New Roman" w:hAnsi="Times New Roman" w:cs="Times New Roman" w:eastAsia="Times New Roman" w:hint="default"/>
          <w:spacing w:val="-11"/>
          <w:w w:val="99"/>
          <w:sz w:val="21"/>
          <w:szCs w:val="21"/>
        </w:rPr>
        <w:t>2012</w:t>
      </w:r>
      <w:r>
        <w:rPr>
          <w:rFonts w:ascii="宋体" w:hAnsi="宋体" w:cs="宋体" w:eastAsia="宋体" w:hint="default"/>
          <w:spacing w:val="-11"/>
          <w:w w:val="99"/>
          <w:sz w:val="21"/>
          <w:szCs w:val="21"/>
        </w:rPr>
        <w:t>〕</w:t>
      </w:r>
      <w:r>
        <w:rPr>
          <w:rFonts w:ascii="Times New Roman" w:hAnsi="Times New Roman" w:cs="Times New Roman" w:eastAsia="Times New Roman" w:hint="default"/>
          <w:spacing w:val="-11"/>
          <w:w w:val="99"/>
          <w:sz w:val="21"/>
          <w:szCs w:val="21"/>
        </w:rPr>
        <w:t>37</w:t>
      </w:r>
      <w:r>
        <w:rPr>
          <w:rFonts w:ascii="Times New Roman" w:hAnsi="Times New Roman" w:cs="Times New Roman" w:eastAsia="Times New Roman" w:hint="default"/>
          <w:spacing w:val="11"/>
          <w:w w:val="99"/>
          <w:sz w:val="21"/>
          <w:szCs w:val="21"/>
        </w:rPr>
        <w:t> </w:t>
      </w:r>
      <w:r>
        <w:rPr>
          <w:rFonts w:ascii="宋体" w:hAnsi="宋体" w:cs="宋体" w:eastAsia="宋体" w:hint="default"/>
          <w:spacing w:val="-9"/>
          <w:w w:val="99"/>
          <w:sz w:val="21"/>
          <w:szCs w:val="21"/>
        </w:rPr>
        <w:t>号）、《上市公司监管指引第</w:t>
      </w:r>
      <w:r>
        <w:rPr>
          <w:rFonts w:ascii="Times New Roman" w:hAnsi="Times New Roman" w:cs="Times New Roman" w:eastAsia="Times New Roman" w:hint="default"/>
          <w:spacing w:val="-9"/>
          <w:w w:val="99"/>
          <w:sz w:val="21"/>
          <w:szCs w:val="21"/>
        </w:rPr>
        <w:t>3</w:t>
      </w:r>
      <w:r>
        <w:rPr>
          <w:rFonts w:ascii="Times New Roman" w:hAnsi="Times New Roman" w:cs="Times New Roman" w:eastAsia="Times New Roman" w:hint="default"/>
          <w:spacing w:val="13"/>
          <w:w w:val="99"/>
          <w:sz w:val="21"/>
          <w:szCs w:val="21"/>
        </w:rPr>
        <w:t> </w:t>
      </w:r>
      <w:r>
        <w:rPr>
          <w:rFonts w:ascii="宋体" w:hAnsi="宋体" w:cs="宋体" w:eastAsia="宋体" w:hint="default"/>
          <w:spacing w:val="-6"/>
          <w:w w:val="99"/>
          <w:sz w:val="21"/>
          <w:szCs w:val="21"/>
        </w:rPr>
        <w:t>号</w:t>
      </w:r>
      <w:r>
        <w:rPr>
          <w:rFonts w:ascii="Times New Roman" w:hAnsi="Times New Roman" w:cs="Times New Roman" w:eastAsia="Times New Roman" w:hint="default"/>
          <w:spacing w:val="-6"/>
          <w:w w:val="99"/>
          <w:sz w:val="21"/>
          <w:szCs w:val="21"/>
        </w:rPr>
        <w:t>—</w:t>
      </w:r>
      <w:r>
        <w:rPr>
          <w:rFonts w:ascii="宋体" w:hAnsi="宋体" w:cs="宋体" w:eastAsia="宋体" w:hint="default"/>
          <w:spacing w:val="-6"/>
          <w:w w:val="99"/>
          <w:sz w:val="21"/>
          <w:szCs w:val="21"/>
        </w:rPr>
        <w:t>上市公司现金分红》（证监会公告〔</w:t>
      </w:r>
      <w:r>
        <w:rPr>
          <w:rFonts w:ascii="Times New Roman" w:hAnsi="Times New Roman" w:cs="Times New Roman" w:eastAsia="Times New Roman" w:hint="default"/>
          <w:spacing w:val="-6"/>
          <w:w w:val="99"/>
          <w:sz w:val="21"/>
          <w:szCs w:val="21"/>
        </w:rPr>
        <w:t>2013</w:t>
      </w:r>
      <w:r>
        <w:rPr>
          <w:rFonts w:ascii="宋体" w:hAnsi="宋体" w:cs="宋体" w:eastAsia="宋体" w:hint="default"/>
          <w:spacing w:val="-6"/>
          <w:w w:val="99"/>
          <w:sz w:val="21"/>
          <w:szCs w:val="21"/>
        </w:rPr>
        <w:t>〕</w:t>
      </w:r>
      <w:r>
        <w:rPr>
          <w:rFonts w:ascii="宋体" w:hAnsi="宋体" w:cs="宋体" w:eastAsia="宋体" w:hint="default"/>
          <w:spacing w:val="-101"/>
          <w:w w:val="99"/>
          <w:sz w:val="21"/>
          <w:szCs w:val="21"/>
        </w:rPr>
        <w:t> </w:t>
      </w:r>
      <w:r>
        <w:rPr>
          <w:rFonts w:ascii="Times New Roman" w:hAnsi="Times New Roman" w:cs="Times New Roman" w:eastAsia="Times New Roman" w:hint="default"/>
          <w:sz w:val="21"/>
          <w:szCs w:val="21"/>
        </w:rPr>
        <w:t>43 </w:t>
      </w:r>
      <w:r>
        <w:rPr>
          <w:rFonts w:ascii="宋体" w:hAnsi="宋体" w:cs="宋体" w:eastAsia="宋体" w:hint="default"/>
          <w:spacing w:val="-4"/>
          <w:sz w:val="21"/>
          <w:szCs w:val="21"/>
        </w:rPr>
        <w:t>号）、《上市公司章程指引（</w:t>
      </w:r>
      <w:r>
        <w:rPr>
          <w:rFonts w:ascii="Times New Roman" w:hAnsi="Times New Roman" w:cs="Times New Roman" w:eastAsia="Times New Roman" w:hint="default"/>
          <w:spacing w:val="-4"/>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年修订）》的相关规定，对公司章程第</w:t>
      </w:r>
      <w:r>
        <w:rPr>
          <w:rFonts w:ascii="Times New Roman" w:hAnsi="Times New Roman" w:cs="Times New Roman" w:eastAsia="Times New Roman" w:hint="default"/>
          <w:sz w:val="21"/>
          <w:szCs w:val="21"/>
        </w:rPr>
        <w:t>159</w:t>
      </w:r>
      <w:r>
        <w:rPr>
          <w:rFonts w:ascii="宋体" w:hAnsi="宋体" w:cs="宋体" w:eastAsia="宋体" w:hint="default"/>
          <w:sz w:val="21"/>
          <w:szCs w:val="21"/>
        </w:rPr>
        <w:t>条进行了修订（详见</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日巨潮资讯网公司公告《公司章程（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7830"/>
        <w:gridCol w:w="1738"/>
      </w:tblGrid>
      <w:tr>
        <w:trPr>
          <w:trHeight w:val="412" w:hRule="exact"/>
        </w:trPr>
        <w:tc>
          <w:tcPr>
            <w:tcW w:w="9568" w:type="dxa"/>
            <w:gridSpan w:val="2"/>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8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8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8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8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83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783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17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6" w:lineRule="auto" w:before="52"/>
        <w:ind w:left="132" w:right="212" w:firstLine="0"/>
        <w:jc w:val="both"/>
        <w:rPr>
          <w:rFonts w:ascii="宋体" w:hAnsi="宋体" w:cs="宋体" w:eastAsia="宋体" w:hint="default"/>
          <w:sz w:val="18"/>
          <w:szCs w:val="18"/>
        </w:rPr>
      </w:pPr>
      <w:r>
        <w:rPr>
          <w:rFonts w:ascii="宋体" w:hAnsi="宋体" w:cs="宋体" w:eastAsia="宋体" w:hint="default"/>
          <w:spacing w:val="-2"/>
          <w:sz w:val="18"/>
          <w:szCs w:val="18"/>
        </w:rPr>
        <w:t>注：公司应当披露报告期内普通股利润分配政策，特别是现金分红政策的制定、执行或调整情况，说明利润分配政策是否符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合公司章程及审议程序的规定，是否充分保护中小投资者的合法权益，是否由独立董事发表意见，是否有明确的分红标准和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分红比例；以及利润分配政策调整或变更的条件和程序是否合规、透明。</w:t>
      </w:r>
    </w:p>
    <w:p>
      <w:pPr>
        <w:spacing w:line="240" w:lineRule="auto" w:before="0"/>
        <w:rPr>
          <w:rFonts w:ascii="宋体" w:hAnsi="宋体" w:cs="宋体" w:eastAsia="宋体" w:hint="default"/>
          <w:sz w:val="18"/>
          <w:szCs w:val="18"/>
        </w:rPr>
      </w:pPr>
    </w:p>
    <w:p>
      <w:pPr>
        <w:spacing w:line="256" w:lineRule="auto" w:before="149"/>
        <w:ind w:left="132" w:right="95"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、公司近</w:t>
      </w:r>
      <w:r>
        <w:rPr>
          <w:rFonts w:ascii="宋体" w:hAnsi="宋体" w:cs="宋体" w:eastAsia="宋体" w:hint="default"/>
          <w:b/>
          <w:bCs/>
          <w:spacing w:val="-84"/>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1"/>
          <w:sz w:val="21"/>
          <w:szCs w:val="21"/>
        </w:rPr>
        <w:t> </w:t>
      </w:r>
      <w:r>
        <w:rPr>
          <w:rFonts w:ascii="宋体" w:hAnsi="宋体" w:cs="宋体" w:eastAsia="宋体" w:hint="default"/>
          <w:b/>
          <w:bCs/>
          <w:sz w:val="21"/>
          <w:szCs w:val="21"/>
        </w:rPr>
        <w:t>年（包括本报告期）的普通股股利分配方案（预案）、资本公积金转增股本方案（预案）</w:t>
      </w:r>
      <w:r>
        <w:rPr>
          <w:rFonts w:ascii="宋体" w:hAnsi="宋体" w:cs="宋体" w:eastAsia="宋体" w:hint="default"/>
          <w:b/>
          <w:bCs/>
          <w:w w:val="99"/>
          <w:sz w:val="21"/>
          <w:szCs w:val="21"/>
        </w:rPr>
        <w:t> </w:t>
      </w:r>
      <w:r>
        <w:rPr>
          <w:rFonts w:ascii="宋体" w:hAnsi="宋体" w:cs="宋体" w:eastAsia="宋体" w:hint="default"/>
          <w:b/>
          <w:bCs/>
          <w:sz w:val="21"/>
          <w:szCs w:val="21"/>
        </w:rPr>
        <w:t>情况</w:t>
      </w:r>
      <w:r>
        <w:rPr>
          <w:rFonts w:ascii="宋体" w:hAnsi="宋体" w:cs="宋体" w:eastAsia="宋体" w:hint="default"/>
          <w:sz w:val="21"/>
          <w:szCs w:val="21"/>
        </w:rPr>
      </w:r>
    </w:p>
    <w:p>
      <w:pPr>
        <w:spacing w:line="386" w:lineRule="auto" w:before="140"/>
        <w:ind w:left="612"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年度利润分配预案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271,891,782.76</w:t>
      </w:r>
      <w:r>
        <w:rPr>
          <w:rFonts w:ascii="宋体" w:hAnsi="宋体" w:cs="宋体" w:eastAsia="宋体" w:hint="default"/>
          <w:sz w:val="21"/>
          <w:szCs w:val="21"/>
        </w:rPr>
        <w:t>元，</w:t>
      </w:r>
    </w:p>
    <w:p>
      <w:pPr>
        <w:spacing w:before="35"/>
        <w:ind w:left="132" w:right="0" w:firstLine="0"/>
        <w:jc w:val="both"/>
        <w:rPr>
          <w:rFonts w:ascii="宋体" w:hAnsi="宋体" w:cs="宋体" w:eastAsia="宋体" w:hint="default"/>
          <w:sz w:val="21"/>
          <w:szCs w:val="21"/>
        </w:rPr>
      </w:pPr>
      <w:r>
        <w:rPr>
          <w:rFonts w:ascii="宋体" w:hAnsi="宋体" w:cs="宋体" w:eastAsia="宋体" w:hint="default"/>
          <w:spacing w:val="19"/>
          <w:sz w:val="21"/>
          <w:szCs w:val="21"/>
        </w:rPr>
        <w:t>提取法定盈余公积</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24,840,357.53</w:t>
      </w:r>
      <w:r>
        <w:rPr>
          <w:rFonts w:ascii="Times New Roman" w:hAnsi="Times New Roman" w:cs="Times New Roman" w:eastAsia="Times New Roman" w:hint="default"/>
          <w:spacing w:val="-35"/>
          <w:sz w:val="21"/>
          <w:szCs w:val="21"/>
        </w:rPr>
        <w:t> </w:t>
      </w:r>
      <w:r>
        <w:rPr>
          <w:rFonts w:ascii="宋体" w:hAnsi="宋体" w:cs="宋体" w:eastAsia="宋体" w:hint="default"/>
          <w:spacing w:val="15"/>
          <w:sz w:val="21"/>
          <w:szCs w:val="21"/>
        </w:rPr>
        <w:t>元后，</w:t>
      </w:r>
      <w:r>
        <w:rPr>
          <w:rFonts w:ascii="宋体" w:hAnsi="宋体" w:cs="宋体" w:eastAsia="宋体" w:hint="default"/>
          <w:spacing w:val="-86"/>
          <w:sz w:val="21"/>
          <w:szCs w:val="21"/>
        </w:rPr>
        <w:t> </w:t>
      </w:r>
      <w:r>
        <w:rPr>
          <w:rFonts w:ascii="宋体" w:hAnsi="宋体" w:cs="宋体" w:eastAsia="宋体" w:hint="default"/>
          <w:spacing w:val="20"/>
          <w:sz w:val="21"/>
          <w:szCs w:val="21"/>
        </w:rPr>
        <w:t>加上上年结存未分配</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857,886,642.34</w:t>
      </w:r>
      <w:r>
        <w:rPr>
          <w:rFonts w:ascii="Times New Roman" w:hAnsi="Times New Roman" w:cs="Times New Roman" w:eastAsia="Times New Roman" w:hint="default"/>
          <w:spacing w:val="-35"/>
          <w:sz w:val="21"/>
          <w:szCs w:val="21"/>
        </w:rPr>
        <w:t> </w:t>
      </w:r>
      <w:r>
        <w:rPr>
          <w:rFonts w:ascii="宋体" w:hAnsi="宋体" w:cs="宋体" w:eastAsia="宋体" w:hint="default"/>
          <w:spacing w:val="11"/>
          <w:sz w:val="21"/>
          <w:szCs w:val="21"/>
        </w:rPr>
        <w:t>元，</w:t>
      </w:r>
      <w:r>
        <w:rPr>
          <w:rFonts w:ascii="宋体" w:hAnsi="宋体" w:cs="宋体" w:eastAsia="宋体" w:hint="default"/>
          <w:spacing w:val="-84"/>
          <w:sz w:val="21"/>
          <w:szCs w:val="21"/>
        </w:rPr>
        <w:t> </w:t>
      </w:r>
      <w:r>
        <w:rPr>
          <w:rFonts w:ascii="宋体" w:hAnsi="宋体" w:cs="宋体" w:eastAsia="宋体" w:hint="default"/>
          <w:spacing w:val="19"/>
          <w:sz w:val="21"/>
          <w:szCs w:val="21"/>
        </w:rPr>
        <w:t>减去上年股东分配</w:t>
      </w:r>
    </w:p>
    <w:p>
      <w:pPr>
        <w:spacing w:after="0"/>
        <w:jc w:val="both"/>
        <w:rPr>
          <w:rFonts w:ascii="宋体" w:hAnsi="宋体" w:cs="宋体" w:eastAsia="宋体" w:hint="default"/>
          <w:sz w:val="21"/>
          <w:szCs w:val="21"/>
        </w:rPr>
        <w:sectPr>
          <w:pgSz w:w="11910" w:h="16840"/>
          <w:pgMar w:header="850" w:footer="1012" w:top="1440" w:bottom="1200" w:left="1000" w:right="920"/>
        </w:sectPr>
      </w:pPr>
    </w:p>
    <w:p>
      <w:pPr>
        <w:spacing w:line="240" w:lineRule="auto" w:before="8"/>
        <w:rPr>
          <w:rFonts w:ascii="宋体" w:hAnsi="宋体" w:cs="宋体" w:eastAsia="宋体" w:hint="default"/>
          <w:sz w:val="20"/>
          <w:szCs w:val="20"/>
        </w:rPr>
      </w:pPr>
    </w:p>
    <w:p>
      <w:pPr>
        <w:spacing w:before="34"/>
        <w:ind w:left="13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46,966,274.40</w:t>
      </w:r>
      <w:r>
        <w:rPr>
          <w:rFonts w:ascii="宋体" w:hAnsi="宋体" w:cs="宋体" w:eastAsia="宋体" w:hint="default"/>
          <w:sz w:val="21"/>
          <w:szCs w:val="21"/>
        </w:rPr>
        <w:t>后，本年度可供投资者分配的利润为</w:t>
      </w:r>
      <w:r>
        <w:rPr>
          <w:rFonts w:ascii="Times New Roman" w:hAnsi="Times New Roman" w:cs="Times New Roman" w:eastAsia="Times New Roman" w:hint="default"/>
          <w:sz w:val="21"/>
          <w:szCs w:val="21"/>
        </w:rPr>
        <w:t>1,057,971,793.17</w:t>
      </w:r>
      <w:r>
        <w:rPr>
          <w:rFonts w:ascii="宋体" w:hAnsi="宋体" w:cs="宋体" w:eastAsia="宋体" w:hint="default"/>
          <w:sz w:val="21"/>
          <w:szCs w:val="21"/>
        </w:rPr>
        <w:t>元。</w:t>
      </w:r>
    </w:p>
    <w:p>
      <w:pPr>
        <w:spacing w:line="240" w:lineRule="auto" w:before="6"/>
        <w:rPr>
          <w:rFonts w:ascii="宋体" w:hAnsi="宋体" w:cs="宋体" w:eastAsia="宋体" w:hint="default"/>
          <w:sz w:val="16"/>
          <w:szCs w:val="16"/>
        </w:rPr>
      </w:pPr>
    </w:p>
    <w:p>
      <w:pPr>
        <w:spacing w:before="0"/>
        <w:ind w:left="552" w:right="104"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年度利润分配预案：以公司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日的总股本</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939,325,488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股为基数向全体股东</w:t>
      </w:r>
    </w:p>
    <w:p>
      <w:pPr>
        <w:spacing w:line="398" w:lineRule="auto" w:before="177"/>
        <w:ind w:left="132" w:right="207" w:firstLine="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股派发现金股利人民币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含税</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，合计派发现金红利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93,932,548.80</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元，其余未分配利润结转以后</w:t>
      </w:r>
      <w:r>
        <w:rPr>
          <w:rFonts w:ascii="宋体" w:hAnsi="宋体" w:cs="宋体" w:eastAsia="宋体" w:hint="default"/>
          <w:w w:val="99"/>
          <w:sz w:val="21"/>
          <w:szCs w:val="21"/>
        </w:rPr>
        <w:t> </w:t>
      </w:r>
      <w:r>
        <w:rPr>
          <w:rFonts w:ascii="宋体" w:hAnsi="宋体" w:cs="宋体" w:eastAsia="宋体" w:hint="default"/>
          <w:w w:val="95"/>
          <w:sz w:val="21"/>
          <w:szCs w:val="21"/>
        </w:rPr>
        <w:t>年度进行分配。公司本年度不派发股票股利和实施资本公积金转增资本。（若因股权激励涉及股份回购等</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原因，总股本在股利分配前发生变化的，按分配时实际总股本作为基数派发现金股利。）</w:t>
      </w:r>
    </w:p>
    <w:p>
      <w:pPr>
        <w:spacing w:line="386" w:lineRule="auto" w:before="95"/>
        <w:ind w:left="612"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235,406,336.63</w:t>
      </w:r>
      <w:r>
        <w:rPr>
          <w:rFonts w:ascii="宋体" w:hAnsi="宋体" w:cs="宋体" w:eastAsia="宋体" w:hint="default"/>
          <w:sz w:val="21"/>
          <w:szCs w:val="21"/>
        </w:rPr>
        <w:t>元，</w:t>
      </w:r>
    </w:p>
    <w:p>
      <w:pPr>
        <w:spacing w:line="386" w:lineRule="auto" w:before="35"/>
        <w:ind w:left="132" w:right="210" w:firstLine="0"/>
        <w:jc w:val="both"/>
        <w:rPr>
          <w:rFonts w:ascii="宋体" w:hAnsi="宋体" w:cs="宋体" w:eastAsia="宋体" w:hint="default"/>
          <w:sz w:val="21"/>
          <w:szCs w:val="21"/>
        </w:rPr>
      </w:pPr>
      <w:r>
        <w:rPr>
          <w:rFonts w:ascii="宋体" w:hAnsi="宋体" w:cs="宋体" w:eastAsia="宋体" w:hint="default"/>
          <w:spacing w:val="8"/>
          <w:sz w:val="21"/>
          <w:szCs w:val="21"/>
        </w:rPr>
        <w:t>提取法定盈余公积 </w:t>
      </w:r>
      <w:r>
        <w:rPr>
          <w:rFonts w:ascii="Times New Roman" w:hAnsi="Times New Roman" w:cs="Times New Roman" w:eastAsia="Times New Roman" w:hint="default"/>
          <w:spacing w:val="4"/>
          <w:sz w:val="21"/>
          <w:szCs w:val="21"/>
        </w:rPr>
        <w:t>20,831,921.41</w:t>
      </w:r>
      <w:r>
        <w:rPr>
          <w:rFonts w:ascii="宋体" w:hAnsi="宋体" w:cs="宋体" w:eastAsia="宋体" w:hint="default"/>
          <w:spacing w:val="4"/>
          <w:sz w:val="21"/>
          <w:szCs w:val="21"/>
        </w:rPr>
        <w:t>元后，加上上年结存未分配利润</w:t>
      </w:r>
      <w:r>
        <w:rPr>
          <w:rFonts w:ascii="Times New Roman" w:hAnsi="Times New Roman" w:cs="Times New Roman" w:eastAsia="Times New Roman" w:hint="default"/>
          <w:spacing w:val="4"/>
          <w:sz w:val="21"/>
          <w:szCs w:val="21"/>
        </w:rPr>
        <w:t>690,247,501.52</w:t>
      </w:r>
      <w:r>
        <w:rPr>
          <w:rFonts w:ascii="宋体" w:hAnsi="宋体" w:cs="宋体" w:eastAsia="宋体" w:hint="default"/>
          <w:spacing w:val="4"/>
          <w:sz w:val="21"/>
          <w:szCs w:val="21"/>
        </w:rPr>
        <w:t>元，减去上年股东分配</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46,935,274.40</w:t>
      </w:r>
      <w:r>
        <w:rPr>
          <w:rFonts w:ascii="宋体" w:hAnsi="宋体" w:cs="宋体" w:eastAsia="宋体" w:hint="default"/>
          <w:sz w:val="21"/>
          <w:szCs w:val="21"/>
        </w:rPr>
        <w:t>后，本年度可供投资者分配的利润为</w:t>
      </w:r>
      <w:r>
        <w:rPr>
          <w:rFonts w:ascii="Times New Roman" w:hAnsi="Times New Roman" w:cs="Times New Roman" w:eastAsia="Times New Roman" w:hint="default"/>
          <w:sz w:val="21"/>
          <w:szCs w:val="21"/>
        </w:rPr>
        <w:t>857,886,642,34</w:t>
      </w:r>
      <w:r>
        <w:rPr>
          <w:rFonts w:ascii="宋体" w:hAnsi="宋体" w:cs="宋体" w:eastAsia="宋体" w:hint="default"/>
          <w:sz w:val="21"/>
          <w:szCs w:val="21"/>
        </w:rPr>
        <w:t>元。</w:t>
      </w:r>
    </w:p>
    <w:p>
      <w:pPr>
        <w:spacing w:line="386" w:lineRule="auto" w:before="35"/>
        <w:ind w:left="132" w:right="104" w:firstLine="480"/>
        <w:jc w:val="left"/>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2014</w:t>
      </w:r>
      <w:r>
        <w:rPr>
          <w:rFonts w:ascii="宋体" w:hAnsi="宋体" w:cs="宋体" w:eastAsia="宋体" w:hint="default"/>
          <w:spacing w:val="-3"/>
          <w:w w:val="99"/>
          <w:sz w:val="21"/>
          <w:szCs w:val="21"/>
        </w:rPr>
        <w:t>年度利润分配方案为：以公司总股本</w:t>
      </w:r>
      <w:r>
        <w:rPr>
          <w:rFonts w:ascii="Times New Roman" w:hAnsi="Times New Roman" w:cs="Times New Roman" w:eastAsia="Times New Roman" w:hint="default"/>
          <w:spacing w:val="-3"/>
          <w:w w:val="99"/>
          <w:sz w:val="21"/>
          <w:szCs w:val="21"/>
        </w:rPr>
        <w:t>939,325,488</w:t>
      </w:r>
      <w:r>
        <w:rPr>
          <w:rFonts w:ascii="Times New Roman" w:hAnsi="Times New Roman" w:cs="Times New Roman" w:eastAsia="Times New Roman" w:hint="default"/>
          <w:w w:val="99"/>
          <w:sz w:val="21"/>
          <w:szCs w:val="21"/>
        </w:rPr>
        <w:t> </w:t>
      </w:r>
      <w:r>
        <w:rPr>
          <w:rFonts w:ascii="宋体" w:hAnsi="宋体" w:cs="宋体" w:eastAsia="宋体" w:hint="default"/>
          <w:spacing w:val="-8"/>
          <w:w w:val="99"/>
          <w:sz w:val="21"/>
          <w:szCs w:val="21"/>
        </w:rPr>
        <w:t>股为基数，向全体股东每</w:t>
      </w:r>
      <w:r>
        <w:rPr>
          <w:rFonts w:ascii="宋体" w:hAnsi="宋体" w:cs="宋体" w:eastAsia="宋体" w:hint="default"/>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34"/>
          <w:w w:val="99"/>
          <w:sz w:val="21"/>
          <w:szCs w:val="21"/>
        </w:rPr>
        <w:t> </w:t>
      </w:r>
      <w:r>
        <w:rPr>
          <w:rFonts w:ascii="宋体" w:hAnsi="宋体" w:cs="宋体" w:eastAsia="宋体" w:hint="default"/>
          <w:w w:val="99"/>
          <w:sz w:val="21"/>
          <w:szCs w:val="21"/>
        </w:rPr>
        <w:t>股派</w:t>
      </w:r>
      <w:r>
        <w:rPr>
          <w:rFonts w:ascii="Times New Roman" w:hAnsi="Times New Roman" w:cs="Times New Roman" w:eastAsia="Times New Roman" w:hint="default"/>
          <w:w w:val="99"/>
          <w:sz w:val="21"/>
          <w:szCs w:val="21"/>
        </w:rPr>
        <w:t>0.50</w:t>
      </w:r>
      <w:r>
        <w:rPr>
          <w:rFonts w:ascii="宋体" w:hAnsi="宋体" w:cs="宋体" w:eastAsia="宋体" w:hint="default"/>
          <w:w w:val="99"/>
          <w:sz w:val="21"/>
          <w:szCs w:val="21"/>
        </w:rPr>
        <w:t>元</w:t>
      </w:r>
      <w:r>
        <w:rPr>
          <w:rFonts w:ascii="Times New Roman" w:hAnsi="Times New Roman" w:cs="Times New Roman" w:eastAsia="Times New Roman" w:hint="default"/>
          <w:w w:val="99"/>
          <w:sz w:val="21"/>
          <w:szCs w:val="21"/>
        </w:rPr>
        <w:t>(</w:t>
      </w:r>
      <w:r>
        <w:rPr>
          <w:rFonts w:ascii="宋体" w:hAnsi="宋体" w:cs="宋体" w:eastAsia="宋体" w:hint="default"/>
          <w:w w:val="99"/>
          <w:sz w:val="21"/>
          <w:szCs w:val="21"/>
        </w:rPr>
        <w:t>含税</w:t>
      </w:r>
      <w:r>
        <w:rPr>
          <w:rFonts w:ascii="Times New Roman" w:hAnsi="Times New Roman" w:cs="Times New Roman" w:eastAsia="Times New Roman" w:hint="default"/>
          <w:w w:val="99"/>
          <w:sz w:val="21"/>
          <w:szCs w:val="21"/>
        </w:rPr>
        <w:t>)</w:t>
      </w:r>
      <w:r>
        <w:rPr>
          <w:rFonts w:ascii="宋体" w:hAnsi="宋体" w:cs="宋体" w:eastAsia="宋体" w:hint="default"/>
          <w:w w:val="99"/>
          <w:sz w:val="21"/>
          <w:szCs w:val="21"/>
        </w:rPr>
        <w:t>， </w:t>
      </w:r>
      <w:r>
        <w:rPr>
          <w:rFonts w:ascii="宋体" w:hAnsi="宋体" w:cs="宋体" w:eastAsia="宋体" w:hint="default"/>
          <w:sz w:val="21"/>
          <w:szCs w:val="21"/>
        </w:rPr>
        <w:t>合计派发现金红利</w:t>
      </w:r>
      <w:r>
        <w:rPr>
          <w:rFonts w:ascii="Times New Roman" w:hAnsi="Times New Roman" w:cs="Times New Roman" w:eastAsia="Times New Roman" w:hint="default"/>
          <w:sz w:val="21"/>
          <w:szCs w:val="21"/>
        </w:rPr>
        <w:t>46,981,774.40</w:t>
      </w:r>
      <w:r>
        <w:rPr>
          <w:rFonts w:ascii="宋体" w:hAnsi="宋体" w:cs="宋体" w:eastAsia="宋体" w:hint="default"/>
          <w:sz w:val="21"/>
          <w:szCs w:val="21"/>
        </w:rPr>
        <w:t>元，其余未分配利润结转下年。公司本年度不派发股票股利和实施资本公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积金转增股本。</w:t>
      </w:r>
    </w:p>
    <w:p>
      <w:pPr>
        <w:spacing w:line="386" w:lineRule="auto" w:before="65"/>
        <w:ind w:left="612"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220,017,013.67</w:t>
      </w:r>
      <w:r>
        <w:rPr>
          <w:rFonts w:ascii="宋体" w:hAnsi="宋体" w:cs="宋体" w:eastAsia="宋体" w:hint="default"/>
          <w:sz w:val="21"/>
          <w:szCs w:val="21"/>
        </w:rPr>
        <w:t>元，</w:t>
      </w:r>
    </w:p>
    <w:p>
      <w:pPr>
        <w:spacing w:line="386" w:lineRule="auto" w:before="35"/>
        <w:ind w:left="132" w:right="210" w:firstLine="0"/>
        <w:jc w:val="both"/>
        <w:rPr>
          <w:rFonts w:ascii="宋体" w:hAnsi="宋体" w:cs="宋体" w:eastAsia="宋体" w:hint="default"/>
          <w:sz w:val="21"/>
          <w:szCs w:val="21"/>
        </w:rPr>
      </w:pPr>
      <w:r>
        <w:rPr>
          <w:rFonts w:ascii="宋体" w:hAnsi="宋体" w:cs="宋体" w:eastAsia="宋体" w:hint="default"/>
          <w:spacing w:val="8"/>
          <w:sz w:val="21"/>
          <w:szCs w:val="21"/>
        </w:rPr>
        <w:t>提取法定盈余公积 </w:t>
      </w:r>
      <w:r>
        <w:rPr>
          <w:rFonts w:ascii="Times New Roman" w:hAnsi="Times New Roman" w:cs="Times New Roman" w:eastAsia="Times New Roman" w:hint="default"/>
          <w:spacing w:val="4"/>
          <w:sz w:val="21"/>
          <w:szCs w:val="21"/>
        </w:rPr>
        <w:t>22,001,701.37</w:t>
      </w:r>
      <w:r>
        <w:rPr>
          <w:rFonts w:ascii="宋体" w:hAnsi="宋体" w:cs="宋体" w:eastAsia="宋体" w:hint="default"/>
          <w:spacing w:val="4"/>
          <w:sz w:val="21"/>
          <w:szCs w:val="21"/>
        </w:rPr>
        <w:t>元后，加上上年结存未分配利润</w:t>
      </w:r>
      <w:r>
        <w:rPr>
          <w:rFonts w:ascii="Times New Roman" w:hAnsi="Times New Roman" w:cs="Times New Roman" w:eastAsia="Times New Roman" w:hint="default"/>
          <w:spacing w:val="4"/>
          <w:sz w:val="21"/>
          <w:szCs w:val="21"/>
        </w:rPr>
        <w:t>538,679,063.62</w:t>
      </w:r>
      <w:r>
        <w:rPr>
          <w:rFonts w:ascii="宋体" w:hAnsi="宋体" w:cs="宋体" w:eastAsia="宋体" w:hint="default"/>
          <w:spacing w:val="4"/>
          <w:sz w:val="21"/>
          <w:szCs w:val="21"/>
        </w:rPr>
        <w:t>元，减去上年股东分配</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46,446,874.40</w:t>
      </w:r>
      <w:r>
        <w:rPr>
          <w:rFonts w:ascii="宋体" w:hAnsi="宋体" w:cs="宋体" w:eastAsia="宋体" w:hint="default"/>
          <w:sz w:val="21"/>
          <w:szCs w:val="21"/>
        </w:rPr>
        <w:t>元后，本年度可供投资者分配的利润为</w:t>
      </w:r>
      <w:r>
        <w:rPr>
          <w:rFonts w:ascii="Times New Roman" w:hAnsi="Times New Roman" w:cs="Times New Roman" w:eastAsia="Times New Roman" w:hint="default"/>
          <w:sz w:val="21"/>
          <w:szCs w:val="21"/>
        </w:rPr>
        <w:t>690,247,501.52</w:t>
      </w:r>
      <w:r>
        <w:rPr>
          <w:rFonts w:ascii="宋体" w:hAnsi="宋体" w:cs="宋体" w:eastAsia="宋体" w:hint="default"/>
          <w:sz w:val="21"/>
          <w:szCs w:val="21"/>
        </w:rPr>
        <w:t>元。</w:t>
      </w:r>
    </w:p>
    <w:p>
      <w:pPr>
        <w:spacing w:line="386" w:lineRule="auto" w:before="35"/>
        <w:ind w:left="132" w:right="210"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年度利润分配方案为：以公司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日的总股本</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938,705,488</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w:t>
      </w:r>
      <w:r>
        <w:rPr>
          <w:rFonts w:ascii="宋体" w:hAnsi="宋体" w:cs="宋体" w:eastAsia="宋体" w:hint="default"/>
          <w:w w:val="99"/>
          <w:sz w:val="21"/>
          <w:szCs w:val="21"/>
        </w:rPr>
        <w:t> </w:t>
      </w:r>
      <w:r>
        <w:rPr>
          <w:rFonts w:ascii="宋体" w:hAnsi="宋体" w:cs="宋体" w:eastAsia="宋体" w:hint="default"/>
          <w:sz w:val="21"/>
          <w:szCs w:val="21"/>
        </w:rPr>
        <w:t>派发现金股利人民币</w:t>
      </w:r>
      <w:r>
        <w:rPr>
          <w:rFonts w:ascii="Times New Roman" w:hAnsi="Times New Roman" w:cs="Times New Roman" w:eastAsia="Times New Roman" w:hint="default"/>
          <w:sz w:val="21"/>
          <w:szCs w:val="21"/>
        </w:rPr>
        <w:t>0.5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，合计派发现金红利</w:t>
      </w:r>
      <w:r>
        <w:rPr>
          <w:rFonts w:ascii="Times New Roman" w:hAnsi="Times New Roman" w:cs="Times New Roman" w:eastAsia="Times New Roman" w:hint="default"/>
          <w:sz w:val="21"/>
          <w:szCs w:val="21"/>
        </w:rPr>
        <w:t>46,935,274.40</w:t>
      </w:r>
      <w:r>
        <w:rPr>
          <w:rFonts w:ascii="宋体" w:hAnsi="宋体" w:cs="宋体" w:eastAsia="宋体" w:hint="default"/>
          <w:sz w:val="21"/>
          <w:szCs w:val="21"/>
        </w:rPr>
        <w:t>元，其余未分配利润结转下年。公司本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年度不派发股票股利和实施资本公积金转增股本。</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0" w:footer="1012" w:top="1440" w:bottom="1200" w:left="1000" w:right="920"/>
        </w:sectPr>
      </w:pPr>
    </w:p>
    <w:p>
      <w:pPr>
        <w:spacing w:before="34"/>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、公司近三年（包括本报告期）普通股现金分红情况表</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3"/>
          <w:szCs w:val="13"/>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40" w:bottom="280" w:left="1000" w:right="920"/>
          <w:cols w:num="2" w:equalWidth="0">
            <w:col w:w="5296" w:space="3623"/>
            <w:col w:w="1071"/>
          </w:cols>
        </w:sectPr>
      </w:pP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69" w:hRule="exact"/>
        </w:trPr>
        <w:tc>
          <w:tcPr>
            <w:tcW w:w="1596" w:type="dxa"/>
            <w:tcBorders>
              <w:top w:val="single" w:sz="12" w:space="0" w:color="000000"/>
              <w:left w:val="single" w:sz="12" w:space="0" w:color="000000"/>
              <w:bottom w:val="nil" w:sz="6" w:space="0" w:color="auto"/>
              <w:right w:val="single" w:sz="4" w:space="0" w:color="000000"/>
            </w:tcBorders>
            <w:shd w:val="clear" w:color="auto" w:fill="D3D3D3"/>
          </w:tcPr>
          <w:p>
            <w:pPr/>
          </w:p>
        </w:tc>
        <w:tc>
          <w:tcPr>
            <w:tcW w:w="1594" w:type="dxa"/>
            <w:tcBorders>
              <w:top w:val="single" w:sz="12"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12"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161" w:right="0"/>
              <w:jc w:val="left"/>
              <w:rPr>
                <w:rFonts w:ascii="宋体" w:hAnsi="宋体" w:cs="宋体" w:eastAsia="宋体" w:hint="default"/>
                <w:sz w:val="18"/>
                <w:szCs w:val="18"/>
              </w:rPr>
            </w:pPr>
            <w:r>
              <w:rPr>
                <w:rFonts w:ascii="宋体" w:hAnsi="宋体" w:cs="宋体" w:eastAsia="宋体" w:hint="default"/>
                <w:sz w:val="18"/>
                <w:szCs w:val="18"/>
              </w:rPr>
              <w:t>分红年度合并报</w:t>
            </w:r>
          </w:p>
        </w:tc>
        <w:tc>
          <w:tcPr>
            <w:tcW w:w="1594" w:type="dxa"/>
            <w:tcBorders>
              <w:top w:val="single" w:sz="12"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161" w:right="0"/>
              <w:jc w:val="left"/>
              <w:rPr>
                <w:rFonts w:ascii="宋体" w:hAnsi="宋体" w:cs="宋体" w:eastAsia="宋体" w:hint="default"/>
                <w:sz w:val="18"/>
                <w:szCs w:val="18"/>
              </w:rPr>
            </w:pPr>
            <w:r>
              <w:rPr>
                <w:rFonts w:ascii="宋体" w:hAnsi="宋体" w:cs="宋体" w:eastAsia="宋体" w:hint="default"/>
                <w:sz w:val="18"/>
                <w:szCs w:val="18"/>
              </w:rPr>
              <w:t>占合并报表中归</w:t>
            </w:r>
          </w:p>
        </w:tc>
        <w:tc>
          <w:tcPr>
            <w:tcW w:w="1594" w:type="dxa"/>
            <w:tcBorders>
              <w:top w:val="single" w:sz="12"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12" w:space="0" w:color="000000"/>
              <w:left w:val="single" w:sz="4" w:space="0" w:color="000000"/>
              <w:bottom w:val="nil" w:sz="6" w:space="0" w:color="auto"/>
              <w:right w:val="single" w:sz="12" w:space="0" w:color="000000"/>
            </w:tcBorders>
            <w:shd w:val="clear" w:color="auto" w:fill="D3D3D3"/>
          </w:tcPr>
          <w:p>
            <w:pPr/>
          </w:p>
        </w:tc>
      </w:tr>
      <w:tr>
        <w:trPr>
          <w:trHeight w:val="624" w:hRule="exact"/>
        </w:trPr>
        <w:tc>
          <w:tcPr>
            <w:tcW w:w="1596"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13" w:right="100" w:hanging="512"/>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表中归属于上市 公司普通股股东</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属于上市公司普 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15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4" w:type="dxa"/>
            <w:tcBorders>
              <w:top w:val="nil" w:sz="6" w:space="0" w:color="auto"/>
              <w:left w:val="single" w:sz="4" w:space="0" w:color="000000"/>
              <w:bottom w:val="nil" w:sz="6" w:space="0" w:color="auto"/>
              <w:right w:val="single" w:sz="12" w:space="0" w:color="000000"/>
            </w:tcBorders>
            <w:shd w:val="clear" w:color="auto" w:fill="D3D3D3"/>
          </w:tcPr>
          <w:p>
            <w:pPr>
              <w:pStyle w:val="TableParagraph"/>
              <w:spacing w:line="316" w:lineRule="auto" w:before="10"/>
              <w:ind w:left="342" w:right="15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55" w:hRule="exact"/>
        </w:trPr>
        <w:tc>
          <w:tcPr>
            <w:tcW w:w="1596" w:type="dxa"/>
            <w:tcBorders>
              <w:top w:val="nil" w:sz="6" w:space="0" w:color="auto"/>
              <w:left w:val="single" w:sz="12"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润的比率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12" w:space="0" w:color="000000"/>
            </w:tcBorders>
            <w:shd w:val="clear" w:color="auto" w:fill="D3D3D3"/>
          </w:tcPr>
          <w:p>
            <w:pPr/>
          </w:p>
        </w:tc>
      </w:tr>
      <w:tr>
        <w:trPr>
          <w:trHeight w:val="402" w:hRule="exact"/>
        </w:trPr>
        <w:tc>
          <w:tcPr>
            <w:tcW w:w="159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93,932,548.80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271,891,782.76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9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46,981,774.40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235,406,336.63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596"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46,935,274.40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220,017,013.67</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21.33%</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12" w:space="0" w:color="000000"/>
              <w:right w:val="single" w:sz="12" w:space="0" w:color="000000"/>
            </w:tcBorders>
          </w:tcPr>
          <w:p>
            <w:pP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440" w:bottom="280" w:left="1000" w:right="920"/>
        </w:sectPr>
      </w:pPr>
    </w:p>
    <w:p>
      <w:pPr>
        <w:spacing w:line="240" w:lineRule="auto" w:before="5"/>
        <w:rPr>
          <w:rFonts w:ascii="宋体" w:hAnsi="宋体" w:cs="宋体" w:eastAsia="宋体" w:hint="default"/>
          <w:sz w:val="13"/>
          <w:szCs w:val="13"/>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795"/>
        <w:gridCol w:w="5773"/>
      </w:tblGrid>
      <w:tr>
        <w:trPr>
          <w:trHeight w:val="412" w:hRule="exact"/>
        </w:trPr>
        <w:tc>
          <w:tcPr>
            <w:tcW w:w="379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9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939,325,488</w:t>
            </w:r>
          </w:p>
        </w:tc>
      </w:tr>
      <w:tr>
        <w:trPr>
          <w:trHeight w:val="402" w:hRule="exact"/>
        </w:trPr>
        <w:tc>
          <w:tcPr>
            <w:tcW w:w="379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93,932,548.80</w:t>
            </w:r>
          </w:p>
        </w:tc>
      </w:tr>
      <w:tr>
        <w:trPr>
          <w:trHeight w:val="402" w:hRule="exact"/>
        </w:trPr>
        <w:tc>
          <w:tcPr>
            <w:tcW w:w="379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1,057,971,793.17</w:t>
            </w:r>
          </w:p>
        </w:tc>
      </w:tr>
      <w:tr>
        <w:trPr>
          <w:trHeight w:val="402" w:hRule="exact"/>
        </w:trPr>
        <w:tc>
          <w:tcPr>
            <w:tcW w:w="379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12" w:space="0" w:color="000000"/>
              <w:bottom w:val="single" w:sz="4" w:space="0" w:color="000000"/>
              <w:right w:val="single" w:sz="12" w:space="0" w:color="000000"/>
            </w:tcBorders>
          </w:tcPr>
          <w:p>
            <w:pPr>
              <w:pStyle w:val="TableParagraph"/>
              <w:spacing w:line="316" w:lineRule="auto" w:before="50"/>
              <w:ind w:left="92" w:right="92" w:firstLine="36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48" w:hRule="exact"/>
        </w:trPr>
        <w:tc>
          <w:tcPr>
            <w:tcW w:w="9568"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307" w:lineRule="auto" w:before="50"/>
              <w:ind w:left="92" w:right="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939,325,488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 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93,932,548.80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元，其余未分配利润结转以后年度进行分配。公司本年度不派发 股票股利和实施资本公积金转增股本。（若因股权激励涉及股份回购等原因，总股本在股利分配前发生变化的，按分配 时实际总股本作为基数派发现金股利。）</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7"/>
        <w:rPr>
          <w:rFonts w:ascii="宋体" w:hAnsi="宋体" w:cs="宋体" w:eastAsia="宋体" w:hint="default"/>
          <w:b/>
          <w:bCs/>
          <w:sz w:val="24"/>
          <w:szCs w:val="24"/>
        </w:rPr>
      </w:pPr>
    </w:p>
    <w:p>
      <w:pPr>
        <w:spacing w:line="259" w:lineRule="auto"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95"/>
          <w:sz w:val="21"/>
          <w:szCs w:val="21"/>
        </w:rPr>
        <w:t>1</w:t>
      </w:r>
      <w:r>
        <w:rPr>
          <w:rFonts w:ascii="宋体" w:hAnsi="宋体" w:cs="宋体" w:eastAsia="宋体" w:hint="default"/>
          <w:b/>
          <w:bCs/>
          <w:spacing w:val="3"/>
          <w:w w:val="95"/>
          <w:sz w:val="21"/>
          <w:szCs w:val="21"/>
        </w:rPr>
        <w:t>、公司、股东、实际控制人、收购人、董事、监事、高级管理人员或其他关联方在报告期内履行完毕及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15"/>
        <w:gridCol w:w="1410"/>
        <w:gridCol w:w="1080"/>
        <w:gridCol w:w="2208"/>
        <w:gridCol w:w="1126"/>
        <w:gridCol w:w="1121"/>
        <w:gridCol w:w="1107"/>
      </w:tblGrid>
      <w:tr>
        <w:trPr>
          <w:trHeight w:val="412" w:hRule="exact"/>
        </w:trPr>
        <w:tc>
          <w:tcPr>
            <w:tcW w:w="151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0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0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51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51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92" w:right="141"/>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4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515" w:type="dxa"/>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92" w:right="141"/>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0"/>
              <w:jc w:val="center"/>
              <w:rPr>
                <w:rFonts w:ascii="宋体" w:hAnsi="宋体" w:cs="宋体" w:eastAsia="宋体" w:hint="default"/>
                <w:sz w:val="18"/>
                <w:szCs w:val="18"/>
              </w:rPr>
            </w:pPr>
            <w:r>
              <w:rPr>
                <w:rFonts w:ascii="宋体" w:hAnsi="宋体" w:cs="宋体" w:eastAsia="宋体" w:hint="default"/>
                <w:sz w:val="18"/>
                <w:szCs w:val="18"/>
              </w:rPr>
              <w:t>电气电缆集团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45"/>
              <w:jc w:val="both"/>
              <w:rPr>
                <w:rFonts w:ascii="宋体" w:hAnsi="宋体" w:cs="宋体" w:eastAsia="宋体" w:hint="default"/>
                <w:sz w:val="18"/>
                <w:szCs w:val="18"/>
              </w:rPr>
            </w:pPr>
            <w:r>
              <w:rPr>
                <w:rFonts w:ascii="宋体" w:hAnsi="宋体" w:cs="宋体" w:eastAsia="宋体" w:hint="default"/>
                <w:sz w:val="18"/>
                <w:szCs w:val="18"/>
              </w:rPr>
              <w:t>规范关联 交易的承 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3"/>
              <w:jc w:val="both"/>
              <w:rPr>
                <w:rFonts w:ascii="宋体" w:hAnsi="宋体" w:cs="宋体" w:eastAsia="宋体" w:hint="default"/>
                <w:sz w:val="18"/>
                <w:szCs w:val="18"/>
              </w:rPr>
            </w:pPr>
            <w:r>
              <w:rPr>
                <w:rFonts w:ascii="宋体" w:hAnsi="宋体" w:cs="宋体" w:eastAsia="宋体" w:hint="default"/>
                <w:sz w:val="18"/>
                <w:szCs w:val="18"/>
              </w:rPr>
              <w:t>《关于规范与浙江万马电 缆股份有限公司关联交易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1026" w:hRule="exact"/>
        </w:trPr>
        <w:tc>
          <w:tcPr>
            <w:tcW w:w="1515" w:type="dxa"/>
            <w:vMerge/>
            <w:tcBorders>
              <w:left w:val="single" w:sz="12" w:space="0" w:color="000000"/>
              <w:right w:val="single" w:sz="4" w:space="0" w:color="000000"/>
            </w:tcBorders>
            <w:shd w:val="clear" w:color="auto" w:fill="D3D3D3"/>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10"/>
              <w:jc w:val="center"/>
              <w:rPr>
                <w:rFonts w:ascii="宋体" w:hAnsi="宋体" w:cs="宋体" w:eastAsia="宋体" w:hint="default"/>
                <w:sz w:val="18"/>
                <w:szCs w:val="18"/>
              </w:rPr>
            </w:pPr>
            <w:r>
              <w:rPr>
                <w:rFonts w:ascii="宋体" w:hAnsi="宋体" w:cs="宋体" w:eastAsia="宋体" w:hint="default"/>
                <w:sz w:val="18"/>
                <w:szCs w:val="18"/>
              </w:rPr>
              <w:t>电气电缆集团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45"/>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13"/>
              <w:jc w:val="both"/>
              <w:rPr>
                <w:rFonts w:ascii="宋体" w:hAnsi="宋体" w:cs="宋体" w:eastAsia="宋体" w:hint="default"/>
                <w:sz w:val="18"/>
                <w:szCs w:val="18"/>
              </w:rPr>
            </w:pPr>
            <w:r>
              <w:rPr>
                <w:rFonts w:ascii="宋体" w:hAnsi="宋体" w:cs="宋体" w:eastAsia="宋体" w:hint="default"/>
                <w:sz w:val="18"/>
                <w:szCs w:val="18"/>
              </w:rPr>
              <w:t>《关于避免与浙江万马电 缆股份有限公司同业竞争 的声明与承诺函》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712" w:hRule="exact"/>
        </w:trPr>
        <w:tc>
          <w:tcPr>
            <w:tcW w:w="1515" w:type="dxa"/>
            <w:vMerge/>
            <w:tcBorders>
              <w:left w:val="single" w:sz="12" w:space="0" w:color="000000"/>
              <w:bottom w:val="single" w:sz="4" w:space="0" w:color="000000"/>
              <w:right w:val="single" w:sz="4" w:space="0" w:color="000000"/>
            </w:tcBorders>
            <w:shd w:val="clear" w:color="auto" w:fill="D3D3D3"/>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电气电缆集团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245"/>
              <w:jc w:val="left"/>
              <w:rPr>
                <w:rFonts w:ascii="宋体" w:hAnsi="宋体" w:cs="宋体" w:eastAsia="宋体" w:hint="default"/>
                <w:sz w:val="18"/>
                <w:szCs w:val="18"/>
              </w:rPr>
            </w:pPr>
            <w:r>
              <w:rPr>
                <w:rFonts w:ascii="宋体" w:hAnsi="宋体" w:cs="宋体" w:eastAsia="宋体" w:hint="default"/>
                <w:sz w:val="18"/>
                <w:szCs w:val="18"/>
              </w:rPr>
              <w:t>保障上市 公司独立</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113"/>
              <w:jc w:val="left"/>
              <w:rPr>
                <w:rFonts w:ascii="宋体" w:hAnsi="宋体" w:cs="宋体" w:eastAsia="宋体" w:hint="default"/>
                <w:sz w:val="18"/>
                <w:szCs w:val="18"/>
              </w:rPr>
            </w:pPr>
            <w:r>
              <w:rPr>
                <w:rFonts w:ascii="宋体" w:hAnsi="宋体" w:cs="宋体" w:eastAsia="宋体" w:hint="default"/>
                <w:sz w:val="18"/>
                <w:szCs w:val="18"/>
              </w:rPr>
              <w:t>《关于保障浙江万马电缆 股份有限公司独立性的承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0"/>
              <w:ind w:left="101" w:right="263"/>
              <w:jc w:val="left"/>
              <w:rPr>
                <w:rFonts w:ascii="宋体" w:hAnsi="宋体" w:cs="宋体" w:eastAsia="宋体" w:hint="default"/>
                <w:sz w:val="18"/>
                <w:szCs w:val="18"/>
              </w:rPr>
            </w:pPr>
            <w:r>
              <w:rPr>
                <w:rFonts w:ascii="宋体" w:hAnsi="宋体" w:cs="宋体" w:eastAsia="宋体" w:hint="default"/>
                <w:sz w:val="18"/>
                <w:szCs w:val="18"/>
              </w:rPr>
              <w:t>严格履行 承诺</w:t>
            </w:r>
          </w:p>
        </w:tc>
      </w:tr>
    </w:tbl>
    <w:p>
      <w:pPr>
        <w:spacing w:after="0" w:line="316" w:lineRule="auto"/>
        <w:jc w:val="left"/>
        <w:rPr>
          <w:rFonts w:ascii="宋体" w:hAnsi="宋体" w:cs="宋体" w:eastAsia="宋体" w:hint="default"/>
          <w:sz w:val="18"/>
          <w:szCs w:val="18"/>
        </w:rPr>
        <w:sectPr>
          <w:pgSz w:w="11910" w:h="16840"/>
          <w:pgMar w:header="850" w:footer="1012" w:top="1440" w:bottom="1200" w:left="1000" w:right="98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515"/>
        <w:gridCol w:w="1410"/>
        <w:gridCol w:w="1080"/>
        <w:gridCol w:w="2208"/>
        <w:gridCol w:w="1126"/>
        <w:gridCol w:w="1121"/>
        <w:gridCol w:w="1107"/>
      </w:tblGrid>
      <w:tr>
        <w:trPr>
          <w:trHeight w:val="362" w:hRule="exact"/>
        </w:trPr>
        <w:tc>
          <w:tcPr>
            <w:tcW w:w="1515" w:type="dxa"/>
            <w:vMerge w:val="restart"/>
            <w:tcBorders>
              <w:top w:val="single" w:sz="4" w:space="0" w:color="000000"/>
              <w:left w:val="single" w:sz="12" w:space="0" w:color="000000"/>
              <w:right w:val="single" w:sz="4" w:space="0" w:color="000000"/>
            </w:tcBorders>
            <w:shd w:val="clear" w:color="auto" w:fill="D3D3D3"/>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性的承诺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515" w:type="dxa"/>
            <w:vMerge/>
            <w:tcBorders>
              <w:left w:val="single" w:sz="12" w:space="0" w:color="000000"/>
              <w:bottom w:val="single" w:sz="4" w:space="0" w:color="000000"/>
              <w:right w:val="single" w:sz="4" w:space="0" w:color="000000"/>
            </w:tcBorders>
            <w:shd w:val="clear" w:color="auto" w:fill="D3D3D3"/>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锁股承诺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重组发行新股</w:t>
            </w:r>
            <w:r>
              <w:rPr>
                <w:rFonts w:ascii="Times New Roman" w:hAnsi="Times New Roman" w:cs="Times New Roman" w:eastAsia="Times New Roman" w:hint="default"/>
                <w:sz w:val="18"/>
                <w:szCs w:val="18"/>
              </w:rPr>
              <w:t>,</w:t>
            </w:r>
            <w:r>
              <w:rPr>
                <w:rFonts w:ascii="宋体" w:hAnsi="宋体" w:cs="宋体" w:eastAsia="宋体" w:hint="default"/>
                <w:sz w:val="18"/>
                <w:szCs w:val="18"/>
              </w:rPr>
              <w:t>承诺锁定</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2012-11-6</w:t>
            </w:r>
          </w:p>
          <w:p>
            <w:pPr>
              <w:pStyle w:val="TableParagraph"/>
              <w:spacing w:line="240" w:lineRule="auto" w:before="65"/>
              <w:ind w:left="10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102" w:right="0"/>
              <w:jc w:val="left"/>
              <w:rPr>
                <w:rFonts w:ascii="Times New Roman" w:hAnsi="Times New Roman" w:cs="Times New Roman" w:eastAsia="Times New Roman" w:hint="default"/>
                <w:sz w:val="18"/>
                <w:szCs w:val="18"/>
              </w:rPr>
            </w:pPr>
            <w:r>
              <w:rPr>
                <w:rFonts w:ascii="Times New Roman"/>
                <w:sz w:val="18"/>
              </w:rPr>
              <w:t>2015-11-6</w:t>
            </w:r>
          </w:p>
        </w:tc>
        <w:tc>
          <w:tcPr>
            <w:tcW w:w="11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10" w:hRule="exact"/>
        </w:trPr>
        <w:tc>
          <w:tcPr>
            <w:tcW w:w="151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92" w:right="141"/>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3" w:right="34"/>
              <w:jc w:val="left"/>
              <w:rPr>
                <w:rFonts w:ascii="宋体" w:hAnsi="宋体" w:cs="宋体" w:eastAsia="宋体" w:hint="default"/>
                <w:sz w:val="18"/>
                <w:szCs w:val="18"/>
              </w:rPr>
            </w:pPr>
            <w:r>
              <w:rPr>
                <w:rFonts w:ascii="宋体" w:hAnsi="宋体" w:cs="宋体" w:eastAsia="宋体" w:hint="default"/>
                <w:sz w:val="18"/>
                <w:szCs w:val="18"/>
              </w:rPr>
              <w:t>电气电缆集团、 实际控制人张 德生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2" w:right="245"/>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3"/>
              <w:jc w:val="left"/>
              <w:rPr>
                <w:rFonts w:ascii="宋体" w:hAnsi="宋体" w:cs="宋体" w:eastAsia="宋体" w:hint="default"/>
                <w:sz w:val="18"/>
                <w:szCs w:val="18"/>
              </w:rPr>
            </w:pPr>
            <w:r>
              <w:rPr>
                <w:rFonts w:ascii="宋体" w:hAnsi="宋体" w:cs="宋体" w:eastAsia="宋体" w:hint="default"/>
                <w:sz w:val="18"/>
                <w:szCs w:val="18"/>
              </w:rPr>
              <w:t>本公司、本人及本公司、 本人控制的其他企业目前 没有、将来也不直接或间 接从事与万马电缆及其控 股子公司现有及将来从事 的业务构成同业竞争的任 何活动，并愿意对违反上 述承诺而给万马电缆造成 的经济损失承担赔偿责 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1" w:right="263"/>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402" w:hRule="exact"/>
        </w:trPr>
        <w:tc>
          <w:tcPr>
            <w:tcW w:w="151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12" w:space="0" w:color="000000"/>
            </w:tcBorders>
          </w:tcPr>
          <w:p>
            <w:pPr/>
          </w:p>
        </w:tc>
      </w:tr>
      <w:tr>
        <w:trPr>
          <w:trHeight w:val="3210" w:hRule="exact"/>
        </w:trPr>
        <w:tc>
          <w:tcPr>
            <w:tcW w:w="151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92" w:right="141"/>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03" w:right="214"/>
              <w:jc w:val="both"/>
              <w:rPr>
                <w:rFonts w:ascii="宋体" w:hAnsi="宋体" w:cs="宋体" w:eastAsia="宋体" w:hint="default"/>
                <w:sz w:val="18"/>
                <w:szCs w:val="18"/>
              </w:rPr>
            </w:pPr>
            <w:r>
              <w:rPr>
                <w:rFonts w:ascii="宋体" w:hAnsi="宋体" w:cs="宋体" w:eastAsia="宋体" w:hint="default"/>
                <w:sz w:val="18"/>
                <w:szCs w:val="18"/>
              </w:rPr>
              <w:t>嘉兴硅谷天堂 嘉绩投资合伙 企业（有限合 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锁股承诺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2" w:right="101"/>
              <w:jc w:val="both"/>
              <w:rPr>
                <w:rFonts w:ascii="宋体" w:hAnsi="宋体" w:cs="宋体" w:eastAsia="宋体" w:hint="default"/>
                <w:sz w:val="18"/>
                <w:szCs w:val="18"/>
              </w:rPr>
            </w:pPr>
            <w:r>
              <w:rPr>
                <w:rFonts w:ascii="宋体" w:hAnsi="宋体" w:cs="宋体" w:eastAsia="宋体" w:hint="default"/>
                <w:sz w:val="18"/>
                <w:szCs w:val="18"/>
              </w:rPr>
              <w:t>嘉兴硅谷天堂嘉绩投资合 伙企业（有限合伙）（简 </w:t>
            </w:r>
            <w:r>
              <w:rPr>
                <w:rFonts w:ascii="宋体" w:hAnsi="宋体" w:cs="宋体" w:eastAsia="宋体" w:hint="default"/>
                <w:spacing w:val="-3"/>
                <w:sz w:val="18"/>
                <w:szCs w:val="18"/>
              </w:rPr>
              <w:t>称“硅谷天堂”）</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日通过深圳证券交 易所大宗交易系统受让公 司股份</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6,600,000</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股。硅谷</w:t>
            </w:r>
            <w:r>
              <w:rPr>
                <w:rFonts w:ascii="宋体" w:hAnsi="宋体" w:cs="宋体" w:eastAsia="宋体" w:hint="default"/>
                <w:sz w:val="18"/>
                <w:szCs w:val="18"/>
              </w:rPr>
              <w:t> 天堂承诺将持有的公司股 份自愿锁定一年，且承诺 未来六个月内没有增持计 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4" w:hRule="exact"/>
        </w:trPr>
        <w:tc>
          <w:tcPr>
            <w:tcW w:w="151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92" w:right="141"/>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052" w:type="dxa"/>
            <w:gridSpan w:val="6"/>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72" w:hRule="exact"/>
        </w:trPr>
        <w:tc>
          <w:tcPr>
            <w:tcW w:w="1515"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16" w:lineRule="auto" w:before="50"/>
              <w:ind w:left="92" w:right="141"/>
              <w:jc w:val="both"/>
              <w:rPr>
                <w:rFonts w:ascii="宋体" w:hAnsi="宋体" w:cs="宋体" w:eastAsia="宋体" w:hint="default"/>
                <w:sz w:val="18"/>
                <w:szCs w:val="18"/>
              </w:rPr>
            </w:pPr>
            <w:r>
              <w:rPr>
                <w:rFonts w:ascii="宋体" w:hAnsi="宋体" w:cs="宋体" w:eastAsia="宋体" w:hint="default"/>
                <w:sz w:val="18"/>
                <w:szCs w:val="18"/>
              </w:rPr>
              <w:t>如承诺超期未履 行完毕的，应当 详细说明未完成 履行的具体原因 及下一步的工作 计划</w:t>
            </w:r>
          </w:p>
        </w:tc>
        <w:tc>
          <w:tcPr>
            <w:tcW w:w="8052"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不存在</w:t>
            </w:r>
          </w:p>
        </w:tc>
      </w:tr>
    </w:tbl>
    <w:p>
      <w:pPr>
        <w:spacing w:line="240" w:lineRule="auto" w:before="5"/>
        <w:rPr>
          <w:rFonts w:ascii="宋体" w:hAnsi="宋体" w:cs="宋体" w:eastAsia="宋体" w:hint="default"/>
          <w:sz w:val="19"/>
          <w:szCs w:val="19"/>
        </w:rPr>
      </w:pPr>
    </w:p>
    <w:p>
      <w:pPr>
        <w:spacing w:line="256" w:lineRule="auto" w:before="34"/>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50" w:footer="1012" w:top="1440" w:bottom="1200" w:left="1000" w:right="980"/>
        </w:sectPr>
      </w:pPr>
    </w:p>
    <w:p>
      <w:pPr>
        <w:spacing w:line="240" w:lineRule="auto" w:before="9"/>
        <w:rPr>
          <w:rFonts w:ascii="宋体" w:hAnsi="宋体" w:cs="宋体" w:eastAsia="宋体" w:hint="default"/>
          <w:sz w:val="15"/>
          <w:szCs w:val="15"/>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32" w:right="47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公司报告期无会计政策、会计估计和核算方法发生变化的情况。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32" w:right="5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840"/>
        <w:gridCol w:w="1418"/>
        <w:gridCol w:w="1701"/>
        <w:gridCol w:w="1681"/>
        <w:gridCol w:w="1154"/>
      </w:tblGrid>
      <w:tr>
        <w:trPr>
          <w:trHeight w:val="422" w:hRule="exact"/>
        </w:trPr>
        <w:tc>
          <w:tcPr>
            <w:tcW w:w="2840" w:type="dxa"/>
            <w:tcBorders>
              <w:top w:val="single" w:sz="12" w:space="0" w:color="000000"/>
              <w:left w:val="single" w:sz="12" w:space="0" w:color="000000"/>
              <w:bottom w:val="single" w:sz="4" w:space="0" w:color="000000"/>
              <w:right w:val="single" w:sz="4" w:space="0" w:color="000000"/>
            </w:tcBorders>
            <w:shd w:val="clear" w:color="auto" w:fill="D6D6D6"/>
          </w:tcPr>
          <w:p>
            <w:pPr>
              <w:pStyle w:val="TableParagraph"/>
              <w:spacing w:line="240" w:lineRule="auto" w:before="40"/>
              <w:ind w:right="1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1418" w:type="dxa"/>
            <w:tcBorders>
              <w:top w:val="single" w:sz="12"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0"/>
              <w:ind w:right="1"/>
              <w:jc w:val="center"/>
              <w:rPr>
                <w:rFonts w:ascii="宋体" w:hAnsi="宋体" w:cs="宋体" w:eastAsia="宋体" w:hint="default"/>
                <w:sz w:val="20"/>
                <w:szCs w:val="20"/>
              </w:rPr>
            </w:pPr>
            <w:r>
              <w:rPr>
                <w:rFonts w:ascii="宋体" w:hAnsi="宋体" w:cs="宋体" w:eastAsia="宋体" w:hint="default"/>
                <w:sz w:val="20"/>
                <w:szCs w:val="20"/>
              </w:rPr>
              <w:t>股权取得方式</w:t>
            </w:r>
          </w:p>
        </w:tc>
        <w:tc>
          <w:tcPr>
            <w:tcW w:w="1701" w:type="dxa"/>
            <w:tcBorders>
              <w:top w:val="single" w:sz="12"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股票取得时点</w:t>
            </w:r>
          </w:p>
        </w:tc>
        <w:tc>
          <w:tcPr>
            <w:tcW w:w="1681" w:type="dxa"/>
            <w:tcBorders>
              <w:top w:val="single" w:sz="12"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0"/>
              <w:ind w:right="235"/>
              <w:jc w:val="right"/>
              <w:rPr>
                <w:rFonts w:ascii="宋体" w:hAnsi="宋体" w:cs="宋体" w:eastAsia="宋体" w:hint="default"/>
                <w:sz w:val="20"/>
                <w:szCs w:val="20"/>
              </w:rPr>
            </w:pPr>
            <w:r>
              <w:rPr>
                <w:rFonts w:ascii="宋体" w:hAnsi="宋体" w:cs="宋体" w:eastAsia="宋体" w:hint="default"/>
                <w:w w:val="95"/>
                <w:sz w:val="20"/>
                <w:szCs w:val="20"/>
              </w:rPr>
              <w:t>出资额（元）</w:t>
            </w:r>
            <w:r>
              <w:rPr>
                <w:rFonts w:ascii="宋体" w:hAnsi="宋体" w:cs="宋体" w:eastAsia="宋体" w:hint="default"/>
                <w:sz w:val="20"/>
                <w:szCs w:val="20"/>
              </w:rPr>
            </w:r>
          </w:p>
        </w:tc>
        <w:tc>
          <w:tcPr>
            <w:tcW w:w="1154" w:type="dxa"/>
            <w:tcBorders>
              <w:top w:val="single" w:sz="12" w:space="0" w:color="000000"/>
              <w:left w:val="single" w:sz="4" w:space="0" w:color="000000"/>
              <w:bottom w:val="single" w:sz="4" w:space="0" w:color="000000"/>
              <w:right w:val="single" w:sz="12" w:space="0" w:color="000000"/>
            </w:tcBorders>
            <w:shd w:val="clear" w:color="auto" w:fill="D6D6D6"/>
          </w:tcPr>
          <w:p>
            <w:pPr>
              <w:pStyle w:val="TableParagraph"/>
              <w:spacing w:line="240" w:lineRule="auto" w:before="40"/>
              <w:ind w:left="171" w:right="0"/>
              <w:jc w:val="left"/>
              <w:rPr>
                <w:rFonts w:ascii="宋体" w:hAnsi="宋体" w:cs="宋体" w:eastAsia="宋体" w:hint="default"/>
                <w:sz w:val="20"/>
                <w:szCs w:val="20"/>
              </w:rPr>
            </w:pPr>
            <w:r>
              <w:rPr>
                <w:rFonts w:ascii="宋体" w:hAnsi="宋体" w:cs="宋体" w:eastAsia="宋体" w:hint="default"/>
                <w:sz w:val="20"/>
                <w:szCs w:val="20"/>
              </w:rPr>
              <w:t>出资比例</w:t>
            </w:r>
          </w:p>
        </w:tc>
      </w:tr>
      <w:tr>
        <w:trPr>
          <w:trHeight w:val="422" w:hRule="exact"/>
        </w:trPr>
        <w:tc>
          <w:tcPr>
            <w:tcW w:w="284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8"/>
              <w:ind w:right="34"/>
              <w:jc w:val="center"/>
              <w:rPr>
                <w:rFonts w:ascii="宋体" w:hAnsi="宋体" w:cs="宋体" w:eastAsia="宋体" w:hint="default"/>
                <w:sz w:val="20"/>
                <w:szCs w:val="20"/>
              </w:rPr>
            </w:pPr>
            <w:r>
              <w:rPr>
                <w:rFonts w:ascii="宋体" w:hAnsi="宋体" w:cs="宋体" w:eastAsia="宋体" w:hint="default"/>
                <w:sz w:val="20"/>
                <w:szCs w:val="20"/>
              </w:rPr>
              <w:t>万马联合新能源投资有限公司</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设立</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5"/>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11</w:t>
            </w:r>
            <w:r>
              <w:rPr>
                <w:rFonts w:ascii="宋体" w:hAnsi="宋体" w:cs="宋体" w:eastAsia="宋体" w:hint="default"/>
                <w:spacing w:val="-65"/>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宋体" w:hAnsi="宋体" w:cs="宋体" w:eastAsia="宋体" w:hint="default"/>
                <w:sz w:val="20"/>
                <w:szCs w:val="20"/>
              </w:rPr>
              <w:t>6</w:t>
            </w:r>
            <w:r>
              <w:rPr>
                <w:rFonts w:ascii="宋体" w:hAnsi="宋体" w:cs="宋体" w:eastAsia="宋体" w:hint="default"/>
                <w:spacing w:val="-65"/>
                <w:sz w:val="20"/>
                <w:szCs w:val="20"/>
              </w:rPr>
              <w:t> </w:t>
            </w:r>
            <w:r>
              <w:rPr>
                <w:rFonts w:ascii="宋体" w:hAnsi="宋体" w:cs="宋体" w:eastAsia="宋体" w:hint="default"/>
                <w:sz w:val="20"/>
                <w:szCs w:val="20"/>
              </w:rPr>
              <w:t>日</w:t>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66"/>
              <w:jc w:val="right"/>
              <w:rPr>
                <w:rFonts w:ascii="宋体" w:hAnsi="宋体" w:cs="宋体" w:eastAsia="宋体" w:hint="default"/>
                <w:sz w:val="20"/>
                <w:szCs w:val="20"/>
              </w:rPr>
            </w:pPr>
            <w:r>
              <w:rPr>
                <w:rFonts w:ascii="宋体"/>
                <w:w w:val="95"/>
                <w:sz w:val="20"/>
              </w:rPr>
              <w:t>205,000,000.00</w:t>
            </w:r>
            <w:r>
              <w:rPr>
                <w:rFonts w:ascii="宋体"/>
                <w:sz w:val="20"/>
              </w:rPr>
            </w:r>
          </w:p>
        </w:tc>
        <w:tc>
          <w:tcPr>
            <w:tcW w:w="115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8"/>
              <w:ind w:left="442" w:right="0"/>
              <w:jc w:val="left"/>
              <w:rPr>
                <w:rFonts w:ascii="宋体" w:hAnsi="宋体" w:cs="宋体" w:eastAsia="宋体" w:hint="default"/>
                <w:sz w:val="20"/>
                <w:szCs w:val="20"/>
              </w:rPr>
            </w:pPr>
            <w:r>
              <w:rPr>
                <w:rFonts w:ascii="宋体"/>
                <w:sz w:val="20"/>
              </w:rPr>
              <w:t>67.20%</w:t>
            </w:r>
          </w:p>
        </w:tc>
      </w:tr>
    </w:tbl>
    <w:p>
      <w:pPr>
        <w:spacing w:line="240" w:lineRule="auto" w:before="5"/>
        <w:rPr>
          <w:rFonts w:ascii="宋体" w:hAnsi="宋体" w:cs="宋体" w:eastAsia="宋体" w:hint="default"/>
          <w:sz w:val="27"/>
          <w:szCs w:val="27"/>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b/>
          <w:bCs/>
          <w:sz w:val="18"/>
          <w:szCs w:val="18"/>
        </w:rPr>
        <w:t>现聘任的会计师事务所</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19" w:type="dxa"/>
        <w:tblLayout w:type="fixed"/>
        <w:tblCellMar>
          <w:top w:w="0" w:type="dxa"/>
          <w:left w:w="0" w:type="dxa"/>
          <w:bottom w:w="0" w:type="dxa"/>
          <w:right w:w="0" w:type="dxa"/>
        </w:tblCellMar>
        <w:tblLook w:val="01E0"/>
      </w:tblPr>
      <w:tblGrid>
        <w:gridCol w:w="3886"/>
        <w:gridCol w:w="4927"/>
      </w:tblGrid>
      <w:tr>
        <w:trPr>
          <w:trHeight w:val="412" w:hRule="exact"/>
        </w:trPr>
        <w:tc>
          <w:tcPr>
            <w:tcW w:w="388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92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388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88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叶胜平、刘向荣</w:t>
            </w:r>
          </w:p>
        </w:tc>
      </w:tr>
    </w:tbl>
    <w:p>
      <w:pPr>
        <w:spacing w:before="50"/>
        <w:ind w:left="13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32" w:right="527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9"/>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60" w:lineRule="auto" w:before="0"/>
        <w:ind w:left="132" w:right="67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after="0" w:line="360" w:lineRule="auto"/>
        <w:jc w:val="left"/>
        <w:rPr>
          <w:rFonts w:ascii="宋体" w:hAnsi="宋体" w:cs="宋体" w:eastAsia="宋体" w:hint="default"/>
          <w:sz w:val="18"/>
          <w:szCs w:val="18"/>
        </w:rPr>
        <w:sectPr>
          <w:footerReference w:type="default" r:id="rId19"/>
          <w:pgSz w:w="11910" w:h="16840"/>
          <w:pgMar w:footer="1012" w:header="850" w:top="1440" w:bottom="1200" w:left="1000" w:right="980"/>
          <w:pgNumType w:start="46"/>
        </w:sectPr>
      </w:pPr>
    </w:p>
    <w:p>
      <w:pPr>
        <w:spacing w:line="240" w:lineRule="auto" w:before="5"/>
        <w:rPr>
          <w:rFonts w:ascii="宋体" w:hAnsi="宋体" w:cs="宋体" w:eastAsia="宋体" w:hint="default"/>
          <w:sz w:val="13"/>
          <w:szCs w:val="13"/>
        </w:rPr>
      </w:pPr>
    </w:p>
    <w:p>
      <w:pPr>
        <w:pStyle w:val="Heading2"/>
        <w:spacing w:line="240" w:lineRule="auto" w:before="26"/>
        <w:ind w:left="112" w:right="0"/>
        <w:jc w:val="both"/>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2"/>
        <w:rPr>
          <w:rFonts w:ascii="宋体" w:hAnsi="宋体" w:cs="宋体" w:eastAsia="宋体" w:hint="default"/>
          <w:sz w:val="18"/>
          <w:szCs w:val="18"/>
        </w:rPr>
      </w:pPr>
    </w:p>
    <w:p>
      <w:pPr>
        <w:pStyle w:val="Heading2"/>
        <w:spacing w:line="240" w:lineRule="auto"/>
        <w:ind w:left="112" w:right="0"/>
        <w:jc w:val="both"/>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68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left="112" w:right="0"/>
        <w:jc w:val="both"/>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12" w:right="0"/>
        <w:jc w:val="both"/>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Heading2"/>
        <w:spacing w:line="240" w:lineRule="auto" w:before="148"/>
        <w:ind w:left="564" w:right="0"/>
        <w:jc w:val="left"/>
        <w:rPr>
          <w:b w:val="0"/>
          <w:bCs w:val="0"/>
        </w:rPr>
      </w:pPr>
      <w:r>
        <w:rPr/>
        <w:t>公司《限制性股票激励计划（</w:t>
      </w:r>
      <w:r>
        <w:rPr>
          <w:rFonts w:ascii="Times New Roman" w:hAnsi="Times New Roman" w:cs="Times New Roman" w:eastAsia="Times New Roman" w:hint="default"/>
        </w:rPr>
        <w:t>2013</w:t>
      </w:r>
      <w:r>
        <w:rPr/>
        <w:t>年）》实施进展情况：</w:t>
      </w:r>
      <w:r>
        <w:rPr>
          <w:b w:val="0"/>
          <w:bCs w:val="0"/>
        </w:rPr>
      </w:r>
    </w:p>
    <w:p>
      <w:pPr>
        <w:spacing w:line="624" w:lineRule="exact" w:before="61"/>
        <w:ind w:left="592" w:right="0" w:hanging="58"/>
        <w:jc w:val="left"/>
        <w:rPr>
          <w:rFonts w:ascii="宋体" w:hAnsi="宋体" w:cs="宋体" w:eastAsia="宋体" w:hint="default"/>
          <w:sz w:val="21"/>
          <w:szCs w:val="21"/>
        </w:rPr>
      </w:pPr>
      <w:r>
        <w:rPr>
          <w:rFonts w:ascii="宋体" w:hAnsi="宋体" w:cs="宋体" w:eastAsia="宋体" w:hint="default"/>
          <w:b/>
          <w:bCs/>
          <w:sz w:val="21"/>
          <w:szCs w:val="21"/>
        </w:rPr>
        <w:t>（1）公司股权激励计划简述</w:t>
      </w:r>
      <w:r>
        <w:rPr>
          <w:rFonts w:ascii="宋体" w:hAnsi="宋体" w:cs="宋体" w:eastAsia="宋体" w:hint="default"/>
          <w:b/>
          <w:bCs/>
          <w:w w:val="99"/>
          <w:sz w:val="21"/>
          <w:szCs w:val="21"/>
        </w:rPr>
        <w:t> </w:t>
      </w:r>
      <w:r>
        <w:rPr>
          <w:rFonts w:ascii="宋体" w:hAnsi="宋体" w:cs="宋体" w:eastAsia="宋体" w:hint="default"/>
          <w:spacing w:val="3"/>
          <w:w w:val="95"/>
          <w:sz w:val="21"/>
          <w:szCs w:val="21"/>
        </w:rPr>
        <w:t>2013年，公司2013年第四次临时股东大会审议通过《限制性股票激励计划（草案修订稿）》。2013</w:t>
      </w:r>
      <w:r>
        <w:rPr>
          <w:rFonts w:ascii="宋体" w:hAnsi="宋体" w:cs="宋体" w:eastAsia="宋体" w:hint="default"/>
          <w:spacing w:val="3"/>
          <w:sz w:val="21"/>
          <w:szCs w:val="21"/>
        </w:rPr>
      </w:r>
    </w:p>
    <w:p>
      <w:pPr>
        <w:spacing w:line="408" w:lineRule="auto" w:before="98"/>
        <w:ind w:left="112" w:right="109" w:firstLine="0"/>
        <w:jc w:val="both"/>
        <w:rPr>
          <w:rFonts w:ascii="宋体" w:hAnsi="宋体" w:cs="宋体" w:eastAsia="宋体" w:hint="default"/>
          <w:sz w:val="21"/>
          <w:szCs w:val="21"/>
        </w:rPr>
      </w:pPr>
      <w:r>
        <w:rPr>
          <w:rFonts w:ascii="宋体" w:hAnsi="宋体" w:cs="宋体" w:eastAsia="宋体" w:hint="default"/>
          <w:w w:val="95"/>
          <w:sz w:val="21"/>
          <w:szCs w:val="21"/>
        </w:rPr>
        <w:t>年11月26日，公司完成限制性股票首次授予工作：首次授予日2013年11月7日，授予对象105人，授予股票</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数量976.8万股，授予价格为2.32元/股，首次授予股份的上市日为2013年11月27日。2014年6月19日，第</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三届董事会第十九次会议审议通过《关于向激励对象授予预留限制性股票的议案》，授予日为</w:t>
      </w:r>
      <w:r>
        <w:rPr>
          <w:rFonts w:ascii="宋体" w:hAnsi="宋体" w:cs="宋体" w:eastAsia="宋体" w:hint="default"/>
          <w:spacing w:val="-32"/>
          <w:sz w:val="21"/>
          <w:szCs w:val="21"/>
        </w:rPr>
        <w:t> </w:t>
      </w:r>
      <w:r>
        <w:rPr>
          <w:rFonts w:ascii="宋体" w:hAnsi="宋体" w:cs="宋体" w:eastAsia="宋体" w:hint="default"/>
          <w:sz w:val="21"/>
          <w:szCs w:val="21"/>
        </w:rPr>
        <w:t>2014年6月</w:t>
      </w:r>
      <w:r>
        <w:rPr>
          <w:rFonts w:ascii="宋体" w:hAnsi="宋体" w:cs="宋体" w:eastAsia="宋体" w:hint="default"/>
          <w:w w:val="99"/>
          <w:sz w:val="21"/>
          <w:szCs w:val="21"/>
        </w:rPr>
        <w:t> </w:t>
      </w:r>
      <w:r>
        <w:rPr>
          <w:rFonts w:ascii="宋体" w:hAnsi="宋体" w:cs="宋体" w:eastAsia="宋体" w:hint="default"/>
          <w:sz w:val="21"/>
          <w:szCs w:val="21"/>
        </w:rPr>
        <w:t>19日，授予股份数量</w:t>
      </w:r>
      <w:r>
        <w:rPr>
          <w:rFonts w:ascii="宋体" w:hAnsi="宋体" w:cs="宋体" w:eastAsia="宋体" w:hint="default"/>
          <w:spacing w:val="-30"/>
          <w:sz w:val="21"/>
          <w:szCs w:val="21"/>
        </w:rPr>
        <w:t> </w:t>
      </w:r>
      <w:r>
        <w:rPr>
          <w:rFonts w:ascii="宋体" w:hAnsi="宋体" w:cs="宋体" w:eastAsia="宋体" w:hint="default"/>
          <w:sz w:val="21"/>
          <w:szCs w:val="21"/>
        </w:rPr>
        <w:t>100万股，授予对象为4人，预留限制性股票上市日为2014年7月25日。2014年11月11</w:t>
      </w:r>
      <w:r>
        <w:rPr>
          <w:rFonts w:ascii="宋体" w:hAnsi="宋体" w:cs="宋体" w:eastAsia="宋体" w:hint="default"/>
          <w:w w:val="99"/>
          <w:sz w:val="21"/>
          <w:szCs w:val="21"/>
        </w:rPr>
        <w:t> </w:t>
      </w:r>
      <w:r>
        <w:rPr>
          <w:rFonts w:ascii="宋体" w:hAnsi="宋体" w:cs="宋体" w:eastAsia="宋体" w:hint="default"/>
          <w:spacing w:val="2"/>
          <w:w w:val="95"/>
          <w:sz w:val="21"/>
          <w:szCs w:val="21"/>
        </w:rPr>
        <w:t>日，审议并通过了《关于公司股权激励限制性股票第一次解锁条件成就的议案》，同意104名符合条件的</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激励对象限制性股票第一期解锁。公司首次授予股权激励限售股共976.8万股，回购不符合解锁条件股份7</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pacing w:val="2"/>
          <w:w w:val="95"/>
          <w:sz w:val="21"/>
          <w:szCs w:val="21"/>
        </w:rPr>
        <w:t>万股后，首次授予限制性股票符合解锁条件的股份总数调整为969.8万股，第一次限售股份解锁数量为首</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pacing w:val="2"/>
          <w:w w:val="95"/>
          <w:sz w:val="21"/>
          <w:szCs w:val="21"/>
        </w:rPr>
        <w:t>次授予限制性股票符合解锁条件股份总数的30%，即为290.94万股。第一次限售股份上市流通日为2014年</w:t>
      </w:r>
      <w:r>
        <w:rPr>
          <w:rFonts w:ascii="宋体" w:hAnsi="宋体" w:cs="宋体" w:eastAsia="宋体" w:hint="default"/>
          <w:spacing w:val="35"/>
          <w:w w:val="95"/>
          <w:sz w:val="21"/>
          <w:szCs w:val="21"/>
        </w:rPr>
        <w:t> </w:t>
      </w:r>
      <w:r>
        <w:rPr>
          <w:rFonts w:ascii="宋体" w:hAnsi="宋体" w:cs="宋体" w:eastAsia="宋体" w:hint="default"/>
          <w:spacing w:val="35"/>
          <w:w w:val="95"/>
          <w:sz w:val="21"/>
          <w:szCs w:val="21"/>
        </w:rPr>
      </w:r>
      <w:r>
        <w:rPr>
          <w:rFonts w:ascii="宋体" w:hAnsi="宋体" w:cs="宋体" w:eastAsia="宋体" w:hint="default"/>
          <w:sz w:val="21"/>
          <w:szCs w:val="21"/>
        </w:rPr>
        <w:t>11月27日。</w:t>
      </w:r>
    </w:p>
    <w:p>
      <w:pPr>
        <w:spacing w:line="240" w:lineRule="auto" w:before="6"/>
        <w:rPr>
          <w:rFonts w:ascii="宋体" w:hAnsi="宋体" w:cs="宋体" w:eastAsia="宋体" w:hint="default"/>
          <w:sz w:val="15"/>
          <w:szCs w:val="15"/>
        </w:rPr>
      </w:pPr>
    </w:p>
    <w:p>
      <w:pPr>
        <w:spacing w:before="0"/>
        <w:ind w:left="592" w:right="0" w:firstLine="0"/>
        <w:jc w:val="left"/>
        <w:rPr>
          <w:rFonts w:ascii="宋体" w:hAnsi="宋体" w:cs="宋体" w:eastAsia="宋体" w:hint="default"/>
          <w:sz w:val="21"/>
          <w:szCs w:val="21"/>
        </w:rPr>
      </w:pPr>
      <w:r>
        <w:rPr>
          <w:rFonts w:ascii="宋体" w:hAnsi="宋体" w:cs="宋体" w:eastAsia="宋体" w:hint="default"/>
          <w:b/>
          <w:bCs/>
          <w:sz w:val="21"/>
          <w:szCs w:val="21"/>
        </w:rPr>
        <w:t>（2）公司股权激励计划在报告期的进展</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408" w:lineRule="auto" w:before="0"/>
        <w:ind w:left="112" w:right="112" w:firstLine="420"/>
        <w:jc w:val="both"/>
        <w:rPr>
          <w:rFonts w:ascii="宋体" w:hAnsi="宋体" w:cs="宋体" w:eastAsia="宋体" w:hint="default"/>
          <w:sz w:val="21"/>
          <w:szCs w:val="21"/>
        </w:rPr>
      </w:pPr>
      <w:r>
        <w:rPr>
          <w:rFonts w:ascii="宋体" w:hAnsi="宋体" w:cs="宋体" w:eastAsia="宋体" w:hint="default"/>
          <w:spacing w:val="2"/>
          <w:w w:val="95"/>
          <w:sz w:val="21"/>
          <w:szCs w:val="21"/>
        </w:rPr>
        <w:t>2015年5月27日，公司第三届董事会第二十七次会议审议通过《关于回购注销已离职激励对象已获授</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w w:val="95"/>
          <w:sz w:val="21"/>
          <w:szCs w:val="21"/>
        </w:rPr>
        <w:t>但尚未解锁限制性股票的议案》，回购注销已离职激励对象所持有的已获授但尚未解锁的限制性股票31万   </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股。</w:t>
      </w:r>
    </w:p>
    <w:p>
      <w:pPr>
        <w:spacing w:after="0" w:line="408" w:lineRule="auto"/>
        <w:jc w:val="both"/>
        <w:rPr>
          <w:rFonts w:ascii="宋体" w:hAnsi="宋体" w:cs="宋体" w:eastAsia="宋体" w:hint="default"/>
          <w:sz w:val="21"/>
          <w:szCs w:val="21"/>
        </w:rPr>
        <w:sectPr>
          <w:pgSz w:w="11910" w:h="16840"/>
          <w:pgMar w:header="850" w:footer="1012" w:top="1440" w:bottom="1200" w:left="1020" w:right="1020"/>
        </w:sectPr>
      </w:pPr>
    </w:p>
    <w:p>
      <w:pPr>
        <w:spacing w:line="240" w:lineRule="auto" w:before="8"/>
        <w:rPr>
          <w:rFonts w:ascii="宋体" w:hAnsi="宋体" w:cs="宋体" w:eastAsia="宋体" w:hint="default"/>
          <w:sz w:val="20"/>
          <w:szCs w:val="20"/>
        </w:rPr>
      </w:pPr>
    </w:p>
    <w:p>
      <w:pPr>
        <w:spacing w:line="408" w:lineRule="auto" w:before="34"/>
        <w:ind w:left="132" w:right="110" w:firstLine="420"/>
        <w:jc w:val="both"/>
        <w:rPr>
          <w:rFonts w:ascii="宋体" w:hAnsi="宋体" w:cs="宋体" w:eastAsia="宋体" w:hint="default"/>
          <w:sz w:val="21"/>
          <w:szCs w:val="21"/>
        </w:rPr>
      </w:pPr>
      <w:r>
        <w:rPr>
          <w:rFonts w:ascii="宋体" w:hAnsi="宋体" w:cs="宋体" w:eastAsia="宋体" w:hint="default"/>
          <w:w w:val="95"/>
          <w:sz w:val="21"/>
          <w:szCs w:val="21"/>
        </w:rPr>
        <w:t>2015年11月17日，公司第三届董事会第三十六次会议审议通过了《关于首次授予限制性股票第二次解</w:t>
      </w:r>
      <w:r>
        <w:rPr>
          <w:rFonts w:ascii="宋体" w:hAnsi="宋体" w:cs="宋体" w:eastAsia="宋体" w:hint="default"/>
          <w:w w:val="99"/>
          <w:sz w:val="21"/>
          <w:szCs w:val="21"/>
        </w:rPr>
        <w:t> </w:t>
      </w:r>
      <w:r>
        <w:rPr>
          <w:rFonts w:ascii="宋体" w:hAnsi="宋体" w:cs="宋体" w:eastAsia="宋体" w:hint="default"/>
          <w:w w:val="95"/>
          <w:sz w:val="21"/>
          <w:szCs w:val="21"/>
        </w:rPr>
        <w:t>锁及预留授予限制性股票第一次解锁条件成就的议案》，董事会确认公司《限制性股票激励计划（草案修</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订稿）》设定的首次授予的限制性股票第二次解锁以及预留限制性股票的第一次解锁条件已经满足，同意</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104名符合条件的激励对象所持限制性股票解锁。本次申请限制性股票解锁的激励对象共104位，可解锁的</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限制性股票数量为326.94万股。第二次限售股份上市流通日为2015年11月27日。</w:t>
      </w:r>
    </w:p>
    <w:p>
      <w:pPr>
        <w:spacing w:line="240" w:lineRule="auto" w:before="8"/>
        <w:rPr>
          <w:rFonts w:ascii="宋体" w:hAnsi="宋体" w:cs="宋体" w:eastAsia="宋体" w:hint="default"/>
          <w:sz w:val="18"/>
          <w:szCs w:val="18"/>
        </w:rPr>
      </w:pPr>
    </w:p>
    <w:p>
      <w:pPr>
        <w:pStyle w:val="Heading2"/>
        <w:spacing w:line="240" w:lineRule="auto"/>
        <w:ind w:right="7083"/>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2"/>
        <w:rPr>
          <w:rFonts w:ascii="宋体" w:hAnsi="宋体" w:cs="宋体" w:eastAsia="宋体" w:hint="default"/>
          <w:sz w:val="19"/>
          <w:szCs w:val="19"/>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5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2"/>
        <w:rPr>
          <w:rFonts w:ascii="宋体" w:hAnsi="宋体" w:cs="宋体" w:eastAsia="宋体" w:hint="default"/>
          <w:sz w:val="19"/>
          <w:szCs w:val="19"/>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76"/>
        <w:gridCol w:w="1073"/>
        <w:gridCol w:w="1077"/>
        <w:gridCol w:w="1224"/>
        <w:gridCol w:w="1080"/>
        <w:gridCol w:w="1349"/>
        <w:gridCol w:w="1347"/>
        <w:gridCol w:w="1342"/>
      </w:tblGrid>
      <w:tr>
        <w:trPr>
          <w:trHeight w:val="1036" w:hRule="exact"/>
        </w:trPr>
        <w:tc>
          <w:tcPr>
            <w:tcW w:w="107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4" w:right="81"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64"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p>
            <w:pPr>
              <w:pStyle w:val="TableParagraph"/>
              <w:spacing w:line="240" w:lineRule="auto" w:before="19"/>
              <w:ind w:left="17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8" w:right="38"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7" w:right="36" w:hanging="89"/>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7" w:right="24"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898" w:hRule="exact"/>
        </w:trPr>
        <w:tc>
          <w:tcPr>
            <w:tcW w:w="10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3" w:right="141"/>
              <w:jc w:val="both"/>
              <w:rPr>
                <w:rFonts w:ascii="宋体" w:hAnsi="宋体" w:cs="宋体" w:eastAsia="宋体" w:hint="default"/>
                <w:sz w:val="18"/>
                <w:szCs w:val="18"/>
              </w:rPr>
            </w:pPr>
            <w:r>
              <w:rPr>
                <w:rFonts w:ascii="宋体" w:hAnsi="宋体" w:cs="宋体" w:eastAsia="宋体" w:hint="default"/>
                <w:sz w:val="18"/>
                <w:szCs w:val="18"/>
              </w:rPr>
              <w:t>浙江万马电 气电缆集团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41"/>
              <w:jc w:val="both"/>
              <w:rPr>
                <w:rFonts w:ascii="宋体" w:hAnsi="宋体" w:cs="宋体" w:eastAsia="宋体" w:hint="default"/>
                <w:sz w:val="18"/>
                <w:szCs w:val="18"/>
              </w:rPr>
            </w:pPr>
            <w:r>
              <w:rPr>
                <w:rFonts w:ascii="宋体" w:hAnsi="宋体" w:cs="宋体" w:eastAsia="宋体" w:hint="default"/>
                <w:sz w:val="18"/>
                <w:szCs w:val="18"/>
              </w:rPr>
              <w:t>山东万恩新 能源科技有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电动车充电设 备及设施的设 计、研发、销 售；电动车充 电设备及设施 项目的建设与 运营；销售： 汽车、汽车配 件等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16" w:right="0"/>
              <w:jc w:val="left"/>
              <w:rPr>
                <w:rFonts w:ascii="Times New Roman" w:hAnsi="Times New Roman" w:cs="Times New Roman" w:eastAsia="Times New Roman" w:hint="default"/>
                <w:sz w:val="18"/>
                <w:szCs w:val="18"/>
              </w:rPr>
            </w:pPr>
            <w:r>
              <w:rPr>
                <w:rFonts w:ascii="Times New Roman"/>
                <w:sz w:val="18"/>
              </w:rPr>
              <w:t>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87" w:right="0"/>
              <w:jc w:val="left"/>
              <w:rPr>
                <w:rFonts w:ascii="Times New Roman" w:hAnsi="Times New Roman" w:cs="Times New Roman" w:eastAsia="Times New Roman" w:hint="default"/>
                <w:sz w:val="18"/>
                <w:szCs w:val="18"/>
              </w:rPr>
            </w:pPr>
            <w:r>
              <w:rPr>
                <w:rFonts w:ascii="Times New Roman"/>
                <w:sz w:val="18"/>
              </w:rPr>
              <w:t>6,518.62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84" w:right="0"/>
              <w:jc w:val="left"/>
              <w:rPr>
                <w:rFonts w:ascii="Times New Roman" w:hAnsi="Times New Roman" w:cs="Times New Roman" w:eastAsia="Times New Roman" w:hint="default"/>
                <w:sz w:val="18"/>
                <w:szCs w:val="18"/>
              </w:rPr>
            </w:pPr>
            <w:r>
              <w:rPr>
                <w:rFonts w:ascii="Times New Roman"/>
                <w:sz w:val="18"/>
              </w:rPr>
              <w:t>3,503.77</w:t>
            </w:r>
          </w:p>
        </w:tc>
        <w:tc>
          <w:tcPr>
            <w:tcW w:w="13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55" w:right="0"/>
              <w:jc w:val="left"/>
              <w:rPr>
                <w:rFonts w:ascii="Times New Roman" w:hAnsi="Times New Roman" w:cs="Times New Roman" w:eastAsia="Times New Roman" w:hint="default"/>
                <w:sz w:val="18"/>
                <w:szCs w:val="18"/>
              </w:rPr>
            </w:pPr>
            <w:r>
              <w:rPr>
                <w:rFonts w:ascii="Times New Roman"/>
                <w:sz w:val="18"/>
              </w:rPr>
              <w:t>-301.77</w:t>
            </w:r>
          </w:p>
        </w:tc>
      </w:tr>
      <w:tr>
        <w:trPr>
          <w:trHeight w:val="724" w:hRule="exact"/>
        </w:trPr>
        <w:tc>
          <w:tcPr>
            <w:tcW w:w="2149"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16" w:lineRule="auto" w:before="50"/>
              <w:ind w:left="13" w:right="134"/>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12" w:space="0" w:color="000000"/>
              <w:right w:val="single" w:sz="12" w:space="0" w:color="000000"/>
            </w:tcBorders>
          </w:tcPr>
          <w:p>
            <w:pPr/>
          </w:p>
        </w:tc>
      </w:tr>
    </w:tbl>
    <w:p>
      <w:pPr>
        <w:spacing w:line="300" w:lineRule="auto" w:before="51"/>
        <w:ind w:left="132" w:right="93" w:firstLine="0"/>
        <w:jc w:val="left"/>
        <w:rPr>
          <w:rFonts w:ascii="宋体" w:hAnsi="宋体" w:cs="宋体" w:eastAsia="宋体" w:hint="default"/>
          <w:sz w:val="18"/>
          <w:szCs w:val="18"/>
        </w:rPr>
      </w:pPr>
      <w:r>
        <w:rPr>
          <w:rFonts w:ascii="宋体" w:hAnsi="宋体" w:cs="宋体" w:eastAsia="宋体" w:hint="default"/>
          <w:sz w:val="18"/>
          <w:szCs w:val="18"/>
        </w:rPr>
        <w:t>注：如已在临时报告披露且后续实施无进展或变化的，此节可选</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r>
        <w:rPr>
          <w:rFonts w:ascii="Times New Roman" w:hAnsi="Times New Roman" w:cs="Times New Roman" w:eastAsia="Times New Roman" w:hint="default"/>
          <w:sz w:val="18"/>
          <w:szCs w:val="18"/>
        </w:rPr>
        <w:t>”</w:t>
      </w:r>
      <w:r>
        <w:rPr>
          <w:rFonts w:ascii="宋体" w:hAnsi="宋体" w:cs="宋体" w:eastAsia="宋体" w:hint="default"/>
          <w:sz w:val="18"/>
          <w:szCs w:val="18"/>
        </w:rPr>
        <w:t>，但需在本节的第</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小节其他重大关联交易中披露 该事项概述，并提供临时报告披露网站的相关查询索引。</w:t>
      </w:r>
    </w:p>
    <w:p>
      <w:pPr>
        <w:spacing w:before="72"/>
        <w:ind w:left="132" w:right="144" w:firstLine="0"/>
        <w:jc w:val="left"/>
        <w:rPr>
          <w:rFonts w:ascii="宋体" w:hAnsi="宋体" w:cs="宋体" w:eastAsia="宋体" w:hint="default"/>
          <w:sz w:val="18"/>
          <w:szCs w:val="18"/>
        </w:rPr>
      </w:pPr>
      <w:r>
        <w:rPr>
          <w:rFonts w:ascii="宋体" w:hAnsi="宋体" w:cs="宋体" w:eastAsia="宋体" w:hint="default"/>
          <w:sz w:val="18"/>
          <w:szCs w:val="18"/>
        </w:rPr>
        <w:t>公司报告期未发生共同对外投资的关联交易。</w:t>
      </w:r>
    </w:p>
    <w:p>
      <w:pPr>
        <w:spacing w:after="0"/>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9"/>
        <w:rPr>
          <w:rFonts w:ascii="宋体" w:hAnsi="宋体" w:cs="宋体" w:eastAsia="宋体" w:hint="default"/>
          <w:sz w:val="14"/>
          <w:szCs w:val="14"/>
        </w:rPr>
      </w:pPr>
    </w:p>
    <w:p>
      <w:pPr>
        <w:spacing w:before="34"/>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32" w:right="66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2"/>
        <w:rPr>
          <w:rFonts w:ascii="宋体" w:hAnsi="宋体" w:cs="宋体" w:eastAsia="宋体" w:hint="default"/>
          <w:sz w:val="20"/>
          <w:szCs w:val="20"/>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3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144"/>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2"/>
        <w:rPr>
          <w:rFonts w:ascii="宋体" w:hAnsi="宋体" w:cs="宋体" w:eastAsia="宋体" w:hint="default"/>
          <w:sz w:val="19"/>
          <w:szCs w:val="19"/>
        </w:rPr>
      </w:pPr>
    </w:p>
    <w:p>
      <w:pPr>
        <w:spacing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2"/>
        <w:rPr>
          <w:rFonts w:ascii="宋体" w:hAnsi="宋体" w:cs="宋体" w:eastAsia="宋体" w:hint="default"/>
          <w:sz w:val="19"/>
          <w:szCs w:val="19"/>
        </w:rPr>
      </w:pPr>
    </w:p>
    <w:p>
      <w:pPr>
        <w:spacing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2"/>
        <w:rPr>
          <w:rFonts w:ascii="宋体" w:hAnsi="宋体" w:cs="宋体" w:eastAsia="宋体" w:hint="default"/>
          <w:sz w:val="20"/>
          <w:szCs w:val="20"/>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50" w:footer="1012" w:top="1440" w:bottom="1200" w:left="1000" w:right="1020"/>
        </w:sectPr>
      </w:pPr>
    </w:p>
    <w:p>
      <w:pPr>
        <w:spacing w:before="34"/>
        <w:ind w:left="312" w:right="0" w:firstLine="0"/>
        <w:jc w:val="left"/>
        <w:rPr>
          <w:rFonts w:ascii="宋体" w:hAnsi="宋体" w:cs="宋体" w:eastAsia="宋体" w:hint="default"/>
          <w:sz w:val="21"/>
          <w:szCs w:val="21"/>
        </w:rPr>
      </w:pPr>
      <w:r>
        <w:rPr>
          <w:rFonts w:ascii="宋体" w:hAnsi="宋体" w:cs="宋体" w:eastAsia="宋体" w:hint="default"/>
          <w:b/>
          <w:bCs/>
          <w:w w:val="95"/>
          <w:sz w:val="21"/>
          <w:szCs w:val="21"/>
        </w:rPr>
        <w:t>报告期，公司及子公司不存在任何对外担保，公司仅对控股子公司提供担保。</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3"/>
          <w:szCs w:val="13"/>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7480" w:space="1079"/>
            <w:col w:w="1331"/>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93"/>
        <w:gridCol w:w="1146"/>
        <w:gridCol w:w="920"/>
        <w:gridCol w:w="1296"/>
        <w:gridCol w:w="1063"/>
        <w:gridCol w:w="1035"/>
        <w:gridCol w:w="1052"/>
        <w:gridCol w:w="789"/>
        <w:gridCol w:w="779"/>
      </w:tblGrid>
      <w:tr>
        <w:trPr>
          <w:trHeight w:val="412" w:hRule="exact"/>
        </w:trPr>
        <w:tc>
          <w:tcPr>
            <w:tcW w:w="9573" w:type="dxa"/>
            <w:gridSpan w:val="9"/>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49"/>
              <w:ind w:left="252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49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7" w:right="27"/>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08"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0"/>
              <w:ind w:left="24"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493" w:type="dxa"/>
            <w:tcBorders>
              <w:top w:val="single" w:sz="4" w:space="0" w:color="000000"/>
              <w:left w:val="single" w:sz="12"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12" w:space="0" w:color="000000"/>
            </w:tcBorders>
          </w:tcPr>
          <w:p>
            <w:pPr/>
          </w:p>
        </w:tc>
      </w:tr>
      <w:tr>
        <w:trPr>
          <w:trHeight w:val="400" w:hRule="exact"/>
        </w:trPr>
        <w:tc>
          <w:tcPr>
            <w:tcW w:w="2639"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9"/>
              <w:ind w:left="1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w:t>
            </w:r>
          </w:p>
        </w:tc>
        <w:tc>
          <w:tcPr>
            <w:tcW w:w="2216"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报告期内对外担保实际发</w:t>
            </w:r>
          </w:p>
        </w:tc>
        <w:tc>
          <w:tcPr>
            <w:tcW w:w="2620" w:type="dxa"/>
            <w:gridSpan w:val="3"/>
            <w:tcBorders>
              <w:top w:val="single" w:sz="4" w:space="0" w:color="000000"/>
              <w:left w:val="single" w:sz="4" w:space="0" w:color="000000"/>
              <w:bottom w:val="single" w:sz="4" w:space="0" w:color="000000"/>
              <w:right w:val="single" w:sz="12" w:space="0" w:color="000000"/>
            </w:tcBorders>
          </w:tcPr>
          <w:p>
            <w:pPr/>
          </w:p>
        </w:tc>
      </w:tr>
    </w:tbl>
    <w:p>
      <w:pPr>
        <w:spacing w:after="0"/>
        <w:sectPr>
          <w:type w:val="continuous"/>
          <w:pgSz w:w="11910" w:h="16840"/>
          <w:pgMar w:top="1440" w:bottom="280" w:left="1000" w:right="102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1709"/>
        <w:gridCol w:w="921"/>
        <w:gridCol w:w="921"/>
        <w:gridCol w:w="1304"/>
        <w:gridCol w:w="1053"/>
        <w:gridCol w:w="1045"/>
        <w:gridCol w:w="1045"/>
        <w:gridCol w:w="791"/>
        <w:gridCol w:w="784"/>
      </w:tblGrid>
      <w:tr>
        <w:trPr>
          <w:trHeight w:val="362"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13"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9573" w:type="dxa"/>
            <w:gridSpan w:val="9"/>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435"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3"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9"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0"/>
              <w:ind w:left="13" w:right="54"/>
              <w:jc w:val="both"/>
              <w:rPr>
                <w:rFonts w:ascii="宋体" w:hAnsi="宋体" w:cs="宋体" w:eastAsia="宋体" w:hint="default"/>
                <w:sz w:val="18"/>
                <w:szCs w:val="18"/>
              </w:rPr>
            </w:pPr>
            <w:r>
              <w:rPr>
                <w:rFonts w:ascii="宋体" w:hAnsi="宋体" w:cs="宋体" w:eastAsia="宋体" w:hint="default"/>
                <w:sz w:val="18"/>
                <w:szCs w:val="18"/>
              </w:rPr>
              <w:t>浙江万马天屹通信线 缆有限公司（交通银 行临安支行）</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551.22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both"/>
              <w:rPr>
                <w:rFonts w:ascii="宋体" w:hAnsi="宋体" w:cs="宋体" w:eastAsia="宋体" w:hint="default"/>
                <w:sz w:val="18"/>
                <w:szCs w:val="18"/>
              </w:rPr>
            </w:pPr>
            <w:r>
              <w:rPr>
                <w:rFonts w:ascii="宋体" w:hAnsi="宋体" w:cs="宋体" w:eastAsia="宋体" w:hint="default"/>
                <w:sz w:val="18"/>
                <w:szCs w:val="18"/>
              </w:rPr>
              <w:t>浙江万马天屹通信线 缆有限公司（浦发银 行临安支行）</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1,771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50"/>
              <w:ind w:left="1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浙江万马集团特种电 子电缆有限公司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 发银行临安支行</w:t>
            </w:r>
            <w:r>
              <w:rPr>
                <w:rFonts w:ascii="Times New Roman" w:hAnsi="Times New Roman" w:cs="Times New Roman" w:eastAsia="Times New Roman" w:hint="default"/>
                <w:sz w:val="18"/>
                <w:szCs w:val="18"/>
              </w:rPr>
              <w:t>)</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51"/>
              <w:ind w:left="1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浙江万马高分子材料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中国银行 浙江省分行</w:t>
            </w:r>
            <w:r>
              <w:rPr>
                <w:rFonts w:ascii="Times New Roman" w:hAnsi="Times New Roman" w:cs="Times New Roman" w:eastAsia="Times New Roman" w:hint="default"/>
                <w:sz w:val="18"/>
                <w:szCs w:val="18"/>
              </w:rPr>
              <w:t>)</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1,810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50"/>
              <w:ind w:left="1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浙江万马高分子材料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 临安支行</w:t>
            </w:r>
            <w:r>
              <w:rPr>
                <w:rFonts w:ascii="Times New Roman" w:hAnsi="Times New Roman" w:cs="Times New Roman" w:eastAsia="Times New Roman" w:hint="default"/>
                <w:sz w:val="18"/>
                <w:szCs w:val="18"/>
              </w:rPr>
              <w:t>)</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51"/>
              <w:ind w:left="1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浙江万马高分子材料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浦发银行 中山支行</w:t>
            </w:r>
            <w:r>
              <w:rPr>
                <w:rFonts w:ascii="Times New Roman" w:hAnsi="Times New Roman" w:cs="Times New Roman" w:eastAsia="Times New Roman" w:hint="default"/>
                <w:sz w:val="18"/>
                <w:szCs w:val="18"/>
              </w:rPr>
              <w:t>)</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50"/>
              <w:ind w:left="1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浙江万马高分子材料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建设银行 临安支行</w:t>
            </w:r>
            <w:r>
              <w:rPr>
                <w:rFonts w:ascii="Times New Roman" w:hAnsi="Times New Roman" w:cs="Times New Roman" w:eastAsia="Times New Roman" w:hint="default"/>
                <w:sz w:val="18"/>
                <w:szCs w:val="18"/>
              </w:rPr>
              <w:t>)</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51"/>
              <w:ind w:left="1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浙江万马高分子材料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交通银行 临安支行</w:t>
            </w:r>
            <w:r>
              <w:rPr>
                <w:rFonts w:ascii="Times New Roman" w:hAnsi="Times New Roman" w:cs="Times New Roman" w:eastAsia="Times New Roman" w:hint="default"/>
                <w:sz w:val="18"/>
                <w:szCs w:val="18"/>
              </w:rPr>
              <w:t>)</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8,600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2,800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0"/>
              <w:ind w:left="13"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18,456.22</w:t>
            </w:r>
          </w:p>
        </w:tc>
      </w:tr>
      <w:tr>
        <w:trPr>
          <w:trHeight w:val="714"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13"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18,456.22</w:t>
            </w:r>
          </w:p>
        </w:tc>
      </w:tr>
      <w:tr>
        <w:trPr>
          <w:trHeight w:val="412" w:hRule="exact"/>
        </w:trPr>
        <w:tc>
          <w:tcPr>
            <w:tcW w:w="9573" w:type="dxa"/>
            <w:gridSpan w:val="9"/>
            <w:tcBorders>
              <w:top w:val="single" w:sz="4" w:space="0" w:color="000000"/>
              <w:left w:val="single" w:sz="12" w:space="0" w:color="000000"/>
              <w:bottom w:val="single" w:sz="12" w:space="0" w:color="000000"/>
              <w:right w:val="single" w:sz="12"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34" w:hRule="exact"/>
        </w:trPr>
        <w:tc>
          <w:tcPr>
            <w:tcW w:w="1709"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42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08"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5" w:right="1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footerReference w:type="default" r:id="rId20"/>
          <w:pgSz w:w="11910" w:h="16840"/>
          <w:pgMar w:footer="1012" w:header="850" w:top="1440" w:bottom="1200" w:left="1000" w:right="1020"/>
          <w:pgNumType w:start="5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1709"/>
        <w:gridCol w:w="923"/>
        <w:gridCol w:w="910"/>
        <w:gridCol w:w="1313"/>
        <w:gridCol w:w="1044"/>
        <w:gridCol w:w="1054"/>
        <w:gridCol w:w="1045"/>
        <w:gridCol w:w="786"/>
        <w:gridCol w:w="789"/>
      </w:tblGrid>
      <w:tr>
        <w:trPr>
          <w:trHeight w:val="402" w:hRule="exact"/>
        </w:trPr>
        <w:tc>
          <w:tcPr>
            <w:tcW w:w="1709" w:type="dxa"/>
            <w:tcBorders>
              <w:top w:val="single" w:sz="4" w:space="0" w:color="000000"/>
              <w:left w:val="single" w:sz="12"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632"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0"/>
              <w:ind w:left="13"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632"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13"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9573" w:type="dxa"/>
            <w:gridSpan w:val="9"/>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2"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18,456.22</w:t>
            </w:r>
          </w:p>
        </w:tc>
      </w:tr>
      <w:tr>
        <w:trPr>
          <w:trHeight w:val="714" w:hRule="exact"/>
        </w:trPr>
        <w:tc>
          <w:tcPr>
            <w:tcW w:w="2632"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18,456.22</w:t>
            </w:r>
          </w:p>
        </w:tc>
      </w:tr>
      <w:tr>
        <w:trPr>
          <w:trHeight w:val="402" w:hRule="exact"/>
        </w:trPr>
        <w:tc>
          <w:tcPr>
            <w:tcW w:w="4855"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6.27%</w:t>
            </w:r>
          </w:p>
        </w:tc>
      </w:tr>
      <w:tr>
        <w:trPr>
          <w:trHeight w:val="402" w:hRule="exact"/>
        </w:trPr>
        <w:tc>
          <w:tcPr>
            <w:tcW w:w="9573" w:type="dxa"/>
            <w:gridSpan w:val="9"/>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4855"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00" w:lineRule="auto" w:before="50"/>
              <w:ind w:left="13"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855"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855"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4855"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13"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12" w:hRule="exact"/>
        </w:trPr>
        <w:tc>
          <w:tcPr>
            <w:tcW w:w="4855" w:type="dxa"/>
            <w:gridSpan w:val="4"/>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32" w:right="14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3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3"/>
        <w:rPr>
          <w:rFonts w:ascii="宋体" w:hAnsi="宋体" w:cs="宋体" w:eastAsia="宋体" w:hint="default"/>
          <w:sz w:val="20"/>
          <w:szCs w:val="20"/>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line="386" w:lineRule="auto" w:before="0"/>
        <w:ind w:left="132" w:right="108" w:firstLine="420"/>
        <w:jc w:val="left"/>
        <w:rPr>
          <w:rFonts w:ascii="宋体" w:hAnsi="宋体" w:cs="宋体" w:eastAsia="宋体" w:hint="default"/>
          <w:sz w:val="21"/>
          <w:szCs w:val="21"/>
        </w:rPr>
      </w:pPr>
      <w:r>
        <w:rPr>
          <w:rFonts w:ascii="宋体" w:hAnsi="宋体" w:cs="宋体" w:eastAsia="宋体" w:hint="default"/>
          <w:sz w:val="21"/>
          <w:szCs w:val="21"/>
        </w:rPr>
        <w:t>公司第三届董事会第二十五次会议审议通过了《关于利用闲置资金进行现金管理的议案》，</w:t>
      </w:r>
      <w:r>
        <w:rPr>
          <w:rFonts w:ascii="Times New Roman" w:hAnsi="Times New Roman" w:cs="Times New Roman" w:eastAsia="Times New Roman" w:hint="default"/>
          <w:sz w:val="21"/>
          <w:szCs w:val="21"/>
        </w:rPr>
        <w:t>“</w:t>
      </w:r>
      <w:r>
        <w:rPr>
          <w:rFonts w:ascii="宋体" w:hAnsi="宋体" w:cs="宋体" w:eastAsia="宋体" w:hint="default"/>
          <w:sz w:val="21"/>
          <w:szCs w:val="21"/>
        </w:rPr>
        <w:t>同意公</w:t>
      </w:r>
      <w:r>
        <w:rPr>
          <w:rFonts w:ascii="宋体" w:hAnsi="宋体" w:cs="宋体" w:eastAsia="宋体" w:hint="default"/>
          <w:w w:val="99"/>
          <w:sz w:val="21"/>
          <w:szCs w:val="21"/>
        </w:rPr>
        <w:t> </w:t>
      </w:r>
      <w:r>
        <w:rPr>
          <w:rFonts w:ascii="宋体" w:hAnsi="宋体" w:cs="宋体" w:eastAsia="宋体" w:hint="default"/>
          <w:sz w:val="21"/>
          <w:szCs w:val="21"/>
        </w:rPr>
        <w:t>司及控股子公司在保障正常生产经营资金需求及资金安全的前提下，使用不超过</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亿元闲置资金进行现金</w:t>
      </w:r>
      <w:r>
        <w:rPr>
          <w:rFonts w:ascii="宋体" w:hAnsi="宋体" w:cs="宋体" w:eastAsia="宋体" w:hint="default"/>
          <w:w w:val="99"/>
          <w:sz w:val="21"/>
          <w:szCs w:val="21"/>
        </w:rPr>
        <w:t> </w:t>
      </w:r>
      <w:r>
        <w:rPr>
          <w:rFonts w:ascii="宋体" w:hAnsi="宋体" w:cs="宋体" w:eastAsia="宋体" w:hint="default"/>
          <w:sz w:val="21"/>
          <w:szCs w:val="21"/>
        </w:rPr>
        <w:t>管理，用于购买短期低风险保本型理财产品等。”该议案经</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年度股东大会审议通过，截至</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日，公司进行现金管理合计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笔，全部为保本型理财产品，日均理财金额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16,276.48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万元，已实现</w:t>
      </w:r>
      <w:r>
        <w:rPr>
          <w:rFonts w:ascii="宋体" w:hAnsi="宋体" w:cs="宋体" w:eastAsia="宋体" w:hint="default"/>
          <w:w w:val="99"/>
          <w:sz w:val="21"/>
          <w:szCs w:val="21"/>
        </w:rPr>
        <w:t> </w:t>
      </w:r>
      <w:r>
        <w:rPr>
          <w:rFonts w:ascii="宋体" w:hAnsi="宋体" w:cs="宋体" w:eastAsia="宋体" w:hint="default"/>
          <w:sz w:val="21"/>
          <w:szCs w:val="21"/>
        </w:rPr>
        <w:t>收益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327.07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万元，平均年化收益率为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3.07%</w:t>
      </w:r>
      <w:r>
        <w:rPr>
          <w:rFonts w:ascii="宋体" w:hAnsi="宋体" w:cs="宋体" w:eastAsia="宋体" w:hint="default"/>
          <w:sz w:val="21"/>
          <w:szCs w:val="21"/>
        </w:rPr>
        <w:t>。</w:t>
      </w:r>
    </w:p>
    <w:p>
      <w:pPr>
        <w:spacing w:after="0" w:line="386" w:lineRule="auto"/>
        <w:jc w:val="left"/>
        <w:rPr>
          <w:rFonts w:ascii="宋体" w:hAnsi="宋体" w:cs="宋体" w:eastAsia="宋体" w:hint="default"/>
          <w:sz w:val="21"/>
          <w:szCs w:val="21"/>
        </w:rPr>
        <w:sectPr>
          <w:pgSz w:w="11910" w:h="16840"/>
          <w:pgMar w:header="850" w:footer="1012" w:top="1440" w:bottom="1200" w:left="1000" w:right="1020"/>
        </w:sectPr>
      </w:pPr>
    </w:p>
    <w:p>
      <w:pPr>
        <w:spacing w:line="240" w:lineRule="auto" w:before="9"/>
        <w:rPr>
          <w:rFonts w:ascii="宋体" w:hAnsi="宋体" w:cs="宋体" w:eastAsia="宋体" w:hint="default"/>
          <w:sz w:val="14"/>
          <w:szCs w:val="14"/>
        </w:rPr>
      </w:pPr>
    </w:p>
    <w:p>
      <w:pPr>
        <w:spacing w:before="34"/>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865"/>
        <w:gridCol w:w="864"/>
        <w:gridCol w:w="982"/>
        <w:gridCol w:w="852"/>
        <w:gridCol w:w="867"/>
        <w:gridCol w:w="869"/>
        <w:gridCol w:w="869"/>
        <w:gridCol w:w="869"/>
        <w:gridCol w:w="867"/>
        <w:gridCol w:w="869"/>
        <w:gridCol w:w="792"/>
      </w:tblGrid>
      <w:tr>
        <w:trPr>
          <w:trHeight w:val="1348" w:hRule="exact"/>
        </w:trPr>
        <w:tc>
          <w:tcPr>
            <w:tcW w:w="86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7" w:right="156" w:hanging="180"/>
              <w:jc w:val="left"/>
              <w:rPr>
                <w:rFonts w:ascii="宋体" w:hAnsi="宋体" w:cs="宋体" w:eastAsia="宋体" w:hint="default"/>
                <w:sz w:val="18"/>
                <w:szCs w:val="18"/>
              </w:rPr>
            </w:pPr>
            <w:r>
              <w:rPr>
                <w:rFonts w:ascii="宋体" w:hAnsi="宋体" w:cs="宋体" w:eastAsia="宋体" w:hint="default"/>
                <w:sz w:val="18"/>
                <w:szCs w:val="18"/>
              </w:rPr>
              <w:t>贷款对 象</w:t>
            </w:r>
          </w:p>
        </w:tc>
        <w:tc>
          <w:tcPr>
            <w:tcW w:w="86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6" w:right="156"/>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98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贷款利率</w:t>
            </w:r>
          </w:p>
        </w:tc>
        <w:tc>
          <w:tcPr>
            <w:tcW w:w="85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1" w:right="149" w:hanging="180"/>
              <w:jc w:val="left"/>
              <w:rPr>
                <w:rFonts w:ascii="宋体" w:hAnsi="宋体" w:cs="宋体" w:eastAsia="宋体" w:hint="default"/>
                <w:sz w:val="18"/>
                <w:szCs w:val="18"/>
              </w:rPr>
            </w:pPr>
            <w:r>
              <w:rPr>
                <w:rFonts w:ascii="宋体" w:hAnsi="宋体" w:cs="宋体" w:eastAsia="宋体" w:hint="default"/>
                <w:sz w:val="18"/>
                <w:szCs w:val="18"/>
              </w:rPr>
              <w:t>贷款金 额</w:t>
            </w:r>
          </w:p>
        </w:tc>
        <w:tc>
          <w:tcPr>
            <w:tcW w:w="8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8" w:right="157"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0" w:right="157"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9" w:right="157"/>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2" w:right="100"/>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8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6" w:right="15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9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2"/>
              <w:ind w:left="120" w:right="110"/>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356" w:hRule="exact"/>
        </w:trPr>
        <w:tc>
          <w:tcPr>
            <w:tcW w:w="865"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浙江电</w:t>
            </w:r>
          </w:p>
        </w:tc>
        <w:tc>
          <w:tcPr>
            <w:tcW w:w="864"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6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12" w:space="0" w:color="000000"/>
            </w:tcBorders>
          </w:tcPr>
          <w:p>
            <w:pPr/>
          </w:p>
        </w:tc>
      </w:tr>
      <w:tr>
        <w:trPr>
          <w:trHeight w:val="317" w:hRule="exact"/>
        </w:trPr>
        <w:tc>
          <w:tcPr>
            <w:tcW w:w="865"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腾云光</w:t>
            </w:r>
          </w:p>
        </w:tc>
        <w:tc>
          <w:tcPr>
            <w:tcW w:w="86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9"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865"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伏科技</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5.45%</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367.5</w:t>
            </w: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0</w:t>
            </w:r>
          </w:p>
        </w:tc>
        <w:tc>
          <w:tcPr>
            <w:tcW w:w="869" w:type="dxa"/>
            <w:vMerge/>
            <w:tcBorders>
              <w:left w:val="single" w:sz="4" w:space="0" w:color="000000"/>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10.07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6.73</w:t>
            </w:r>
          </w:p>
        </w:tc>
        <w:tc>
          <w:tcPr>
            <w:tcW w:w="792" w:type="dxa"/>
            <w:tcBorders>
              <w:top w:val="nil" w:sz="6" w:space="0" w:color="auto"/>
              <w:left w:val="single" w:sz="4" w:space="0" w:color="000000"/>
              <w:bottom w:val="nil" w:sz="6" w:space="0" w:color="auto"/>
              <w:right w:val="single" w:sz="12" w:space="0" w:color="000000"/>
            </w:tcBorders>
          </w:tcPr>
          <w:p>
            <w:pPr>
              <w:pStyle w:val="TableParagraph"/>
              <w:spacing w:line="240" w:lineRule="auto" w:before="47"/>
              <w:ind w:right="351"/>
              <w:jc w:val="right"/>
              <w:rPr>
                <w:rFonts w:ascii="Times New Roman" w:hAnsi="Times New Roman" w:cs="Times New Roman" w:eastAsia="Times New Roman" w:hint="default"/>
                <w:sz w:val="18"/>
                <w:szCs w:val="18"/>
              </w:rPr>
            </w:pPr>
            <w:r>
              <w:rPr>
                <w:rFonts w:ascii="Times New Roman"/>
                <w:spacing w:val="-1"/>
                <w:sz w:val="18"/>
              </w:rPr>
              <w:t>6.12</w:t>
            </w:r>
          </w:p>
        </w:tc>
      </w:tr>
      <w:tr>
        <w:trPr>
          <w:trHeight w:val="307" w:hRule="exact"/>
        </w:trPr>
        <w:tc>
          <w:tcPr>
            <w:tcW w:w="865"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864" w:type="dxa"/>
            <w:tcBorders>
              <w:top w:val="nil" w:sz="6" w:space="0" w:color="auto"/>
              <w:left w:val="single" w:sz="4" w:space="0" w:color="000000"/>
              <w:bottom w:val="nil" w:sz="6" w:space="0" w:color="auto"/>
              <w:right w:val="single" w:sz="4" w:space="0" w:color="000000"/>
            </w:tcBorders>
          </w:tcPr>
          <w:p>
            <w:pPr/>
          </w:p>
        </w:tc>
        <w:tc>
          <w:tcPr>
            <w:tcW w:w="982"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12" w:space="0" w:color="000000"/>
            </w:tcBorders>
          </w:tcPr>
          <w:p>
            <w:pPr/>
          </w:p>
        </w:tc>
      </w:tr>
      <w:tr>
        <w:trPr>
          <w:trHeight w:val="358" w:hRule="exact"/>
        </w:trPr>
        <w:tc>
          <w:tcPr>
            <w:tcW w:w="865"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64"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12" w:space="0" w:color="000000"/>
            </w:tcBorders>
          </w:tcPr>
          <w:p>
            <w:pPr/>
          </w:p>
        </w:tc>
      </w:tr>
      <w:tr>
        <w:trPr>
          <w:trHeight w:val="402" w:hRule="exact"/>
        </w:trPr>
        <w:tc>
          <w:tcPr>
            <w:tcW w:w="1729"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367.5</w:t>
            </w:r>
          </w:p>
        </w:tc>
        <w:tc>
          <w:tcPr>
            <w:tcW w:w="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6.73</w:t>
            </w:r>
          </w:p>
        </w:tc>
        <w:tc>
          <w:tcPr>
            <w:tcW w:w="792"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63"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委托贷款资金来源</w:t>
            </w:r>
          </w:p>
        </w:tc>
        <w:tc>
          <w:tcPr>
            <w:tcW w:w="6002" w:type="dxa"/>
            <w:gridSpan w:val="7"/>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563"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002" w:type="dxa"/>
            <w:gridSpan w:val="7"/>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63"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002" w:type="dxa"/>
            <w:gridSpan w:val="7"/>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563"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6002" w:type="dxa"/>
            <w:gridSpan w:val="7"/>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63" w:type="dxa"/>
            <w:gridSpan w:val="4"/>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6002" w:type="dxa"/>
            <w:gridSpan w:val="7"/>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563" w:type="dxa"/>
            <w:gridSpan w:val="4"/>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未来是否还有委托贷款计划</w:t>
            </w:r>
          </w:p>
        </w:tc>
        <w:tc>
          <w:tcPr>
            <w:tcW w:w="6002" w:type="dxa"/>
            <w:gridSpan w:val="7"/>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6"/>
        <w:rPr>
          <w:rFonts w:ascii="宋体" w:hAnsi="宋体" w:cs="宋体" w:eastAsia="宋体" w:hint="default"/>
          <w:sz w:val="19"/>
          <w:szCs w:val="19"/>
        </w:rPr>
      </w:pPr>
    </w:p>
    <w:p>
      <w:pPr>
        <w:spacing w:before="34"/>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36"/>
        <w:gridCol w:w="526"/>
        <w:gridCol w:w="495"/>
        <w:gridCol w:w="560"/>
        <w:gridCol w:w="705"/>
        <w:gridCol w:w="690"/>
        <w:gridCol w:w="655"/>
        <w:gridCol w:w="525"/>
        <w:gridCol w:w="510"/>
        <w:gridCol w:w="945"/>
        <w:gridCol w:w="495"/>
        <w:gridCol w:w="420"/>
        <w:gridCol w:w="720"/>
        <w:gridCol w:w="570"/>
        <w:gridCol w:w="1121"/>
      </w:tblGrid>
      <w:tr>
        <w:trPr>
          <w:trHeight w:val="2908" w:hRule="exact"/>
        </w:trPr>
        <w:tc>
          <w:tcPr>
            <w:tcW w:w="63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23" w:right="131"/>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52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9" w:right="165"/>
              <w:jc w:val="both"/>
              <w:rPr>
                <w:rFonts w:ascii="宋体" w:hAnsi="宋体" w:cs="宋体" w:eastAsia="宋体" w:hint="default"/>
                <w:sz w:val="18"/>
                <w:szCs w:val="18"/>
              </w:rPr>
            </w:pPr>
            <w:r>
              <w:rPr>
                <w:rFonts w:ascii="宋体" w:hAnsi="宋体" w:cs="宋体" w:eastAsia="宋体" w:hint="default"/>
                <w:sz w:val="18"/>
                <w:szCs w:val="18"/>
              </w:rPr>
              <w:t>合 同 订 立 对 方 名 称</w:t>
            </w:r>
          </w:p>
        </w:tc>
        <w:tc>
          <w:tcPr>
            <w:tcW w:w="4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2" w:right="151"/>
              <w:jc w:val="both"/>
              <w:rPr>
                <w:rFonts w:ascii="宋体" w:hAnsi="宋体" w:cs="宋体" w:eastAsia="宋体" w:hint="default"/>
                <w:sz w:val="18"/>
                <w:szCs w:val="18"/>
              </w:rPr>
            </w:pPr>
            <w:r>
              <w:rPr>
                <w:rFonts w:ascii="宋体" w:hAnsi="宋体" w:cs="宋体" w:eastAsia="宋体" w:hint="default"/>
                <w:sz w:val="18"/>
                <w:szCs w:val="18"/>
              </w:rPr>
              <w:t>合 同 标 的</w:t>
            </w:r>
          </w:p>
        </w:tc>
        <w:tc>
          <w:tcPr>
            <w:tcW w:w="5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5" w:right="183"/>
              <w:jc w:val="both"/>
              <w:rPr>
                <w:rFonts w:ascii="宋体" w:hAnsi="宋体" w:cs="宋体" w:eastAsia="宋体" w:hint="default"/>
                <w:sz w:val="18"/>
                <w:szCs w:val="18"/>
              </w:rPr>
            </w:pPr>
            <w:r>
              <w:rPr>
                <w:rFonts w:ascii="宋体" w:hAnsi="宋体" w:cs="宋体" w:eastAsia="宋体" w:hint="default"/>
                <w:sz w:val="18"/>
                <w:szCs w:val="18"/>
              </w:rPr>
              <w:t>合 同 签 订 日 期</w:t>
            </w:r>
          </w:p>
        </w:tc>
        <w:tc>
          <w:tcPr>
            <w:tcW w:w="7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2" w:right="101"/>
              <w:jc w:val="center"/>
              <w:rPr>
                <w:rFonts w:ascii="宋体" w:hAnsi="宋体" w:cs="宋体" w:eastAsia="宋体" w:hint="default"/>
                <w:sz w:val="18"/>
                <w:szCs w:val="18"/>
              </w:rPr>
            </w:pPr>
            <w:r>
              <w:rPr>
                <w:rFonts w:ascii="宋体" w:hAnsi="宋体" w:cs="宋体" w:eastAsia="宋体" w:hint="default"/>
                <w:sz w:val="18"/>
                <w:szCs w:val="18"/>
              </w:rPr>
              <w:t>合同 涉及 资产 的账 面价 </w:t>
            </w:r>
            <w:r>
              <w:rPr>
                <w:rFonts w:ascii="宋体" w:hAnsi="宋体" w:cs="宋体" w:eastAsia="宋体" w:hint="default"/>
                <w:spacing w:val="-17"/>
                <w:sz w:val="18"/>
                <w:szCs w:val="18"/>
              </w:rPr>
              <w:t>值（万</w:t>
            </w:r>
            <w:r>
              <w:rPr>
                <w:rFonts w:ascii="宋体" w:hAnsi="宋体" w:cs="宋体" w:eastAsia="宋体" w:hint="default"/>
                <w:sz w:val="18"/>
                <w:szCs w:val="18"/>
              </w:rPr>
              <w:t> 元）</w:t>
            </w:r>
          </w:p>
          <w:p>
            <w:pPr>
              <w:pStyle w:val="TableParagraph"/>
              <w:spacing w:line="316" w:lineRule="auto" w:before="19"/>
              <w:ind w:left="167" w:right="166"/>
              <w:jc w:val="center"/>
              <w:rPr>
                <w:rFonts w:ascii="宋体" w:hAnsi="宋体" w:cs="宋体" w:eastAsia="宋体" w:hint="default"/>
                <w:sz w:val="18"/>
                <w:szCs w:val="18"/>
              </w:rPr>
            </w:pPr>
            <w:r>
              <w:rPr>
                <w:rFonts w:ascii="宋体" w:hAnsi="宋体" w:cs="宋体" w:eastAsia="宋体" w:hint="default"/>
                <w:sz w:val="18"/>
                <w:szCs w:val="18"/>
              </w:rPr>
              <w:t>（如 有）</w:t>
            </w:r>
          </w:p>
        </w:tc>
        <w:tc>
          <w:tcPr>
            <w:tcW w:w="6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3" w:right="102" w:firstLine="57"/>
              <w:jc w:val="both"/>
              <w:rPr>
                <w:rFonts w:ascii="宋体" w:hAnsi="宋体" w:cs="宋体" w:eastAsia="宋体" w:hint="default"/>
                <w:sz w:val="18"/>
                <w:szCs w:val="18"/>
              </w:rPr>
            </w:pPr>
            <w:r>
              <w:rPr>
                <w:rFonts w:ascii="宋体" w:hAnsi="宋体" w:cs="宋体" w:eastAsia="宋体" w:hint="default"/>
                <w:sz w:val="18"/>
                <w:szCs w:val="18"/>
              </w:rPr>
              <w:t>合同 涉及 资产 的评 估价 </w:t>
            </w:r>
            <w:r>
              <w:rPr>
                <w:rFonts w:ascii="宋体" w:hAnsi="宋体" w:cs="宋体" w:eastAsia="宋体" w:hint="default"/>
                <w:spacing w:val="-23"/>
                <w:sz w:val="18"/>
                <w:szCs w:val="18"/>
              </w:rPr>
              <w:t>值（万</w:t>
            </w:r>
            <w:r>
              <w:rPr>
                <w:rFonts w:ascii="宋体" w:hAnsi="宋体" w:cs="宋体" w:eastAsia="宋体" w:hint="default"/>
                <w:sz w:val="18"/>
                <w:szCs w:val="18"/>
              </w:rPr>
              <w:t> 元）</w:t>
            </w:r>
          </w:p>
          <w:p>
            <w:pPr>
              <w:pStyle w:val="TableParagraph"/>
              <w:spacing w:line="316" w:lineRule="auto" w:before="19"/>
              <w:ind w:left="160" w:right="157"/>
              <w:jc w:val="both"/>
              <w:rPr>
                <w:rFonts w:ascii="宋体" w:hAnsi="宋体" w:cs="宋体" w:eastAsia="宋体" w:hint="default"/>
                <w:sz w:val="18"/>
                <w:szCs w:val="18"/>
              </w:rPr>
            </w:pPr>
            <w:r>
              <w:rPr>
                <w:rFonts w:ascii="宋体" w:hAnsi="宋体" w:cs="宋体" w:eastAsia="宋体" w:hint="default"/>
                <w:sz w:val="18"/>
                <w:szCs w:val="18"/>
              </w:rPr>
              <w:t>（如 有）</w:t>
            </w:r>
          </w:p>
        </w:tc>
        <w:tc>
          <w:tcPr>
            <w:tcW w:w="65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42" w:right="140"/>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6" w:lineRule="auto" w:before="19"/>
              <w:ind w:left="142" w:right="140"/>
              <w:jc w:val="both"/>
              <w:rPr>
                <w:rFonts w:ascii="宋体" w:hAnsi="宋体" w:cs="宋体" w:eastAsia="宋体" w:hint="default"/>
                <w:sz w:val="18"/>
                <w:szCs w:val="18"/>
              </w:rPr>
            </w:pPr>
            <w:r>
              <w:rPr>
                <w:rFonts w:ascii="宋体" w:hAnsi="宋体" w:cs="宋体" w:eastAsia="宋体" w:hint="default"/>
                <w:sz w:val="18"/>
                <w:szCs w:val="18"/>
              </w:rPr>
              <w:t>（如 有）</w:t>
            </w:r>
          </w:p>
        </w:tc>
        <w:tc>
          <w:tcPr>
            <w:tcW w:w="52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7" w:right="166"/>
              <w:jc w:val="both"/>
              <w:rPr>
                <w:rFonts w:ascii="宋体" w:hAnsi="宋体" w:cs="宋体" w:eastAsia="宋体" w:hint="default"/>
                <w:sz w:val="18"/>
                <w:szCs w:val="18"/>
              </w:rPr>
            </w:pPr>
            <w:r>
              <w:rPr>
                <w:rFonts w:ascii="宋体" w:hAnsi="宋体" w:cs="宋体" w:eastAsia="宋体" w:hint="default"/>
                <w:sz w:val="18"/>
                <w:szCs w:val="18"/>
              </w:rPr>
              <w:t>评 估 基 准 日</w:t>
            </w:r>
          </w:p>
          <w:p>
            <w:pPr>
              <w:pStyle w:val="TableParagraph"/>
              <w:spacing w:line="316" w:lineRule="auto" w:before="19"/>
              <w:ind w:left="102" w:right="51" w:firstLine="110"/>
              <w:jc w:val="both"/>
              <w:rPr>
                <w:rFonts w:ascii="宋体" w:hAnsi="宋体" w:cs="宋体" w:eastAsia="宋体" w:hint="default"/>
                <w:sz w:val="18"/>
                <w:szCs w:val="18"/>
              </w:rPr>
            </w:pPr>
            <w:r>
              <w:rPr>
                <w:rFonts w:ascii="宋体" w:hAnsi="宋体" w:cs="宋体" w:eastAsia="宋体" w:hint="default"/>
                <w:sz w:val="18"/>
                <w:szCs w:val="18"/>
              </w:rPr>
              <w:t>（ 如 有）</w:t>
            </w:r>
          </w:p>
        </w:tc>
        <w:tc>
          <w:tcPr>
            <w:tcW w:w="51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60" w:right="158"/>
              <w:jc w:val="both"/>
              <w:rPr>
                <w:rFonts w:ascii="宋体" w:hAnsi="宋体" w:cs="宋体" w:eastAsia="宋体" w:hint="default"/>
                <w:sz w:val="18"/>
                <w:szCs w:val="18"/>
              </w:rPr>
            </w:pPr>
            <w:r>
              <w:rPr>
                <w:rFonts w:ascii="宋体" w:hAnsi="宋体" w:cs="宋体" w:eastAsia="宋体" w:hint="default"/>
                <w:sz w:val="18"/>
                <w:szCs w:val="18"/>
              </w:rPr>
              <w:t>定 价 原 则</w:t>
            </w:r>
          </w:p>
        </w:tc>
        <w:tc>
          <w:tcPr>
            <w:tcW w:w="9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42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16" w:right="112"/>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72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75" w:right="172"/>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90" w:right="188"/>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112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9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32" w:hRule="exact"/>
        </w:trPr>
        <w:tc>
          <w:tcPr>
            <w:tcW w:w="6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92" w:right="162"/>
              <w:jc w:val="left"/>
              <w:rPr>
                <w:rFonts w:ascii="宋体" w:hAnsi="宋体" w:cs="宋体" w:eastAsia="宋体" w:hint="default"/>
                <w:sz w:val="18"/>
                <w:szCs w:val="18"/>
              </w:rPr>
            </w:pPr>
            <w:r>
              <w:rPr>
                <w:rFonts w:ascii="宋体" w:hAnsi="宋体" w:cs="宋体" w:eastAsia="宋体" w:hint="default"/>
                <w:sz w:val="18"/>
                <w:szCs w:val="18"/>
              </w:rPr>
              <w:t>万马 股份</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2" w:right="232"/>
              <w:jc w:val="both"/>
              <w:rPr>
                <w:rFonts w:ascii="宋体" w:hAnsi="宋体" w:cs="宋体" w:eastAsia="宋体" w:hint="default"/>
                <w:sz w:val="18"/>
                <w:szCs w:val="18"/>
              </w:rPr>
            </w:pPr>
            <w:r>
              <w:rPr>
                <w:rFonts w:ascii="宋体" w:hAnsi="宋体" w:cs="宋体" w:eastAsia="宋体" w:hint="default"/>
                <w:sz w:val="18"/>
                <w:szCs w:val="18"/>
              </w:rPr>
              <w:t>国 家 电 网 公 司</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4" w:right="199"/>
              <w:jc w:val="both"/>
              <w:rPr>
                <w:rFonts w:ascii="宋体" w:hAnsi="宋体" w:cs="宋体" w:eastAsia="宋体" w:hint="default"/>
                <w:sz w:val="18"/>
                <w:szCs w:val="18"/>
              </w:rPr>
            </w:pPr>
            <w:r>
              <w:rPr>
                <w:rFonts w:ascii="宋体" w:hAnsi="宋体" w:cs="宋体" w:eastAsia="宋体" w:hint="default"/>
                <w:sz w:val="18"/>
                <w:szCs w:val="18"/>
              </w:rPr>
              <w:t>电 线 电 缆</w:t>
            </w:r>
          </w:p>
        </w:tc>
        <w:tc>
          <w:tcPr>
            <w:tcW w:w="56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2" w:right="215"/>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21,965.91</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72%</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90"/>
              <w:ind w:left="102" w:right="127"/>
              <w:jc w:val="both"/>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sz w:val="18"/>
              </w:rPr>
              <w:t> cninfo.com. cn/cninfo-n ew/disclosu re/szse_sme</w:t>
            </w:r>
          </w:p>
          <w:p>
            <w:pPr>
              <w:pStyle w:val="TableParagraph"/>
              <w:spacing w:line="362" w:lineRule="auto" w:before="3"/>
              <w:ind w:left="102" w:right="115"/>
              <w:jc w:val="both"/>
              <w:rPr>
                <w:rFonts w:ascii="Times New Roman" w:hAnsi="Times New Roman" w:cs="Times New Roman" w:eastAsia="Times New Roman" w:hint="default"/>
                <w:sz w:val="18"/>
                <w:szCs w:val="18"/>
              </w:rPr>
            </w:pPr>
            <w:r>
              <w:rPr>
                <w:rFonts w:ascii="Times New Roman"/>
                <w:sz w:val="18"/>
              </w:rPr>
              <w:t>/bulletin_de</w:t>
            </w:r>
            <w:r>
              <w:rPr>
                <w:rFonts w:ascii="Times New Roman"/>
                <w:w w:val="99"/>
                <w:sz w:val="18"/>
              </w:rPr>
              <w:t> </w:t>
            </w:r>
            <w:r>
              <w:rPr>
                <w:rFonts w:ascii="Times New Roman"/>
                <w:sz w:val="18"/>
              </w:rPr>
              <w:t>tail/true/120</w:t>
            </w:r>
          </w:p>
        </w:tc>
      </w:tr>
    </w:tbl>
    <w:p>
      <w:pPr>
        <w:spacing w:after="0" w:line="362" w:lineRule="auto"/>
        <w:jc w:val="both"/>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636"/>
        <w:gridCol w:w="526"/>
        <w:gridCol w:w="495"/>
        <w:gridCol w:w="560"/>
        <w:gridCol w:w="705"/>
        <w:gridCol w:w="690"/>
        <w:gridCol w:w="655"/>
        <w:gridCol w:w="525"/>
        <w:gridCol w:w="510"/>
        <w:gridCol w:w="945"/>
        <w:gridCol w:w="495"/>
        <w:gridCol w:w="420"/>
        <w:gridCol w:w="720"/>
        <w:gridCol w:w="570"/>
        <w:gridCol w:w="1121"/>
      </w:tblGrid>
      <w:tr>
        <w:trPr>
          <w:trHeight w:val="1298" w:hRule="exact"/>
        </w:trPr>
        <w:tc>
          <w:tcPr>
            <w:tcW w:w="636" w:type="dxa"/>
            <w:tcBorders>
              <w:top w:val="single" w:sz="4" w:space="0" w:color="000000"/>
              <w:left w:val="single" w:sz="12"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0998527?an</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nounceTime</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=2015-05-1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w:t>
            </w:r>
          </w:p>
        </w:tc>
      </w:tr>
      <w:tr>
        <w:trPr>
          <w:trHeight w:val="3834" w:hRule="exact"/>
        </w:trPr>
        <w:tc>
          <w:tcPr>
            <w:tcW w:w="6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162"/>
              <w:jc w:val="left"/>
              <w:rPr>
                <w:rFonts w:ascii="宋体" w:hAnsi="宋体" w:cs="宋体" w:eastAsia="宋体" w:hint="default"/>
                <w:sz w:val="18"/>
                <w:szCs w:val="18"/>
              </w:rPr>
            </w:pPr>
            <w:r>
              <w:rPr>
                <w:rFonts w:ascii="宋体" w:hAnsi="宋体" w:cs="宋体" w:eastAsia="宋体" w:hint="default"/>
                <w:sz w:val="18"/>
                <w:szCs w:val="18"/>
              </w:rPr>
              <w:t>万马 股份</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2"/>
              <w:jc w:val="both"/>
              <w:rPr>
                <w:rFonts w:ascii="宋体" w:hAnsi="宋体" w:cs="宋体" w:eastAsia="宋体" w:hint="default"/>
                <w:sz w:val="18"/>
                <w:szCs w:val="18"/>
              </w:rPr>
            </w:pPr>
            <w:r>
              <w:rPr>
                <w:rFonts w:ascii="宋体" w:hAnsi="宋体" w:cs="宋体" w:eastAsia="宋体" w:hint="default"/>
                <w:sz w:val="18"/>
                <w:szCs w:val="18"/>
              </w:rPr>
              <w:t>大 连 万 达 地 产 股 份 有 限 公 司</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4" w:right="199"/>
              <w:jc w:val="both"/>
              <w:rPr>
                <w:rFonts w:ascii="宋体" w:hAnsi="宋体" w:cs="宋体" w:eastAsia="宋体" w:hint="default"/>
                <w:sz w:val="18"/>
                <w:szCs w:val="18"/>
              </w:rPr>
            </w:pPr>
            <w:r>
              <w:rPr>
                <w:rFonts w:ascii="宋体" w:hAnsi="宋体" w:cs="宋体" w:eastAsia="宋体" w:hint="default"/>
                <w:sz w:val="18"/>
                <w:szCs w:val="18"/>
              </w:rPr>
              <w:t>防 火 电 缆</w:t>
            </w:r>
          </w:p>
        </w:tc>
        <w:tc>
          <w:tcPr>
            <w:tcW w:w="56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2" w:right="215"/>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5,109.6</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0"/>
              <w:jc w:val="center"/>
              <w:rPr>
                <w:rFonts w:ascii="宋体" w:hAnsi="宋体" w:cs="宋体" w:eastAsia="宋体" w:hint="default"/>
                <w:sz w:val="18"/>
                <w:szCs w:val="18"/>
              </w:rPr>
            </w:pPr>
            <w:r>
              <w:rPr>
                <w:rFonts w:ascii="宋体" w:hAnsi="宋体" w:cs="宋体" w:eastAsia="宋体" w:hint="default"/>
                <w:sz w:val="18"/>
                <w:szCs w:val="18"/>
              </w:rPr>
              <w:t>否</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102" w:right="127"/>
              <w:jc w:val="both"/>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sz w:val="18"/>
              </w:rPr>
              <w:t> cninfo.com. cn/cninfo-n ew/disclosu re/szse_sme</w:t>
            </w:r>
          </w:p>
          <w:p>
            <w:pPr>
              <w:pStyle w:val="TableParagraph"/>
              <w:spacing w:line="362" w:lineRule="auto" w:before="3"/>
              <w:ind w:left="102" w:right="115"/>
              <w:jc w:val="both"/>
              <w:rPr>
                <w:rFonts w:ascii="Times New Roman" w:hAnsi="Times New Roman" w:cs="Times New Roman" w:eastAsia="Times New Roman" w:hint="default"/>
                <w:sz w:val="18"/>
                <w:szCs w:val="18"/>
              </w:rPr>
            </w:pPr>
            <w:r>
              <w:rPr>
                <w:rFonts w:ascii="Times New Roman"/>
                <w:sz w:val="18"/>
              </w:rPr>
              <w:t>/bulletin_de</w:t>
            </w:r>
            <w:r>
              <w:rPr>
                <w:rFonts w:ascii="Times New Roman"/>
                <w:w w:val="99"/>
                <w:sz w:val="18"/>
              </w:rPr>
              <w:t> </w:t>
            </w:r>
            <w:r>
              <w:rPr>
                <w:rFonts w:ascii="Times New Roman"/>
                <w:sz w:val="18"/>
              </w:rPr>
              <w:t>tail/true/120</w:t>
            </w:r>
            <w:r>
              <w:rPr>
                <w:rFonts w:ascii="Times New Roman"/>
                <w:sz w:val="18"/>
              </w:rPr>
              <w:t> 1304993?an</w:t>
            </w:r>
          </w:p>
          <w:p>
            <w:pPr>
              <w:pStyle w:val="TableParagraph"/>
              <w:spacing w:line="240" w:lineRule="auto" w:before="3"/>
              <w:ind w:left="102" w:right="0"/>
              <w:jc w:val="both"/>
              <w:rPr>
                <w:rFonts w:ascii="Times New Roman" w:hAnsi="Times New Roman" w:cs="Times New Roman" w:eastAsia="Times New Roman" w:hint="default"/>
                <w:sz w:val="18"/>
                <w:szCs w:val="18"/>
              </w:rPr>
            </w:pPr>
            <w:r>
              <w:rPr>
                <w:rFonts w:ascii="Times New Roman"/>
                <w:sz w:val="18"/>
              </w:rPr>
              <w:t>nounceTime</w:t>
            </w:r>
          </w:p>
          <w:p>
            <w:pPr>
              <w:pStyle w:val="TableParagraph"/>
              <w:spacing w:line="240" w:lineRule="auto" w:before="105"/>
              <w:ind w:left="102" w:right="0"/>
              <w:jc w:val="both"/>
              <w:rPr>
                <w:rFonts w:ascii="Times New Roman" w:hAnsi="Times New Roman" w:cs="Times New Roman" w:eastAsia="Times New Roman" w:hint="default"/>
                <w:sz w:val="18"/>
                <w:szCs w:val="18"/>
              </w:rPr>
            </w:pPr>
            <w:r>
              <w:rPr>
                <w:rFonts w:ascii="Times New Roman"/>
                <w:sz w:val="18"/>
              </w:rPr>
              <w:t>=2015-07-1</w:t>
            </w:r>
          </w:p>
          <w:p>
            <w:pPr>
              <w:pStyle w:val="TableParagraph"/>
              <w:spacing w:line="240" w:lineRule="auto" w:before="105"/>
              <w:ind w:left="102" w:right="0"/>
              <w:jc w:val="both"/>
              <w:rPr>
                <w:rFonts w:ascii="Times New Roman" w:hAnsi="Times New Roman" w:cs="Times New Roman" w:eastAsia="Times New Roman" w:hint="default"/>
                <w:sz w:val="18"/>
                <w:szCs w:val="18"/>
              </w:rPr>
            </w:pPr>
            <w:r>
              <w:rPr>
                <w:rFonts w:ascii="Times New Roman"/>
                <w:sz w:val="18"/>
              </w:rPr>
              <w:t>7</w:t>
            </w:r>
          </w:p>
        </w:tc>
      </w:tr>
      <w:tr>
        <w:trPr>
          <w:trHeight w:val="3522" w:hRule="exact"/>
        </w:trPr>
        <w:tc>
          <w:tcPr>
            <w:tcW w:w="6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92" w:right="162"/>
              <w:jc w:val="left"/>
              <w:rPr>
                <w:rFonts w:ascii="宋体" w:hAnsi="宋体" w:cs="宋体" w:eastAsia="宋体" w:hint="default"/>
                <w:sz w:val="18"/>
                <w:szCs w:val="18"/>
              </w:rPr>
            </w:pPr>
            <w:r>
              <w:rPr>
                <w:rFonts w:ascii="宋体" w:hAnsi="宋体" w:cs="宋体" w:eastAsia="宋体" w:hint="default"/>
                <w:sz w:val="18"/>
                <w:szCs w:val="18"/>
              </w:rPr>
              <w:t>万马 股份</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2" w:right="232"/>
              <w:jc w:val="both"/>
              <w:rPr>
                <w:rFonts w:ascii="宋体" w:hAnsi="宋体" w:cs="宋体" w:eastAsia="宋体" w:hint="default"/>
                <w:sz w:val="18"/>
                <w:szCs w:val="18"/>
              </w:rPr>
            </w:pPr>
            <w:r>
              <w:rPr>
                <w:rFonts w:ascii="宋体" w:hAnsi="宋体" w:cs="宋体" w:eastAsia="宋体" w:hint="default"/>
                <w:sz w:val="18"/>
                <w:szCs w:val="18"/>
              </w:rPr>
              <w:t>国 家 电 网 公 司</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4" w:right="199"/>
              <w:jc w:val="both"/>
              <w:rPr>
                <w:rFonts w:ascii="宋体" w:hAnsi="宋体" w:cs="宋体" w:eastAsia="宋体" w:hint="default"/>
                <w:sz w:val="18"/>
                <w:szCs w:val="18"/>
              </w:rPr>
            </w:pPr>
            <w:r>
              <w:rPr>
                <w:rFonts w:ascii="宋体" w:hAnsi="宋体" w:cs="宋体" w:eastAsia="宋体" w:hint="default"/>
                <w:sz w:val="18"/>
                <w:szCs w:val="18"/>
              </w:rPr>
              <w:t>电 线 电 缆</w:t>
            </w:r>
          </w:p>
        </w:tc>
        <w:tc>
          <w:tcPr>
            <w:tcW w:w="56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2" w:right="215"/>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18,099.3</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否</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362" w:lineRule="auto" w:before="92"/>
              <w:ind w:left="102" w:right="127"/>
              <w:jc w:val="both"/>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sz w:val="18"/>
              </w:rPr>
              <w:t> cninfo.com. cn/cninfo-n ew/disclosu re/szse_sme</w:t>
            </w:r>
          </w:p>
          <w:p>
            <w:pPr>
              <w:pStyle w:val="TableParagraph"/>
              <w:spacing w:line="362" w:lineRule="auto" w:before="3"/>
              <w:ind w:left="102" w:right="115"/>
              <w:jc w:val="both"/>
              <w:rPr>
                <w:rFonts w:ascii="Times New Roman" w:hAnsi="Times New Roman" w:cs="Times New Roman" w:eastAsia="Times New Roman" w:hint="default"/>
                <w:sz w:val="18"/>
                <w:szCs w:val="18"/>
              </w:rPr>
            </w:pPr>
            <w:r>
              <w:rPr>
                <w:rFonts w:ascii="Times New Roman"/>
                <w:sz w:val="18"/>
              </w:rPr>
              <w:t>/bulletin_de</w:t>
            </w:r>
            <w:r>
              <w:rPr>
                <w:rFonts w:ascii="Times New Roman"/>
                <w:w w:val="99"/>
                <w:sz w:val="18"/>
              </w:rPr>
              <w:t> </w:t>
            </w:r>
            <w:r>
              <w:rPr>
                <w:rFonts w:ascii="Times New Roman"/>
                <w:sz w:val="18"/>
              </w:rPr>
              <w:t>tail/true/120</w:t>
            </w:r>
            <w:r>
              <w:rPr>
                <w:rFonts w:ascii="Times New Roman"/>
                <w:sz w:val="18"/>
              </w:rPr>
              <w:t> 1719581?an</w:t>
            </w:r>
          </w:p>
          <w:p>
            <w:pPr>
              <w:pStyle w:val="TableParagraph"/>
              <w:spacing w:line="240" w:lineRule="auto" w:before="3"/>
              <w:ind w:left="102" w:right="0"/>
              <w:jc w:val="both"/>
              <w:rPr>
                <w:rFonts w:ascii="Times New Roman" w:hAnsi="Times New Roman" w:cs="Times New Roman" w:eastAsia="Times New Roman" w:hint="default"/>
                <w:sz w:val="18"/>
                <w:szCs w:val="18"/>
              </w:rPr>
            </w:pPr>
            <w:r>
              <w:rPr>
                <w:rFonts w:ascii="Times New Roman"/>
                <w:sz w:val="18"/>
              </w:rPr>
              <w:t>nounceTime</w:t>
            </w:r>
          </w:p>
          <w:p>
            <w:pPr>
              <w:pStyle w:val="TableParagraph"/>
              <w:spacing w:line="240" w:lineRule="auto" w:before="105"/>
              <w:ind w:left="102" w:right="0"/>
              <w:jc w:val="both"/>
              <w:rPr>
                <w:rFonts w:ascii="Times New Roman" w:hAnsi="Times New Roman" w:cs="Times New Roman" w:eastAsia="Times New Roman" w:hint="default"/>
                <w:sz w:val="18"/>
                <w:szCs w:val="18"/>
              </w:rPr>
            </w:pPr>
            <w:r>
              <w:rPr>
                <w:rFonts w:ascii="Times New Roman"/>
                <w:sz w:val="18"/>
              </w:rPr>
              <w:t>=2015-10-2</w:t>
            </w:r>
          </w:p>
          <w:p>
            <w:pPr>
              <w:pStyle w:val="TableParagraph"/>
              <w:spacing w:line="240" w:lineRule="auto" w:before="105"/>
              <w:ind w:left="102" w:right="0"/>
              <w:jc w:val="both"/>
              <w:rPr>
                <w:rFonts w:ascii="Times New Roman" w:hAnsi="Times New Roman" w:cs="Times New Roman" w:eastAsia="Times New Roman" w:hint="default"/>
                <w:sz w:val="18"/>
                <w:szCs w:val="18"/>
              </w:rPr>
            </w:pPr>
            <w:r>
              <w:rPr>
                <w:rFonts w:ascii="Times New Roman"/>
                <w:sz w:val="18"/>
              </w:rPr>
              <w:t>6</w:t>
            </w:r>
          </w:p>
        </w:tc>
      </w:tr>
      <w:tr>
        <w:trPr>
          <w:trHeight w:val="3532" w:hRule="exact"/>
        </w:trPr>
        <w:tc>
          <w:tcPr>
            <w:tcW w:w="63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2" w:right="162"/>
              <w:jc w:val="both"/>
              <w:rPr>
                <w:rFonts w:ascii="宋体" w:hAnsi="宋体" w:cs="宋体" w:eastAsia="宋体" w:hint="default"/>
                <w:sz w:val="18"/>
                <w:szCs w:val="18"/>
              </w:rPr>
            </w:pPr>
            <w:r>
              <w:rPr>
                <w:rFonts w:ascii="宋体" w:hAnsi="宋体" w:cs="宋体" w:eastAsia="宋体" w:hint="default"/>
                <w:sz w:val="18"/>
                <w:szCs w:val="18"/>
              </w:rPr>
              <w:t>浙江 万马 新能 源有 限公 司</w:t>
            </w:r>
          </w:p>
        </w:tc>
        <w:tc>
          <w:tcPr>
            <w:tcW w:w="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2" w:right="232"/>
              <w:jc w:val="both"/>
              <w:rPr>
                <w:rFonts w:ascii="宋体" w:hAnsi="宋体" w:cs="宋体" w:eastAsia="宋体" w:hint="default"/>
                <w:sz w:val="18"/>
                <w:szCs w:val="18"/>
              </w:rPr>
            </w:pPr>
            <w:r>
              <w:rPr>
                <w:rFonts w:ascii="宋体" w:hAnsi="宋体" w:cs="宋体" w:eastAsia="宋体" w:hint="default"/>
                <w:sz w:val="18"/>
                <w:szCs w:val="18"/>
              </w:rPr>
              <w:t>国 家 电 网 公 司</w:t>
            </w:r>
          </w:p>
        </w:tc>
        <w:tc>
          <w:tcPr>
            <w:tcW w:w="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4" w:right="199"/>
              <w:jc w:val="both"/>
              <w:rPr>
                <w:rFonts w:ascii="宋体" w:hAnsi="宋体" w:cs="宋体" w:eastAsia="宋体" w:hint="default"/>
                <w:sz w:val="18"/>
                <w:szCs w:val="18"/>
              </w:rPr>
            </w:pPr>
            <w:r>
              <w:rPr>
                <w:rFonts w:ascii="宋体" w:hAnsi="宋体" w:cs="宋体" w:eastAsia="宋体" w:hint="default"/>
                <w:sz w:val="18"/>
                <w:szCs w:val="18"/>
              </w:rPr>
              <w:t>充 电 设 备</w:t>
            </w:r>
          </w:p>
        </w:tc>
        <w:tc>
          <w:tcPr>
            <w:tcW w:w="560" w:type="dxa"/>
            <w:tcBorders>
              <w:top w:val="single" w:sz="4" w:space="0" w:color="000000"/>
              <w:left w:val="single" w:sz="4" w:space="0" w:color="000000"/>
              <w:bottom w:val="single" w:sz="12" w:space="0" w:color="000000"/>
              <w:right w:val="single" w:sz="4" w:space="0" w:color="000000"/>
            </w:tcBorders>
          </w:tcPr>
          <w:p>
            <w:pPr/>
          </w:p>
        </w:tc>
        <w:tc>
          <w:tcPr>
            <w:tcW w:w="705" w:type="dxa"/>
            <w:tcBorders>
              <w:top w:val="single" w:sz="4" w:space="0" w:color="000000"/>
              <w:left w:val="single" w:sz="4" w:space="0" w:color="000000"/>
              <w:bottom w:val="single" w:sz="12" w:space="0" w:color="000000"/>
              <w:right w:val="single" w:sz="4" w:space="0" w:color="000000"/>
            </w:tcBorders>
          </w:tcPr>
          <w:p>
            <w:pPr/>
          </w:p>
        </w:tc>
        <w:tc>
          <w:tcPr>
            <w:tcW w:w="690" w:type="dxa"/>
            <w:tcBorders>
              <w:top w:val="single" w:sz="4" w:space="0" w:color="000000"/>
              <w:left w:val="single" w:sz="4" w:space="0" w:color="000000"/>
              <w:bottom w:val="single" w:sz="12" w:space="0" w:color="000000"/>
              <w:right w:val="single" w:sz="4" w:space="0" w:color="000000"/>
            </w:tcBorders>
          </w:tcPr>
          <w:p>
            <w:pPr/>
          </w:p>
        </w:tc>
        <w:tc>
          <w:tcPr>
            <w:tcW w:w="6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5" w:type="dxa"/>
            <w:tcBorders>
              <w:top w:val="single" w:sz="4" w:space="0" w:color="000000"/>
              <w:left w:val="single" w:sz="4" w:space="0" w:color="000000"/>
              <w:bottom w:val="single" w:sz="12" w:space="0" w:color="000000"/>
              <w:right w:val="single" w:sz="4" w:space="0" w:color="000000"/>
            </w:tcBorders>
          </w:tcPr>
          <w:p>
            <w:pPr/>
          </w:p>
        </w:tc>
        <w:tc>
          <w:tcPr>
            <w:tcW w:w="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2" w:right="215"/>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4,243.42</w:t>
            </w:r>
          </w:p>
        </w:tc>
        <w:tc>
          <w:tcPr>
            <w:tcW w:w="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否</w:t>
            </w:r>
          </w:p>
        </w:tc>
        <w:tc>
          <w:tcPr>
            <w:tcW w:w="4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w:t>
            </w:r>
          </w:p>
        </w:tc>
        <w:tc>
          <w:tcPr>
            <w:tcW w:w="1121" w:type="dxa"/>
            <w:tcBorders>
              <w:top w:val="single" w:sz="4" w:space="0" w:color="000000"/>
              <w:left w:val="single" w:sz="4" w:space="0" w:color="000000"/>
              <w:bottom w:val="single" w:sz="12" w:space="0" w:color="000000"/>
              <w:right w:val="single" w:sz="12" w:space="0" w:color="000000"/>
            </w:tcBorders>
          </w:tcPr>
          <w:p>
            <w:pPr>
              <w:pStyle w:val="TableParagraph"/>
              <w:spacing w:line="362" w:lineRule="auto" w:before="91"/>
              <w:ind w:left="102" w:right="127"/>
              <w:jc w:val="both"/>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sz w:val="18"/>
              </w:rPr>
              <w:t> cninfo.com. cn/cninfo-n ew/disclosu re/szse_sme</w:t>
            </w:r>
          </w:p>
          <w:p>
            <w:pPr>
              <w:pStyle w:val="TableParagraph"/>
              <w:spacing w:line="362" w:lineRule="auto" w:before="3"/>
              <w:ind w:left="102" w:right="115"/>
              <w:jc w:val="both"/>
              <w:rPr>
                <w:rFonts w:ascii="Times New Roman" w:hAnsi="Times New Roman" w:cs="Times New Roman" w:eastAsia="Times New Roman" w:hint="default"/>
                <w:sz w:val="18"/>
                <w:szCs w:val="18"/>
              </w:rPr>
            </w:pPr>
            <w:r>
              <w:rPr>
                <w:rFonts w:ascii="Times New Roman"/>
                <w:sz w:val="18"/>
              </w:rPr>
              <w:t>/bulletin_de</w:t>
            </w:r>
            <w:r>
              <w:rPr>
                <w:rFonts w:ascii="Times New Roman"/>
                <w:w w:val="99"/>
                <w:sz w:val="18"/>
              </w:rPr>
              <w:t> </w:t>
            </w:r>
            <w:r>
              <w:rPr>
                <w:rFonts w:ascii="Times New Roman"/>
                <w:sz w:val="18"/>
              </w:rPr>
              <w:t>tail/true/120</w:t>
            </w:r>
            <w:r>
              <w:rPr>
                <w:rFonts w:ascii="Times New Roman"/>
                <w:sz w:val="18"/>
              </w:rPr>
              <w:t> 1748227?an</w:t>
            </w:r>
          </w:p>
          <w:p>
            <w:pPr>
              <w:pStyle w:val="TableParagraph"/>
              <w:spacing w:line="240" w:lineRule="auto" w:before="3"/>
              <w:ind w:left="102" w:right="0"/>
              <w:jc w:val="both"/>
              <w:rPr>
                <w:rFonts w:ascii="Times New Roman" w:hAnsi="Times New Roman" w:cs="Times New Roman" w:eastAsia="Times New Roman" w:hint="default"/>
                <w:sz w:val="18"/>
                <w:szCs w:val="18"/>
              </w:rPr>
            </w:pPr>
            <w:r>
              <w:rPr>
                <w:rFonts w:ascii="Times New Roman"/>
                <w:sz w:val="18"/>
              </w:rPr>
              <w:t>nounceTime</w:t>
            </w:r>
          </w:p>
          <w:p>
            <w:pPr>
              <w:pStyle w:val="TableParagraph"/>
              <w:spacing w:line="240" w:lineRule="auto" w:before="105"/>
              <w:ind w:left="102" w:right="0"/>
              <w:jc w:val="both"/>
              <w:rPr>
                <w:rFonts w:ascii="Times New Roman" w:hAnsi="Times New Roman" w:cs="Times New Roman" w:eastAsia="Times New Roman" w:hint="default"/>
                <w:sz w:val="18"/>
                <w:szCs w:val="18"/>
              </w:rPr>
            </w:pPr>
            <w:r>
              <w:rPr>
                <w:rFonts w:ascii="Times New Roman"/>
                <w:sz w:val="18"/>
              </w:rPr>
              <w:t>=2015-11-0</w:t>
            </w:r>
          </w:p>
          <w:p>
            <w:pPr>
              <w:pStyle w:val="TableParagraph"/>
              <w:spacing w:line="240" w:lineRule="auto" w:before="105"/>
              <w:ind w:left="102" w:right="0"/>
              <w:jc w:val="both"/>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8"/>
          <w:szCs w:val="18"/>
        </w:rPr>
      </w:pPr>
    </w:p>
    <w:p>
      <w:pPr>
        <w:pStyle w:val="Heading2"/>
        <w:spacing w:line="240" w:lineRule="auto" w:before="26"/>
        <w:ind w:right="14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8"/>
        <w:rPr>
          <w:rFonts w:ascii="宋体" w:hAnsi="宋体" w:cs="宋体" w:eastAsia="宋体" w:hint="default"/>
          <w:sz w:val="20"/>
          <w:szCs w:val="20"/>
        </w:rPr>
      </w:pPr>
    </w:p>
    <w:p>
      <w:pPr>
        <w:spacing w:line="408" w:lineRule="auto" w:before="34"/>
        <w:ind w:left="692" w:right="262" w:hanging="15"/>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拟非公开发行股票，实施“一体两翼”战略。</w:t>
      </w:r>
      <w:r>
        <w:rPr>
          <w:rFonts w:ascii="宋体" w:hAnsi="宋体" w:cs="宋体" w:eastAsia="宋体" w:hint="default"/>
          <w:b/>
          <w:bCs/>
          <w:w w:val="99"/>
          <w:sz w:val="21"/>
          <w:szCs w:val="21"/>
        </w:rPr>
        <w:t> </w:t>
      </w:r>
      <w:r>
        <w:rPr>
          <w:rFonts w:ascii="宋体" w:hAnsi="宋体" w:cs="宋体" w:eastAsia="宋体" w:hint="default"/>
          <w:spacing w:val="-2"/>
          <w:sz w:val="21"/>
          <w:szCs w:val="21"/>
        </w:rPr>
        <w:t>根据国家新能源产业发展政策导向，结合公司“一体两翼”发展战略，为全面布局新能源汽车充电网</w:t>
      </w:r>
    </w:p>
    <w:p>
      <w:pPr>
        <w:spacing w:line="408" w:lineRule="auto" w:before="46"/>
        <w:ind w:left="212" w:right="168" w:firstLine="0"/>
        <w:jc w:val="both"/>
        <w:rPr>
          <w:rFonts w:ascii="宋体" w:hAnsi="宋体" w:cs="宋体" w:eastAsia="宋体" w:hint="default"/>
          <w:sz w:val="21"/>
          <w:szCs w:val="21"/>
        </w:rPr>
      </w:pPr>
      <w:r>
        <w:rPr>
          <w:rFonts w:ascii="宋体" w:hAnsi="宋体" w:cs="宋体" w:eastAsia="宋体" w:hint="default"/>
          <w:spacing w:val="-3"/>
          <w:sz w:val="21"/>
          <w:szCs w:val="21"/>
        </w:rPr>
        <w:t>服务、运营维护市场，提升公司绝缘材料的市场占有率和品牌实力，公司拟非公开发行股票，投资新能源、</w:t>
      </w:r>
      <w:r>
        <w:rPr>
          <w:rFonts w:ascii="宋体" w:hAnsi="宋体" w:cs="宋体" w:eastAsia="宋体" w:hint="default"/>
          <w:w w:val="99"/>
          <w:sz w:val="21"/>
          <w:szCs w:val="21"/>
        </w:rPr>
        <w:t> </w:t>
      </w:r>
      <w:r>
        <w:rPr>
          <w:rFonts w:ascii="宋体" w:hAnsi="宋体" w:cs="宋体" w:eastAsia="宋体" w:hint="default"/>
          <w:sz w:val="21"/>
          <w:szCs w:val="21"/>
        </w:rPr>
        <w:t>新材料产业。</w:t>
      </w:r>
    </w:p>
    <w:p>
      <w:pPr>
        <w:spacing w:before="46"/>
        <w:ind w:left="572" w:right="102" w:firstLine="0"/>
        <w:jc w:val="left"/>
        <w:rPr>
          <w:rFonts w:ascii="宋体" w:hAnsi="宋体" w:cs="宋体" w:eastAsia="宋体" w:hint="default"/>
          <w:sz w:val="21"/>
          <w:szCs w:val="21"/>
        </w:rPr>
      </w:pPr>
      <w:r>
        <w:rPr>
          <w:rFonts w:ascii="宋体" w:hAnsi="宋体" w:cs="宋体" w:eastAsia="宋体" w:hint="default"/>
          <w:spacing w:val="-3"/>
          <w:sz w:val="21"/>
          <w:szCs w:val="21"/>
        </w:rPr>
        <w:t>2015年8月15日，公司第三届董事会第三十二次会议审议通过《2015年非公开开发行股票预案》等议案；</w:t>
      </w:r>
    </w:p>
    <w:p>
      <w:pPr>
        <w:spacing w:line="240" w:lineRule="auto" w:before="10"/>
        <w:rPr>
          <w:rFonts w:ascii="宋体" w:hAnsi="宋体" w:cs="宋体" w:eastAsia="宋体" w:hint="default"/>
          <w:sz w:val="14"/>
          <w:szCs w:val="14"/>
        </w:rPr>
      </w:pPr>
    </w:p>
    <w:p>
      <w:pPr>
        <w:spacing w:line="408" w:lineRule="auto" w:before="0"/>
        <w:ind w:left="212" w:right="270" w:firstLine="0"/>
        <w:jc w:val="both"/>
        <w:rPr>
          <w:rFonts w:ascii="宋体" w:hAnsi="宋体" w:cs="宋体" w:eastAsia="宋体" w:hint="default"/>
          <w:sz w:val="21"/>
          <w:szCs w:val="21"/>
        </w:rPr>
      </w:pPr>
      <w:r>
        <w:rPr>
          <w:rFonts w:ascii="宋体" w:hAnsi="宋体" w:cs="宋体" w:eastAsia="宋体" w:hint="default"/>
          <w:w w:val="95"/>
          <w:sz w:val="21"/>
          <w:szCs w:val="21"/>
        </w:rPr>
        <w:t>2015年10月19日，第三届董事会第三十三次会议审议通过《2015年非公开开发行股票预案（修订版）》等</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pacing w:val="10"/>
          <w:sz w:val="21"/>
          <w:szCs w:val="21"/>
        </w:rPr>
        <w:t>议案，并经2015年11月5日召开的2015年第二次临时股东大会审议通过。公司拟募集资金总额不超过</w:t>
      </w:r>
      <w:r>
        <w:rPr>
          <w:rFonts w:ascii="宋体" w:hAnsi="宋体" w:cs="宋体" w:eastAsia="宋体" w:hint="default"/>
          <w:w w:val="99"/>
          <w:sz w:val="21"/>
          <w:szCs w:val="21"/>
        </w:rPr>
        <w:t> </w:t>
      </w:r>
      <w:r>
        <w:rPr>
          <w:rFonts w:ascii="宋体" w:hAnsi="宋体" w:cs="宋体" w:eastAsia="宋体" w:hint="default"/>
          <w:sz w:val="21"/>
          <w:szCs w:val="21"/>
        </w:rPr>
        <w:t>125,800</w:t>
      </w:r>
      <w:r>
        <w:rPr>
          <w:rFonts w:ascii="宋体" w:hAnsi="宋体" w:cs="宋体" w:eastAsia="宋体" w:hint="default"/>
          <w:spacing w:val="-28"/>
          <w:sz w:val="21"/>
          <w:szCs w:val="21"/>
        </w:rPr>
        <w:t> </w:t>
      </w:r>
      <w:r>
        <w:rPr>
          <w:rFonts w:ascii="宋体" w:hAnsi="宋体" w:cs="宋体" w:eastAsia="宋体" w:hint="default"/>
          <w:spacing w:val="2"/>
          <w:sz w:val="21"/>
          <w:szCs w:val="21"/>
        </w:rPr>
        <w:t>万元，投向I-ChargeNet智能充电网络建设项目（一期）、年产56,000吨新型环保高分子材料、</w:t>
      </w:r>
      <w:r>
        <w:rPr>
          <w:rFonts w:ascii="宋体" w:hAnsi="宋体" w:cs="宋体" w:eastAsia="宋体" w:hint="default"/>
          <w:w w:val="99"/>
          <w:sz w:val="21"/>
          <w:szCs w:val="21"/>
        </w:rPr>
        <w:t> </w:t>
      </w:r>
      <w:r>
        <w:rPr>
          <w:rFonts w:ascii="宋体" w:hAnsi="宋体" w:cs="宋体" w:eastAsia="宋体" w:hint="default"/>
          <w:spacing w:val="2"/>
          <w:w w:val="95"/>
          <w:sz w:val="21"/>
          <w:szCs w:val="21"/>
        </w:rPr>
        <w:t>补充流动资金；发行对象为不超过10名特定投资者。（详见公司于2015年8月18日、10月20日巨潮资讯网</w:t>
      </w:r>
      <w:r>
        <w:rPr>
          <w:rFonts w:ascii="宋体" w:hAnsi="宋体" w:cs="宋体" w:eastAsia="宋体" w:hint="default"/>
          <w:spacing w:val="2"/>
          <w:sz w:val="21"/>
          <w:szCs w:val="21"/>
        </w:rPr>
      </w:r>
    </w:p>
    <w:p>
      <w:pPr>
        <w:spacing w:line="408" w:lineRule="auto" w:before="46"/>
        <w:ind w:left="572" w:right="262" w:hanging="464"/>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宋体" w:hAnsi="宋体" w:cs="宋体" w:eastAsia="宋体" w:hint="default"/>
            <w:sz w:val="21"/>
            <w:szCs w:val="21"/>
          </w:rPr>
          <w:t>http://www.cninfo.com.cn</w:t>
        </w:r>
      </w:hyperlink>
      <w:r>
        <w:rPr>
          <w:rFonts w:ascii="宋体" w:hAnsi="宋体" w:cs="宋体" w:eastAsia="宋体" w:hint="default"/>
          <w:sz w:val="21"/>
          <w:szCs w:val="21"/>
        </w:rPr>
        <w:t>）披露的《2015年非公开开发行股票预案》等相关公告）。</w:t>
      </w:r>
      <w:r>
        <w:rPr>
          <w:rFonts w:ascii="宋体" w:hAnsi="宋体" w:cs="宋体" w:eastAsia="宋体" w:hint="default"/>
          <w:w w:val="99"/>
          <w:sz w:val="21"/>
          <w:szCs w:val="21"/>
        </w:rPr>
        <w:t> </w:t>
      </w:r>
      <w:r>
        <w:rPr>
          <w:rFonts w:ascii="宋体" w:hAnsi="宋体" w:cs="宋体" w:eastAsia="宋体" w:hint="default"/>
          <w:sz w:val="21"/>
          <w:szCs w:val="21"/>
        </w:rPr>
        <w:t>报告期后进展：2016年1月13日，收到中国证监会《行政许可申请受理通知书》；2016年2月16日，收</w:t>
      </w:r>
    </w:p>
    <w:p>
      <w:pPr>
        <w:spacing w:line="408" w:lineRule="auto" w:before="46"/>
        <w:ind w:left="212" w:right="252" w:firstLine="0"/>
        <w:jc w:val="both"/>
        <w:rPr>
          <w:rFonts w:ascii="宋体" w:hAnsi="宋体" w:cs="宋体" w:eastAsia="宋体" w:hint="default"/>
          <w:sz w:val="21"/>
          <w:szCs w:val="21"/>
        </w:rPr>
      </w:pPr>
      <w:r>
        <w:rPr>
          <w:rFonts w:ascii="宋体" w:hAnsi="宋体" w:cs="宋体" w:eastAsia="宋体" w:hint="default"/>
          <w:spacing w:val="2"/>
          <w:w w:val="95"/>
          <w:sz w:val="21"/>
          <w:szCs w:val="21"/>
        </w:rPr>
        <w:t>到中国证监会《行政许可项目审查反馈意见通知书》；2016年2月25日，公司第三届董事会第三十九次会</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议审议通过《关于浙江万马股份有限公司非公开发行股票申请文件反馈意见相关问题回复的议案》、《关</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于调整公司2015年非公开发行股票预案的议案》、《关于公司2015年度非公开发行股票摊薄即期回报及填</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补回报措施的议案》、《相关主体关于切实履行公司填补即期回报措施承诺的议案》等，并向证监会申报</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pacing w:val="2"/>
          <w:w w:val="95"/>
          <w:sz w:val="21"/>
          <w:szCs w:val="21"/>
        </w:rPr>
        <w:t>相关材料；2016年3月16日，公司第三届董事会第四十一次会议审议通过《关于撤回2015年度非公开发行</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股票申请文件的议案》、《关于2016年非公开发行股票方案的议案》等，发行的定价基准日为本次非公开</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pacing w:val="2"/>
          <w:sz w:val="21"/>
          <w:szCs w:val="21"/>
        </w:rPr>
        <w:t>发行股票的发行期首日，发行价格不低于定价基准日前20个交易日公司股票交易均价的90%。（详见公司</w:t>
      </w:r>
      <w:r>
        <w:rPr>
          <w:rFonts w:ascii="宋体" w:hAnsi="宋体" w:cs="宋体" w:eastAsia="宋体" w:hint="default"/>
          <w:w w:val="99"/>
          <w:sz w:val="21"/>
          <w:szCs w:val="21"/>
        </w:rPr>
        <w:t> </w:t>
      </w:r>
      <w:r>
        <w:rPr>
          <w:rFonts w:ascii="宋体" w:hAnsi="宋体" w:cs="宋体" w:eastAsia="宋体" w:hint="default"/>
          <w:w w:val="95"/>
          <w:sz w:val="21"/>
          <w:szCs w:val="21"/>
        </w:rPr>
        <w:t>于2016年1月14日、1月14日、2月26日、3月17日巨潮资讯网</w:t>
      </w:r>
      <w:hyperlink r:id="rId21">
        <w:r>
          <w:rPr>
            <w:rFonts w:ascii="宋体" w:hAnsi="宋体" w:cs="宋体" w:eastAsia="宋体" w:hint="default"/>
            <w:w w:val="95"/>
            <w:sz w:val="21"/>
            <w:szCs w:val="21"/>
          </w:rPr>
          <w:t>http://www.cninfo.com.cn公司相关公告</w:t>
        </w:r>
      </w:hyperlink>
      <w:r>
        <w:rPr>
          <w:rFonts w:ascii="宋体" w:hAnsi="宋体" w:cs="宋体" w:eastAsia="宋体" w:hint="default"/>
          <w:w w:val="95"/>
          <w:sz w:val="21"/>
          <w:szCs w:val="21"/>
        </w:rPr>
        <w:t>）。</w:t>
      </w:r>
      <w:r>
        <w:rPr>
          <w:rFonts w:ascii="宋体" w:hAnsi="宋体" w:cs="宋体" w:eastAsia="宋体" w:hint="default"/>
          <w:sz w:val="21"/>
          <w:szCs w:val="21"/>
        </w:rPr>
      </w:r>
    </w:p>
    <w:p>
      <w:pPr>
        <w:spacing w:before="46"/>
        <w:ind w:left="572" w:right="26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
          <w:sz w:val="21"/>
          <w:szCs w:val="21"/>
        </w:rPr>
        <w:t> </w:t>
      </w:r>
      <w:r>
        <w:rPr>
          <w:rFonts w:ascii="宋体" w:hAnsi="宋体" w:cs="宋体" w:eastAsia="宋体" w:hint="default"/>
          <w:b/>
          <w:bCs/>
          <w:sz w:val="21"/>
          <w:szCs w:val="21"/>
        </w:rPr>
        <w:t>收购华光电缆，未能结盟。</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12" w:right="102" w:firstLine="360"/>
        <w:jc w:val="left"/>
        <w:rPr>
          <w:rFonts w:ascii="宋体" w:hAnsi="宋体" w:cs="宋体" w:eastAsia="宋体" w:hint="default"/>
          <w:sz w:val="21"/>
          <w:szCs w:val="21"/>
        </w:rPr>
      </w:pPr>
      <w:r>
        <w:rPr>
          <w:rFonts w:ascii="宋体" w:hAnsi="宋体" w:cs="宋体" w:eastAsia="宋体" w:hint="default"/>
          <w:spacing w:val="-2"/>
          <w:w w:val="95"/>
          <w:sz w:val="21"/>
          <w:szCs w:val="21"/>
        </w:rPr>
        <w:t>2015年3月11日，公司与远洋东泽、远洋船用、朱晓、卢格、何卫东和金栖泽签署《股权收购意向书》。</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sz w:val="21"/>
          <w:szCs w:val="21"/>
        </w:rPr>
        <w:t>公司拟以自有资金现金收购华光电缆90%股权，交易总价款约18,000万元。（详见公司于2015年3月12日在</w:t>
      </w:r>
      <w:r>
        <w:rPr>
          <w:rFonts w:ascii="宋体" w:hAnsi="宋体" w:cs="宋体" w:eastAsia="宋体" w:hint="default"/>
          <w:w w:val="99"/>
          <w:sz w:val="21"/>
          <w:szCs w:val="21"/>
        </w:rPr>
        <w:t> </w:t>
      </w:r>
      <w:r>
        <w:rPr>
          <w:rFonts w:ascii="宋体" w:hAnsi="宋体" w:cs="宋体" w:eastAsia="宋体" w:hint="default"/>
          <w:spacing w:val="3"/>
          <w:sz w:val="21"/>
          <w:szCs w:val="21"/>
        </w:rPr>
        <w:t>巨潮资讯网（</w:t>
      </w:r>
      <w:hyperlink r:id="rId12">
        <w:r>
          <w:rPr>
            <w:rFonts w:ascii="宋体" w:hAnsi="宋体" w:cs="宋体" w:eastAsia="宋体" w:hint="default"/>
            <w:spacing w:val="3"/>
            <w:sz w:val="21"/>
            <w:szCs w:val="21"/>
          </w:rPr>
          <w:t>http://www.cninfo.com.cn</w:t>
        </w:r>
      </w:hyperlink>
      <w:r>
        <w:rPr>
          <w:rFonts w:ascii="宋体" w:hAnsi="宋体" w:cs="宋体" w:eastAsia="宋体" w:hint="default"/>
          <w:spacing w:val="3"/>
          <w:sz w:val="21"/>
          <w:szCs w:val="21"/>
        </w:rPr>
        <w:t>）披露的《关于签署&lt;股权收购意向书&gt;的公告》（公告编号：</w:t>
      </w:r>
      <w:r>
        <w:rPr>
          <w:rFonts w:ascii="宋体" w:hAnsi="宋体" w:cs="宋体" w:eastAsia="宋体" w:hint="default"/>
          <w:w w:val="99"/>
          <w:sz w:val="21"/>
          <w:szCs w:val="21"/>
        </w:rPr>
        <w:t> </w:t>
      </w:r>
      <w:r>
        <w:rPr>
          <w:rFonts w:ascii="宋体" w:hAnsi="宋体" w:cs="宋体" w:eastAsia="宋体" w:hint="default"/>
          <w:spacing w:val="-3"/>
          <w:sz w:val="21"/>
          <w:szCs w:val="21"/>
        </w:rPr>
        <w:t>2015-007）。《股权收购意向书》签署后，公司聘请会计师、律师等中介机构对标的公司进行了尽职调查，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公司与华光电缆及其股东就收购事宜进行了多次洽谈，但最终因多方面原因未能就收购具体事项达成一致</w:t>
      </w:r>
      <w:r>
        <w:rPr>
          <w:rFonts w:ascii="宋体" w:hAnsi="宋体" w:cs="宋体" w:eastAsia="宋体" w:hint="default"/>
          <w:w w:val="99"/>
          <w:sz w:val="21"/>
          <w:szCs w:val="21"/>
        </w:rPr>
        <w:t> </w:t>
      </w:r>
      <w:r>
        <w:rPr>
          <w:rFonts w:ascii="宋体" w:hAnsi="宋体" w:cs="宋体" w:eastAsia="宋体" w:hint="default"/>
          <w:sz w:val="21"/>
          <w:szCs w:val="21"/>
        </w:rPr>
        <w:t>意</w:t>
      </w:r>
      <w:r>
        <w:rPr>
          <w:rFonts w:ascii="宋体" w:hAnsi="宋体" w:cs="宋体" w:eastAsia="宋体" w:hint="default"/>
          <w:spacing w:val="-61"/>
          <w:sz w:val="21"/>
          <w:szCs w:val="21"/>
        </w:rPr>
        <w:t> </w:t>
      </w:r>
      <w:r>
        <w:rPr>
          <w:rFonts w:ascii="宋体" w:hAnsi="宋体" w:cs="宋体" w:eastAsia="宋体" w:hint="default"/>
          <w:sz w:val="21"/>
          <w:szCs w:val="21"/>
        </w:rPr>
        <w:t>见</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经</w:t>
      </w:r>
      <w:r>
        <w:rPr>
          <w:rFonts w:ascii="宋体" w:hAnsi="宋体" w:cs="宋体" w:eastAsia="宋体" w:hint="default"/>
          <w:spacing w:val="-61"/>
          <w:sz w:val="21"/>
          <w:szCs w:val="21"/>
        </w:rPr>
        <w:t> </w:t>
      </w:r>
      <w:r>
        <w:rPr>
          <w:rFonts w:ascii="宋体" w:hAnsi="宋体" w:cs="宋体" w:eastAsia="宋体" w:hint="default"/>
          <w:sz w:val="21"/>
          <w:szCs w:val="21"/>
        </w:rPr>
        <w:t>各</w:t>
      </w:r>
      <w:r>
        <w:rPr>
          <w:rFonts w:ascii="宋体" w:hAnsi="宋体" w:cs="宋体" w:eastAsia="宋体" w:hint="default"/>
          <w:spacing w:val="-61"/>
          <w:sz w:val="21"/>
          <w:szCs w:val="21"/>
        </w:rPr>
        <w:t> </w:t>
      </w:r>
      <w:r>
        <w:rPr>
          <w:rFonts w:ascii="宋体" w:hAnsi="宋体" w:cs="宋体" w:eastAsia="宋体" w:hint="default"/>
          <w:sz w:val="21"/>
          <w:szCs w:val="21"/>
        </w:rPr>
        <w:t>方</w:t>
      </w:r>
      <w:r>
        <w:rPr>
          <w:rFonts w:ascii="宋体" w:hAnsi="宋体" w:cs="宋体" w:eastAsia="宋体" w:hint="default"/>
          <w:spacing w:val="-61"/>
          <w:sz w:val="21"/>
          <w:szCs w:val="21"/>
        </w:rPr>
        <w:t> </w:t>
      </w:r>
      <w:r>
        <w:rPr>
          <w:rFonts w:ascii="宋体" w:hAnsi="宋体" w:cs="宋体" w:eastAsia="宋体" w:hint="default"/>
          <w:sz w:val="21"/>
          <w:szCs w:val="21"/>
        </w:rPr>
        <w:t>友</w:t>
      </w:r>
      <w:r>
        <w:rPr>
          <w:rFonts w:ascii="宋体" w:hAnsi="宋体" w:cs="宋体" w:eastAsia="宋体" w:hint="default"/>
          <w:spacing w:val="-61"/>
          <w:sz w:val="21"/>
          <w:szCs w:val="21"/>
        </w:rPr>
        <w:t> </w:t>
      </w:r>
      <w:r>
        <w:rPr>
          <w:rFonts w:ascii="宋体" w:hAnsi="宋体" w:cs="宋体" w:eastAsia="宋体" w:hint="default"/>
          <w:sz w:val="21"/>
          <w:szCs w:val="21"/>
        </w:rPr>
        <w:t>好</w:t>
      </w:r>
      <w:r>
        <w:rPr>
          <w:rFonts w:ascii="宋体" w:hAnsi="宋体" w:cs="宋体" w:eastAsia="宋体" w:hint="default"/>
          <w:spacing w:val="-61"/>
          <w:sz w:val="21"/>
          <w:szCs w:val="21"/>
        </w:rPr>
        <w:t> </w:t>
      </w:r>
      <w:r>
        <w:rPr>
          <w:rFonts w:ascii="宋体" w:hAnsi="宋体" w:cs="宋体" w:eastAsia="宋体" w:hint="default"/>
          <w:sz w:val="21"/>
          <w:szCs w:val="21"/>
        </w:rPr>
        <w:t>协</w:t>
      </w:r>
      <w:r>
        <w:rPr>
          <w:rFonts w:ascii="宋体" w:hAnsi="宋体" w:cs="宋体" w:eastAsia="宋体" w:hint="default"/>
          <w:spacing w:val="-59"/>
          <w:sz w:val="21"/>
          <w:szCs w:val="21"/>
        </w:rPr>
        <w:t> </w:t>
      </w:r>
      <w:r>
        <w:rPr>
          <w:rFonts w:ascii="宋体" w:hAnsi="宋体" w:cs="宋体" w:eastAsia="宋体" w:hint="default"/>
          <w:sz w:val="21"/>
          <w:szCs w:val="21"/>
        </w:rPr>
        <w:t>商</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决</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61"/>
          <w:sz w:val="21"/>
          <w:szCs w:val="21"/>
        </w:rPr>
        <w:t> </w:t>
      </w:r>
      <w:r>
        <w:rPr>
          <w:rFonts w:ascii="宋体" w:hAnsi="宋体" w:cs="宋体" w:eastAsia="宋体" w:hint="default"/>
          <w:sz w:val="21"/>
          <w:szCs w:val="21"/>
        </w:rPr>
        <w:t>终</w:t>
      </w:r>
      <w:r>
        <w:rPr>
          <w:rFonts w:ascii="宋体" w:hAnsi="宋体" w:cs="宋体" w:eastAsia="宋体" w:hint="default"/>
          <w:spacing w:val="-61"/>
          <w:sz w:val="21"/>
          <w:szCs w:val="21"/>
        </w:rPr>
        <w:t> </w:t>
      </w:r>
      <w:r>
        <w:rPr>
          <w:rFonts w:ascii="宋体" w:hAnsi="宋体" w:cs="宋体" w:eastAsia="宋体" w:hint="default"/>
          <w:sz w:val="21"/>
          <w:szCs w:val="21"/>
        </w:rPr>
        <w:t>止</w:t>
      </w:r>
      <w:r>
        <w:rPr>
          <w:rFonts w:ascii="宋体" w:hAnsi="宋体" w:cs="宋体" w:eastAsia="宋体" w:hint="default"/>
          <w:spacing w:val="-59"/>
          <w:sz w:val="21"/>
          <w:szCs w:val="21"/>
        </w:rPr>
        <w:t> </w:t>
      </w:r>
      <w:r>
        <w:rPr>
          <w:rFonts w:ascii="宋体" w:hAnsi="宋体" w:cs="宋体" w:eastAsia="宋体" w:hint="default"/>
          <w:sz w:val="21"/>
          <w:szCs w:val="21"/>
        </w:rPr>
        <w:t>收</w:t>
      </w:r>
      <w:r>
        <w:rPr>
          <w:rFonts w:ascii="宋体" w:hAnsi="宋体" w:cs="宋体" w:eastAsia="宋体" w:hint="default"/>
          <w:spacing w:val="-61"/>
          <w:sz w:val="21"/>
          <w:szCs w:val="21"/>
        </w:rPr>
        <w:t> </w:t>
      </w:r>
      <w:r>
        <w:rPr>
          <w:rFonts w:ascii="宋体" w:hAnsi="宋体" w:cs="宋体" w:eastAsia="宋体" w:hint="default"/>
          <w:sz w:val="21"/>
          <w:szCs w:val="21"/>
        </w:rPr>
        <w:t>购</w:t>
      </w:r>
      <w:r>
        <w:rPr>
          <w:rFonts w:ascii="宋体" w:hAnsi="宋体" w:cs="宋体" w:eastAsia="宋体" w:hint="default"/>
          <w:spacing w:val="-61"/>
          <w:sz w:val="21"/>
          <w:szCs w:val="21"/>
        </w:rPr>
        <w:t> </w:t>
      </w:r>
      <w:r>
        <w:rPr>
          <w:rFonts w:ascii="宋体" w:hAnsi="宋体" w:cs="宋体" w:eastAsia="宋体" w:hint="default"/>
          <w:sz w:val="21"/>
          <w:szCs w:val="21"/>
        </w:rPr>
        <w:t>意</w:t>
      </w:r>
      <w:r>
        <w:rPr>
          <w:rFonts w:ascii="宋体" w:hAnsi="宋体" w:cs="宋体" w:eastAsia="宋体" w:hint="default"/>
          <w:spacing w:val="-61"/>
          <w:sz w:val="21"/>
          <w:szCs w:val="21"/>
        </w:rPr>
        <w:t> </w:t>
      </w:r>
      <w:r>
        <w:rPr>
          <w:rFonts w:ascii="宋体" w:hAnsi="宋体" w:cs="宋体" w:eastAsia="宋体" w:hint="default"/>
          <w:sz w:val="21"/>
          <w:szCs w:val="21"/>
        </w:rPr>
        <w:t>向</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详</w:t>
      </w:r>
      <w:r>
        <w:rPr>
          <w:rFonts w:ascii="宋体" w:hAnsi="宋体" w:cs="宋体" w:eastAsia="宋体" w:hint="default"/>
          <w:spacing w:val="-61"/>
          <w:sz w:val="21"/>
          <w:szCs w:val="21"/>
        </w:rPr>
        <w:t> </w:t>
      </w:r>
      <w:r>
        <w:rPr>
          <w:rFonts w:ascii="宋体" w:hAnsi="宋体" w:cs="宋体" w:eastAsia="宋体" w:hint="default"/>
          <w:sz w:val="21"/>
          <w:szCs w:val="21"/>
        </w:rPr>
        <w:t>见</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61"/>
          <w:sz w:val="21"/>
          <w:szCs w:val="21"/>
        </w:rPr>
        <w:t> </w:t>
      </w:r>
      <w:r>
        <w:rPr>
          <w:rFonts w:ascii="宋体" w:hAnsi="宋体" w:cs="宋体" w:eastAsia="宋体" w:hint="default"/>
          <w:sz w:val="21"/>
          <w:szCs w:val="21"/>
        </w:rPr>
        <w:t>于</w:t>
      </w:r>
      <w:r>
        <w:rPr>
          <w:rFonts w:ascii="宋体" w:hAnsi="宋体" w:cs="宋体" w:eastAsia="宋体" w:hint="default"/>
          <w:spacing w:val="-58"/>
          <w:sz w:val="21"/>
          <w:szCs w:val="21"/>
        </w:rPr>
        <w:t> </w:t>
      </w: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日</w:t>
      </w:r>
      <w:r>
        <w:rPr>
          <w:rFonts w:ascii="宋体" w:hAnsi="宋体" w:cs="宋体" w:eastAsia="宋体" w:hint="default"/>
          <w:spacing w:val="-61"/>
          <w:sz w:val="21"/>
          <w:szCs w:val="21"/>
        </w:rPr>
        <w:t> </w:t>
      </w:r>
      <w:r>
        <w:rPr>
          <w:rFonts w:ascii="宋体" w:hAnsi="宋体" w:cs="宋体" w:eastAsia="宋体" w:hint="default"/>
          <w:sz w:val="21"/>
          <w:szCs w:val="21"/>
        </w:rPr>
        <w:t>在</w:t>
      </w:r>
      <w:r>
        <w:rPr>
          <w:rFonts w:ascii="宋体" w:hAnsi="宋体" w:cs="宋体" w:eastAsia="宋体" w:hint="default"/>
          <w:spacing w:val="-61"/>
          <w:sz w:val="21"/>
          <w:szCs w:val="21"/>
        </w:rPr>
        <w:t> </w:t>
      </w:r>
      <w:r>
        <w:rPr>
          <w:rFonts w:ascii="宋体" w:hAnsi="宋体" w:cs="宋体" w:eastAsia="宋体" w:hint="default"/>
          <w:sz w:val="21"/>
          <w:szCs w:val="21"/>
        </w:rPr>
        <w:t>巨</w:t>
      </w:r>
      <w:r>
        <w:rPr>
          <w:rFonts w:ascii="宋体" w:hAnsi="宋体" w:cs="宋体" w:eastAsia="宋体" w:hint="default"/>
          <w:spacing w:val="-59"/>
          <w:sz w:val="21"/>
          <w:szCs w:val="21"/>
        </w:rPr>
        <w:t> </w:t>
      </w:r>
      <w:r>
        <w:rPr>
          <w:rFonts w:ascii="宋体" w:hAnsi="宋体" w:cs="宋体" w:eastAsia="宋体" w:hint="default"/>
          <w:sz w:val="21"/>
          <w:szCs w:val="21"/>
        </w:rPr>
        <w:t>潮</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讯</w:t>
      </w:r>
      <w:r>
        <w:rPr>
          <w:rFonts w:ascii="宋体" w:hAnsi="宋体" w:cs="宋体" w:eastAsia="宋体" w:hint="default"/>
          <w:spacing w:val="-61"/>
          <w:sz w:val="21"/>
          <w:szCs w:val="21"/>
        </w:rPr>
        <w:t> </w:t>
      </w:r>
      <w:r>
        <w:rPr>
          <w:rFonts w:ascii="宋体" w:hAnsi="宋体" w:cs="宋体" w:eastAsia="宋体" w:hint="default"/>
          <w:sz w:val="21"/>
          <w:szCs w:val="21"/>
        </w:rPr>
        <w:t>网</w:t>
      </w:r>
    </w:p>
    <w:p>
      <w:pPr>
        <w:spacing w:before="46"/>
        <w:ind w:left="109" w:right="262" w:firstLine="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宋体" w:hAnsi="宋体" w:cs="宋体" w:eastAsia="宋体" w:hint="default"/>
            <w:sz w:val="21"/>
            <w:szCs w:val="21"/>
          </w:rPr>
          <w:t>http://www.cninfo.com.cn</w:t>
        </w:r>
      </w:hyperlink>
      <w:r>
        <w:rPr>
          <w:rFonts w:ascii="宋体" w:hAnsi="宋体" w:cs="宋体" w:eastAsia="宋体" w:hint="default"/>
          <w:sz w:val="21"/>
          <w:szCs w:val="21"/>
        </w:rPr>
        <w:t>）披露的《关于股权收购意向未达成的公告》（公告编号：2015-030）。</w:t>
      </w:r>
    </w:p>
    <w:p>
      <w:pPr>
        <w:spacing w:after="0"/>
        <w:jc w:val="left"/>
        <w:rPr>
          <w:rFonts w:ascii="宋体" w:hAnsi="宋体" w:cs="宋体" w:eastAsia="宋体" w:hint="default"/>
          <w:sz w:val="21"/>
          <w:szCs w:val="21"/>
        </w:rPr>
        <w:sectPr>
          <w:pgSz w:w="11910" w:h="16840"/>
          <w:pgMar w:header="850" w:footer="1012" w:top="1440" w:bottom="1200" w:left="920" w:right="860"/>
        </w:sectPr>
      </w:pPr>
    </w:p>
    <w:p>
      <w:pPr>
        <w:spacing w:line="240" w:lineRule="auto" w:before="5"/>
        <w:rPr>
          <w:rFonts w:ascii="宋体" w:hAnsi="宋体" w:cs="宋体" w:eastAsia="宋体" w:hint="default"/>
          <w:sz w:val="13"/>
          <w:szCs w:val="13"/>
        </w:rPr>
      </w:pPr>
    </w:p>
    <w:p>
      <w:pPr>
        <w:pStyle w:val="Heading2"/>
        <w:spacing w:line="240" w:lineRule="auto" w:before="26"/>
        <w:ind w:left="212" w:right="105"/>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212" w:right="105"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spacing w:before="0"/>
        <w:ind w:left="57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新能源投资公司：新设，并获国开基金投资。</w:t>
      </w:r>
      <w:r>
        <w:rPr>
          <w:rFonts w:ascii="宋体" w:hAnsi="宋体" w:cs="宋体" w:eastAsia="宋体" w:hint="default"/>
          <w:sz w:val="21"/>
          <w:szCs w:val="21"/>
        </w:rPr>
      </w:r>
    </w:p>
    <w:p>
      <w:pPr>
        <w:spacing w:line="393" w:lineRule="auto" w:before="177"/>
        <w:ind w:left="212" w:right="203" w:firstLine="360"/>
        <w:jc w:val="both"/>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2015</w:t>
      </w:r>
      <w:r>
        <w:rPr>
          <w:rFonts w:ascii="宋体" w:hAnsi="宋体" w:cs="宋体" w:eastAsia="宋体" w:hint="default"/>
          <w:spacing w:val="-1"/>
          <w:w w:val="95"/>
          <w:sz w:val="21"/>
          <w:szCs w:val="21"/>
        </w:rPr>
        <w:t>年</w:t>
      </w:r>
      <w:r>
        <w:rPr>
          <w:rFonts w:ascii="Times New Roman" w:hAnsi="Times New Roman" w:cs="Times New Roman" w:eastAsia="Times New Roman" w:hint="default"/>
          <w:spacing w:val="-1"/>
          <w:w w:val="95"/>
          <w:sz w:val="21"/>
          <w:szCs w:val="21"/>
        </w:rPr>
        <w:t>11</w:t>
      </w:r>
      <w:r>
        <w:rPr>
          <w:rFonts w:ascii="宋体" w:hAnsi="宋体" w:cs="宋体" w:eastAsia="宋体" w:hint="default"/>
          <w:spacing w:val="-1"/>
          <w:w w:val="95"/>
          <w:sz w:val="21"/>
          <w:szCs w:val="21"/>
        </w:rPr>
        <w:t>月</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日，公司第三届董事会第三十五次会议审议通过《关于投资设立万马联合新能源投资有限</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pacing w:val="2"/>
          <w:w w:val="95"/>
          <w:sz w:val="21"/>
          <w:szCs w:val="21"/>
        </w:rPr>
        <w:t>公司（筹）的公告》，公司出资</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亿元设立万马联合新能源投资有限公司（简称“万马新能源投资”），</w:t>
      </w:r>
      <w:r>
        <w:rPr>
          <w:rFonts w:ascii="宋体" w:hAnsi="宋体" w:cs="宋体" w:eastAsia="宋体" w:hint="default"/>
          <w:spacing w:val="47"/>
          <w:w w:val="95"/>
          <w:sz w:val="21"/>
          <w:szCs w:val="21"/>
        </w:rPr>
        <w:t> </w:t>
      </w:r>
      <w:r>
        <w:rPr>
          <w:rFonts w:ascii="宋体" w:hAnsi="宋体" w:cs="宋体" w:eastAsia="宋体" w:hint="default"/>
          <w:spacing w:val="47"/>
          <w:w w:val="95"/>
          <w:sz w:val="21"/>
          <w:szCs w:val="21"/>
        </w:rPr>
      </w:r>
      <w:r>
        <w:rPr>
          <w:rFonts w:ascii="宋体" w:hAnsi="宋体" w:cs="宋体" w:eastAsia="宋体" w:hint="default"/>
          <w:w w:val="95"/>
          <w:sz w:val="21"/>
          <w:szCs w:val="21"/>
        </w:rPr>
        <w:t>万马新能源投资立志于建设辐射全国的充电设备基础设施，加强国内有条件、有优势的新能源汽车省市进</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行充电桩建设投资，投资建成后桩体纳入爱充网服务运营网络，进一步加快推进充电服务网络建设。子公</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司万马新能源</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爱充网，已经形成“智能设备制造</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服务网络运营”业务架构，而本次投资完善了新能源版</w:t>
      </w:r>
      <w:r>
        <w:rPr>
          <w:rFonts w:ascii="宋体" w:hAnsi="宋体" w:cs="宋体" w:eastAsia="宋体" w:hint="default"/>
          <w:spacing w:val="19"/>
          <w:w w:val="95"/>
          <w:sz w:val="21"/>
          <w:szCs w:val="21"/>
        </w:rPr>
        <w:t> </w:t>
      </w:r>
      <w:r>
        <w:rPr>
          <w:rFonts w:ascii="宋体" w:hAnsi="宋体" w:cs="宋体" w:eastAsia="宋体" w:hint="default"/>
          <w:spacing w:val="19"/>
          <w:w w:val="95"/>
          <w:sz w:val="21"/>
          <w:szCs w:val="21"/>
        </w:rPr>
      </w:r>
      <w:r>
        <w:rPr>
          <w:rFonts w:ascii="宋体" w:hAnsi="宋体" w:cs="宋体" w:eastAsia="宋体" w:hint="default"/>
          <w:w w:val="95"/>
          <w:sz w:val="21"/>
          <w:szCs w:val="21"/>
        </w:rPr>
        <w:t>块产业链，使公司新能源充电领域业务将形成“智能设备制造</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服务网络运营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投资建设充电网”的闭环布</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w w:val="95"/>
          <w:sz w:val="21"/>
          <w:szCs w:val="21"/>
        </w:rPr>
        <w:t>局。（详见公司于</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11</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6</w:t>
      </w:r>
      <w:r>
        <w:rPr>
          <w:rFonts w:ascii="宋体" w:hAnsi="宋体" w:cs="宋体" w:eastAsia="宋体" w:hint="default"/>
          <w:w w:val="95"/>
          <w:sz w:val="21"/>
          <w:szCs w:val="21"/>
        </w:rPr>
        <w:t>日在巨潮资讯网（</w:t>
      </w:r>
      <w:hyperlink r:id="rId12">
        <w:r>
          <w:rPr>
            <w:rFonts w:ascii="Times New Roman" w:hAnsi="Times New Roman" w:cs="Times New Roman" w:eastAsia="Times New Roman" w:hint="default"/>
            <w:w w:val="95"/>
            <w:sz w:val="21"/>
            <w:szCs w:val="21"/>
          </w:rPr>
          <w:t>http://www.cninfo.com.cn</w:t>
        </w:r>
      </w:hyperlink>
      <w:r>
        <w:rPr>
          <w:rFonts w:ascii="宋体" w:hAnsi="宋体" w:cs="宋体" w:eastAsia="宋体" w:hint="default"/>
          <w:w w:val="95"/>
          <w:sz w:val="21"/>
          <w:szCs w:val="21"/>
        </w:rPr>
        <w:t>）披露的《关于投资设立万马联</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合新能源投资有限公司（筹）的公告》）。</w:t>
      </w:r>
    </w:p>
    <w:p>
      <w:pPr>
        <w:spacing w:line="386" w:lineRule="auto" w:before="58"/>
        <w:ind w:left="212" w:right="205" w:firstLine="36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日，国开发展基金有限公司（简称“国开基金”）、万马股份、万马新能源投资三方签</w:t>
      </w:r>
      <w:r>
        <w:rPr>
          <w:rFonts w:ascii="宋体" w:hAnsi="宋体" w:cs="宋体" w:eastAsia="宋体" w:hint="default"/>
          <w:w w:val="99"/>
          <w:sz w:val="21"/>
          <w:szCs w:val="21"/>
        </w:rPr>
        <w:t> </w:t>
      </w:r>
      <w:r>
        <w:rPr>
          <w:rFonts w:ascii="宋体" w:hAnsi="宋体" w:cs="宋体" w:eastAsia="宋体" w:hint="default"/>
          <w:spacing w:val="2"/>
          <w:w w:val="95"/>
          <w:sz w:val="21"/>
          <w:szCs w:val="21"/>
        </w:rPr>
        <w:t>署《投资合同》，国开基金以人民币</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亿元对万马新能源投资进行增资，用于浙江省智能充电网络项目资</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本金。同时，万马股份以自有资金人民币</w:t>
      </w:r>
      <w:r>
        <w:rPr>
          <w:rFonts w:ascii="Times New Roman" w:hAnsi="Times New Roman" w:cs="Times New Roman" w:eastAsia="Times New Roman" w:hint="default"/>
          <w:sz w:val="21"/>
          <w:szCs w:val="21"/>
        </w:rPr>
        <w:t>1.05</w:t>
      </w:r>
      <w:r>
        <w:rPr>
          <w:rFonts w:ascii="宋体" w:hAnsi="宋体" w:cs="宋体" w:eastAsia="宋体" w:hint="default"/>
          <w:sz w:val="21"/>
          <w:szCs w:val="21"/>
        </w:rPr>
        <w:t>亿元对万马新能源投资进行增资。本次增资完成后，万马新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能源投资的注册资本将由</w:t>
      </w:r>
      <w:r>
        <w:rPr>
          <w:rFonts w:ascii="Times New Roman" w:hAnsi="Times New Roman" w:cs="Times New Roman" w:eastAsia="Times New Roman" w:hint="default"/>
          <w:sz w:val="21"/>
          <w:szCs w:val="21"/>
        </w:rPr>
        <w:t>1</w:t>
      </w:r>
      <w:r>
        <w:rPr>
          <w:rFonts w:ascii="宋体" w:hAnsi="宋体" w:cs="宋体" w:eastAsia="宋体" w:hint="default"/>
          <w:sz w:val="21"/>
          <w:szCs w:val="21"/>
        </w:rPr>
        <w:t>亿元变更为</w:t>
      </w:r>
      <w:r>
        <w:rPr>
          <w:rFonts w:ascii="Times New Roman" w:hAnsi="Times New Roman" w:cs="Times New Roman" w:eastAsia="Times New Roman" w:hint="default"/>
          <w:sz w:val="21"/>
          <w:szCs w:val="21"/>
        </w:rPr>
        <w:t>3.05</w:t>
      </w:r>
      <w:r>
        <w:rPr>
          <w:rFonts w:ascii="宋体" w:hAnsi="宋体" w:cs="宋体" w:eastAsia="宋体" w:hint="default"/>
          <w:sz w:val="21"/>
          <w:szCs w:val="21"/>
        </w:rPr>
        <w:t>亿元，国开基金持有万马新能源投资股权</w:t>
      </w:r>
      <w:r>
        <w:rPr>
          <w:rFonts w:ascii="Times New Roman" w:hAnsi="Times New Roman" w:cs="Times New Roman" w:eastAsia="Times New Roman" w:hint="default"/>
          <w:sz w:val="21"/>
          <w:szCs w:val="21"/>
        </w:rPr>
        <w:t>32.8%</w:t>
      </w:r>
      <w:r>
        <w:rPr>
          <w:rFonts w:ascii="宋体" w:hAnsi="宋体" w:cs="宋体" w:eastAsia="宋体" w:hint="default"/>
          <w:sz w:val="21"/>
          <w:szCs w:val="21"/>
        </w:rPr>
        <w:t>，万马股份持有</w:t>
      </w:r>
      <w:r>
        <w:rPr>
          <w:rFonts w:ascii="宋体" w:hAnsi="宋体" w:cs="宋体" w:eastAsia="宋体" w:hint="default"/>
          <w:w w:val="99"/>
          <w:sz w:val="21"/>
          <w:szCs w:val="21"/>
        </w:rPr>
        <w:t> </w:t>
      </w:r>
      <w:r>
        <w:rPr>
          <w:rFonts w:ascii="宋体" w:hAnsi="宋体" w:cs="宋体" w:eastAsia="宋体" w:hint="default"/>
          <w:spacing w:val="-5"/>
          <w:w w:val="99"/>
          <w:sz w:val="21"/>
          <w:szCs w:val="21"/>
        </w:rPr>
        <w:t>万马新能源投资公司股权</w:t>
      </w:r>
      <w:r>
        <w:rPr>
          <w:rFonts w:ascii="Times New Roman" w:hAnsi="Times New Roman" w:cs="Times New Roman" w:eastAsia="Times New Roman" w:hint="default"/>
          <w:spacing w:val="-5"/>
          <w:w w:val="99"/>
          <w:sz w:val="21"/>
          <w:szCs w:val="21"/>
        </w:rPr>
        <w:t>67.2%</w:t>
      </w:r>
      <w:r>
        <w:rPr>
          <w:rFonts w:ascii="宋体" w:hAnsi="宋体" w:cs="宋体" w:eastAsia="宋体" w:hint="default"/>
          <w:spacing w:val="-5"/>
          <w:w w:val="99"/>
          <w:sz w:val="21"/>
          <w:szCs w:val="21"/>
        </w:rPr>
        <w:t>。新能源投资已于</w:t>
      </w:r>
      <w:r>
        <w:rPr>
          <w:rFonts w:ascii="Times New Roman" w:hAnsi="Times New Roman" w:cs="Times New Roman" w:eastAsia="Times New Roman" w:hint="default"/>
          <w:spacing w:val="-5"/>
          <w:w w:val="99"/>
          <w:sz w:val="21"/>
          <w:szCs w:val="21"/>
        </w:rPr>
        <w:t>2016</w:t>
      </w:r>
      <w:r>
        <w:rPr>
          <w:rFonts w:ascii="宋体" w:hAnsi="宋体" w:cs="宋体" w:eastAsia="宋体" w:hint="default"/>
          <w:spacing w:val="-5"/>
          <w:w w:val="99"/>
          <w:sz w:val="21"/>
          <w:szCs w:val="21"/>
        </w:rPr>
        <w:t>年</w:t>
      </w:r>
      <w:r>
        <w:rPr>
          <w:rFonts w:ascii="Times New Roman" w:hAnsi="Times New Roman" w:cs="Times New Roman" w:eastAsia="Times New Roman" w:hint="default"/>
          <w:spacing w:val="-5"/>
          <w:w w:val="99"/>
          <w:sz w:val="21"/>
          <w:szCs w:val="21"/>
        </w:rPr>
        <w:t>1</w:t>
      </w:r>
      <w:r>
        <w:rPr>
          <w:rFonts w:ascii="宋体" w:hAnsi="宋体" w:cs="宋体" w:eastAsia="宋体" w:hint="default"/>
          <w:spacing w:val="-5"/>
          <w:w w:val="99"/>
          <w:sz w:val="21"/>
          <w:szCs w:val="21"/>
        </w:rPr>
        <w:t>月</w:t>
      </w:r>
      <w:r>
        <w:rPr>
          <w:rFonts w:ascii="Times New Roman" w:hAnsi="Times New Roman" w:cs="Times New Roman" w:eastAsia="Times New Roman" w:hint="default"/>
          <w:spacing w:val="-5"/>
          <w:w w:val="99"/>
          <w:sz w:val="21"/>
          <w:szCs w:val="21"/>
        </w:rPr>
        <w:t>26</w:t>
      </w:r>
      <w:r>
        <w:rPr>
          <w:rFonts w:ascii="宋体" w:hAnsi="宋体" w:cs="宋体" w:eastAsia="宋体" w:hint="default"/>
          <w:spacing w:val="-5"/>
          <w:w w:val="99"/>
          <w:sz w:val="21"/>
          <w:szCs w:val="21"/>
        </w:rPr>
        <w:t>日取得变更后的营业执照。（详见公司于</w:t>
      </w:r>
      <w:r>
        <w:rPr>
          <w:rFonts w:ascii="Times New Roman" w:hAnsi="Times New Roman" w:cs="Times New Roman" w:eastAsia="Times New Roman" w:hint="default"/>
          <w:spacing w:val="-5"/>
          <w:w w:val="99"/>
          <w:sz w:val="21"/>
          <w:szCs w:val="21"/>
        </w:rPr>
        <w:t>2015</w:t>
      </w:r>
      <w:r>
        <w:rPr>
          <w:rFonts w:ascii="Times New Roman" w:hAnsi="Times New Roman" w:cs="Times New Roman" w:eastAsia="Times New Roman" w:hint="default"/>
          <w:spacing w:val="1"/>
          <w:w w:val="99"/>
          <w:sz w:val="21"/>
          <w:szCs w:val="21"/>
        </w:rPr>
        <w:t> </w:t>
      </w:r>
      <w:r>
        <w:rPr>
          <w:rFonts w:ascii="Times New Roman" w:hAnsi="Times New Roman" w:cs="Times New Roman" w:eastAsia="Times New Roman" w:hint="default"/>
          <w:spacing w:val="1"/>
          <w:w w:val="99"/>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日在巨潮资讯网（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）披露的《关于与国开发展基金有限公司共同对万马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联合新能源投资有限公司进行增资的公告》）。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57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万马电缆：获得增资，并将承接上市公司母公司电缆业务。</w:t>
      </w:r>
      <w:r>
        <w:rPr>
          <w:rFonts w:ascii="宋体" w:hAnsi="宋体" w:cs="宋体" w:eastAsia="宋体" w:hint="default"/>
          <w:sz w:val="21"/>
          <w:szCs w:val="21"/>
        </w:rPr>
      </w:r>
    </w:p>
    <w:p>
      <w:pPr>
        <w:spacing w:line="386" w:lineRule="auto" w:before="177"/>
        <w:ind w:left="212" w:right="212" w:firstLine="36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日，公司第三届董事会第三十七次会议审议通过《关于对全资子公司万马电缆进行增资</w:t>
      </w:r>
      <w:r>
        <w:rPr>
          <w:rFonts w:ascii="宋体" w:hAnsi="宋体" w:cs="宋体" w:eastAsia="宋体" w:hint="default"/>
          <w:w w:val="99"/>
          <w:sz w:val="21"/>
          <w:szCs w:val="21"/>
        </w:rPr>
        <w:t> </w:t>
      </w:r>
      <w:r>
        <w:rPr>
          <w:rFonts w:ascii="宋体" w:hAnsi="宋体" w:cs="宋体" w:eastAsia="宋体" w:hint="default"/>
          <w:sz w:val="21"/>
          <w:szCs w:val="21"/>
        </w:rPr>
        <w:t>暨优化调整上市公司业务结构的议案》，公司以自有资金</w:t>
      </w:r>
      <w:r>
        <w:rPr>
          <w:rFonts w:ascii="Times New Roman" w:hAnsi="Times New Roman" w:cs="Times New Roman" w:eastAsia="Times New Roman" w:hint="default"/>
          <w:sz w:val="21"/>
          <w:szCs w:val="21"/>
        </w:rPr>
        <w:t>27,000</w:t>
      </w:r>
      <w:r>
        <w:rPr>
          <w:rFonts w:ascii="宋体" w:hAnsi="宋体" w:cs="宋体" w:eastAsia="宋体" w:hint="default"/>
          <w:sz w:val="21"/>
          <w:szCs w:val="21"/>
        </w:rPr>
        <w:t>万元对全资子公司浙江万马电缆有限公司</w:t>
      </w:r>
    </w:p>
    <w:p>
      <w:pPr>
        <w:spacing w:line="403" w:lineRule="auto" w:before="35"/>
        <w:ind w:left="212" w:right="105" w:hanging="104"/>
        <w:jc w:val="left"/>
        <w:rPr>
          <w:rFonts w:ascii="宋体" w:hAnsi="宋体" w:cs="宋体" w:eastAsia="宋体" w:hint="default"/>
          <w:sz w:val="21"/>
          <w:szCs w:val="21"/>
        </w:rPr>
      </w:pPr>
      <w:r>
        <w:rPr>
          <w:rFonts w:ascii="宋体" w:hAnsi="宋体" w:cs="宋体" w:eastAsia="宋体" w:hint="default"/>
          <w:sz w:val="21"/>
          <w:szCs w:val="21"/>
        </w:rPr>
        <w:t>（简称“万马电缆”）进行增资。增资后万马电缆注册资本将变更为</w:t>
      </w:r>
      <w:r>
        <w:rPr>
          <w:rFonts w:ascii="Times New Roman" w:hAnsi="Times New Roman" w:cs="Times New Roman" w:eastAsia="Times New Roman" w:hint="default"/>
          <w:sz w:val="21"/>
          <w:szCs w:val="21"/>
        </w:rPr>
        <w:t>30,000</w:t>
      </w:r>
      <w:r>
        <w:rPr>
          <w:rFonts w:ascii="宋体" w:hAnsi="宋体" w:cs="宋体" w:eastAsia="宋体" w:hint="default"/>
          <w:sz w:val="21"/>
          <w:szCs w:val="21"/>
        </w:rPr>
        <w:t>万元，公司持有其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变。本次增资目的是为突出母公司在战略投资、资本运作、子公司监管等方面的职能，明晰公司电力通信、</w:t>
      </w:r>
      <w:r>
        <w:rPr>
          <w:rFonts w:ascii="宋体" w:hAnsi="宋体" w:cs="宋体" w:eastAsia="宋体" w:hint="default"/>
          <w:w w:val="99"/>
          <w:sz w:val="21"/>
          <w:szCs w:val="21"/>
        </w:rPr>
        <w:t> </w:t>
      </w:r>
      <w:r>
        <w:rPr>
          <w:rFonts w:ascii="宋体" w:hAnsi="宋体" w:cs="宋体" w:eastAsia="宋体" w:hint="default"/>
          <w:sz w:val="21"/>
          <w:szCs w:val="21"/>
        </w:rPr>
        <w:t>新材料、新能源等各业务模块权责，强化各业务主体在所辖业务经营范围的管理职能，提升决策效率。本</w:t>
      </w:r>
      <w:r>
        <w:rPr>
          <w:rFonts w:ascii="宋体" w:hAnsi="宋体" w:cs="宋体" w:eastAsia="宋体" w:hint="default"/>
          <w:w w:val="99"/>
          <w:sz w:val="21"/>
          <w:szCs w:val="21"/>
        </w:rPr>
        <w:t> </w:t>
      </w:r>
      <w:r>
        <w:rPr>
          <w:rFonts w:ascii="宋体" w:hAnsi="宋体" w:cs="宋体" w:eastAsia="宋体" w:hint="default"/>
          <w:sz w:val="21"/>
          <w:szCs w:val="21"/>
        </w:rPr>
        <w:t>次整合拟将母公司本体经营的电缆业务逐步剥离至子公司万马电缆。在一定过渡期后，上市公司母公司将</w:t>
      </w:r>
      <w:r>
        <w:rPr>
          <w:rFonts w:ascii="宋体" w:hAnsi="宋体" w:cs="宋体" w:eastAsia="宋体" w:hint="default"/>
          <w:w w:val="99"/>
          <w:sz w:val="21"/>
          <w:szCs w:val="21"/>
        </w:rPr>
        <w:t> </w:t>
      </w:r>
      <w:r>
        <w:rPr>
          <w:rFonts w:ascii="宋体" w:hAnsi="宋体" w:cs="宋体" w:eastAsia="宋体" w:hint="default"/>
          <w:sz w:val="21"/>
          <w:szCs w:val="21"/>
        </w:rPr>
        <w:t>变更为股权投资型公司。（详见公司于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日在巨潮资讯网（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）披露的</w:t>
      </w:r>
    </w:p>
    <w:p>
      <w:pPr>
        <w:spacing w:before="19"/>
        <w:ind w:left="109" w:right="105" w:firstLine="0"/>
        <w:jc w:val="left"/>
        <w:rPr>
          <w:rFonts w:ascii="宋体" w:hAnsi="宋体" w:cs="宋体" w:eastAsia="宋体" w:hint="default"/>
          <w:sz w:val="21"/>
          <w:szCs w:val="21"/>
        </w:rPr>
      </w:pPr>
      <w:r>
        <w:rPr>
          <w:rFonts w:ascii="宋体" w:hAnsi="宋体" w:cs="宋体" w:eastAsia="宋体" w:hint="default"/>
          <w:sz w:val="21"/>
          <w:szCs w:val="21"/>
        </w:rPr>
        <w:t>《关于对全资子公司万马电缆进行增资并优化调整上市公司业务结构的公告》）。</w:t>
      </w:r>
    </w:p>
    <w:p>
      <w:pPr>
        <w:spacing w:after="0"/>
        <w:jc w:val="left"/>
        <w:rPr>
          <w:rFonts w:ascii="宋体" w:hAnsi="宋体" w:cs="宋体" w:eastAsia="宋体" w:hint="default"/>
          <w:sz w:val="21"/>
          <w:szCs w:val="21"/>
        </w:rPr>
        <w:sectPr>
          <w:pgSz w:w="11910" w:h="16840"/>
          <w:pgMar w:header="850" w:footer="1012" w:top="1440" w:bottom="1200" w:left="920" w:right="920"/>
        </w:sectPr>
      </w:pPr>
    </w:p>
    <w:p>
      <w:pPr>
        <w:spacing w:line="240" w:lineRule="auto" w:before="8"/>
        <w:rPr>
          <w:rFonts w:ascii="宋体" w:hAnsi="宋体" w:cs="宋体" w:eastAsia="宋体" w:hint="default"/>
          <w:sz w:val="20"/>
          <w:szCs w:val="20"/>
        </w:rPr>
      </w:pPr>
    </w:p>
    <w:p>
      <w:pPr>
        <w:spacing w:before="34"/>
        <w:ind w:left="472" w:right="104" w:firstLine="0"/>
        <w:jc w:val="left"/>
        <w:rPr>
          <w:rFonts w:ascii="宋体" w:hAnsi="宋体" w:cs="宋体" w:eastAsia="宋体" w:hint="default"/>
          <w:sz w:val="21"/>
          <w:szCs w:val="21"/>
        </w:rPr>
      </w:pPr>
      <w:r>
        <w:rPr>
          <w:rFonts w:ascii="宋体" w:hAnsi="宋体" w:cs="宋体" w:eastAsia="宋体" w:hint="default"/>
          <w:b/>
          <w:bCs/>
          <w:sz w:val="21"/>
          <w:szCs w:val="21"/>
        </w:rPr>
        <w:t>万马电缆：研发成果传捷报，防火电缆获市场认可。</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3" w:lineRule="auto" w:before="0"/>
        <w:ind w:left="112" w:right="117" w:firstLine="360"/>
        <w:jc w:val="left"/>
        <w:rPr>
          <w:rFonts w:ascii="宋体" w:hAnsi="宋体" w:cs="宋体" w:eastAsia="宋体" w:hint="default"/>
          <w:sz w:val="21"/>
          <w:szCs w:val="21"/>
        </w:rPr>
      </w:pPr>
      <w:r>
        <w:rPr>
          <w:rFonts w:ascii="宋体" w:hAnsi="宋体" w:cs="宋体" w:eastAsia="宋体" w:hint="default"/>
          <w:spacing w:val="4"/>
          <w:sz w:val="21"/>
          <w:szCs w:val="21"/>
        </w:rPr>
        <w:t>公司在大连万达地产</w:t>
      </w:r>
      <w:r>
        <w:rPr>
          <w:rFonts w:ascii="Times New Roman" w:hAnsi="Times New Roman" w:cs="Times New Roman" w:eastAsia="Times New Roman" w:hint="default"/>
          <w:spacing w:val="4"/>
          <w:sz w:val="21"/>
          <w:szCs w:val="21"/>
        </w:rPr>
        <w:t>2015-2016</w:t>
      </w:r>
      <w:r>
        <w:rPr>
          <w:rFonts w:ascii="宋体" w:hAnsi="宋体" w:cs="宋体" w:eastAsia="宋体" w:hint="default"/>
          <w:spacing w:val="4"/>
          <w:sz w:val="21"/>
          <w:szCs w:val="21"/>
        </w:rPr>
        <w:t>年度矿物绝缘防火电缆全国统一招标中，被确定为标段二的唯一供应</w:t>
      </w:r>
      <w:r>
        <w:rPr>
          <w:rFonts w:ascii="宋体" w:hAnsi="宋体" w:cs="宋体" w:eastAsia="宋体" w:hint="default"/>
          <w:w w:val="99"/>
          <w:sz w:val="21"/>
          <w:szCs w:val="21"/>
        </w:rPr>
        <w:t> </w:t>
      </w:r>
      <w:r>
        <w:rPr>
          <w:rFonts w:ascii="宋体" w:hAnsi="宋体" w:cs="宋体" w:eastAsia="宋体" w:hint="default"/>
          <w:sz w:val="21"/>
          <w:szCs w:val="21"/>
        </w:rPr>
        <w:t>商。此次中标是公司防火电缆研发成果的一次市场重大突破；是公司该类产品首次与商业地产龙头企业合</w:t>
      </w:r>
      <w:r>
        <w:rPr>
          <w:rFonts w:ascii="宋体" w:hAnsi="宋体" w:cs="宋体" w:eastAsia="宋体" w:hint="default"/>
          <w:w w:val="99"/>
          <w:sz w:val="21"/>
          <w:szCs w:val="21"/>
        </w:rPr>
        <w:t> </w:t>
      </w:r>
      <w:r>
        <w:rPr>
          <w:rFonts w:ascii="宋体" w:hAnsi="宋体" w:cs="宋体" w:eastAsia="宋体" w:hint="default"/>
          <w:spacing w:val="-5"/>
          <w:w w:val="99"/>
          <w:sz w:val="21"/>
          <w:szCs w:val="21"/>
        </w:rPr>
        <w:t>作，对开拓耐火电缆市场有积极意义。（详见公司于</w:t>
      </w:r>
      <w:r>
        <w:rPr>
          <w:rFonts w:ascii="Times New Roman" w:hAnsi="Times New Roman" w:cs="Times New Roman" w:eastAsia="Times New Roman" w:hint="default"/>
          <w:spacing w:val="-5"/>
          <w:w w:val="99"/>
          <w:sz w:val="21"/>
          <w:szCs w:val="21"/>
        </w:rPr>
        <w:t>2015</w:t>
      </w:r>
      <w:r>
        <w:rPr>
          <w:rFonts w:ascii="宋体" w:hAnsi="宋体" w:cs="宋体" w:eastAsia="宋体" w:hint="default"/>
          <w:spacing w:val="-5"/>
          <w:w w:val="99"/>
          <w:sz w:val="21"/>
          <w:szCs w:val="21"/>
        </w:rPr>
        <w:t>年</w:t>
      </w:r>
      <w:r>
        <w:rPr>
          <w:rFonts w:ascii="Times New Roman" w:hAnsi="Times New Roman" w:cs="Times New Roman" w:eastAsia="Times New Roman" w:hint="default"/>
          <w:spacing w:val="-5"/>
          <w:w w:val="99"/>
          <w:sz w:val="21"/>
          <w:szCs w:val="21"/>
        </w:rPr>
        <w:t>7</w:t>
      </w:r>
      <w:r>
        <w:rPr>
          <w:rFonts w:ascii="宋体" w:hAnsi="宋体" w:cs="宋体" w:eastAsia="宋体" w:hint="default"/>
          <w:spacing w:val="-5"/>
          <w:w w:val="99"/>
          <w:sz w:val="21"/>
          <w:szCs w:val="21"/>
        </w:rPr>
        <w:t>月</w:t>
      </w:r>
      <w:r>
        <w:rPr>
          <w:rFonts w:ascii="Times New Roman" w:hAnsi="Times New Roman" w:cs="Times New Roman" w:eastAsia="Times New Roman" w:hint="default"/>
          <w:spacing w:val="-5"/>
          <w:w w:val="99"/>
          <w:sz w:val="21"/>
          <w:szCs w:val="21"/>
        </w:rPr>
        <w:t>17</w:t>
      </w:r>
      <w:r>
        <w:rPr>
          <w:rFonts w:ascii="宋体" w:hAnsi="宋体" w:cs="宋体" w:eastAsia="宋体" w:hint="default"/>
          <w:spacing w:val="-5"/>
          <w:w w:val="99"/>
          <w:sz w:val="21"/>
          <w:szCs w:val="21"/>
        </w:rPr>
        <w:t>日在巨潮资讯网（</w:t>
      </w:r>
      <w:hyperlink r:id="rId12">
        <w:r>
          <w:rPr>
            <w:rFonts w:ascii="Times New Roman" w:hAnsi="Times New Roman" w:cs="Times New Roman" w:eastAsia="Times New Roman" w:hint="default"/>
            <w:spacing w:val="-5"/>
            <w:w w:val="99"/>
            <w:sz w:val="21"/>
            <w:szCs w:val="21"/>
          </w:rPr>
          <w:t>http://www.cninfo.com.cn</w:t>
        </w:r>
      </w:hyperlink>
      <w:r>
        <w:rPr>
          <w:rFonts w:ascii="宋体" w:hAnsi="宋体" w:cs="宋体" w:eastAsia="宋体" w:hint="default"/>
          <w:spacing w:val="-5"/>
          <w:w w:val="99"/>
          <w:sz w:val="21"/>
          <w:szCs w:val="21"/>
        </w:rPr>
        <w:t>）</w:t>
      </w:r>
      <w:r>
        <w:rPr>
          <w:rFonts w:ascii="宋体" w:hAnsi="宋体" w:cs="宋体" w:eastAsia="宋体" w:hint="default"/>
          <w:spacing w:val="-85"/>
          <w:w w:val="99"/>
          <w:sz w:val="21"/>
          <w:szCs w:val="21"/>
        </w:rPr>
        <w:t> </w:t>
      </w:r>
      <w:r>
        <w:rPr>
          <w:rFonts w:ascii="宋体" w:hAnsi="宋体" w:cs="宋体" w:eastAsia="宋体" w:hint="default"/>
          <w:sz w:val="21"/>
          <w:szCs w:val="21"/>
        </w:rPr>
        <w:t>披露的《关于重大合同中标的公告》（公告编号：</w:t>
      </w:r>
      <w:r>
        <w:rPr>
          <w:rFonts w:ascii="Times New Roman" w:hAnsi="Times New Roman" w:cs="Times New Roman" w:eastAsia="Times New Roman" w:hint="default"/>
          <w:sz w:val="21"/>
          <w:szCs w:val="21"/>
        </w:rPr>
        <w:t>2015-052</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spacing w:before="0"/>
        <w:ind w:left="472"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2"/>
          <w:sz w:val="21"/>
          <w:szCs w:val="21"/>
        </w:rPr>
        <w:t> </w:t>
      </w:r>
      <w:r>
        <w:rPr>
          <w:rFonts w:ascii="宋体" w:hAnsi="宋体" w:cs="宋体" w:eastAsia="宋体" w:hint="default"/>
          <w:b/>
          <w:bCs/>
          <w:sz w:val="21"/>
          <w:szCs w:val="21"/>
        </w:rPr>
        <w:t>万马高分子：高压电缆料获得国家级新产品鉴定，填补国内空白，获国开增资。</w:t>
      </w:r>
      <w:r>
        <w:rPr>
          <w:rFonts w:ascii="宋体" w:hAnsi="宋体" w:cs="宋体" w:eastAsia="宋体" w:hint="default"/>
          <w:sz w:val="21"/>
          <w:szCs w:val="21"/>
        </w:rPr>
      </w:r>
    </w:p>
    <w:p>
      <w:pPr>
        <w:spacing w:line="400" w:lineRule="auto" w:before="177"/>
        <w:ind w:left="112" w:right="104"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月，子公司万马高分子研制的“高压电缆（</w:t>
      </w:r>
      <w:r>
        <w:rPr>
          <w:rFonts w:ascii="Times New Roman" w:hAnsi="Times New Roman" w:cs="Times New Roman" w:eastAsia="Times New Roman" w:hint="default"/>
          <w:sz w:val="21"/>
          <w:szCs w:val="21"/>
        </w:rPr>
        <w:t>220kV</w:t>
      </w:r>
      <w:r>
        <w:rPr>
          <w:rFonts w:ascii="宋体" w:hAnsi="宋体" w:cs="宋体" w:eastAsia="宋体" w:hint="default"/>
          <w:sz w:val="21"/>
          <w:szCs w:val="21"/>
        </w:rPr>
        <w:t>、</w:t>
      </w:r>
      <w:r>
        <w:rPr>
          <w:rFonts w:ascii="Times New Roman" w:hAnsi="Times New Roman" w:cs="Times New Roman" w:eastAsia="Times New Roman" w:hint="default"/>
          <w:sz w:val="21"/>
          <w:szCs w:val="21"/>
        </w:rPr>
        <w:t>110kV</w:t>
      </w:r>
      <w:r>
        <w:rPr>
          <w:rFonts w:ascii="宋体" w:hAnsi="宋体" w:cs="宋体" w:eastAsia="宋体" w:hint="default"/>
          <w:sz w:val="21"/>
          <w:szCs w:val="21"/>
        </w:rPr>
        <w:t>）超净</w:t>
      </w:r>
      <w:r>
        <w:rPr>
          <w:rFonts w:ascii="Times New Roman" w:hAnsi="Times New Roman" w:cs="Times New Roman" w:eastAsia="Times New Roman" w:hint="default"/>
          <w:sz w:val="21"/>
          <w:szCs w:val="21"/>
        </w:rPr>
        <w:t>XLPE</w:t>
      </w:r>
      <w:r>
        <w:rPr>
          <w:rFonts w:ascii="宋体" w:hAnsi="宋体" w:cs="宋体" w:eastAsia="宋体" w:hint="default"/>
          <w:sz w:val="21"/>
          <w:szCs w:val="21"/>
        </w:rPr>
        <w:t>绝缘料”产品顺利通</w:t>
      </w:r>
      <w:r>
        <w:rPr>
          <w:rFonts w:ascii="宋体" w:hAnsi="宋体" w:cs="宋体" w:eastAsia="宋体" w:hint="default"/>
          <w:w w:val="99"/>
          <w:sz w:val="21"/>
          <w:szCs w:val="21"/>
        </w:rPr>
        <w:t> </w:t>
      </w:r>
      <w:r>
        <w:rPr>
          <w:rFonts w:ascii="宋体" w:hAnsi="宋体" w:cs="宋体" w:eastAsia="宋体" w:hint="default"/>
          <w:spacing w:val="-3"/>
          <w:sz w:val="21"/>
          <w:szCs w:val="21"/>
        </w:rPr>
        <w:t>过中国电力企业联合会组织的，国家电网、南方电网、中国电力科学研究院、上海电缆研究所、西安交大、</w:t>
      </w:r>
      <w:r>
        <w:rPr>
          <w:rFonts w:ascii="宋体" w:hAnsi="宋体" w:cs="宋体" w:eastAsia="宋体" w:hint="default"/>
          <w:w w:val="99"/>
          <w:sz w:val="21"/>
          <w:szCs w:val="21"/>
        </w:rPr>
        <w:t> </w:t>
      </w:r>
      <w:r>
        <w:rPr>
          <w:rFonts w:ascii="宋体" w:hAnsi="宋体" w:cs="宋体" w:eastAsia="宋体" w:hint="default"/>
          <w:sz w:val="21"/>
          <w:szCs w:val="21"/>
        </w:rPr>
        <w:t>以及部分大型电缆企业等参加的国家级新产品鉴定。鉴定委员会认为：“该产品填补国内空白，综合性能</w:t>
      </w:r>
      <w:r>
        <w:rPr>
          <w:rFonts w:ascii="宋体" w:hAnsi="宋体" w:cs="宋体" w:eastAsia="宋体" w:hint="default"/>
          <w:w w:val="99"/>
          <w:sz w:val="21"/>
          <w:szCs w:val="21"/>
        </w:rPr>
        <w:t> </w:t>
      </w:r>
      <w:r>
        <w:rPr>
          <w:rFonts w:ascii="宋体" w:hAnsi="宋体" w:cs="宋体" w:eastAsia="宋体" w:hint="default"/>
          <w:sz w:val="21"/>
          <w:szCs w:val="21"/>
        </w:rPr>
        <w:t>达到国际先进水平，同意通过产品鉴定，可以批量生产。”该新产品属于国家政策重点支持和鼓励发展的</w:t>
      </w:r>
      <w:r>
        <w:rPr>
          <w:rFonts w:ascii="宋体" w:hAnsi="宋体" w:cs="宋体" w:eastAsia="宋体" w:hint="default"/>
          <w:w w:val="99"/>
          <w:sz w:val="21"/>
          <w:szCs w:val="21"/>
        </w:rPr>
        <w:t> </w:t>
      </w:r>
      <w:r>
        <w:rPr>
          <w:rFonts w:ascii="宋体" w:hAnsi="宋体" w:cs="宋体" w:eastAsia="宋体" w:hint="default"/>
          <w:sz w:val="21"/>
          <w:szCs w:val="21"/>
        </w:rPr>
        <w:t>高新技术产品，发展前景广阔。产品的推广应用，丰富了公司产品结构，提升了公司核心竞争力，将对公</w:t>
      </w:r>
      <w:r>
        <w:rPr>
          <w:rFonts w:ascii="宋体" w:hAnsi="宋体" w:cs="宋体" w:eastAsia="宋体" w:hint="default"/>
          <w:w w:val="99"/>
          <w:sz w:val="21"/>
          <w:szCs w:val="21"/>
        </w:rPr>
        <w:t> </w:t>
      </w:r>
      <w:r>
        <w:rPr>
          <w:rFonts w:ascii="宋体" w:hAnsi="宋体" w:cs="宋体" w:eastAsia="宋体" w:hint="default"/>
          <w:sz w:val="21"/>
          <w:szCs w:val="21"/>
        </w:rPr>
        <w:t>司业绩产生积极影响。（详见公司于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日在巨潮资讯网（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）披露的《关</w:t>
      </w:r>
      <w:r>
        <w:rPr>
          <w:rFonts w:ascii="宋体" w:hAnsi="宋体" w:cs="宋体" w:eastAsia="宋体" w:hint="default"/>
          <w:w w:val="99"/>
          <w:sz w:val="21"/>
          <w:szCs w:val="21"/>
        </w:rPr>
        <w:t> </w:t>
      </w:r>
      <w:r>
        <w:rPr>
          <w:rFonts w:ascii="宋体" w:hAnsi="宋体" w:cs="宋体" w:eastAsia="宋体" w:hint="default"/>
          <w:sz w:val="21"/>
          <w:szCs w:val="21"/>
        </w:rPr>
        <w:t>于“高压电缆（</w:t>
      </w:r>
      <w:r>
        <w:rPr>
          <w:rFonts w:ascii="Times New Roman" w:hAnsi="Times New Roman" w:cs="Times New Roman" w:eastAsia="Times New Roman" w:hint="default"/>
          <w:sz w:val="21"/>
          <w:szCs w:val="21"/>
        </w:rPr>
        <w:t>220kV</w:t>
      </w:r>
      <w:r>
        <w:rPr>
          <w:rFonts w:ascii="宋体" w:hAnsi="宋体" w:cs="宋体" w:eastAsia="宋体" w:hint="default"/>
          <w:sz w:val="21"/>
          <w:szCs w:val="21"/>
        </w:rPr>
        <w:t>、</w:t>
      </w:r>
      <w:r>
        <w:rPr>
          <w:rFonts w:ascii="Times New Roman" w:hAnsi="Times New Roman" w:cs="Times New Roman" w:eastAsia="Times New Roman" w:hint="default"/>
          <w:sz w:val="21"/>
          <w:szCs w:val="21"/>
        </w:rPr>
        <w:t>110kV</w:t>
      </w:r>
      <w:r>
        <w:rPr>
          <w:rFonts w:ascii="宋体" w:hAnsi="宋体" w:cs="宋体" w:eastAsia="宋体" w:hint="default"/>
          <w:sz w:val="21"/>
          <w:szCs w:val="21"/>
        </w:rPr>
        <w:t>）超净</w:t>
      </w:r>
      <w:r>
        <w:rPr>
          <w:rFonts w:ascii="Times New Roman" w:hAnsi="Times New Roman" w:cs="Times New Roman" w:eastAsia="Times New Roman" w:hint="default"/>
          <w:sz w:val="21"/>
          <w:szCs w:val="21"/>
        </w:rPr>
        <w:t>XLPE</w:t>
      </w:r>
      <w:r>
        <w:rPr>
          <w:rFonts w:ascii="宋体" w:hAnsi="宋体" w:cs="宋体" w:eastAsia="宋体" w:hint="default"/>
          <w:sz w:val="21"/>
          <w:szCs w:val="21"/>
        </w:rPr>
        <w:t>绝缘料”产品通过国家级新产品技术成果鉴定的公告》）。</w:t>
      </w:r>
    </w:p>
    <w:p>
      <w:pPr>
        <w:spacing w:line="398" w:lineRule="auto" w:before="21"/>
        <w:ind w:left="112" w:right="212" w:firstLine="360"/>
        <w:jc w:val="both"/>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2016</w:t>
      </w:r>
      <w:r>
        <w:rPr>
          <w:rFonts w:ascii="宋体" w:hAnsi="宋体" w:cs="宋体" w:eastAsia="宋体" w:hint="default"/>
          <w:spacing w:val="-1"/>
          <w:w w:val="95"/>
          <w:sz w:val="21"/>
          <w:szCs w:val="21"/>
        </w:rPr>
        <w:t>年</w:t>
      </w:r>
      <w:r>
        <w:rPr>
          <w:rFonts w:ascii="Times New Roman" w:hAnsi="Times New Roman" w:cs="Times New Roman" w:eastAsia="Times New Roman" w:hint="default"/>
          <w:spacing w:val="-1"/>
          <w:w w:val="95"/>
          <w:sz w:val="21"/>
          <w:szCs w:val="21"/>
        </w:rPr>
        <w:t>3</w:t>
      </w:r>
      <w:r>
        <w:rPr>
          <w:rFonts w:ascii="宋体" w:hAnsi="宋体" w:cs="宋体" w:eastAsia="宋体" w:hint="default"/>
          <w:spacing w:val="-1"/>
          <w:w w:val="95"/>
          <w:sz w:val="21"/>
          <w:szCs w:val="21"/>
        </w:rPr>
        <w:t>月</w:t>
      </w:r>
      <w:r>
        <w:rPr>
          <w:rFonts w:ascii="Times New Roman" w:hAnsi="Times New Roman" w:cs="Times New Roman" w:eastAsia="Times New Roman" w:hint="default"/>
          <w:spacing w:val="-1"/>
          <w:w w:val="95"/>
          <w:sz w:val="21"/>
          <w:szCs w:val="21"/>
        </w:rPr>
        <w:t>14</w:t>
      </w:r>
      <w:r>
        <w:rPr>
          <w:rFonts w:ascii="宋体" w:hAnsi="宋体" w:cs="宋体" w:eastAsia="宋体" w:hint="default"/>
          <w:spacing w:val="-1"/>
          <w:w w:val="95"/>
          <w:sz w:val="21"/>
          <w:szCs w:val="21"/>
        </w:rPr>
        <w:t>日，国开发展基金有限公司（简称“国开基金”）、万马股份、万马高分子三方签署《国</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pacing w:val="2"/>
          <w:sz w:val="21"/>
          <w:szCs w:val="21"/>
        </w:rPr>
        <w:t>开发展基金投资合同》，国开基金以人民币</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亿元对万马高分子进行增资，用于“年产</w:t>
      </w:r>
      <w:r>
        <w:rPr>
          <w:rFonts w:ascii="Times New Roman" w:hAnsi="Times New Roman" w:cs="Times New Roman" w:eastAsia="Times New Roman" w:hint="default"/>
          <w:spacing w:val="2"/>
          <w:sz w:val="21"/>
          <w:szCs w:val="21"/>
        </w:rPr>
        <w:t>35</w:t>
      </w:r>
      <w:r>
        <w:rPr>
          <w:rFonts w:ascii="宋体" w:hAnsi="宋体" w:cs="宋体" w:eastAsia="宋体" w:hint="default"/>
          <w:spacing w:val="2"/>
          <w:sz w:val="21"/>
          <w:szCs w:val="21"/>
        </w:rPr>
        <w:t>万吨环保型高性</w:t>
      </w:r>
      <w:r>
        <w:rPr>
          <w:rFonts w:ascii="宋体" w:hAnsi="宋体" w:cs="宋体" w:eastAsia="宋体" w:hint="default"/>
          <w:w w:val="99"/>
          <w:sz w:val="21"/>
          <w:szCs w:val="21"/>
        </w:rPr>
        <w:t> </w:t>
      </w:r>
      <w:r>
        <w:rPr>
          <w:rFonts w:ascii="宋体" w:hAnsi="宋体" w:cs="宋体" w:eastAsia="宋体" w:hint="default"/>
          <w:w w:val="95"/>
          <w:sz w:val="21"/>
          <w:szCs w:val="21"/>
        </w:rPr>
        <w:t>能塑料新材料升级改造项目”资本金，并全权委托国家开发银行股份有限公司（简称“国家开发银行”）</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代为行使本次增资后国开基金对万马高分子及万马股份享有的全部权利。本次国开基金对万马高分子的投</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资，有利于公司抓住新材料发展机遇，降低资金成本，增强上市公司持续盈利能力，符合公司长期利益和</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发展战略。（详见公司于</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16</w:t>
      </w:r>
      <w:r>
        <w:rPr>
          <w:rFonts w:ascii="宋体" w:hAnsi="宋体" w:cs="宋体" w:eastAsia="宋体" w:hint="default"/>
          <w:w w:val="95"/>
          <w:sz w:val="21"/>
          <w:szCs w:val="21"/>
        </w:rPr>
        <w:t>日在巨潮资讯网（</w:t>
      </w:r>
      <w:hyperlink r:id="rId12">
        <w:r>
          <w:rPr>
            <w:rFonts w:ascii="Times New Roman" w:hAnsi="Times New Roman" w:cs="Times New Roman" w:eastAsia="Times New Roman" w:hint="default"/>
            <w:w w:val="95"/>
            <w:sz w:val="21"/>
            <w:szCs w:val="21"/>
          </w:rPr>
          <w:t>http://www.cninfo.com.cn</w:t>
        </w:r>
      </w:hyperlink>
      <w:r>
        <w:rPr>
          <w:rFonts w:ascii="宋体" w:hAnsi="宋体" w:cs="宋体" w:eastAsia="宋体" w:hint="default"/>
          <w:w w:val="95"/>
          <w:sz w:val="21"/>
          <w:szCs w:val="21"/>
        </w:rPr>
        <w:t>）披露的《关于子公司浙</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江万马高分子材料有限公司获得国开发展基金有限公司投资的公告》）。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472"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43"/>
          <w:sz w:val="21"/>
          <w:szCs w:val="21"/>
        </w:rPr>
        <w:t> </w:t>
      </w:r>
      <w:r>
        <w:rPr>
          <w:rFonts w:ascii="宋体" w:hAnsi="宋体" w:cs="宋体" w:eastAsia="宋体" w:hint="default"/>
          <w:b/>
          <w:bCs/>
          <w:sz w:val="21"/>
          <w:szCs w:val="21"/>
        </w:rPr>
        <w:t>海立斯：与法国</w:t>
      </w:r>
      <w:r>
        <w:rPr>
          <w:rFonts w:ascii="Times New Roman" w:hAnsi="Times New Roman" w:cs="Times New Roman" w:eastAsia="Times New Roman" w:hint="default"/>
          <w:b/>
          <w:bCs/>
          <w:sz w:val="21"/>
          <w:szCs w:val="21"/>
        </w:rPr>
        <w:t>IES</w:t>
      </w:r>
      <w:r>
        <w:rPr>
          <w:rFonts w:ascii="宋体" w:hAnsi="宋体" w:cs="宋体" w:eastAsia="宋体" w:hint="default"/>
          <w:b/>
          <w:bCs/>
          <w:sz w:val="21"/>
          <w:szCs w:val="21"/>
        </w:rPr>
        <w:t>联姻，布局高端充电设备。</w:t>
      </w:r>
      <w:r>
        <w:rPr>
          <w:rFonts w:ascii="宋体" w:hAnsi="宋体" w:cs="宋体" w:eastAsia="宋体" w:hint="default"/>
          <w:sz w:val="21"/>
          <w:szCs w:val="21"/>
        </w:rPr>
      </w:r>
    </w:p>
    <w:p>
      <w:pPr>
        <w:spacing w:line="391" w:lineRule="auto" w:before="177"/>
        <w:ind w:left="112" w:right="104"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日，公司与</w:t>
      </w:r>
      <w:r>
        <w:rPr>
          <w:rFonts w:ascii="Times New Roman" w:hAnsi="Times New Roman" w:cs="Times New Roman" w:eastAsia="Times New Roman" w:hint="default"/>
          <w:sz w:val="21"/>
          <w:szCs w:val="21"/>
        </w:rPr>
        <w:t>IES</w:t>
      </w:r>
      <w:r>
        <w:rPr>
          <w:rFonts w:ascii="宋体" w:hAnsi="宋体" w:cs="宋体" w:eastAsia="宋体" w:hint="default"/>
          <w:sz w:val="21"/>
          <w:szCs w:val="21"/>
        </w:rPr>
        <w:t>签署《合资经营合同》，双方拟共同投资设立浙江万马海立斯新能源有限</w:t>
      </w:r>
      <w:r>
        <w:rPr>
          <w:rFonts w:ascii="宋体" w:hAnsi="宋体" w:cs="宋体" w:eastAsia="宋体" w:hint="default"/>
          <w:w w:val="99"/>
          <w:sz w:val="21"/>
          <w:szCs w:val="21"/>
        </w:rPr>
        <w:t> </w:t>
      </w:r>
      <w:r>
        <w:rPr>
          <w:rFonts w:ascii="宋体" w:hAnsi="宋体" w:cs="宋体" w:eastAsia="宋体" w:hint="default"/>
          <w:w w:val="95"/>
          <w:sz w:val="21"/>
          <w:szCs w:val="21"/>
        </w:rPr>
        <w:t>公司（简称“万马海立斯”或“合资公司”），合资公司注册资本人民币</w:t>
      </w:r>
      <w:r>
        <w:rPr>
          <w:rFonts w:ascii="Times New Roman" w:hAnsi="Times New Roman" w:cs="Times New Roman" w:eastAsia="Times New Roman" w:hint="default"/>
          <w:w w:val="95"/>
          <w:sz w:val="21"/>
          <w:szCs w:val="21"/>
        </w:rPr>
        <w:t>4,000</w:t>
      </w:r>
      <w:r>
        <w:rPr>
          <w:rFonts w:ascii="宋体" w:hAnsi="宋体" w:cs="宋体" w:eastAsia="宋体" w:hint="default"/>
          <w:w w:val="95"/>
          <w:sz w:val="21"/>
          <w:szCs w:val="21"/>
        </w:rPr>
        <w:t>万元，预计项目总投资人民</w:t>
      </w:r>
      <w:r>
        <w:rPr>
          <w:rFonts w:ascii="宋体" w:hAnsi="宋体" w:cs="宋体" w:eastAsia="宋体" w:hint="default"/>
          <w:spacing w:val="93"/>
          <w:w w:val="95"/>
          <w:sz w:val="21"/>
          <w:szCs w:val="21"/>
        </w:rPr>
        <w:t> </w:t>
      </w:r>
      <w:r>
        <w:rPr>
          <w:rFonts w:ascii="宋体" w:hAnsi="宋体" w:cs="宋体" w:eastAsia="宋体" w:hint="default"/>
          <w:spacing w:val="93"/>
          <w:w w:val="95"/>
          <w:sz w:val="21"/>
          <w:szCs w:val="21"/>
        </w:rPr>
      </w:r>
      <w:r>
        <w:rPr>
          <w:rFonts w:ascii="宋体" w:hAnsi="宋体" w:cs="宋体" w:eastAsia="宋体" w:hint="default"/>
          <w:w w:val="95"/>
          <w:sz w:val="21"/>
          <w:szCs w:val="21"/>
        </w:rPr>
        <w:t>币</w:t>
      </w:r>
      <w:r>
        <w:rPr>
          <w:rFonts w:ascii="Times New Roman" w:hAnsi="Times New Roman" w:cs="Times New Roman" w:eastAsia="Times New Roman" w:hint="default"/>
          <w:w w:val="95"/>
          <w:sz w:val="21"/>
          <w:szCs w:val="21"/>
        </w:rPr>
        <w:t>7,000</w:t>
      </w:r>
      <w:r>
        <w:rPr>
          <w:rFonts w:ascii="宋体" w:hAnsi="宋体" w:cs="宋体" w:eastAsia="宋体" w:hint="default"/>
          <w:w w:val="95"/>
          <w:sz w:val="21"/>
          <w:szCs w:val="21"/>
        </w:rPr>
        <w:t>万元。万马股份与</w:t>
      </w:r>
      <w:r>
        <w:rPr>
          <w:rFonts w:ascii="Times New Roman" w:hAnsi="Times New Roman" w:cs="Times New Roman" w:eastAsia="Times New Roman" w:hint="default"/>
          <w:w w:val="95"/>
          <w:sz w:val="21"/>
          <w:szCs w:val="21"/>
        </w:rPr>
        <w:t>IES</w:t>
      </w:r>
      <w:r>
        <w:rPr>
          <w:rFonts w:ascii="宋体" w:hAnsi="宋体" w:cs="宋体" w:eastAsia="宋体" w:hint="default"/>
          <w:w w:val="95"/>
          <w:sz w:val="21"/>
          <w:szCs w:val="21"/>
        </w:rPr>
        <w:t>各占</w:t>
      </w:r>
      <w:r>
        <w:rPr>
          <w:rFonts w:ascii="Times New Roman" w:hAnsi="Times New Roman" w:cs="Times New Roman" w:eastAsia="Times New Roman" w:hint="default"/>
          <w:w w:val="95"/>
          <w:sz w:val="21"/>
          <w:szCs w:val="21"/>
        </w:rPr>
        <w:t>50%</w:t>
      </w:r>
      <w:r>
        <w:rPr>
          <w:rFonts w:ascii="宋体" w:hAnsi="宋体" w:cs="宋体" w:eastAsia="宋体" w:hint="default"/>
          <w:w w:val="95"/>
          <w:sz w:val="21"/>
          <w:szCs w:val="21"/>
        </w:rPr>
        <w:t>股份。这是公司继</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9</w:t>
      </w:r>
      <w:r>
        <w:rPr>
          <w:rFonts w:ascii="宋体" w:hAnsi="宋体" w:cs="宋体" w:eastAsia="宋体" w:hint="default"/>
          <w:w w:val="95"/>
          <w:sz w:val="21"/>
          <w:szCs w:val="21"/>
        </w:rPr>
        <w:t>月与</w:t>
      </w:r>
      <w:r>
        <w:rPr>
          <w:rFonts w:ascii="Times New Roman" w:hAnsi="Times New Roman" w:cs="Times New Roman" w:eastAsia="Times New Roman" w:hint="default"/>
          <w:w w:val="95"/>
          <w:sz w:val="21"/>
          <w:szCs w:val="21"/>
        </w:rPr>
        <w:t>IES</w:t>
      </w:r>
      <w:r>
        <w:rPr>
          <w:rFonts w:ascii="宋体" w:hAnsi="宋体" w:cs="宋体" w:eastAsia="宋体" w:hint="default"/>
          <w:w w:val="95"/>
          <w:sz w:val="21"/>
          <w:szCs w:val="21"/>
        </w:rPr>
        <w:t>签署《战略合作意向协议》以来，</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双方合作进程的一个重要里程碑。合资公司将主要致力于直流充电桩、充电器，电动汽车车载充电机等新</w:t>
      </w:r>
      <w:r>
        <w:rPr>
          <w:rFonts w:ascii="宋体" w:hAnsi="宋体" w:cs="宋体" w:eastAsia="宋体" w:hint="default"/>
          <w:w w:val="99"/>
          <w:sz w:val="21"/>
          <w:szCs w:val="21"/>
        </w:rPr>
        <w:t> </w:t>
      </w:r>
      <w:r>
        <w:rPr>
          <w:rFonts w:ascii="宋体" w:hAnsi="宋体" w:cs="宋体" w:eastAsia="宋体" w:hint="default"/>
          <w:spacing w:val="2"/>
          <w:sz w:val="21"/>
          <w:szCs w:val="21"/>
        </w:rPr>
        <w:t>能源产品的研发、生产与销售。公司与</w:t>
      </w:r>
      <w:r>
        <w:rPr>
          <w:rFonts w:ascii="Times New Roman" w:hAnsi="Times New Roman" w:cs="Times New Roman" w:eastAsia="Times New Roman" w:hint="default"/>
          <w:spacing w:val="2"/>
          <w:sz w:val="21"/>
          <w:szCs w:val="21"/>
        </w:rPr>
        <w:t>IES</w:t>
      </w:r>
      <w:r>
        <w:rPr>
          <w:rFonts w:ascii="宋体" w:hAnsi="宋体" w:cs="宋体" w:eastAsia="宋体" w:hint="default"/>
          <w:spacing w:val="2"/>
          <w:sz w:val="21"/>
          <w:szCs w:val="21"/>
        </w:rPr>
        <w:t>的合作，有助于进一步提升公司在电动汽车充电业务领域的技</w:t>
      </w:r>
      <w:r>
        <w:rPr>
          <w:rFonts w:ascii="宋体" w:hAnsi="宋体" w:cs="宋体" w:eastAsia="宋体" w:hint="default"/>
          <w:w w:val="99"/>
          <w:sz w:val="21"/>
          <w:szCs w:val="21"/>
        </w:rPr>
        <w:t> </w:t>
      </w:r>
      <w:r>
        <w:rPr>
          <w:rFonts w:ascii="宋体" w:hAnsi="宋体" w:cs="宋体" w:eastAsia="宋体" w:hint="default"/>
          <w:sz w:val="21"/>
          <w:szCs w:val="21"/>
        </w:rPr>
        <w:t>术研发实力，巩固在电动汽车充电领域的技术领先优势，丰富已有的充电桩产品线，为爱充网提供稳定可</w:t>
      </w:r>
    </w:p>
    <w:p>
      <w:pPr>
        <w:spacing w:after="0" w:line="391" w:lineRule="auto"/>
        <w:jc w:val="left"/>
        <w:rPr>
          <w:rFonts w:ascii="宋体" w:hAnsi="宋体" w:cs="宋体" w:eastAsia="宋体" w:hint="default"/>
          <w:sz w:val="21"/>
          <w:szCs w:val="21"/>
        </w:rPr>
        <w:sectPr>
          <w:pgSz w:w="11910" w:h="16840"/>
          <w:pgMar w:header="850" w:footer="1012" w:top="1440" w:bottom="1200" w:left="1020" w:right="900"/>
        </w:sectPr>
      </w:pPr>
    </w:p>
    <w:p>
      <w:pPr>
        <w:spacing w:line="240" w:lineRule="auto" w:before="8"/>
        <w:rPr>
          <w:rFonts w:ascii="宋体" w:hAnsi="宋体" w:cs="宋体" w:eastAsia="宋体" w:hint="default"/>
          <w:sz w:val="20"/>
          <w:szCs w:val="20"/>
        </w:rPr>
      </w:pPr>
    </w:p>
    <w:p>
      <w:pPr>
        <w:spacing w:line="386" w:lineRule="auto" w:before="34"/>
        <w:ind w:left="112" w:right="203" w:firstLine="0"/>
        <w:jc w:val="both"/>
        <w:rPr>
          <w:rFonts w:ascii="宋体" w:hAnsi="宋体" w:cs="宋体" w:eastAsia="宋体" w:hint="default"/>
          <w:sz w:val="21"/>
          <w:szCs w:val="21"/>
        </w:rPr>
      </w:pPr>
      <w:r>
        <w:rPr>
          <w:rFonts w:ascii="宋体" w:hAnsi="宋体" w:cs="宋体" w:eastAsia="宋体" w:hint="default"/>
          <w:spacing w:val="2"/>
          <w:w w:val="95"/>
          <w:sz w:val="21"/>
          <w:szCs w:val="21"/>
        </w:rPr>
        <w:t>靠的直流充电设备，为万马布局国内外中高端电动汽车充电设备市场抢占先机。（详见公司于</w:t>
      </w:r>
      <w:r>
        <w:rPr>
          <w:rFonts w:ascii="Times New Roman" w:hAnsi="Times New Roman" w:cs="Times New Roman" w:eastAsia="Times New Roman" w:hint="default"/>
          <w:spacing w:val="2"/>
          <w:w w:val="95"/>
          <w:sz w:val="21"/>
          <w:szCs w:val="21"/>
        </w:rPr>
        <w:t>2015</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7</w:t>
      </w:r>
      <w:r>
        <w:rPr>
          <w:rFonts w:ascii="宋体" w:hAnsi="宋体" w:cs="宋体" w:eastAsia="宋体" w:hint="default"/>
          <w:spacing w:val="2"/>
          <w:w w:val="95"/>
          <w:sz w:val="21"/>
          <w:szCs w:val="21"/>
        </w:rPr>
        <w:t>月</w:t>
      </w:r>
      <w:r>
        <w:rPr>
          <w:rFonts w:ascii="宋体" w:hAnsi="宋体" w:cs="宋体" w:eastAsia="宋体" w:hint="default"/>
          <w:spacing w:val="46"/>
          <w:w w:val="95"/>
          <w:sz w:val="21"/>
          <w:szCs w:val="21"/>
        </w:rPr>
        <w:t> </w:t>
      </w:r>
      <w:r>
        <w:rPr>
          <w:rFonts w:ascii="Times New Roman" w:hAnsi="Times New Roman" w:cs="Times New Roman" w:eastAsia="Times New Roman" w:hint="default"/>
          <w:w w:val="95"/>
          <w:sz w:val="21"/>
          <w:szCs w:val="21"/>
        </w:rPr>
        <w:t>18</w:t>
      </w:r>
      <w:r>
        <w:rPr>
          <w:rFonts w:ascii="宋体" w:hAnsi="宋体" w:cs="宋体" w:eastAsia="宋体" w:hint="default"/>
          <w:w w:val="95"/>
          <w:sz w:val="21"/>
          <w:szCs w:val="21"/>
        </w:rPr>
        <w:t>日在巨潮资讯网（</w:t>
      </w:r>
      <w:hyperlink r:id="rId12">
        <w:r>
          <w:rPr>
            <w:rFonts w:ascii="Times New Roman" w:hAnsi="Times New Roman" w:cs="Times New Roman" w:eastAsia="Times New Roman" w:hint="default"/>
            <w:w w:val="95"/>
            <w:sz w:val="21"/>
            <w:szCs w:val="21"/>
          </w:rPr>
          <w:t>http://www.cninfo.com.cn</w:t>
        </w:r>
      </w:hyperlink>
      <w:r>
        <w:rPr>
          <w:rFonts w:ascii="宋体" w:hAnsi="宋体" w:cs="宋体" w:eastAsia="宋体" w:hint="default"/>
          <w:w w:val="95"/>
          <w:sz w:val="21"/>
          <w:szCs w:val="21"/>
        </w:rPr>
        <w:t>）披露的《关于与法国</w:t>
      </w:r>
      <w:r>
        <w:rPr>
          <w:rFonts w:ascii="Times New Roman" w:hAnsi="Times New Roman" w:cs="Times New Roman" w:eastAsia="Times New Roman" w:hint="default"/>
          <w:w w:val="95"/>
          <w:sz w:val="21"/>
          <w:szCs w:val="21"/>
        </w:rPr>
        <w:t>IES</w:t>
      </w:r>
      <w:r>
        <w:rPr>
          <w:rFonts w:ascii="宋体" w:hAnsi="宋体" w:cs="宋体" w:eastAsia="宋体" w:hint="default"/>
          <w:w w:val="95"/>
          <w:sz w:val="21"/>
          <w:szCs w:val="21"/>
        </w:rPr>
        <w:t>合资设立浙江万马海立斯新能源有</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限公司的公告》（公告编号：</w:t>
      </w:r>
      <w:r>
        <w:rPr>
          <w:rFonts w:ascii="Times New Roman" w:hAnsi="Times New Roman" w:cs="Times New Roman" w:eastAsia="Times New Roman" w:hint="default"/>
          <w:sz w:val="21"/>
          <w:szCs w:val="21"/>
        </w:rPr>
        <w:t>2015-055</w:t>
      </w:r>
      <w:r>
        <w:rPr>
          <w:rFonts w:ascii="宋体" w:hAnsi="宋体" w:cs="宋体" w:eastAsia="宋体" w:hint="default"/>
          <w:sz w:val="21"/>
          <w:szCs w:val="21"/>
        </w:rPr>
        <w:t>）。</w:t>
      </w:r>
    </w:p>
    <w:p>
      <w:pPr>
        <w:spacing w:line="386" w:lineRule="auto" w:before="35"/>
        <w:ind w:left="112" w:right="109" w:firstLine="36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年年初，公司与外方已到位第一步出资各</w:t>
      </w:r>
      <w:r>
        <w:rPr>
          <w:rFonts w:ascii="Times New Roman" w:hAnsi="Times New Roman" w:cs="Times New Roman" w:eastAsia="Times New Roman" w:hint="default"/>
          <w:w w:val="95"/>
          <w:sz w:val="21"/>
          <w:szCs w:val="21"/>
        </w:rPr>
        <w:t>1,150</w:t>
      </w:r>
      <w:r>
        <w:rPr>
          <w:rFonts w:ascii="宋体" w:hAnsi="宋体" w:cs="宋体" w:eastAsia="宋体" w:hint="default"/>
          <w:w w:val="95"/>
          <w:sz w:val="21"/>
          <w:szCs w:val="21"/>
        </w:rPr>
        <w:t>万元，海立斯已开始正常经营业务，研发、销售的</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第一批产品已上市。</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47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携手河南佳瑞，拓展河南充电市场。</w:t>
      </w:r>
      <w:r>
        <w:rPr>
          <w:rFonts w:ascii="宋体" w:hAnsi="宋体" w:cs="宋体" w:eastAsia="宋体" w:hint="default"/>
          <w:sz w:val="21"/>
          <w:szCs w:val="21"/>
        </w:rPr>
      </w:r>
    </w:p>
    <w:p>
      <w:pPr>
        <w:spacing w:line="396" w:lineRule="auto" w:before="177"/>
        <w:ind w:left="112" w:right="171" w:firstLine="360"/>
        <w:jc w:val="both"/>
        <w:rPr>
          <w:rFonts w:ascii="宋体" w:hAnsi="宋体" w:cs="宋体" w:eastAsia="宋体" w:hint="default"/>
          <w:sz w:val="21"/>
          <w:szCs w:val="21"/>
        </w:rPr>
      </w:pPr>
      <w:r>
        <w:rPr/>
        <w:pict>
          <v:group style="position:absolute;margin-left:97.550003pt;margin-top:29.033642pt;width:84pt;height:18.5pt;mso-position-horizontal-relative:page;mso-position-vertical-relative:paragraph;z-index:-801904" coordorigin="1951,581" coordsize="1680,370">
            <v:shape style="position:absolute;left:1951;top:581;width:1680;height:370" coordorigin="1951,581" coordsize="1680,370" path="m1951,581l3631,581,3631,951,1951,951,1951,581xe" filled="true" fillcolor="#ffffff" stroked="false">
              <v:path arrowok="t"/>
              <v:fill type="solid"/>
            </v:shape>
            <w10:wrap type="none"/>
          </v:group>
        </w:pict>
      </w:r>
      <w:r>
        <w:rPr/>
        <w:pict>
          <v:group style="position:absolute;margin-left:235.550003pt;margin-top:29.033642pt;width:105pt;height:18.5pt;mso-position-horizontal-relative:page;mso-position-vertical-relative:paragraph;z-index:-801880" coordorigin="4711,581" coordsize="2100,370">
            <v:shape style="position:absolute;left:4711;top:581;width:2100;height:370" coordorigin="4711,581" coordsize="2100,370" path="m4711,581l6811,581,6811,951,4711,951,4711,581xe" filled="true" fillcolor="#ffffff" stroked="false">
              <v:path arrowok="t"/>
              <v:fill type="solid"/>
            </v:shape>
            <w10:wrap type="none"/>
          </v:group>
        </w:pict>
      </w:r>
      <w:r>
        <w:rPr/>
        <w:pict>
          <v:group style="position:absolute;margin-left:394.549988pt;margin-top:29.033642pt;width:52.5pt;height:18.5pt;mso-position-horizontal-relative:page;mso-position-vertical-relative:paragraph;z-index:-801856" coordorigin="7891,581" coordsize="1050,370">
            <v:shape style="position:absolute;left:7891;top:581;width:1050;height:370" coordorigin="7891,581" coordsize="1050,370" path="m7891,581l8941,581,8941,951,7891,951,7891,581xe" filled="true" fillcolor="#ffffff" stroked="false">
              <v:path arrowok="t"/>
              <v:fill type="solid"/>
            </v:shape>
            <w10:wrap type="none"/>
          </v:group>
        </w:pict>
      </w:r>
      <w:r>
        <w:rPr/>
        <w:pict>
          <v:group style="position:absolute;margin-left:507.149994pt;margin-top:29.033642pt;width:31.55pt;height:18.5pt;mso-position-horizontal-relative:page;mso-position-vertical-relative:paragraph;z-index:-801832" coordorigin="10143,581" coordsize="631,370">
            <v:shape style="position:absolute;left:10143;top:581;width:631;height:370" coordorigin="10143,581" coordsize="631,370" path="m10143,581l10774,581,10774,951,10143,951,10143,581xe" filled="true" fillcolor="#ffffff" stroked="false">
              <v:path arrowok="t"/>
              <v:fill type="solid"/>
            </v:shape>
            <w10:wrap type="none"/>
          </v:group>
        </w:pic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7</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16</w:t>
      </w:r>
      <w:r>
        <w:rPr>
          <w:rFonts w:ascii="宋体" w:hAnsi="宋体" w:cs="宋体" w:eastAsia="宋体" w:hint="default"/>
          <w:w w:val="95"/>
          <w:sz w:val="21"/>
          <w:szCs w:val="21"/>
        </w:rPr>
        <w:t>日，公司全资子公司爱充网与河南佳瑞签署《合资经营协议书》，双方拟共同出资成立合</w:t>
      </w:r>
      <w:r>
        <w:rPr>
          <w:rFonts w:ascii="宋体" w:hAnsi="宋体" w:cs="宋体" w:eastAsia="宋体" w:hint="default"/>
          <w:spacing w:val="-80"/>
          <w:w w:val="95"/>
          <w:sz w:val="21"/>
          <w:szCs w:val="21"/>
        </w:rPr>
        <w:t> </w:t>
      </w:r>
      <w:r>
        <w:rPr>
          <w:rFonts w:ascii="宋体" w:hAnsi="宋体" w:cs="宋体" w:eastAsia="宋体" w:hint="default"/>
          <w:spacing w:val="-80"/>
          <w:w w:val="95"/>
          <w:sz w:val="21"/>
          <w:szCs w:val="21"/>
        </w:rPr>
      </w:r>
      <w:r>
        <w:rPr>
          <w:rFonts w:ascii="宋体" w:hAnsi="宋体" w:cs="宋体" w:eastAsia="宋体" w:hint="default"/>
          <w:spacing w:val="-2"/>
          <w:sz w:val="21"/>
          <w:szCs w:val="21"/>
        </w:rPr>
        <w:t>资公司，合资公司注册资本</w:t>
      </w:r>
      <w:r>
        <w:rPr>
          <w:rFonts w:ascii="Times New Roman" w:hAnsi="Times New Roman" w:cs="Times New Roman" w:eastAsia="Times New Roman" w:hint="default"/>
          <w:spacing w:val="-2"/>
          <w:sz w:val="21"/>
          <w:szCs w:val="21"/>
        </w:rPr>
        <w:t>5,000</w:t>
      </w:r>
      <w:r>
        <w:rPr>
          <w:rFonts w:ascii="宋体" w:hAnsi="宋体" w:cs="宋体" w:eastAsia="宋体" w:hint="default"/>
          <w:spacing w:val="-2"/>
          <w:sz w:val="21"/>
          <w:szCs w:val="21"/>
        </w:rPr>
        <w:t>万元，爱充网以自有现金出资</w:t>
      </w:r>
      <w:r>
        <w:rPr>
          <w:rFonts w:ascii="Times New Roman" w:hAnsi="Times New Roman" w:cs="Times New Roman" w:eastAsia="Times New Roman" w:hint="default"/>
          <w:spacing w:val="-2"/>
          <w:sz w:val="21"/>
          <w:szCs w:val="21"/>
        </w:rPr>
        <w:t>2,550</w:t>
      </w:r>
      <w:r>
        <w:rPr>
          <w:rFonts w:ascii="宋体" w:hAnsi="宋体" w:cs="宋体" w:eastAsia="宋体" w:hint="default"/>
          <w:spacing w:val="-2"/>
          <w:sz w:val="21"/>
          <w:szCs w:val="21"/>
        </w:rPr>
        <w:t>万元，占合资公司</w:t>
      </w:r>
      <w:r>
        <w:rPr>
          <w:rFonts w:ascii="Times New Roman" w:hAnsi="Times New Roman" w:cs="Times New Roman" w:eastAsia="Times New Roman" w:hint="default"/>
          <w:spacing w:val="-2"/>
          <w:sz w:val="21"/>
          <w:szCs w:val="21"/>
        </w:rPr>
        <w:t>51%</w:t>
      </w:r>
      <w:r>
        <w:rPr>
          <w:rFonts w:ascii="宋体" w:hAnsi="宋体" w:cs="宋体" w:eastAsia="宋体" w:hint="default"/>
          <w:spacing w:val="-2"/>
          <w:sz w:val="21"/>
          <w:szCs w:val="21"/>
        </w:rPr>
        <w:t>的股份；河南佳</w:t>
      </w:r>
      <w:r>
        <w:rPr>
          <w:rFonts w:ascii="宋体" w:hAnsi="宋体" w:cs="宋体" w:eastAsia="宋体" w:hint="default"/>
          <w:w w:val="99"/>
          <w:sz w:val="21"/>
          <w:szCs w:val="21"/>
        </w:rPr>
        <w:t> </w:t>
      </w:r>
      <w:r>
        <w:rPr>
          <w:rFonts w:ascii="宋体" w:hAnsi="宋体" w:cs="宋体" w:eastAsia="宋体" w:hint="default"/>
          <w:w w:val="95"/>
          <w:sz w:val="21"/>
          <w:szCs w:val="21"/>
        </w:rPr>
        <w:t>瑞出资</w:t>
      </w:r>
      <w:r>
        <w:rPr>
          <w:rFonts w:ascii="Times New Roman" w:hAnsi="Times New Roman" w:cs="Times New Roman" w:eastAsia="Times New Roman" w:hint="default"/>
          <w:w w:val="95"/>
          <w:sz w:val="21"/>
          <w:szCs w:val="21"/>
        </w:rPr>
        <w:t>2,450</w:t>
      </w:r>
      <w:r>
        <w:rPr>
          <w:rFonts w:ascii="宋体" w:hAnsi="宋体" w:cs="宋体" w:eastAsia="宋体" w:hint="default"/>
          <w:w w:val="95"/>
          <w:sz w:val="21"/>
          <w:szCs w:val="21"/>
        </w:rPr>
        <w:t>万元，占合资公司</w:t>
      </w:r>
      <w:r>
        <w:rPr>
          <w:rFonts w:ascii="Times New Roman" w:hAnsi="Times New Roman" w:cs="Times New Roman" w:eastAsia="Times New Roman" w:hint="default"/>
          <w:w w:val="95"/>
          <w:sz w:val="21"/>
          <w:szCs w:val="21"/>
        </w:rPr>
        <w:t>49%</w:t>
      </w:r>
      <w:r>
        <w:rPr>
          <w:rFonts w:ascii="宋体" w:hAnsi="宋体" w:cs="宋体" w:eastAsia="宋体" w:hint="default"/>
          <w:w w:val="95"/>
          <w:sz w:val="21"/>
          <w:szCs w:val="21"/>
        </w:rPr>
        <w:t>的股份。爱充网将为合资公司在河南境内开展充电设施投资提供技术、</w:t>
      </w:r>
      <w:r>
        <w:rPr>
          <w:rFonts w:ascii="宋体" w:hAnsi="宋体" w:cs="宋体" w:eastAsia="宋体" w:hint="default"/>
          <w:spacing w:val="64"/>
          <w:w w:val="95"/>
          <w:sz w:val="21"/>
          <w:szCs w:val="21"/>
        </w:rPr>
        <w:t> </w:t>
      </w:r>
      <w:r>
        <w:rPr>
          <w:rFonts w:ascii="宋体" w:hAnsi="宋体" w:cs="宋体" w:eastAsia="宋体" w:hint="default"/>
          <w:spacing w:val="64"/>
          <w:w w:val="95"/>
          <w:sz w:val="21"/>
          <w:szCs w:val="21"/>
        </w:rPr>
      </w:r>
      <w:r>
        <w:rPr>
          <w:rFonts w:ascii="宋体" w:hAnsi="宋体" w:cs="宋体" w:eastAsia="宋体" w:hint="default"/>
          <w:sz w:val="21"/>
          <w:szCs w:val="21"/>
        </w:rPr>
        <w:t>运营平台等支持，并向合资公司提供充电设备，并对充电设备的安装、维护及接入爱充网平台提供支持。</w:t>
      </w:r>
      <w:r>
        <w:rPr>
          <w:rFonts w:ascii="宋体" w:hAnsi="宋体" w:cs="宋体" w:eastAsia="宋体" w:hint="default"/>
          <w:w w:val="99"/>
          <w:sz w:val="21"/>
          <w:szCs w:val="21"/>
        </w:rPr>
        <w:t> </w:t>
      </w:r>
      <w:r>
        <w:rPr>
          <w:rFonts w:ascii="宋体" w:hAnsi="宋体" w:cs="宋体" w:eastAsia="宋体" w:hint="default"/>
          <w:sz w:val="21"/>
          <w:szCs w:val="21"/>
        </w:rPr>
        <w:t>河南佳瑞将充分利用自身资源为合资公司的设立、运营争取政策优惠支持，为合资公司就充电设备建设、</w:t>
      </w:r>
      <w:r>
        <w:rPr>
          <w:rFonts w:ascii="宋体" w:hAnsi="宋体" w:cs="宋体" w:eastAsia="宋体" w:hint="default"/>
          <w:w w:val="99"/>
          <w:sz w:val="21"/>
          <w:szCs w:val="21"/>
        </w:rPr>
        <w:t> </w:t>
      </w:r>
      <w:r>
        <w:rPr>
          <w:rFonts w:ascii="宋体" w:hAnsi="宋体" w:cs="宋体" w:eastAsia="宋体" w:hint="default"/>
          <w:spacing w:val="2"/>
          <w:sz w:val="21"/>
          <w:szCs w:val="21"/>
        </w:rPr>
        <w:t>运营、爱充网在当地的充电设施市场推广提供各项资源支持。（详见公司于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日在巨潮资讯网</w:t>
      </w:r>
    </w:p>
    <w:p>
      <w:pPr>
        <w:spacing w:line="386" w:lineRule="auto" w:before="26"/>
        <w:ind w:left="112" w:right="107" w:firstLine="0"/>
        <w:jc w:val="both"/>
        <w:rPr>
          <w:rFonts w:ascii="宋体" w:hAnsi="宋体" w:cs="宋体" w:eastAsia="宋体" w:hint="default"/>
          <w:sz w:val="21"/>
          <w:szCs w:val="21"/>
        </w:rPr>
      </w:pPr>
      <w:r>
        <w:rPr>
          <w:rFonts w:ascii="宋体" w:hAnsi="宋体" w:cs="宋体" w:eastAsia="宋体" w:hint="default"/>
          <w:w w:val="95"/>
          <w:sz w:val="21"/>
          <w:szCs w:val="21"/>
        </w:rPr>
        <w:t>（</w:t>
      </w:r>
      <w:hyperlink r:id="rId12">
        <w:r>
          <w:rPr>
            <w:rFonts w:ascii="Times New Roman" w:hAnsi="Times New Roman" w:cs="Times New Roman" w:eastAsia="Times New Roman" w:hint="default"/>
            <w:w w:val="95"/>
            <w:sz w:val="21"/>
            <w:szCs w:val="21"/>
          </w:rPr>
          <w:t>http://www.cninfo.com.cn</w:t>
        </w:r>
      </w:hyperlink>
      <w:r>
        <w:rPr>
          <w:rFonts w:ascii="宋体" w:hAnsi="宋体" w:cs="宋体" w:eastAsia="宋体" w:hint="default"/>
          <w:w w:val="95"/>
          <w:sz w:val="21"/>
          <w:szCs w:val="21"/>
        </w:rPr>
        <w:t>）披露的《关于子公司爱充网与河南佳瑞签署合资经营协议书的公告》（公告编</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号：</w:t>
      </w:r>
      <w:r>
        <w:rPr>
          <w:rFonts w:ascii="Times New Roman" w:hAnsi="Times New Roman" w:cs="Times New Roman" w:eastAsia="Times New Roman" w:hint="default"/>
          <w:sz w:val="21"/>
          <w:szCs w:val="21"/>
        </w:rPr>
        <w:t>2015-054</w:t>
      </w:r>
      <w:r>
        <w:rPr>
          <w:rFonts w:ascii="宋体" w:hAnsi="宋体" w:cs="宋体" w:eastAsia="宋体" w:hint="default"/>
          <w:sz w:val="21"/>
          <w:szCs w:val="21"/>
        </w:rPr>
        <w:t>）。截至报告期末，双方暂未就具体合作事项达成共识，仍在协商中。</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before="0"/>
        <w:ind w:left="47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万恩新能源：新设合资公司，推进新能源区域突破。</w:t>
      </w:r>
      <w:r>
        <w:rPr>
          <w:rFonts w:ascii="宋体" w:hAnsi="宋体" w:cs="宋体" w:eastAsia="宋体" w:hint="default"/>
          <w:sz w:val="21"/>
          <w:szCs w:val="21"/>
        </w:rPr>
      </w:r>
    </w:p>
    <w:p>
      <w:pPr>
        <w:spacing w:line="393" w:lineRule="auto" w:before="177"/>
        <w:ind w:left="112" w:right="109"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日，公司、电气电缆集团、天恩能源签署《合资经营协议》。经三方协商一致，拟共同投</w:t>
      </w:r>
      <w:r>
        <w:rPr>
          <w:rFonts w:ascii="宋体" w:hAnsi="宋体" w:cs="宋体" w:eastAsia="宋体" w:hint="default"/>
          <w:w w:val="99"/>
          <w:sz w:val="21"/>
          <w:szCs w:val="21"/>
        </w:rPr>
        <w:t> </w:t>
      </w:r>
      <w:r>
        <w:rPr>
          <w:rFonts w:ascii="宋体" w:hAnsi="宋体" w:cs="宋体" w:eastAsia="宋体" w:hint="default"/>
          <w:w w:val="95"/>
          <w:sz w:val="21"/>
          <w:szCs w:val="21"/>
        </w:rPr>
        <w:t>资</w:t>
      </w:r>
      <w:r>
        <w:rPr>
          <w:rFonts w:ascii="Times New Roman" w:hAnsi="Times New Roman" w:cs="Times New Roman" w:eastAsia="Times New Roman" w:hint="default"/>
          <w:w w:val="95"/>
          <w:sz w:val="21"/>
          <w:szCs w:val="21"/>
        </w:rPr>
        <w:t>5,500</w:t>
      </w:r>
      <w:r>
        <w:rPr>
          <w:rFonts w:ascii="宋体" w:hAnsi="宋体" w:cs="宋体" w:eastAsia="宋体" w:hint="default"/>
          <w:w w:val="95"/>
          <w:sz w:val="21"/>
          <w:szCs w:val="21"/>
        </w:rPr>
        <w:t>万元（首期</w:t>
      </w:r>
      <w:r>
        <w:rPr>
          <w:rFonts w:ascii="Times New Roman" w:hAnsi="Times New Roman" w:cs="Times New Roman" w:eastAsia="Times New Roman" w:hint="default"/>
          <w:w w:val="95"/>
          <w:sz w:val="21"/>
          <w:szCs w:val="21"/>
        </w:rPr>
        <w:t>5,000</w:t>
      </w:r>
      <w:r>
        <w:rPr>
          <w:rFonts w:ascii="宋体" w:hAnsi="宋体" w:cs="宋体" w:eastAsia="宋体" w:hint="default"/>
          <w:w w:val="95"/>
          <w:sz w:val="21"/>
          <w:szCs w:val="21"/>
        </w:rPr>
        <w:t>万元）成立合资公司</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山东万恩新能源科技有限公司（简称“万恩新能源”）。</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其中万马股份拟自有资金首期出资</w:t>
      </w:r>
      <w:r>
        <w:rPr>
          <w:rFonts w:ascii="Times New Roman" w:hAnsi="Times New Roman" w:cs="Times New Roman" w:eastAsia="Times New Roman" w:hint="default"/>
          <w:sz w:val="21"/>
          <w:szCs w:val="21"/>
        </w:rPr>
        <w:t>1,550</w:t>
      </w:r>
      <w:r>
        <w:rPr>
          <w:rFonts w:ascii="宋体" w:hAnsi="宋体" w:cs="宋体" w:eastAsia="宋体" w:hint="default"/>
          <w:sz w:val="21"/>
          <w:szCs w:val="21"/>
        </w:rPr>
        <w:t>万元，占合资公司</w:t>
      </w:r>
      <w:r>
        <w:rPr>
          <w:rFonts w:ascii="Times New Roman" w:hAnsi="Times New Roman" w:cs="Times New Roman" w:eastAsia="Times New Roman" w:hint="default"/>
          <w:sz w:val="21"/>
          <w:szCs w:val="21"/>
        </w:rPr>
        <w:t>31%</w:t>
      </w:r>
      <w:r>
        <w:rPr>
          <w:rFonts w:ascii="宋体" w:hAnsi="宋体" w:cs="宋体" w:eastAsia="宋体" w:hint="default"/>
          <w:sz w:val="21"/>
          <w:szCs w:val="21"/>
        </w:rPr>
        <w:t>股权；电气电缆集团拟以自有资金首期出资</w:t>
      </w:r>
      <w:r>
        <w:rPr>
          <w:rFonts w:ascii="宋体" w:hAnsi="宋体" w:cs="宋体" w:eastAsia="宋体" w:hint="default"/>
          <w:w w:val="99"/>
          <w:sz w:val="21"/>
          <w:szCs w:val="21"/>
        </w:rPr>
        <w:t> </w:t>
      </w:r>
      <w:r>
        <w:rPr>
          <w:rFonts w:ascii="Times New Roman" w:hAnsi="Times New Roman" w:cs="Times New Roman" w:eastAsia="Times New Roman" w:hint="default"/>
          <w:w w:val="95"/>
          <w:sz w:val="21"/>
          <w:szCs w:val="21"/>
        </w:rPr>
        <w:t>1,000</w:t>
      </w:r>
      <w:r>
        <w:rPr>
          <w:rFonts w:ascii="宋体" w:hAnsi="宋体" w:cs="宋体" w:eastAsia="宋体" w:hint="default"/>
          <w:w w:val="95"/>
          <w:sz w:val="21"/>
          <w:szCs w:val="21"/>
        </w:rPr>
        <w:t>万元，占合资公司</w:t>
      </w:r>
      <w:r>
        <w:rPr>
          <w:rFonts w:ascii="Times New Roman" w:hAnsi="Times New Roman" w:cs="Times New Roman" w:eastAsia="Times New Roman" w:hint="default"/>
          <w:w w:val="95"/>
          <w:sz w:val="21"/>
          <w:szCs w:val="21"/>
        </w:rPr>
        <w:t>20%</w:t>
      </w:r>
      <w:r>
        <w:rPr>
          <w:rFonts w:ascii="宋体" w:hAnsi="宋体" w:cs="宋体" w:eastAsia="宋体" w:hint="default"/>
          <w:w w:val="95"/>
          <w:sz w:val="21"/>
          <w:szCs w:val="21"/>
        </w:rPr>
        <w:t>股权；天恩能源拟以全资子公司股权以及天恩能源的充电桩资产首期出资</w:t>
      </w:r>
      <w:r>
        <w:rPr>
          <w:rFonts w:ascii="Times New Roman" w:hAnsi="Times New Roman" w:cs="Times New Roman" w:eastAsia="Times New Roman" w:hint="default"/>
          <w:w w:val="95"/>
          <w:sz w:val="21"/>
          <w:szCs w:val="21"/>
        </w:rPr>
        <w:t>2,450</w:t>
      </w:r>
      <w:r>
        <w:rPr>
          <w:rFonts w:ascii="Times New Roman" w:hAnsi="Times New Roman" w:cs="Times New Roman" w:eastAsia="Times New Roman" w:hint="default"/>
          <w:spacing w:val="24"/>
          <w:w w:val="95"/>
          <w:sz w:val="21"/>
          <w:szCs w:val="21"/>
        </w:rPr>
        <w:t> </w:t>
      </w:r>
      <w:r>
        <w:rPr>
          <w:rFonts w:ascii="Times New Roman" w:hAnsi="Times New Roman" w:cs="Times New Roman" w:eastAsia="Times New Roman" w:hint="default"/>
          <w:spacing w:val="24"/>
          <w:w w:val="95"/>
          <w:sz w:val="21"/>
          <w:szCs w:val="21"/>
        </w:rPr>
      </w:r>
      <w:r>
        <w:rPr>
          <w:rFonts w:ascii="宋体" w:hAnsi="宋体" w:cs="宋体" w:eastAsia="宋体" w:hint="default"/>
          <w:sz w:val="21"/>
          <w:szCs w:val="21"/>
        </w:rPr>
        <w:t>万元，占合资公司</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股权。合作目的是为有序推进公司充电桩网络的全国布局，加快爱充网络建设及平</w:t>
      </w:r>
      <w:r>
        <w:rPr>
          <w:rFonts w:ascii="宋体" w:hAnsi="宋体" w:cs="宋体" w:eastAsia="宋体" w:hint="default"/>
          <w:w w:val="99"/>
          <w:sz w:val="21"/>
          <w:szCs w:val="21"/>
        </w:rPr>
        <w:t> </w:t>
      </w:r>
      <w:r>
        <w:rPr>
          <w:rFonts w:ascii="宋体" w:hAnsi="宋体" w:cs="宋体" w:eastAsia="宋体" w:hint="default"/>
          <w:sz w:val="21"/>
          <w:szCs w:val="21"/>
        </w:rPr>
        <w:t>台运营。计划由万马新能源供充电设备产品，合资公司负责在潍坊范围内充电设备的安装，并将充电设备</w:t>
      </w:r>
      <w:r>
        <w:rPr>
          <w:rFonts w:ascii="宋体" w:hAnsi="宋体" w:cs="宋体" w:eastAsia="宋体" w:hint="default"/>
          <w:w w:val="99"/>
          <w:sz w:val="21"/>
          <w:szCs w:val="21"/>
        </w:rPr>
        <w:t> </w:t>
      </w:r>
      <w:r>
        <w:rPr>
          <w:rFonts w:ascii="宋体" w:hAnsi="宋体" w:cs="宋体" w:eastAsia="宋体" w:hint="default"/>
          <w:sz w:val="21"/>
          <w:szCs w:val="21"/>
        </w:rPr>
        <w:t>纳入爱充网运营平台，由平台提供充电设备相关服务，包括但不限于监控桩体的状态、故障的处理，以及</w:t>
      </w:r>
      <w:r>
        <w:rPr>
          <w:rFonts w:ascii="宋体" w:hAnsi="宋体" w:cs="宋体" w:eastAsia="宋体" w:hint="default"/>
          <w:w w:val="99"/>
          <w:sz w:val="21"/>
          <w:szCs w:val="21"/>
        </w:rPr>
        <w:t> </w:t>
      </w:r>
      <w:r>
        <w:rPr>
          <w:rFonts w:ascii="宋体" w:hAnsi="宋体" w:cs="宋体" w:eastAsia="宋体" w:hint="default"/>
          <w:sz w:val="21"/>
          <w:szCs w:val="21"/>
        </w:rPr>
        <w:t>桩体的运营管理，实现充电设备数据共享、统一管理和统一收费，与各充电设备投资主体统一结算。（详</w:t>
      </w:r>
      <w:r>
        <w:rPr>
          <w:rFonts w:ascii="宋体" w:hAnsi="宋体" w:cs="宋体" w:eastAsia="宋体" w:hint="default"/>
          <w:w w:val="99"/>
          <w:sz w:val="21"/>
          <w:szCs w:val="21"/>
        </w:rPr>
        <w:t> </w:t>
      </w:r>
      <w:r>
        <w:rPr>
          <w:rFonts w:ascii="宋体" w:hAnsi="宋体" w:cs="宋体" w:eastAsia="宋体" w:hint="default"/>
          <w:sz w:val="21"/>
          <w:szCs w:val="21"/>
        </w:rPr>
        <w:t>见公司于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日在巨潮资讯网（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）披露的《关于投资设立合资公司山东万</w:t>
      </w:r>
      <w:r>
        <w:rPr>
          <w:rFonts w:ascii="宋体" w:hAnsi="宋体" w:cs="宋体" w:eastAsia="宋体" w:hint="default"/>
          <w:w w:val="99"/>
          <w:sz w:val="21"/>
          <w:szCs w:val="21"/>
        </w:rPr>
        <w:t> </w:t>
      </w:r>
      <w:r>
        <w:rPr>
          <w:rFonts w:ascii="宋体" w:hAnsi="宋体" w:cs="宋体" w:eastAsia="宋体" w:hint="default"/>
          <w:sz w:val="21"/>
          <w:szCs w:val="21"/>
        </w:rPr>
        <w:t>恩新能源科技有限公司（筹）的公告》（公告编号：</w:t>
      </w:r>
      <w:r>
        <w:rPr>
          <w:rFonts w:ascii="Times New Roman" w:hAnsi="Times New Roman" w:cs="Times New Roman" w:eastAsia="Times New Roman" w:hint="default"/>
          <w:sz w:val="21"/>
          <w:szCs w:val="21"/>
        </w:rPr>
        <w:t>2015-043</w:t>
      </w:r>
      <w:r>
        <w:rPr>
          <w:rFonts w:ascii="宋体" w:hAnsi="宋体" w:cs="宋体" w:eastAsia="宋体" w:hint="default"/>
          <w:sz w:val="21"/>
          <w:szCs w:val="21"/>
        </w:rPr>
        <w:t>）。</w:t>
      </w:r>
    </w:p>
    <w:p>
      <w:pPr>
        <w:spacing w:line="386" w:lineRule="auto" w:before="28"/>
        <w:ind w:left="112" w:right="109" w:firstLine="360"/>
        <w:jc w:val="left"/>
        <w:rPr>
          <w:rFonts w:ascii="宋体" w:hAnsi="宋体" w:cs="宋体" w:eastAsia="宋体" w:hint="default"/>
          <w:sz w:val="21"/>
          <w:szCs w:val="21"/>
        </w:rPr>
      </w:pPr>
      <w:r>
        <w:rPr>
          <w:rFonts w:ascii="宋体" w:hAnsi="宋体" w:cs="宋体" w:eastAsia="宋体" w:hint="default"/>
          <w:spacing w:val="-2"/>
          <w:w w:val="95"/>
          <w:sz w:val="21"/>
          <w:szCs w:val="21"/>
        </w:rPr>
        <w:t>截至报告期末，万马股份已实际出资</w:t>
      </w:r>
      <w:r>
        <w:rPr>
          <w:rFonts w:ascii="Times New Roman" w:hAnsi="Times New Roman" w:cs="Times New Roman" w:eastAsia="Times New Roman" w:hint="default"/>
          <w:spacing w:val="-2"/>
          <w:w w:val="95"/>
          <w:sz w:val="21"/>
          <w:szCs w:val="21"/>
        </w:rPr>
        <w:t>834.72</w:t>
      </w:r>
      <w:r>
        <w:rPr>
          <w:rFonts w:ascii="宋体" w:hAnsi="宋体" w:cs="宋体" w:eastAsia="宋体" w:hint="default"/>
          <w:spacing w:val="-2"/>
          <w:w w:val="95"/>
          <w:sz w:val="21"/>
          <w:szCs w:val="21"/>
        </w:rPr>
        <w:t>万元。万恩新能源在青州市建成</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座充电站并已投入试运行，</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该充电站有</w:t>
      </w:r>
      <w:r>
        <w:rPr>
          <w:rFonts w:ascii="Times New Roman" w:hAnsi="Times New Roman" w:cs="Times New Roman" w:eastAsia="Times New Roman" w:hint="default"/>
          <w:sz w:val="21"/>
          <w:szCs w:val="21"/>
        </w:rPr>
        <w:t>8</w:t>
      </w:r>
      <w:r>
        <w:rPr>
          <w:rFonts w:ascii="宋体" w:hAnsi="宋体" w:cs="宋体" w:eastAsia="宋体" w:hint="default"/>
          <w:sz w:val="21"/>
          <w:szCs w:val="21"/>
        </w:rPr>
        <w:t>个</w:t>
      </w:r>
      <w:r>
        <w:rPr>
          <w:rFonts w:ascii="Times New Roman" w:hAnsi="Times New Roman" w:cs="Times New Roman" w:eastAsia="Times New Roman" w:hint="default"/>
          <w:sz w:val="21"/>
          <w:szCs w:val="21"/>
        </w:rPr>
        <w:t>30KW</w:t>
      </w:r>
      <w:r>
        <w:rPr>
          <w:rFonts w:ascii="宋体" w:hAnsi="宋体" w:cs="宋体" w:eastAsia="宋体" w:hint="default"/>
          <w:sz w:val="21"/>
          <w:szCs w:val="21"/>
        </w:rPr>
        <w:t>直流桩，</w:t>
      </w:r>
      <w:r>
        <w:rPr>
          <w:rFonts w:ascii="Times New Roman" w:hAnsi="Times New Roman" w:cs="Times New Roman" w:eastAsia="Times New Roman" w:hint="default"/>
          <w:sz w:val="21"/>
          <w:szCs w:val="21"/>
        </w:rPr>
        <w:t>12</w:t>
      </w:r>
      <w:r>
        <w:rPr>
          <w:rFonts w:ascii="宋体" w:hAnsi="宋体" w:cs="宋体" w:eastAsia="宋体" w:hint="default"/>
          <w:sz w:val="21"/>
          <w:szCs w:val="21"/>
        </w:rPr>
        <w:t>个</w:t>
      </w:r>
      <w:r>
        <w:rPr>
          <w:rFonts w:ascii="Times New Roman" w:hAnsi="Times New Roman" w:cs="Times New Roman" w:eastAsia="Times New Roman" w:hint="default"/>
          <w:sz w:val="21"/>
          <w:szCs w:val="21"/>
        </w:rPr>
        <w:t>7KW</w:t>
      </w:r>
      <w:r>
        <w:rPr>
          <w:rFonts w:ascii="宋体" w:hAnsi="宋体" w:cs="宋体" w:eastAsia="宋体" w:hint="default"/>
          <w:sz w:val="21"/>
          <w:szCs w:val="21"/>
        </w:rPr>
        <w:t>交流桩供电动车自主充电，将会给公司带来一定收益。</w:t>
      </w:r>
    </w:p>
    <w:p>
      <w:pPr>
        <w:spacing w:after="0" w:line="386" w:lineRule="auto"/>
        <w:jc w:val="left"/>
        <w:rPr>
          <w:rFonts w:ascii="宋体" w:hAnsi="宋体" w:cs="宋体" w:eastAsia="宋体" w:hint="default"/>
          <w:sz w:val="21"/>
          <w:szCs w:val="21"/>
        </w:rPr>
        <w:sectPr>
          <w:pgSz w:w="11910" w:h="16840"/>
          <w:pgMar w:header="850" w:footer="1012" w:top="1440" w:bottom="1200" w:left="1020" w:right="920"/>
        </w:sectPr>
      </w:pPr>
    </w:p>
    <w:p>
      <w:pPr>
        <w:spacing w:line="240" w:lineRule="auto" w:before="8"/>
        <w:rPr>
          <w:rFonts w:ascii="宋体" w:hAnsi="宋体" w:cs="宋体" w:eastAsia="宋体" w:hint="default"/>
          <w:sz w:val="20"/>
          <w:szCs w:val="20"/>
        </w:rPr>
      </w:pPr>
    </w:p>
    <w:p>
      <w:pPr>
        <w:spacing w:line="408" w:lineRule="auto" w:before="34"/>
        <w:ind w:left="112" w:right="144" w:firstLine="360"/>
        <w:jc w:val="left"/>
        <w:rPr>
          <w:rFonts w:ascii="宋体" w:hAnsi="宋体" w:cs="宋体" w:eastAsia="宋体" w:hint="default"/>
          <w:sz w:val="21"/>
          <w:szCs w:val="21"/>
        </w:rPr>
      </w:pPr>
      <w:r>
        <w:rPr>
          <w:rFonts w:ascii="宋体" w:hAnsi="宋体" w:cs="宋体" w:eastAsia="宋体" w:hint="default"/>
          <w:w w:val="95"/>
          <w:sz w:val="21"/>
          <w:szCs w:val="21"/>
        </w:rPr>
        <w:t>目前，公司正与滨海开发区管委会和区内有关大型企业洽谈，提供新能源车上下班租赁服务。公司已</w:t>
      </w:r>
      <w:r>
        <w:rPr>
          <w:rFonts w:ascii="宋体" w:hAnsi="宋体" w:cs="宋体" w:eastAsia="宋体" w:hint="default"/>
          <w:spacing w:val="-22"/>
          <w:w w:val="95"/>
          <w:sz w:val="21"/>
          <w:szCs w:val="21"/>
        </w:rPr>
        <w:t> </w:t>
      </w:r>
      <w:r>
        <w:rPr>
          <w:rFonts w:ascii="宋体" w:hAnsi="宋体" w:cs="宋体" w:eastAsia="宋体" w:hint="default"/>
          <w:spacing w:val="-22"/>
          <w:w w:val="95"/>
          <w:sz w:val="21"/>
          <w:szCs w:val="21"/>
        </w:rPr>
      </w:r>
      <w:r>
        <w:rPr>
          <w:rFonts w:ascii="宋体" w:hAnsi="宋体" w:cs="宋体" w:eastAsia="宋体" w:hint="default"/>
          <w:sz w:val="21"/>
          <w:szCs w:val="21"/>
        </w:rPr>
        <w:t>与有关新能源车企联系，在山东区域内开展车桩捆绑销售工作。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left="112" w:right="7083"/>
        <w:jc w:val="left"/>
        <w:rPr>
          <w:b w:val="0"/>
          <w:bCs w:val="0"/>
        </w:rPr>
      </w:pPr>
      <w:r>
        <w:rPr/>
        <w:t>二十、社会责任情况</w:t>
      </w:r>
      <w:r>
        <w:rPr>
          <w:b w:val="0"/>
          <w:bCs w:val="0"/>
        </w:rPr>
      </w:r>
    </w:p>
    <w:p>
      <w:pPr>
        <w:spacing w:line="240" w:lineRule="auto" w:before="6"/>
        <w:rPr>
          <w:rFonts w:ascii="宋体" w:hAnsi="宋体" w:cs="宋体" w:eastAsia="宋体" w:hint="default"/>
          <w:b/>
          <w:bCs/>
          <w:sz w:val="26"/>
          <w:szCs w:val="26"/>
        </w:rPr>
      </w:pPr>
    </w:p>
    <w:p>
      <w:pPr>
        <w:spacing w:before="0"/>
        <w:ind w:left="11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spacing w:line="441" w:lineRule="auto" w:before="0"/>
        <w:ind w:left="592" w:right="7069" w:hanging="60"/>
        <w:jc w:val="left"/>
        <w:rPr>
          <w:rFonts w:ascii="宋体" w:hAnsi="宋体" w:cs="宋体" w:eastAsia="宋体" w:hint="default"/>
          <w:sz w:val="21"/>
          <w:szCs w:val="21"/>
        </w:rPr>
      </w:pPr>
      <w:r>
        <w:rPr>
          <w:rFonts w:ascii="宋体" w:hAnsi="宋体" w:cs="宋体" w:eastAsia="宋体" w:hint="default"/>
          <w:sz w:val="21"/>
          <w:szCs w:val="21"/>
        </w:rPr>
        <w:t>（一）环境保护</w:t>
      </w:r>
      <w:r>
        <w:rPr>
          <w:rFonts w:ascii="宋体" w:hAnsi="宋体" w:cs="宋体" w:eastAsia="宋体" w:hint="default"/>
          <w:w w:val="99"/>
          <w:sz w:val="21"/>
          <w:szCs w:val="21"/>
        </w:rPr>
        <w:t> </w:t>
      </w:r>
      <w:r>
        <w:rPr>
          <w:rFonts w:ascii="宋体" w:hAnsi="宋体" w:cs="宋体" w:eastAsia="宋体" w:hint="default"/>
          <w:sz w:val="21"/>
          <w:szCs w:val="21"/>
        </w:rPr>
        <w:t>1、公共责任与环境保护</w:t>
      </w:r>
    </w:p>
    <w:p>
      <w:pPr>
        <w:spacing w:line="408" w:lineRule="auto" w:before="57"/>
        <w:ind w:left="112" w:right="130" w:firstLine="480"/>
        <w:jc w:val="both"/>
        <w:rPr>
          <w:rFonts w:ascii="宋体" w:hAnsi="宋体" w:cs="宋体" w:eastAsia="宋体" w:hint="default"/>
          <w:sz w:val="21"/>
          <w:szCs w:val="21"/>
        </w:rPr>
      </w:pPr>
      <w:r>
        <w:rPr>
          <w:rFonts w:ascii="宋体" w:hAnsi="宋体" w:cs="宋体" w:eastAsia="宋体" w:hint="default"/>
          <w:spacing w:val="-2"/>
          <w:sz w:val="21"/>
          <w:szCs w:val="21"/>
        </w:rPr>
        <w:t>公司属于电线电缆制造业，主要有少量油污、废水、废气、固体废物、噪音、安全隐患、职业健康等</w:t>
      </w:r>
      <w:r>
        <w:rPr>
          <w:rFonts w:ascii="宋体" w:hAnsi="宋体" w:cs="宋体" w:eastAsia="宋体" w:hint="default"/>
          <w:w w:val="99"/>
          <w:sz w:val="21"/>
          <w:szCs w:val="21"/>
        </w:rPr>
        <w:t> </w:t>
      </w:r>
      <w:r>
        <w:rPr>
          <w:rFonts w:ascii="宋体" w:hAnsi="宋体" w:cs="宋体" w:eastAsia="宋体" w:hint="default"/>
          <w:spacing w:val="2"/>
          <w:sz w:val="21"/>
          <w:szCs w:val="21"/>
        </w:rPr>
        <w:t>环境影响因素。公司是临安市第一家通过ISO14001</w:t>
      </w:r>
      <w:r>
        <w:rPr>
          <w:rFonts w:ascii="宋体" w:hAnsi="宋体" w:cs="宋体" w:eastAsia="宋体" w:hint="default"/>
          <w:spacing w:val="9"/>
          <w:sz w:val="21"/>
          <w:szCs w:val="21"/>
        </w:rPr>
        <w:t> </w:t>
      </w:r>
      <w:r>
        <w:rPr>
          <w:rFonts w:ascii="宋体" w:hAnsi="宋体" w:cs="宋体" w:eastAsia="宋体" w:hint="default"/>
          <w:sz w:val="21"/>
          <w:szCs w:val="21"/>
        </w:rPr>
        <w:t>体系认证，并通过了OHSAS18001职业健康安全管理体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w w:val="95"/>
          <w:sz w:val="21"/>
          <w:szCs w:val="21"/>
        </w:rPr>
        <w:t>系认证，清洁生产通过审核验收。对以上影响因素进行有效控制。公司视环境保护、能资源利用、安全生</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产、产品安全、公共卫生五方面为企业的生命线，采取了具有可操作性的控制措施。</w:t>
      </w:r>
    </w:p>
    <w:p>
      <w:pPr>
        <w:spacing w:line="408" w:lineRule="auto" w:before="87"/>
        <w:ind w:left="112" w:right="129" w:firstLine="480"/>
        <w:jc w:val="both"/>
        <w:rPr>
          <w:rFonts w:ascii="宋体" w:hAnsi="宋体" w:cs="宋体" w:eastAsia="宋体" w:hint="default"/>
          <w:sz w:val="21"/>
          <w:szCs w:val="21"/>
        </w:rPr>
      </w:pPr>
      <w:r>
        <w:rPr>
          <w:rFonts w:ascii="宋体" w:hAnsi="宋体" w:cs="宋体" w:eastAsia="宋体" w:hint="default"/>
          <w:spacing w:val="-2"/>
          <w:sz w:val="21"/>
          <w:szCs w:val="21"/>
        </w:rPr>
        <w:t>废水：公司聘请省环科院帮助公司制订了《综合废水处理回用项目设计方案》，并对公司管网投资进</w:t>
      </w:r>
      <w:r>
        <w:rPr>
          <w:rFonts w:ascii="宋体" w:hAnsi="宋体" w:cs="宋体" w:eastAsia="宋体" w:hint="default"/>
          <w:w w:val="99"/>
          <w:sz w:val="21"/>
          <w:szCs w:val="21"/>
        </w:rPr>
        <w:t> </w:t>
      </w:r>
      <w:r>
        <w:rPr>
          <w:rFonts w:ascii="宋体" w:hAnsi="宋体" w:cs="宋体" w:eastAsia="宋体" w:hint="default"/>
          <w:w w:val="95"/>
          <w:sz w:val="21"/>
          <w:szCs w:val="21"/>
        </w:rPr>
        <w:t>行系统改造，整个厂区设计四套管网，即生活污水管网、雨水管网（包括屋顶雨水和地面雨水）、生产废</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水收集管网（包括生产冷却外排水、车间拖把清洗水和员工油污清洗水）以及循环冷却水回用管网，彻底</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消除各类水混流的隐患，做到生活废水、雨水、生产废水管道彻底分离；针对生产废水、初期雨水新建废</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pacing w:val="-5"/>
          <w:sz w:val="21"/>
          <w:szCs w:val="21"/>
        </w:rPr>
        <w:t>水处理装置，处理规模为200</w:t>
      </w:r>
      <w:r>
        <w:rPr>
          <w:rFonts w:ascii="宋体" w:hAnsi="宋体" w:cs="宋体" w:eastAsia="宋体" w:hint="default"/>
          <w:spacing w:val="-64"/>
          <w:sz w:val="21"/>
          <w:szCs w:val="21"/>
        </w:rPr>
        <w:t> </w:t>
      </w:r>
      <w:r>
        <w:rPr>
          <w:rFonts w:ascii="宋体" w:hAnsi="宋体" w:cs="宋体" w:eastAsia="宋体" w:hint="default"/>
          <w:spacing w:val="-5"/>
          <w:sz w:val="21"/>
          <w:szCs w:val="21"/>
        </w:rPr>
        <w:t>m3/d。废水经过处理后要达到《循环冷却水用再生水水质标准》HG/T3923-2007</w:t>
      </w:r>
      <w:r>
        <w:rPr>
          <w:rFonts w:ascii="宋体" w:hAnsi="宋体" w:cs="宋体" w:eastAsia="宋体" w:hint="default"/>
          <w:w w:val="99"/>
          <w:sz w:val="21"/>
          <w:szCs w:val="21"/>
        </w:rPr>
        <w:t> </w:t>
      </w:r>
      <w:r>
        <w:rPr>
          <w:rFonts w:ascii="宋体" w:hAnsi="宋体" w:cs="宋体" w:eastAsia="宋体" w:hint="default"/>
          <w:w w:val="95"/>
          <w:sz w:val="21"/>
          <w:szCs w:val="21"/>
        </w:rPr>
        <w:t>相应要求，作为生产过程冷却水的补充水源加以再利用，实现生产用水净化回用的目标，每天为公司节约</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50吨冷却水。</w:t>
      </w:r>
    </w:p>
    <w:p>
      <w:pPr>
        <w:spacing w:line="408" w:lineRule="auto" w:before="84"/>
        <w:ind w:left="112" w:right="130" w:firstLine="480"/>
        <w:jc w:val="both"/>
        <w:rPr>
          <w:rFonts w:ascii="宋体" w:hAnsi="宋体" w:cs="宋体" w:eastAsia="宋体" w:hint="default"/>
          <w:sz w:val="21"/>
          <w:szCs w:val="21"/>
        </w:rPr>
      </w:pPr>
      <w:r>
        <w:rPr>
          <w:rFonts w:ascii="宋体" w:hAnsi="宋体" w:cs="宋体" w:eastAsia="宋体" w:hint="default"/>
          <w:spacing w:val="-2"/>
          <w:sz w:val="21"/>
          <w:szCs w:val="21"/>
        </w:rPr>
        <w:t>废气：公司按照环科院专家提出的措施，在加强通风的基础上，聘请专业机构对生产过程中产生废气</w:t>
      </w:r>
      <w:r>
        <w:rPr>
          <w:rFonts w:ascii="宋体" w:hAnsi="宋体" w:cs="宋体" w:eastAsia="宋体" w:hint="default"/>
          <w:w w:val="99"/>
          <w:sz w:val="21"/>
          <w:szCs w:val="21"/>
        </w:rPr>
        <w:t> </w:t>
      </w:r>
      <w:r>
        <w:rPr>
          <w:rFonts w:ascii="宋体" w:hAnsi="宋体" w:cs="宋体" w:eastAsia="宋体" w:hint="default"/>
          <w:spacing w:val="2"/>
          <w:w w:val="95"/>
          <w:sz w:val="21"/>
          <w:szCs w:val="21"/>
        </w:rPr>
        <w:t>在源头处设置集气收集装置，并经活性炭吸附+水喷淋等方式进行吸附处理，从目前使用及检测情况看，</w:t>
      </w:r>
      <w:r>
        <w:rPr>
          <w:rFonts w:ascii="宋体" w:hAnsi="宋体" w:cs="宋体" w:eastAsia="宋体" w:hint="default"/>
          <w:spacing w:val="47"/>
          <w:w w:val="95"/>
          <w:sz w:val="21"/>
          <w:szCs w:val="21"/>
        </w:rPr>
        <w:t> </w:t>
      </w:r>
      <w:r>
        <w:rPr>
          <w:rFonts w:ascii="宋体" w:hAnsi="宋体" w:cs="宋体" w:eastAsia="宋体" w:hint="default"/>
          <w:spacing w:val="47"/>
          <w:w w:val="95"/>
          <w:sz w:val="21"/>
          <w:szCs w:val="21"/>
        </w:rPr>
      </w:r>
      <w:r>
        <w:rPr>
          <w:rFonts w:ascii="宋体" w:hAnsi="宋体" w:cs="宋体" w:eastAsia="宋体" w:hint="default"/>
          <w:w w:val="95"/>
          <w:sz w:val="21"/>
          <w:szCs w:val="21"/>
        </w:rPr>
        <w:t>能够达到排放要求，并良好运行5年。近期公司迎合“G20峰会”大环境，打算对废气处理设施进行升级改</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造，将用更先进环保的工艺替代原先陈旧的工艺，对企业职工负责、对社会环境负责。</w:t>
      </w:r>
    </w:p>
    <w:p>
      <w:pPr>
        <w:spacing w:line="408" w:lineRule="auto" w:before="87"/>
        <w:ind w:left="112" w:right="130" w:firstLine="480"/>
        <w:jc w:val="both"/>
        <w:rPr>
          <w:rFonts w:ascii="宋体" w:hAnsi="宋体" w:cs="宋体" w:eastAsia="宋体" w:hint="default"/>
          <w:sz w:val="21"/>
          <w:szCs w:val="21"/>
        </w:rPr>
      </w:pPr>
      <w:r>
        <w:rPr>
          <w:rFonts w:ascii="宋体" w:hAnsi="宋体" w:cs="宋体" w:eastAsia="宋体" w:hint="default"/>
          <w:spacing w:val="-2"/>
          <w:sz w:val="21"/>
          <w:szCs w:val="21"/>
        </w:rPr>
        <w:t>噪声：公司优选低噪音先进设备设施，更换调整高噪声的生产设备。每年与宁波华测检测技术有限公</w:t>
      </w:r>
      <w:r>
        <w:rPr>
          <w:rFonts w:ascii="宋体" w:hAnsi="宋体" w:cs="宋体" w:eastAsia="宋体" w:hint="default"/>
          <w:w w:val="99"/>
          <w:sz w:val="21"/>
          <w:szCs w:val="21"/>
        </w:rPr>
        <w:t> </w:t>
      </w:r>
      <w:r>
        <w:rPr>
          <w:rFonts w:ascii="宋体" w:hAnsi="宋体" w:cs="宋体" w:eastAsia="宋体" w:hint="default"/>
          <w:sz w:val="21"/>
          <w:szCs w:val="21"/>
        </w:rPr>
        <w:t>司签订合同，为公司进行例行监督性监测。</w:t>
      </w:r>
    </w:p>
    <w:p>
      <w:pPr>
        <w:spacing w:line="408" w:lineRule="auto" w:before="87"/>
        <w:ind w:left="112" w:right="112" w:firstLine="480"/>
        <w:jc w:val="both"/>
        <w:rPr>
          <w:rFonts w:ascii="宋体" w:hAnsi="宋体" w:cs="宋体" w:eastAsia="宋体" w:hint="default"/>
          <w:sz w:val="21"/>
          <w:szCs w:val="21"/>
        </w:rPr>
      </w:pPr>
      <w:r>
        <w:rPr>
          <w:rFonts w:ascii="宋体" w:hAnsi="宋体" w:cs="宋体" w:eastAsia="宋体" w:hint="default"/>
          <w:spacing w:val="-2"/>
          <w:sz w:val="21"/>
          <w:szCs w:val="21"/>
        </w:rPr>
        <w:t>危险废弃物：公司设立危险废物仓库为室内的房屋，不露天，地面由水泥硬化。仓库有废水管道，接</w:t>
      </w:r>
      <w:r>
        <w:rPr>
          <w:rFonts w:ascii="宋体" w:hAnsi="宋体" w:cs="宋体" w:eastAsia="宋体" w:hint="default"/>
          <w:w w:val="99"/>
          <w:sz w:val="21"/>
          <w:szCs w:val="21"/>
        </w:rPr>
        <w:t> </w:t>
      </w:r>
      <w:r>
        <w:rPr>
          <w:rFonts w:ascii="宋体" w:hAnsi="宋体" w:cs="宋体" w:eastAsia="宋体" w:hint="default"/>
          <w:w w:val="95"/>
          <w:sz w:val="21"/>
          <w:szCs w:val="21"/>
        </w:rPr>
        <w:t>连企业废水处理设施处理。贮存液态或半固态废物的区域，设有泄漏液体收集装置。仓库挂有警示标志；</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废物容器完好无损。并与杭州余杭立佳环境服务有限公司签订危废处理合同，定期处理危废。</w:t>
      </w:r>
    </w:p>
    <w:p>
      <w:pPr>
        <w:spacing w:before="84"/>
        <w:ind w:left="592" w:right="7083" w:firstLine="0"/>
        <w:jc w:val="left"/>
        <w:rPr>
          <w:rFonts w:ascii="宋体" w:hAnsi="宋体" w:cs="宋体" w:eastAsia="宋体" w:hint="default"/>
          <w:sz w:val="21"/>
          <w:szCs w:val="21"/>
        </w:rPr>
      </w:pPr>
      <w:r>
        <w:rPr>
          <w:rFonts w:ascii="宋体" w:hAnsi="宋体" w:cs="宋体" w:eastAsia="宋体" w:hint="default"/>
          <w:sz w:val="21"/>
          <w:szCs w:val="21"/>
        </w:rPr>
        <w:t>2、开发节能环保产品</w:t>
      </w:r>
    </w:p>
    <w:p>
      <w:pPr>
        <w:spacing w:after="0"/>
        <w:jc w:val="left"/>
        <w:rPr>
          <w:rFonts w:ascii="宋体" w:hAnsi="宋体" w:cs="宋体" w:eastAsia="宋体" w:hint="default"/>
          <w:sz w:val="21"/>
          <w:szCs w:val="21"/>
        </w:rPr>
        <w:sectPr>
          <w:pgSz w:w="11910" w:h="16840"/>
          <w:pgMar w:header="850" w:footer="1012" w:top="1440" w:bottom="1200" w:left="1020" w:right="1000"/>
        </w:sectPr>
      </w:pPr>
    </w:p>
    <w:p>
      <w:pPr>
        <w:spacing w:line="240" w:lineRule="auto" w:before="8"/>
        <w:rPr>
          <w:rFonts w:ascii="宋体" w:hAnsi="宋体" w:cs="宋体" w:eastAsia="宋体" w:hint="default"/>
          <w:sz w:val="20"/>
          <w:szCs w:val="20"/>
        </w:rPr>
      </w:pPr>
    </w:p>
    <w:p>
      <w:pPr>
        <w:spacing w:line="398" w:lineRule="auto" w:before="34"/>
        <w:ind w:left="112" w:right="130" w:firstLine="480"/>
        <w:jc w:val="both"/>
        <w:rPr>
          <w:rFonts w:ascii="宋体" w:hAnsi="宋体" w:cs="宋体" w:eastAsia="宋体" w:hint="default"/>
          <w:sz w:val="21"/>
          <w:szCs w:val="21"/>
        </w:rPr>
      </w:pPr>
      <w:r>
        <w:rPr>
          <w:rFonts w:ascii="宋体" w:hAnsi="宋体" w:cs="宋体" w:eastAsia="宋体" w:hint="default"/>
          <w:sz w:val="21"/>
          <w:szCs w:val="21"/>
        </w:rPr>
        <w:t>各制造单元照明灯由节能灯改为LED灯，部分生产工序，更新为节能的接触式电刷传输大电流退火方</w:t>
      </w:r>
      <w:r>
        <w:rPr>
          <w:rFonts w:ascii="宋体" w:hAnsi="宋体" w:cs="宋体" w:eastAsia="宋体" w:hint="default"/>
          <w:w w:val="99"/>
          <w:sz w:val="21"/>
          <w:szCs w:val="21"/>
        </w:rPr>
        <w:t> </w:t>
      </w:r>
      <w:r>
        <w:rPr>
          <w:rFonts w:ascii="宋体" w:hAnsi="宋体" w:cs="宋体" w:eastAsia="宋体" w:hint="default"/>
          <w:spacing w:val="-1"/>
          <w:w w:val="95"/>
          <w:sz w:val="21"/>
          <w:szCs w:val="21"/>
        </w:rPr>
        <w:t>法。使用清洁能源。锅炉房使用柴油更换使用天然气</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设置锅炉烟气余热利用装置，提高了锅炉热效率，降</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低了锅炉运行费用，有效降低对环境的污染。挤塑设备由电阻加热改为电磁加热。</w:t>
      </w:r>
    </w:p>
    <w:p>
      <w:pPr>
        <w:spacing w:line="444" w:lineRule="auto" w:before="93"/>
        <w:ind w:left="592" w:right="122" w:hanging="164"/>
        <w:jc w:val="left"/>
        <w:rPr>
          <w:rFonts w:ascii="宋体" w:hAnsi="宋体" w:cs="宋体" w:eastAsia="宋体" w:hint="default"/>
          <w:sz w:val="21"/>
          <w:szCs w:val="21"/>
        </w:rPr>
      </w:pPr>
      <w:r>
        <w:rPr>
          <w:rFonts w:ascii="宋体" w:hAnsi="宋体" w:cs="宋体" w:eastAsia="宋体" w:hint="default"/>
          <w:sz w:val="21"/>
          <w:szCs w:val="21"/>
        </w:rPr>
        <w:t>（二）安全与生产</w:t>
      </w:r>
      <w:r>
        <w:rPr>
          <w:rFonts w:ascii="宋体" w:hAnsi="宋体" w:cs="宋体" w:eastAsia="宋体" w:hint="default"/>
          <w:w w:val="99"/>
          <w:sz w:val="21"/>
          <w:szCs w:val="21"/>
        </w:rPr>
        <w:t> </w:t>
      </w:r>
      <w:r>
        <w:rPr>
          <w:rFonts w:ascii="宋体" w:hAnsi="宋体" w:cs="宋体" w:eastAsia="宋体" w:hint="default"/>
          <w:spacing w:val="-2"/>
          <w:sz w:val="21"/>
          <w:szCs w:val="21"/>
        </w:rPr>
        <w:t>为促进新安全法知识的普及，积极参加由地方政府主办的“安管员技能比武活动”，通过新安全生产</w:t>
      </w:r>
    </w:p>
    <w:p>
      <w:pPr>
        <w:spacing w:line="408" w:lineRule="auto" w:before="14"/>
        <w:ind w:left="112" w:right="130" w:firstLine="0"/>
        <w:jc w:val="both"/>
        <w:rPr>
          <w:rFonts w:ascii="宋体" w:hAnsi="宋体" w:cs="宋体" w:eastAsia="宋体" w:hint="default"/>
          <w:sz w:val="21"/>
          <w:szCs w:val="21"/>
        </w:rPr>
      </w:pPr>
      <w:r>
        <w:rPr>
          <w:rFonts w:ascii="宋体" w:hAnsi="宋体" w:cs="宋体" w:eastAsia="宋体" w:hint="default"/>
          <w:w w:val="95"/>
          <w:sz w:val="21"/>
          <w:szCs w:val="21"/>
        </w:rPr>
        <w:t>法知识竞赛和实地排查隐患两种方式，全面普及新安全法知识及提升隐患排查能力。通过竞赛加强了我公</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司在安全生产管理上管控策略及方法，加大了对员工的安全教育工作，不断提高员工的自我防范意识，持</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续推进安全生产精细化管理，找准企业安全生产过程中的薄弱环节，以安全生产标准化建设为载体，全面</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提升企业安全管理水平。</w:t>
      </w:r>
    </w:p>
    <w:p>
      <w:pPr>
        <w:spacing w:line="408" w:lineRule="auto" w:before="87"/>
        <w:ind w:left="112" w:right="130" w:firstLine="480"/>
        <w:jc w:val="both"/>
        <w:rPr>
          <w:rFonts w:ascii="宋体" w:hAnsi="宋体" w:cs="宋体" w:eastAsia="宋体" w:hint="default"/>
          <w:sz w:val="21"/>
          <w:szCs w:val="21"/>
        </w:rPr>
      </w:pPr>
      <w:r>
        <w:rPr>
          <w:rFonts w:ascii="宋体" w:hAnsi="宋体" w:cs="宋体" w:eastAsia="宋体" w:hint="default"/>
          <w:spacing w:val="-7"/>
          <w:sz w:val="21"/>
          <w:szCs w:val="21"/>
        </w:rPr>
        <w:t>加强质量管理，强化全员的质量意识、提高公司产品质量，依据国家《过程质量问题处理条例》和《产</w:t>
      </w:r>
      <w:r>
        <w:rPr>
          <w:rFonts w:ascii="宋体" w:hAnsi="宋体" w:cs="宋体" w:eastAsia="宋体" w:hint="default"/>
          <w:w w:val="99"/>
          <w:sz w:val="21"/>
          <w:szCs w:val="21"/>
        </w:rPr>
        <w:t> </w:t>
      </w:r>
      <w:r>
        <w:rPr>
          <w:rFonts w:ascii="宋体" w:hAnsi="宋体" w:cs="宋体" w:eastAsia="宋体" w:hint="default"/>
          <w:w w:val="95"/>
          <w:sz w:val="21"/>
          <w:szCs w:val="21"/>
        </w:rPr>
        <w:t>品质量事故处理规定》的条例和内容，在企业内部进行培训，提高公司员工的生产的质量意识，加深员工</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对客户满意度的理解，确保公司整体质量目标的实现。</w:t>
      </w:r>
    </w:p>
    <w:p>
      <w:pPr>
        <w:spacing w:line="408" w:lineRule="auto" w:before="84"/>
        <w:ind w:left="112" w:right="112" w:firstLine="480"/>
        <w:jc w:val="both"/>
        <w:rPr>
          <w:rFonts w:ascii="宋体" w:hAnsi="宋体" w:cs="宋体" w:eastAsia="宋体" w:hint="default"/>
          <w:sz w:val="21"/>
          <w:szCs w:val="21"/>
        </w:rPr>
      </w:pPr>
      <w:r>
        <w:rPr>
          <w:rFonts w:ascii="宋体" w:hAnsi="宋体" w:cs="宋体" w:eastAsia="宋体" w:hint="default"/>
          <w:spacing w:val="-6"/>
          <w:w w:val="95"/>
          <w:sz w:val="21"/>
          <w:szCs w:val="21"/>
        </w:rPr>
        <w:t>公司制定安全生产管理制度，严格执行“安全第一，预防为主，综合治理”的方针，落实安全预防“三</w:t>
      </w:r>
      <w:r>
        <w:rPr>
          <w:rFonts w:ascii="宋体" w:hAnsi="宋体" w:cs="宋体" w:eastAsia="宋体" w:hint="default"/>
          <w:w w:val="99"/>
          <w:sz w:val="21"/>
          <w:szCs w:val="21"/>
        </w:rPr>
        <w:t> </w:t>
      </w:r>
      <w:r>
        <w:rPr>
          <w:rFonts w:ascii="宋体" w:hAnsi="宋体" w:cs="宋体" w:eastAsia="宋体" w:hint="default"/>
          <w:w w:val="95"/>
          <w:sz w:val="21"/>
          <w:szCs w:val="21"/>
        </w:rPr>
        <w:t>同时”、安全事故“四不放过”的目标控制。通过落实安全责任制，政府与公司签订安全责任书，公司与</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各分厂、部门层层签订责任书，以定期检查为主线，专题检查为补充，综合检查时以生产现场的危险源、</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生产装卸与拆除、特种设备运转、易燃易爆危险物品的使用、各类安全通道等为重点，开展事故隐患和安</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全问题大排查，彻底消除安全死角和盲区，对非法违法生产经营行为发现一次，处理整改一次，做到零容</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忍，全面监控安全生产情况，控制各类事故发生。加大安全生产教育培训及应急预案措施，公司并于2013</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年通过（国三级）安全生产标准化验收。</w:t>
      </w:r>
    </w:p>
    <w:p>
      <w:pPr>
        <w:spacing w:line="408" w:lineRule="auto" w:before="87"/>
        <w:ind w:left="112" w:right="130" w:firstLine="480"/>
        <w:jc w:val="both"/>
        <w:rPr>
          <w:rFonts w:ascii="宋体" w:hAnsi="宋体" w:cs="宋体" w:eastAsia="宋体" w:hint="default"/>
          <w:sz w:val="21"/>
          <w:szCs w:val="21"/>
        </w:rPr>
      </w:pPr>
      <w:r>
        <w:rPr>
          <w:rFonts w:ascii="宋体" w:hAnsi="宋体" w:cs="宋体" w:eastAsia="宋体" w:hint="default"/>
          <w:spacing w:val="-2"/>
          <w:sz w:val="21"/>
          <w:szCs w:val="21"/>
        </w:rPr>
        <w:t>为了提高公司的应急能力，锻炼一支反应能力强，组织严密的应急队伍，在公司安全应急领导小组的</w:t>
      </w:r>
      <w:r>
        <w:rPr>
          <w:rFonts w:ascii="宋体" w:hAnsi="宋体" w:cs="宋体" w:eastAsia="宋体" w:hint="default"/>
          <w:w w:val="99"/>
          <w:sz w:val="21"/>
          <w:szCs w:val="21"/>
        </w:rPr>
        <w:t> </w:t>
      </w:r>
      <w:r>
        <w:rPr>
          <w:rFonts w:ascii="宋体" w:hAnsi="宋体" w:cs="宋体" w:eastAsia="宋体" w:hint="default"/>
          <w:w w:val="95"/>
          <w:sz w:val="21"/>
          <w:szCs w:val="21"/>
        </w:rPr>
        <w:t>带领下，2015年建成微型消防站。每年进行两次应急演练，演练指导思想明确，准备工作充分，程序设置</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w w:val="95"/>
          <w:sz w:val="21"/>
          <w:szCs w:val="21"/>
        </w:rPr>
        <w:t>合理，安全保证可靠，过程公开透明。通过演练检验了应急预案的实用性和可操作性，增强了所有人员的</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忧患意识，普及了防灾减灾知识和自救互救技能，提高了指挥人员处置重大事故的能力。</w:t>
      </w:r>
    </w:p>
    <w:p>
      <w:pPr>
        <w:spacing w:line="408" w:lineRule="auto" w:before="87"/>
        <w:ind w:left="112" w:right="130" w:firstLine="480"/>
        <w:jc w:val="both"/>
        <w:rPr>
          <w:rFonts w:ascii="宋体" w:hAnsi="宋体" w:cs="宋体" w:eastAsia="宋体" w:hint="default"/>
          <w:sz w:val="21"/>
          <w:szCs w:val="21"/>
        </w:rPr>
      </w:pPr>
      <w:r>
        <w:rPr>
          <w:rFonts w:ascii="宋体" w:hAnsi="宋体" w:cs="宋体" w:eastAsia="宋体" w:hint="default"/>
          <w:spacing w:val="-2"/>
          <w:sz w:val="21"/>
          <w:szCs w:val="21"/>
        </w:rPr>
        <w:t>公司始终关注员工的健康与安全，在日常生产经营中全面推行安全生产管理，强化专项检查考核，加</w:t>
      </w:r>
      <w:r>
        <w:rPr>
          <w:rFonts w:ascii="宋体" w:hAnsi="宋体" w:cs="宋体" w:eastAsia="宋体" w:hint="default"/>
          <w:w w:val="99"/>
          <w:sz w:val="21"/>
          <w:szCs w:val="21"/>
        </w:rPr>
        <w:t> </w:t>
      </w:r>
      <w:r>
        <w:rPr>
          <w:rFonts w:ascii="宋体" w:hAnsi="宋体" w:cs="宋体" w:eastAsia="宋体" w:hint="default"/>
          <w:w w:val="95"/>
          <w:sz w:val="21"/>
          <w:szCs w:val="21"/>
        </w:rPr>
        <w:t>大安全生产隐患排查，促进安全生产水平的提高，创造企业安全的工作环境和生活环境。公司依据《安全</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生产法》与国家有关法律法规，建立了OHSAS18001职业健康安全管理体系，取得了中国质量认证中心颁发</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的“职业健康安全管理体系认证证书”，为员工的职业健康安全提供了有力保障。</w:t>
      </w:r>
    </w:p>
    <w:p>
      <w:pPr>
        <w:spacing w:before="84"/>
        <w:ind w:left="592" w:right="7083" w:firstLine="0"/>
        <w:jc w:val="left"/>
        <w:rPr>
          <w:rFonts w:ascii="宋体" w:hAnsi="宋体" w:cs="宋体" w:eastAsia="宋体" w:hint="default"/>
          <w:sz w:val="21"/>
          <w:szCs w:val="21"/>
        </w:rPr>
      </w:pPr>
      <w:r>
        <w:rPr>
          <w:rFonts w:ascii="宋体" w:hAnsi="宋体" w:cs="宋体" w:eastAsia="宋体" w:hint="default"/>
          <w:b/>
          <w:bCs/>
          <w:sz w:val="21"/>
          <w:szCs w:val="21"/>
        </w:rPr>
        <w:t>（三）员工企业文化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1012" w:top="1440" w:bottom="1200" w:left="1020" w:right="1000"/>
        </w:sectPr>
      </w:pPr>
    </w:p>
    <w:p>
      <w:pPr>
        <w:spacing w:line="240" w:lineRule="auto" w:before="8"/>
        <w:rPr>
          <w:rFonts w:ascii="宋体" w:hAnsi="宋体" w:cs="宋体" w:eastAsia="宋体" w:hint="default"/>
          <w:b/>
          <w:bCs/>
          <w:sz w:val="20"/>
          <w:szCs w:val="20"/>
        </w:rPr>
      </w:pPr>
    </w:p>
    <w:p>
      <w:pPr>
        <w:spacing w:line="403" w:lineRule="auto" w:before="34"/>
        <w:ind w:left="112" w:right="192" w:firstLine="480"/>
        <w:jc w:val="both"/>
        <w:rPr>
          <w:rFonts w:ascii="宋体" w:hAnsi="宋体" w:cs="宋体" w:eastAsia="宋体" w:hint="default"/>
          <w:sz w:val="21"/>
          <w:szCs w:val="21"/>
        </w:rPr>
      </w:pPr>
      <w:r>
        <w:rPr>
          <w:rFonts w:ascii="宋体" w:hAnsi="宋体" w:cs="宋体" w:eastAsia="宋体" w:hint="default"/>
          <w:spacing w:val="2"/>
          <w:sz w:val="21"/>
          <w:szCs w:val="21"/>
        </w:rPr>
        <w:t>公司严格遵循《中华人民共和国劳动法》、《中华人民共和国劳动合同法》等法律法规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不断完善劳</w:t>
      </w:r>
      <w:r>
        <w:rPr>
          <w:rFonts w:ascii="宋体" w:hAnsi="宋体" w:cs="宋体" w:eastAsia="宋体" w:hint="default"/>
          <w:w w:val="99"/>
          <w:sz w:val="21"/>
          <w:szCs w:val="21"/>
        </w:rPr>
        <w:t> </w:t>
      </w:r>
      <w:r>
        <w:rPr>
          <w:rFonts w:ascii="宋体" w:hAnsi="宋体" w:cs="宋体" w:eastAsia="宋体" w:hint="default"/>
          <w:w w:val="95"/>
          <w:sz w:val="21"/>
          <w:szCs w:val="21"/>
        </w:rPr>
        <w:t>动合同管理机制和奖惩机制，从招聘和人员管理各个环节上坚持原则，确保用人的规范性和合法合规性。</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在劳动合同管理上，公司依法履行劳动合同签订，确保公司劳动用工形式的合法合规，构建和谐的劳动关</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系。并按照国家和地方法律法规为员工办理了医疗、养老、失业、工伤、生育等社会保险，并为员工缴纳</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住房公积金，认真执行员工法定假期、婚假、丧假、产假、工伤假等制度，为员工提供健康、安全的生产</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和工作环境。</w:t>
      </w:r>
    </w:p>
    <w:p>
      <w:pPr>
        <w:spacing w:line="408" w:lineRule="auto" w:before="88"/>
        <w:ind w:left="112" w:right="192" w:firstLine="480"/>
        <w:jc w:val="both"/>
        <w:rPr>
          <w:rFonts w:ascii="宋体" w:hAnsi="宋体" w:cs="宋体" w:eastAsia="宋体" w:hint="default"/>
          <w:sz w:val="21"/>
          <w:szCs w:val="21"/>
        </w:rPr>
      </w:pPr>
      <w:r>
        <w:rPr>
          <w:rFonts w:ascii="宋体" w:hAnsi="宋体" w:cs="宋体" w:eastAsia="宋体" w:hint="default"/>
          <w:spacing w:val="-2"/>
          <w:sz w:val="21"/>
          <w:szCs w:val="21"/>
        </w:rPr>
        <w:t>员工关怀为员工做好职业健康监护、评价工作，保持万马一直以来员工体检保护传统，对从事接触粉</w:t>
      </w:r>
      <w:r>
        <w:rPr>
          <w:rFonts w:ascii="宋体" w:hAnsi="宋体" w:cs="宋体" w:eastAsia="宋体" w:hint="default"/>
          <w:w w:val="99"/>
          <w:sz w:val="21"/>
          <w:szCs w:val="21"/>
        </w:rPr>
        <w:t> </w:t>
      </w:r>
      <w:r>
        <w:rPr>
          <w:rFonts w:ascii="宋体" w:hAnsi="宋体" w:cs="宋体" w:eastAsia="宋体" w:hint="default"/>
          <w:w w:val="95"/>
          <w:sz w:val="21"/>
          <w:szCs w:val="21"/>
        </w:rPr>
        <w:t>尘、噪声和等相关岗位的员工进行了分类职业健康检查，体检结果将作为劳动者健康监护档案进行保存。</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通过建立健全员工个人职业健康档案，使职业病得到有效预防和控制，切实保障员工权益。另一方面万马</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股份高度重视员工健康，认真贯彻落实《职业病防治法》等法律法规，坚持开展职业病防治工作，不断改</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善作业环境，配置劳动保护用品，普及职业病防护的基本知识，建立了职业危害防治工作的长效机制，保</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持了职业危害防治工作的良好态势。</w:t>
      </w:r>
    </w:p>
    <w:p>
      <w:pPr>
        <w:spacing w:line="408" w:lineRule="auto" w:before="87"/>
        <w:ind w:left="112" w:right="109" w:firstLine="480"/>
        <w:jc w:val="left"/>
        <w:rPr>
          <w:rFonts w:ascii="宋体" w:hAnsi="宋体" w:cs="宋体" w:eastAsia="宋体" w:hint="default"/>
          <w:sz w:val="21"/>
          <w:szCs w:val="21"/>
        </w:rPr>
      </w:pPr>
      <w:r>
        <w:rPr>
          <w:rFonts w:ascii="宋体" w:hAnsi="宋体" w:cs="宋体" w:eastAsia="宋体" w:hint="default"/>
          <w:spacing w:val="-4"/>
          <w:w w:val="99"/>
          <w:sz w:val="21"/>
          <w:szCs w:val="21"/>
        </w:rPr>
        <w:t>为了深化产品理念、强化营销能力，加深销售管理人员和服务人员对产品专业知识和销售政策的掌握，</w:t>
      </w:r>
      <w:r>
        <w:rPr>
          <w:rFonts w:ascii="宋体" w:hAnsi="宋体" w:cs="宋体" w:eastAsia="宋体" w:hint="default"/>
          <w:w w:val="99"/>
          <w:sz w:val="21"/>
          <w:szCs w:val="21"/>
        </w:rPr>
        <w:t> </w:t>
      </w:r>
      <w:r>
        <w:rPr>
          <w:rFonts w:ascii="宋体" w:hAnsi="宋体" w:cs="宋体" w:eastAsia="宋体" w:hint="default"/>
          <w:sz w:val="21"/>
          <w:szCs w:val="21"/>
        </w:rPr>
        <w:t>多次组织销售人员进行专题培训。</w:t>
      </w:r>
      <w:r>
        <w:rPr>
          <w:rFonts w:ascii="宋体" w:hAnsi="宋体" w:cs="宋体" w:eastAsia="宋体" w:hint="default"/>
          <w:spacing w:val="-48"/>
          <w:sz w:val="21"/>
          <w:szCs w:val="21"/>
        </w:rPr>
        <w:t> </w:t>
      </w:r>
      <w:r>
        <w:rPr>
          <w:rFonts w:ascii="宋体" w:hAnsi="宋体" w:cs="宋体" w:eastAsia="宋体" w:hint="default"/>
          <w:sz w:val="21"/>
          <w:szCs w:val="21"/>
        </w:rPr>
        <w:t>提升公司整体的销售策略，走技术营销之路。</w:t>
      </w:r>
      <w:r>
        <w:rPr>
          <w:rFonts w:ascii="宋体" w:hAnsi="宋体" w:cs="宋体" w:eastAsia="宋体" w:hint="default"/>
          <w:spacing w:val="7"/>
          <w:sz w:val="21"/>
          <w:szCs w:val="21"/>
        </w:rPr>
        <w:t> </w:t>
      </w:r>
      <w:r>
        <w:rPr>
          <w:rFonts w:ascii="宋体" w:hAnsi="宋体" w:cs="宋体" w:eastAsia="宋体" w:hint="default"/>
          <w:sz w:val="21"/>
          <w:szCs w:val="21"/>
        </w:rPr>
        <w:t>技术层面上在公司营造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重视技能、培养人才、尊重人才的良好氛围，进一步激励广大员工立足岗位学习实践、爱岗敬业。组织2015</w:t>
      </w:r>
      <w:r>
        <w:rPr>
          <w:rFonts w:ascii="宋体" w:hAnsi="宋体" w:cs="宋体" w:eastAsia="宋体" w:hint="default"/>
          <w:w w:val="99"/>
          <w:sz w:val="21"/>
          <w:szCs w:val="21"/>
        </w:rPr>
        <w:t> </w:t>
      </w:r>
      <w:r>
        <w:rPr>
          <w:rFonts w:ascii="宋体" w:hAnsi="宋体" w:cs="宋体" w:eastAsia="宋体" w:hint="default"/>
          <w:sz w:val="21"/>
          <w:szCs w:val="21"/>
        </w:rPr>
        <w:t>年度技能大赛，加强一线生产人员的作业技术能力，为公司产品质量，生产工艺的稳定性提供进一步的保</w:t>
      </w:r>
      <w:r>
        <w:rPr>
          <w:rFonts w:ascii="宋体" w:hAnsi="宋体" w:cs="宋体" w:eastAsia="宋体" w:hint="default"/>
          <w:w w:val="99"/>
          <w:sz w:val="21"/>
          <w:szCs w:val="21"/>
        </w:rPr>
        <w:t> </w:t>
      </w:r>
      <w:r>
        <w:rPr>
          <w:rFonts w:ascii="宋体" w:hAnsi="宋体" w:cs="宋体" w:eastAsia="宋体" w:hint="default"/>
          <w:sz w:val="21"/>
          <w:szCs w:val="21"/>
        </w:rPr>
        <w:t>障。</w:t>
      </w:r>
    </w:p>
    <w:p>
      <w:pPr>
        <w:spacing w:line="441" w:lineRule="auto" w:before="87"/>
        <w:ind w:left="592" w:right="202" w:firstLine="0"/>
        <w:jc w:val="left"/>
        <w:rPr>
          <w:rFonts w:ascii="宋体" w:hAnsi="宋体" w:cs="宋体" w:eastAsia="宋体" w:hint="default"/>
          <w:sz w:val="21"/>
          <w:szCs w:val="21"/>
        </w:rPr>
      </w:pPr>
      <w:r>
        <w:rPr>
          <w:rFonts w:ascii="宋体" w:hAnsi="宋体" w:cs="宋体" w:eastAsia="宋体" w:hint="default"/>
          <w:b/>
          <w:bCs/>
          <w:sz w:val="21"/>
          <w:szCs w:val="21"/>
        </w:rPr>
        <w:t>（四）社会公益</w:t>
      </w:r>
      <w:r>
        <w:rPr>
          <w:rFonts w:ascii="宋体" w:hAnsi="宋体" w:cs="宋体" w:eastAsia="宋体" w:hint="default"/>
          <w:b/>
          <w:bCs/>
          <w:w w:val="99"/>
          <w:sz w:val="21"/>
          <w:szCs w:val="21"/>
        </w:rPr>
        <w:t> </w:t>
      </w:r>
      <w:r>
        <w:rPr>
          <w:rFonts w:ascii="宋体" w:hAnsi="宋体" w:cs="宋体" w:eastAsia="宋体" w:hint="default"/>
          <w:spacing w:val="-2"/>
          <w:sz w:val="21"/>
          <w:szCs w:val="21"/>
        </w:rPr>
        <w:t>公司将回报社会、奉献社会作为企业价值观的内涵延伸。根据公司的发展方向、战略目标、价值观要</w:t>
      </w:r>
    </w:p>
    <w:p>
      <w:pPr>
        <w:spacing w:line="408" w:lineRule="auto" w:before="16"/>
        <w:ind w:left="112" w:right="105" w:firstLine="0"/>
        <w:jc w:val="left"/>
        <w:rPr>
          <w:rFonts w:ascii="宋体" w:hAnsi="宋体" w:cs="宋体" w:eastAsia="宋体" w:hint="default"/>
          <w:sz w:val="21"/>
          <w:szCs w:val="21"/>
        </w:rPr>
      </w:pPr>
      <w:r>
        <w:rPr>
          <w:rFonts w:ascii="宋体" w:hAnsi="宋体" w:cs="宋体" w:eastAsia="宋体" w:hint="default"/>
          <w:sz w:val="21"/>
          <w:szCs w:val="21"/>
        </w:rPr>
        <w:t>求做好企业经营回报各界投资者，面对2015年动荡的资本二级市场做好投资者交流工作，股东是企业发展</w:t>
      </w:r>
      <w:r>
        <w:rPr>
          <w:rFonts w:ascii="宋体" w:hAnsi="宋体" w:cs="宋体" w:eastAsia="宋体" w:hint="default"/>
          <w:w w:val="99"/>
          <w:sz w:val="21"/>
          <w:szCs w:val="21"/>
        </w:rPr>
        <w:t> </w:t>
      </w:r>
      <w:r>
        <w:rPr>
          <w:rFonts w:ascii="宋体" w:hAnsi="宋体" w:cs="宋体" w:eastAsia="宋体" w:hint="default"/>
          <w:spacing w:val="-3"/>
          <w:sz w:val="21"/>
          <w:szCs w:val="21"/>
        </w:rPr>
        <w:t>的基石，维护股东，特别是中小股东的合法利益，提升投资者对公司的信心，是企业健康发展的必备条件。</w:t>
      </w:r>
      <w:r>
        <w:rPr>
          <w:rFonts w:ascii="宋体" w:hAnsi="宋体" w:cs="宋体" w:eastAsia="宋体" w:hint="default"/>
          <w:w w:val="99"/>
          <w:sz w:val="21"/>
          <w:szCs w:val="21"/>
        </w:rPr>
        <w:t> </w:t>
      </w:r>
      <w:r>
        <w:rPr>
          <w:rFonts w:ascii="宋体" w:hAnsi="宋体" w:cs="宋体" w:eastAsia="宋体" w:hint="default"/>
          <w:sz w:val="21"/>
          <w:szCs w:val="21"/>
        </w:rPr>
        <w:t>公司非常重视投资者关系管理工作，本着真实、准确、完整、及时、公平地原则履行信息披露义务，公司</w:t>
      </w:r>
      <w:r>
        <w:rPr>
          <w:rFonts w:ascii="宋体" w:hAnsi="宋体" w:cs="宋体" w:eastAsia="宋体" w:hint="default"/>
          <w:w w:val="99"/>
          <w:sz w:val="21"/>
          <w:szCs w:val="21"/>
        </w:rPr>
        <w:t> </w:t>
      </w:r>
      <w:r>
        <w:rPr>
          <w:rFonts w:ascii="宋体" w:hAnsi="宋体" w:cs="宋体" w:eastAsia="宋体" w:hint="default"/>
          <w:sz w:val="21"/>
          <w:szCs w:val="21"/>
        </w:rPr>
        <w:t>严格按照《公司法》、《证券法》、《深圳证券交易所创业板股票上市规则》法律法规及公司《信息披露</w:t>
      </w:r>
      <w:r>
        <w:rPr>
          <w:rFonts w:ascii="宋体" w:hAnsi="宋体" w:cs="宋体" w:eastAsia="宋体" w:hint="default"/>
          <w:w w:val="99"/>
          <w:sz w:val="21"/>
          <w:szCs w:val="21"/>
        </w:rPr>
        <w:t> </w:t>
      </w:r>
      <w:r>
        <w:rPr>
          <w:rFonts w:ascii="宋体" w:hAnsi="宋体" w:cs="宋体" w:eastAsia="宋体" w:hint="default"/>
          <w:sz w:val="21"/>
          <w:szCs w:val="21"/>
        </w:rPr>
        <w:t>管理制度》、《投资者关系管理制度》、《重大信息内部报告制度》等规章制度的要求，切实履行信息披</w:t>
      </w:r>
      <w:r>
        <w:rPr>
          <w:rFonts w:ascii="宋体" w:hAnsi="宋体" w:cs="宋体" w:eastAsia="宋体" w:hint="default"/>
          <w:w w:val="99"/>
          <w:sz w:val="21"/>
          <w:szCs w:val="21"/>
        </w:rPr>
        <w:t> </w:t>
      </w:r>
      <w:r>
        <w:rPr>
          <w:rFonts w:ascii="宋体" w:hAnsi="宋体" w:cs="宋体" w:eastAsia="宋体" w:hint="default"/>
          <w:sz w:val="21"/>
          <w:szCs w:val="21"/>
        </w:rPr>
        <w:t>露义务。为了投资者更好的了解公司，公司采用多渠道、多方式的投资者关系管理方式，日常通过公司网</w:t>
      </w:r>
      <w:r>
        <w:rPr>
          <w:rFonts w:ascii="宋体" w:hAnsi="宋体" w:cs="宋体" w:eastAsia="宋体" w:hint="default"/>
          <w:w w:val="99"/>
          <w:sz w:val="21"/>
          <w:szCs w:val="21"/>
        </w:rPr>
        <w:t> </w:t>
      </w:r>
      <w:r>
        <w:rPr>
          <w:rFonts w:ascii="宋体" w:hAnsi="宋体" w:cs="宋体" w:eastAsia="宋体" w:hint="default"/>
          <w:sz w:val="21"/>
          <w:szCs w:val="21"/>
        </w:rPr>
        <w:t>站、热线电话、电子信箱、互动易平台等多种渠道与投资者加强沟通，保证投资者与公司信息交流渠道的</w:t>
      </w:r>
      <w:r>
        <w:rPr>
          <w:rFonts w:ascii="宋体" w:hAnsi="宋体" w:cs="宋体" w:eastAsia="宋体" w:hint="default"/>
          <w:w w:val="99"/>
          <w:sz w:val="21"/>
          <w:szCs w:val="21"/>
        </w:rPr>
        <w:t> </w:t>
      </w:r>
      <w:r>
        <w:rPr>
          <w:rFonts w:ascii="宋体" w:hAnsi="宋体" w:cs="宋体" w:eastAsia="宋体" w:hint="default"/>
          <w:sz w:val="21"/>
          <w:szCs w:val="21"/>
        </w:rPr>
        <w:t>畅通和良性互动，并妥善安排机构投资者、新闻媒体等到公司调研、座谈、参观。此外，公司管理层还通</w:t>
      </w:r>
      <w:r>
        <w:rPr>
          <w:rFonts w:ascii="宋体" w:hAnsi="宋体" w:cs="宋体" w:eastAsia="宋体" w:hint="default"/>
          <w:w w:val="99"/>
          <w:sz w:val="21"/>
          <w:szCs w:val="21"/>
        </w:rPr>
        <w:t> </w:t>
      </w:r>
      <w:r>
        <w:rPr>
          <w:rFonts w:ascii="宋体" w:hAnsi="宋体" w:cs="宋体" w:eastAsia="宋体" w:hint="default"/>
          <w:sz w:val="21"/>
          <w:szCs w:val="21"/>
        </w:rPr>
        <w:t>过年度报告网上业绩说明会、举办投资者走进上市公司等活动，与投资者进行互动交流，使广大投资者能</w:t>
      </w:r>
      <w:r>
        <w:rPr>
          <w:rFonts w:ascii="宋体" w:hAnsi="宋体" w:cs="宋体" w:eastAsia="宋体" w:hint="default"/>
          <w:w w:val="99"/>
          <w:sz w:val="21"/>
          <w:szCs w:val="21"/>
        </w:rPr>
        <w:t> </w:t>
      </w:r>
      <w:r>
        <w:rPr>
          <w:rFonts w:ascii="宋体" w:hAnsi="宋体" w:cs="宋体" w:eastAsia="宋体" w:hint="default"/>
          <w:sz w:val="21"/>
          <w:szCs w:val="21"/>
        </w:rPr>
        <w:t>够及时、全面的了解公司经营情况、财务状况、重大事项进展等情况，保障了投资者的知情权，增强资本</w:t>
      </w:r>
    </w:p>
    <w:p>
      <w:pPr>
        <w:spacing w:after="0" w:line="408" w:lineRule="auto"/>
        <w:jc w:val="left"/>
        <w:rPr>
          <w:rFonts w:ascii="宋体" w:hAnsi="宋体" w:cs="宋体" w:eastAsia="宋体" w:hint="default"/>
          <w:sz w:val="21"/>
          <w:szCs w:val="21"/>
        </w:rPr>
        <w:sectPr>
          <w:footerReference w:type="default" r:id="rId22"/>
          <w:pgSz w:w="11910" w:h="16840"/>
          <w:pgMar w:footer="1012" w:header="850" w:top="1440" w:bottom="1200" w:left="1020" w:right="920"/>
          <w:pgNumType w:start="60"/>
        </w:sectPr>
      </w:pPr>
    </w:p>
    <w:p>
      <w:pPr>
        <w:spacing w:line="240" w:lineRule="auto" w:before="8"/>
        <w:rPr>
          <w:rFonts w:ascii="宋体" w:hAnsi="宋体" w:cs="宋体" w:eastAsia="宋体" w:hint="default"/>
          <w:sz w:val="20"/>
          <w:szCs w:val="20"/>
        </w:rPr>
      </w:pPr>
    </w:p>
    <w:p>
      <w:pPr>
        <w:spacing w:line="441" w:lineRule="auto" w:before="34"/>
        <w:ind w:left="612" w:right="122" w:hanging="480"/>
        <w:jc w:val="left"/>
        <w:rPr>
          <w:rFonts w:ascii="宋体" w:hAnsi="宋体" w:cs="宋体" w:eastAsia="宋体" w:hint="default"/>
          <w:sz w:val="21"/>
          <w:szCs w:val="21"/>
        </w:rPr>
      </w:pPr>
      <w:r>
        <w:rPr>
          <w:rFonts w:ascii="宋体" w:hAnsi="宋体" w:cs="宋体" w:eastAsia="宋体" w:hint="default"/>
          <w:sz w:val="21"/>
          <w:szCs w:val="21"/>
        </w:rPr>
        <w:t>市场正能量，塑造公司在资本市场的诚信形象。</w:t>
      </w:r>
      <w:r>
        <w:rPr>
          <w:rFonts w:ascii="宋体" w:hAnsi="宋体" w:cs="宋体" w:eastAsia="宋体" w:hint="default"/>
          <w:w w:val="99"/>
          <w:sz w:val="21"/>
          <w:szCs w:val="21"/>
        </w:rPr>
        <w:t> </w:t>
      </w:r>
      <w:r>
        <w:rPr>
          <w:rFonts w:ascii="宋体" w:hAnsi="宋体" w:cs="宋体" w:eastAsia="宋体" w:hint="default"/>
          <w:spacing w:val="-2"/>
          <w:sz w:val="21"/>
          <w:szCs w:val="21"/>
        </w:rPr>
        <w:t>制定了公益支持规划，确定了公益支持的重点领域：社会慈善事业、教育文化事业、社区及新农村建</w:t>
      </w:r>
    </w:p>
    <w:p>
      <w:pPr>
        <w:spacing w:line="408" w:lineRule="auto" w:before="16"/>
        <w:ind w:left="132" w:right="112" w:firstLine="0"/>
        <w:jc w:val="both"/>
        <w:rPr>
          <w:rFonts w:ascii="宋体" w:hAnsi="宋体" w:cs="宋体" w:eastAsia="宋体" w:hint="default"/>
          <w:sz w:val="21"/>
          <w:szCs w:val="21"/>
        </w:rPr>
      </w:pPr>
      <w:r>
        <w:rPr>
          <w:rFonts w:ascii="宋体" w:hAnsi="宋体" w:cs="宋体" w:eastAsia="宋体" w:hint="default"/>
          <w:w w:val="95"/>
          <w:sz w:val="21"/>
          <w:szCs w:val="21"/>
        </w:rPr>
        <w:t>设、新能源推广等等。作为福利企业，公司拥有许多残疾人员工，为残疾人员工提供了适合的工作机会，</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体现社会价值，为残疾人打造独特的职业生涯之路。人文关怀上公司在给残疾人员工提供合适的工作岗位</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同时，也积极参与社会慈善活动，每年向全国残联、杭州市残联、红十字会捐款，为身处困难的人们送去</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一份关心。经过多年对福利事业的努力，万马的热心助残，为残疾人着想的事迹一直被传为佳话。不论肢</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体的完缺，不论出身贵贱，每个心灵都是平等而完美的，万马的员工都感受到了家庭的温暖。</w:t>
      </w:r>
    </w:p>
    <w:p>
      <w:pPr>
        <w:spacing w:line="408" w:lineRule="auto" w:before="87"/>
        <w:ind w:left="132" w:right="130" w:firstLine="480"/>
        <w:jc w:val="both"/>
        <w:rPr>
          <w:rFonts w:ascii="宋体" w:hAnsi="宋体" w:cs="宋体" w:eastAsia="宋体" w:hint="default"/>
          <w:sz w:val="21"/>
          <w:szCs w:val="21"/>
        </w:rPr>
      </w:pPr>
      <w:r>
        <w:rPr>
          <w:rFonts w:ascii="宋体" w:hAnsi="宋体" w:cs="宋体" w:eastAsia="宋体" w:hint="default"/>
          <w:spacing w:val="-2"/>
          <w:sz w:val="21"/>
          <w:szCs w:val="21"/>
        </w:rPr>
        <w:t>发展产业与社会责任相结合，新材料领域大力研发推广低烟无卤的环保型的产品，新能源充电领域促</w:t>
      </w:r>
      <w:r>
        <w:rPr>
          <w:rFonts w:ascii="宋体" w:hAnsi="宋体" w:cs="宋体" w:eastAsia="宋体" w:hint="default"/>
          <w:w w:val="99"/>
          <w:sz w:val="21"/>
          <w:szCs w:val="21"/>
        </w:rPr>
        <w:t> </w:t>
      </w:r>
      <w:r>
        <w:rPr>
          <w:rFonts w:ascii="宋体" w:hAnsi="宋体" w:cs="宋体" w:eastAsia="宋体" w:hint="default"/>
          <w:w w:val="95"/>
          <w:sz w:val="21"/>
          <w:szCs w:val="21"/>
        </w:rPr>
        <w:t>进环保产业进步，基于上市公司现在已有的业务，目前在全国投资铺设充电网络并接入互联网运营，通过</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充电业务的推进带动电动汽车的发展，引导人们大力绿色出行，节能减排低碳环保。</w:t>
      </w:r>
    </w:p>
    <w:p>
      <w:pPr>
        <w:spacing w:line="240" w:lineRule="auto" w:before="7"/>
        <w:rPr>
          <w:rFonts w:ascii="宋体" w:hAnsi="宋体" w:cs="宋体" w:eastAsia="宋体" w:hint="default"/>
          <w:sz w:val="29"/>
          <w:szCs w:val="29"/>
        </w:rPr>
      </w:pPr>
    </w:p>
    <w:p>
      <w:pPr>
        <w:spacing w:before="0"/>
        <w:ind w:left="132" w:right="0" w:firstLine="0"/>
        <w:jc w:val="both"/>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5"/>
        <w:ind w:left="132" w:right="0" w:firstLine="0"/>
        <w:jc w:val="both"/>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32" w:right="1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3"/>
        <w:rPr>
          <w:rFonts w:ascii="宋体" w:hAnsi="宋体" w:cs="宋体" w:eastAsia="宋体" w:hint="default"/>
          <w:sz w:val="20"/>
          <w:szCs w:val="20"/>
        </w:rPr>
      </w:pPr>
    </w:p>
    <w:p>
      <w:pPr>
        <w:spacing w:before="0"/>
        <w:ind w:left="1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、公司债券基本信息</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97"/>
        <w:gridCol w:w="978"/>
        <w:gridCol w:w="795"/>
        <w:gridCol w:w="1155"/>
        <w:gridCol w:w="1080"/>
        <w:gridCol w:w="1125"/>
        <w:gridCol w:w="735"/>
        <w:gridCol w:w="2503"/>
      </w:tblGrid>
      <w:tr>
        <w:trPr>
          <w:trHeight w:val="724" w:hRule="exact"/>
        </w:trPr>
        <w:tc>
          <w:tcPr>
            <w:tcW w:w="119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7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7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03" w:right="120" w:hanging="180"/>
              <w:jc w:val="left"/>
              <w:rPr>
                <w:rFonts w:ascii="宋体" w:hAnsi="宋体" w:cs="宋体" w:eastAsia="宋体" w:hint="default"/>
                <w:sz w:val="18"/>
                <w:szCs w:val="18"/>
              </w:rPr>
            </w:pPr>
            <w:r>
              <w:rPr>
                <w:rFonts w:ascii="宋体" w:hAnsi="宋体" w:cs="宋体" w:eastAsia="宋体" w:hint="default"/>
                <w:sz w:val="18"/>
                <w:szCs w:val="18"/>
              </w:rPr>
              <w:t>债券代 码</w:t>
            </w:r>
          </w:p>
        </w:tc>
        <w:tc>
          <w:tcPr>
            <w:tcW w:w="115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0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12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50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358" w:hRule="exact"/>
        </w:trPr>
        <w:tc>
          <w:tcPr>
            <w:tcW w:w="1197"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浙江万马股</w:t>
            </w:r>
          </w:p>
        </w:tc>
        <w:tc>
          <w:tcPr>
            <w:tcW w:w="978" w:type="dxa"/>
            <w:tcBorders>
              <w:top w:val="single" w:sz="4" w:space="0" w:color="000000"/>
              <w:left w:val="single" w:sz="4" w:space="0" w:color="000000"/>
              <w:bottom w:val="nil" w:sz="6" w:space="0" w:color="auto"/>
              <w:right w:val="single" w:sz="4" w:space="0" w:color="000000"/>
            </w:tcBorders>
          </w:tcPr>
          <w:p>
            <w:pPr/>
          </w:p>
        </w:tc>
        <w:tc>
          <w:tcPr>
            <w:tcW w:w="79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2503"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本期债券采用单利按年计息，</w:t>
            </w:r>
          </w:p>
        </w:tc>
      </w:tr>
      <w:tr>
        <w:trPr>
          <w:trHeight w:val="936" w:hRule="exact"/>
        </w:trPr>
        <w:tc>
          <w:tcPr>
            <w:tcW w:w="1197" w:type="dxa"/>
            <w:tcBorders>
              <w:top w:val="nil" w:sz="6" w:space="0" w:color="auto"/>
              <w:left w:val="single" w:sz="12" w:space="0" w:color="000000"/>
              <w:bottom w:val="nil" w:sz="6" w:space="0" w:color="auto"/>
              <w:right w:val="single" w:sz="4" w:space="0" w:color="000000"/>
            </w:tcBorders>
          </w:tcPr>
          <w:p>
            <w:pPr>
              <w:pStyle w:val="TableParagraph"/>
              <w:spacing w:line="309" w:lineRule="auto" w:before="10"/>
              <w:ind w:left="92" w:right="137"/>
              <w:jc w:val="both"/>
              <w:rPr>
                <w:rFonts w:ascii="宋体" w:hAnsi="宋体" w:cs="宋体" w:eastAsia="宋体" w:hint="default"/>
                <w:sz w:val="18"/>
                <w:szCs w:val="18"/>
              </w:rPr>
            </w:pPr>
            <w:r>
              <w:rPr>
                <w:rFonts w:ascii="宋体" w:hAnsi="宋体" w:cs="宋体" w:eastAsia="宋体" w:hint="default"/>
                <w:sz w:val="18"/>
                <w:szCs w:val="18"/>
              </w:rPr>
              <w:t>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 债券（第一</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万马</w:t>
            </w:r>
          </w:p>
          <w:p>
            <w:pPr>
              <w:pStyle w:val="TableParagraph"/>
              <w:spacing w:line="240" w:lineRule="auto" w:before="102"/>
              <w:ind w:left="102" w:right="0"/>
              <w:jc w:val="left"/>
              <w:rPr>
                <w:rFonts w:ascii="Times New Roman" w:hAnsi="Times New Roman" w:cs="Times New Roman" w:eastAsia="Times New Roman" w:hint="default"/>
                <w:sz w:val="18"/>
                <w:szCs w:val="18"/>
              </w:rPr>
            </w:pPr>
            <w:r>
              <w:rPr>
                <w:rFonts w:ascii="Times New Roman"/>
                <w:sz w:val="18"/>
              </w:rPr>
              <w:t>01</w:t>
            </w:r>
          </w:p>
        </w:tc>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112215</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2014-07-23</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
              <w:jc w:val="center"/>
              <w:rPr>
                <w:rFonts w:ascii="Times New Roman" w:hAnsi="Times New Roman" w:cs="Times New Roman" w:eastAsia="Times New Roman" w:hint="default"/>
                <w:sz w:val="18"/>
                <w:szCs w:val="18"/>
              </w:rPr>
            </w:pPr>
            <w:r>
              <w:rPr>
                <w:rFonts w:ascii="Times New Roman"/>
                <w:sz w:val="18"/>
              </w:rPr>
              <w:t>2019-07-23</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517" w:right="0"/>
              <w:jc w:val="left"/>
              <w:rPr>
                <w:rFonts w:ascii="Times New Roman" w:hAnsi="Times New Roman" w:cs="Times New Roman" w:eastAsia="Times New Roman" w:hint="default"/>
                <w:sz w:val="18"/>
                <w:szCs w:val="18"/>
              </w:rPr>
            </w:pPr>
            <w:r>
              <w:rPr>
                <w:rFonts w:ascii="Times New Roman"/>
                <w:sz w:val="18"/>
              </w:rPr>
              <w:t>30,000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58" w:right="0"/>
              <w:jc w:val="left"/>
              <w:rPr>
                <w:rFonts w:ascii="Times New Roman" w:hAnsi="Times New Roman" w:cs="Times New Roman" w:eastAsia="Times New Roman" w:hint="default"/>
                <w:sz w:val="18"/>
                <w:szCs w:val="18"/>
              </w:rPr>
            </w:pPr>
            <w:r>
              <w:rPr>
                <w:rFonts w:ascii="Times New Roman"/>
                <w:sz w:val="18"/>
              </w:rPr>
              <w:t>7.20%</w:t>
            </w:r>
          </w:p>
        </w:tc>
        <w:tc>
          <w:tcPr>
            <w:tcW w:w="2503"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102" w:right="39"/>
              <w:jc w:val="left"/>
              <w:rPr>
                <w:rFonts w:ascii="宋体" w:hAnsi="宋体" w:cs="宋体" w:eastAsia="宋体" w:hint="default"/>
                <w:sz w:val="18"/>
                <w:szCs w:val="18"/>
              </w:rPr>
            </w:pPr>
            <w:r>
              <w:rPr>
                <w:rFonts w:ascii="宋体" w:hAnsi="宋体" w:cs="宋体" w:eastAsia="宋体" w:hint="default"/>
                <w:sz w:val="18"/>
                <w:szCs w:val="18"/>
              </w:rPr>
              <w:t>不计复利，逾期不另计利息。 每年付息一次，到期一次还 </w:t>
            </w:r>
            <w:r>
              <w:rPr>
                <w:rFonts w:ascii="宋体" w:hAnsi="宋体" w:cs="宋体" w:eastAsia="宋体" w:hint="default"/>
                <w:spacing w:val="-5"/>
                <w:sz w:val="18"/>
                <w:szCs w:val="18"/>
              </w:rPr>
              <w:t>本，最后一期利息随本金的兑</w:t>
            </w:r>
          </w:p>
        </w:tc>
      </w:tr>
      <w:tr>
        <w:trPr>
          <w:trHeight w:val="356" w:hRule="exact"/>
        </w:trPr>
        <w:tc>
          <w:tcPr>
            <w:tcW w:w="1197"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978" w:type="dxa"/>
            <w:tcBorders>
              <w:top w:val="nil" w:sz="6" w:space="0" w:color="auto"/>
              <w:left w:val="single" w:sz="4" w:space="0" w:color="000000"/>
              <w:bottom w:val="single" w:sz="4" w:space="0" w:color="000000"/>
              <w:right w:val="single" w:sz="4" w:space="0" w:color="000000"/>
            </w:tcBorders>
          </w:tcPr>
          <w:p>
            <w:pPr/>
          </w:p>
        </w:tc>
        <w:tc>
          <w:tcPr>
            <w:tcW w:w="79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2503"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付一起支付。</w:t>
            </w:r>
          </w:p>
        </w:tc>
      </w:tr>
      <w:tr>
        <w:trPr>
          <w:trHeight w:val="402" w:hRule="exact"/>
        </w:trPr>
        <w:tc>
          <w:tcPr>
            <w:tcW w:w="5205"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4363"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5205"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4363"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5205"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4363"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日期间的利息。</w:t>
            </w:r>
          </w:p>
        </w:tc>
      </w:tr>
      <w:tr>
        <w:trPr>
          <w:trHeight w:val="724" w:hRule="exact"/>
        </w:trPr>
        <w:tc>
          <w:tcPr>
            <w:tcW w:w="5205" w:type="dxa"/>
            <w:gridSpan w:val="5"/>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16" w:lineRule="auto" w:before="51"/>
              <w:ind w:left="92" w:right="101"/>
              <w:jc w:val="left"/>
              <w:rPr>
                <w:rFonts w:ascii="宋体" w:hAnsi="宋体" w:cs="宋体" w:eastAsia="宋体" w:hint="default"/>
                <w:sz w:val="18"/>
                <w:szCs w:val="18"/>
              </w:rPr>
            </w:pPr>
            <w:r>
              <w:rPr>
                <w:rFonts w:ascii="宋体" w:hAnsi="宋体" w:cs="宋体" w:eastAsia="宋体" w:hint="default"/>
                <w:spacing w:val="-2"/>
                <w:sz w:val="18"/>
                <w:szCs w:val="18"/>
              </w:rPr>
              <w:t>公司债券附发行人或投资者选择权条款、可交换条款等特殊条款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的，报告期内相关条款的执行情况（如适用）。</w:t>
            </w:r>
          </w:p>
        </w:tc>
        <w:tc>
          <w:tcPr>
            <w:tcW w:w="4363"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0" w:footer="1012" w:top="1440" w:bottom="1200" w:left="1000" w:right="1000"/>
        </w:sectPr>
      </w:pPr>
    </w:p>
    <w:p>
      <w:pPr>
        <w:spacing w:line="240" w:lineRule="auto" w:before="9"/>
        <w:rPr>
          <w:rFonts w:ascii="宋体" w:hAnsi="宋体" w:cs="宋体" w:eastAsia="宋体" w:hint="default"/>
          <w:b/>
          <w:bCs/>
          <w:sz w:val="14"/>
          <w:szCs w:val="14"/>
        </w:rPr>
      </w:pPr>
    </w:p>
    <w:p>
      <w:pPr>
        <w:spacing w:before="34"/>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、债券受托管理人和资信评级机构信息</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202"/>
        <w:gridCol w:w="1196"/>
        <w:gridCol w:w="1196"/>
        <w:gridCol w:w="1196"/>
        <w:gridCol w:w="1195"/>
        <w:gridCol w:w="1196"/>
        <w:gridCol w:w="1196"/>
        <w:gridCol w:w="1196"/>
      </w:tblGrid>
      <w:tr>
        <w:trPr>
          <w:trHeight w:val="412" w:hRule="exact"/>
        </w:trPr>
        <w:tc>
          <w:tcPr>
            <w:tcW w:w="9573" w:type="dxa"/>
            <w:gridSpan w:val="8"/>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338" w:hRule="exact"/>
        </w:trPr>
        <w:tc>
          <w:tcPr>
            <w:tcW w:w="12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02" w:right="182"/>
              <w:jc w:val="left"/>
              <w:rPr>
                <w:rFonts w:ascii="宋体" w:hAnsi="宋体" w:cs="宋体" w:eastAsia="宋体" w:hint="default"/>
                <w:sz w:val="18"/>
                <w:szCs w:val="18"/>
              </w:rPr>
            </w:pPr>
            <w:r>
              <w:rPr>
                <w:rFonts w:ascii="宋体" w:hAnsi="宋体" w:cs="宋体" w:eastAsia="宋体" w:hint="default"/>
                <w:sz w:val="18"/>
                <w:szCs w:val="18"/>
              </w:rPr>
              <w:t>华林证券有 限责任公司</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3" w:right="181"/>
              <w:jc w:val="both"/>
              <w:rPr>
                <w:rFonts w:ascii="宋体" w:hAnsi="宋体" w:cs="宋体" w:eastAsia="宋体" w:hint="default"/>
                <w:sz w:val="18"/>
                <w:szCs w:val="18"/>
              </w:rPr>
            </w:pPr>
            <w:r>
              <w:rPr>
                <w:rFonts w:ascii="宋体" w:hAnsi="宋体" w:cs="宋体" w:eastAsia="宋体" w:hint="default"/>
                <w:sz w:val="18"/>
                <w:szCs w:val="18"/>
              </w:rPr>
              <w:t>上海市银城 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太平金融大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王永杰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021-2028110</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1331173757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9573" w:type="dxa"/>
            <w:gridSpan w:val="8"/>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14" w:hRule="exact"/>
        </w:trPr>
        <w:tc>
          <w:tcPr>
            <w:tcW w:w="12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8" w:type="dxa"/>
            <w:gridSpan w:val="3"/>
            <w:tcBorders>
              <w:top w:val="single" w:sz="4" w:space="0" w:color="000000"/>
              <w:left w:val="single" w:sz="4" w:space="0" w:color="000000"/>
              <w:bottom w:val="single" w:sz="4" w:space="0" w:color="000000"/>
              <w:right w:val="single" w:sz="12" w:space="0" w:color="000000"/>
            </w:tcBorders>
          </w:tcPr>
          <w:p>
            <w:pPr>
              <w:pStyle w:val="TableParagraph"/>
              <w:spacing w:line="300" w:lineRule="auto" w:before="50"/>
              <w:ind w:left="102" w:right="94"/>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大厦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100022</w:t>
            </w:r>
            <w:r>
              <w:rPr>
                <w:rFonts w:ascii="宋体" w:hAnsi="宋体" w:cs="宋体" w:eastAsia="宋体" w:hint="default"/>
                <w:sz w:val="18"/>
                <w:szCs w:val="18"/>
              </w:rPr>
              <w:t>）</w:t>
            </w:r>
          </w:p>
        </w:tc>
      </w:tr>
      <w:tr>
        <w:trPr>
          <w:trHeight w:val="724" w:hRule="exact"/>
        </w:trPr>
        <w:tc>
          <w:tcPr>
            <w:tcW w:w="5985" w:type="dxa"/>
            <w:gridSpan w:val="5"/>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16" w:lineRule="auto" w:before="52"/>
              <w:ind w:left="92" w:right="111"/>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报告期内公司聘请的债券受托管理人、资信评级机构发生变更的，变更的 原因、履行的程序、对投资者利益的影响等（如适用）</w:t>
            </w:r>
          </w:p>
        </w:tc>
        <w:tc>
          <w:tcPr>
            <w:tcW w:w="3588"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b/>
          <w:bCs/>
          <w:sz w:val="19"/>
          <w:szCs w:val="19"/>
        </w:rPr>
      </w:pPr>
    </w:p>
    <w:p>
      <w:pPr>
        <w:spacing w:before="34"/>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、公司债券募集资金使用情况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190"/>
        <w:gridCol w:w="6378"/>
      </w:tblGrid>
      <w:tr>
        <w:trPr>
          <w:trHeight w:val="371" w:hRule="exact"/>
        </w:trPr>
        <w:tc>
          <w:tcPr>
            <w:tcW w:w="3190" w:type="dxa"/>
            <w:tcBorders>
              <w:top w:val="single" w:sz="12" w:space="0" w:color="000000"/>
              <w:left w:val="single" w:sz="12" w:space="0" w:color="000000"/>
              <w:bottom w:val="nil" w:sz="6" w:space="0" w:color="auto"/>
              <w:right w:val="single" w:sz="4" w:space="0" w:color="000000"/>
            </w:tcBorders>
            <w:shd w:val="clear" w:color="auto" w:fill="D3D3D3"/>
          </w:tcPr>
          <w:p>
            <w:pPr/>
          </w:p>
        </w:tc>
        <w:tc>
          <w:tcPr>
            <w:tcW w:w="6378" w:type="dxa"/>
            <w:tcBorders>
              <w:top w:val="single" w:sz="12" w:space="0" w:color="000000"/>
              <w:left w:val="single" w:sz="4" w:space="0" w:color="000000"/>
              <w:bottom w:val="nil" w:sz="6" w:space="0" w:color="auto"/>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年第五次临时股东大会批准，本次发</w:t>
            </w:r>
          </w:p>
        </w:tc>
      </w:tr>
      <w:tr>
        <w:trPr>
          <w:trHeight w:val="307" w:hRule="exact"/>
        </w:trPr>
        <w:tc>
          <w:tcPr>
            <w:tcW w:w="3190" w:type="dxa"/>
            <w:tcBorders>
              <w:top w:val="nil" w:sz="6" w:space="0" w:color="auto"/>
              <w:left w:val="single" w:sz="12"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行债券募集资金拟部分用于偿还银行贷款，优化公司债务结构；并拟用剩余部</w:t>
            </w:r>
          </w:p>
        </w:tc>
      </w:tr>
      <w:tr>
        <w:trPr>
          <w:trHeight w:val="334" w:hRule="exact"/>
        </w:trPr>
        <w:tc>
          <w:tcPr>
            <w:tcW w:w="319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32"/>
              <w:ind w:left="9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w:t>
            </w:r>
          </w:p>
        </w:tc>
        <w:tc>
          <w:tcPr>
            <w:tcW w:w="6378"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分资金补充公司流动资金，改善公司资金状况。</w:t>
            </w:r>
          </w:p>
        </w:tc>
      </w:tr>
      <w:tr>
        <w:trPr>
          <w:trHeight w:val="336" w:hRule="exact"/>
        </w:trPr>
        <w:tc>
          <w:tcPr>
            <w:tcW w:w="319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程序</w:t>
            </w:r>
          </w:p>
        </w:tc>
        <w:tc>
          <w:tcPr>
            <w:tcW w:w="6378" w:type="dxa"/>
            <w:tcBorders>
              <w:top w:val="nil" w:sz="6" w:space="0" w:color="auto"/>
              <w:left w:val="single" w:sz="4" w:space="0" w:color="000000"/>
              <w:bottom w:val="nil" w:sz="6" w:space="0" w:color="auto"/>
              <w:right w:val="single" w:sz="12"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实际本次募集资金使用情况：公司于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月发行了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亿公司债，其中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w:t>
            </w:r>
          </w:p>
        </w:tc>
      </w:tr>
      <w:tr>
        <w:trPr>
          <w:trHeight w:val="312" w:hRule="exact"/>
        </w:trPr>
        <w:tc>
          <w:tcPr>
            <w:tcW w:w="3190" w:type="dxa"/>
            <w:tcBorders>
              <w:top w:val="nil" w:sz="6" w:space="0" w:color="auto"/>
              <w:left w:val="single" w:sz="12"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元偿还银行贷款、</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亿元用于补充流动资金，已累计使用募集资金人民币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r>
      <w:tr>
        <w:trPr>
          <w:trHeight w:val="353" w:hRule="exact"/>
        </w:trPr>
        <w:tc>
          <w:tcPr>
            <w:tcW w:w="3190" w:type="dxa"/>
            <w:tcBorders>
              <w:top w:val="nil" w:sz="6" w:space="0" w:color="auto"/>
              <w:left w:val="single" w:sz="12"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元。与第一期公司债券募集资金使用计划一致。</w:t>
            </w:r>
          </w:p>
        </w:tc>
      </w:tr>
      <w:tr>
        <w:trPr>
          <w:trHeight w:val="402" w:hRule="exact"/>
        </w:trPr>
        <w:tc>
          <w:tcPr>
            <w:tcW w:w="319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30,000</w:t>
            </w:r>
          </w:p>
        </w:tc>
      </w:tr>
      <w:tr>
        <w:trPr>
          <w:trHeight w:val="402" w:hRule="exact"/>
        </w:trPr>
        <w:tc>
          <w:tcPr>
            <w:tcW w:w="319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募集资金专项账户严格按照募集说明书相关约定运作。</w:t>
            </w:r>
          </w:p>
        </w:tc>
      </w:tr>
      <w:tr>
        <w:trPr>
          <w:trHeight w:val="724" w:hRule="exact"/>
        </w:trPr>
        <w:tc>
          <w:tcPr>
            <w:tcW w:w="319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16" w:lineRule="auto" w:before="51"/>
              <w:ind w:left="92" w:right="1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b/>
          <w:bCs/>
          <w:sz w:val="19"/>
          <w:szCs w:val="19"/>
        </w:rPr>
      </w:pPr>
    </w:p>
    <w:p>
      <w:pPr>
        <w:spacing w:before="34"/>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、公司债券信息评级情况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32" w:right="99" w:firstLine="360"/>
        <w:jc w:val="left"/>
        <w:rPr>
          <w:rFonts w:ascii="宋体" w:hAnsi="宋体" w:cs="宋体" w:eastAsia="宋体" w:hint="default"/>
          <w:sz w:val="18"/>
          <w:szCs w:val="18"/>
        </w:rPr>
      </w:pPr>
      <w:r>
        <w:rPr>
          <w:rFonts w:ascii="宋体" w:hAnsi="宋体" w:cs="宋体" w:eastAsia="宋体" w:hint="default"/>
          <w:sz w:val="18"/>
          <w:szCs w:val="18"/>
        </w:rPr>
        <w:t>报告期内，联合评级有限公司于2015年6月9日在巨潮资讯网公告《浙江万马股份有限公司 2014</w:t>
      </w:r>
      <w:r>
        <w:rPr>
          <w:rFonts w:ascii="宋体" w:hAnsi="宋体" w:cs="宋体" w:eastAsia="宋体" w:hint="default"/>
          <w:spacing w:val="-5"/>
          <w:sz w:val="18"/>
          <w:szCs w:val="18"/>
        </w:rPr>
        <w:t> </w:t>
      </w:r>
      <w:r>
        <w:rPr>
          <w:rFonts w:ascii="宋体" w:hAnsi="宋体" w:cs="宋体" w:eastAsia="宋体" w:hint="default"/>
          <w:sz w:val="18"/>
          <w:szCs w:val="18"/>
        </w:rPr>
        <w:t>年公司债券（第一期）</w:t>
      </w:r>
      <w:r>
        <w:rPr>
          <w:rFonts w:ascii="宋体" w:hAnsi="宋体" w:cs="宋体" w:eastAsia="宋体" w:hint="default"/>
          <w:sz w:val="18"/>
          <w:szCs w:val="18"/>
        </w:rPr>
        <w:t> 跟踪评级报告》，债券信用等级维持为 AA，发行主体长期信用等级维持为</w:t>
      </w:r>
      <w:r>
        <w:rPr>
          <w:rFonts w:ascii="宋体" w:hAnsi="宋体" w:cs="宋体" w:eastAsia="宋体" w:hint="default"/>
          <w:spacing w:val="-3"/>
          <w:sz w:val="18"/>
          <w:szCs w:val="18"/>
        </w:rPr>
        <w:t> </w:t>
      </w:r>
      <w:r>
        <w:rPr>
          <w:rFonts w:ascii="宋体" w:hAnsi="宋体" w:cs="宋体" w:eastAsia="宋体" w:hint="default"/>
          <w:sz w:val="18"/>
          <w:szCs w:val="18"/>
        </w:rPr>
        <w:t>AA，评级展望维持为稳定。</w:t>
      </w:r>
    </w:p>
    <w:p>
      <w:pPr>
        <w:spacing w:line="316" w:lineRule="auto" w:before="59"/>
        <w:ind w:left="132" w:right="109" w:firstLine="360"/>
        <w:jc w:val="left"/>
        <w:rPr>
          <w:rFonts w:ascii="宋体" w:hAnsi="宋体" w:cs="宋体" w:eastAsia="宋体" w:hint="default"/>
          <w:sz w:val="18"/>
          <w:szCs w:val="18"/>
        </w:rPr>
      </w:pPr>
      <w:r>
        <w:rPr>
          <w:rFonts w:ascii="宋体" w:hAnsi="宋体" w:cs="宋体" w:eastAsia="宋体" w:hint="default"/>
          <w:spacing w:val="-2"/>
          <w:sz w:val="18"/>
          <w:szCs w:val="18"/>
        </w:rPr>
        <w:t>联合评级有限公司将于公司2015年年度报告公布后两个月内完成该年度的定期跟踪评级，并在巨潮资讯网及评级公司网</w:t>
      </w:r>
      <w:r>
        <w:rPr>
          <w:rFonts w:ascii="宋体" w:hAnsi="宋体" w:cs="宋体" w:eastAsia="宋体" w:hint="default"/>
          <w:sz w:val="18"/>
          <w:szCs w:val="18"/>
        </w:rPr>
        <w:t> 站上发布定期跟踪评级结果及报告，请投资者关注。</w:t>
      </w:r>
    </w:p>
    <w:p>
      <w:pPr>
        <w:spacing w:line="240" w:lineRule="auto" w:before="6"/>
        <w:rPr>
          <w:rFonts w:ascii="宋体" w:hAnsi="宋体" w:cs="宋体" w:eastAsia="宋体" w:hint="default"/>
          <w:sz w:val="22"/>
          <w:szCs w:val="22"/>
        </w:rPr>
      </w:pPr>
    </w:p>
    <w:p>
      <w:pPr>
        <w:spacing w:before="0"/>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、公司债券增信机制、偿债计划及其他偿债保障措施</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16" w:lineRule="auto" w:before="0"/>
        <w:ind w:left="132" w:right="184" w:firstLine="0"/>
        <w:jc w:val="left"/>
        <w:rPr>
          <w:rFonts w:ascii="宋体" w:hAnsi="宋体" w:cs="宋体" w:eastAsia="宋体" w:hint="default"/>
          <w:sz w:val="18"/>
          <w:szCs w:val="18"/>
        </w:rPr>
      </w:pPr>
      <w:r>
        <w:rPr>
          <w:rFonts w:ascii="宋体" w:hAnsi="宋体" w:cs="宋体" w:eastAsia="宋体" w:hint="default"/>
          <w:sz w:val="18"/>
          <w:szCs w:val="18"/>
        </w:rPr>
        <w:t>报告期内公司债券增信机制、偿债计划其他偿债保障措施未发生变更，与募集说明书的相关承诺一致。详见公司于2014年7 月21日在巨潮资讯网披露的《公开发行2014年公司债券（第一期）募集说明书》相关章节。</w:t>
      </w:r>
    </w:p>
    <w:p>
      <w:pPr>
        <w:spacing w:line="240" w:lineRule="auto" w:before="6"/>
        <w:rPr>
          <w:rFonts w:ascii="宋体" w:hAnsi="宋体" w:cs="宋体" w:eastAsia="宋体" w:hint="default"/>
          <w:sz w:val="22"/>
          <w:szCs w:val="22"/>
        </w:rPr>
      </w:pPr>
    </w:p>
    <w:p>
      <w:pPr>
        <w:spacing w:before="0"/>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、报告期内债券持有人会议的召开情况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109" w:firstLine="0"/>
        <w:jc w:val="left"/>
        <w:rPr>
          <w:rFonts w:ascii="宋体" w:hAnsi="宋体" w:cs="宋体" w:eastAsia="宋体" w:hint="default"/>
          <w:sz w:val="18"/>
          <w:szCs w:val="18"/>
        </w:rPr>
      </w:pPr>
      <w:r>
        <w:rPr>
          <w:rFonts w:ascii="宋体" w:hAnsi="宋体" w:cs="宋体" w:eastAsia="宋体" w:hint="default"/>
          <w:sz w:val="18"/>
          <w:szCs w:val="18"/>
        </w:rPr>
        <w:t>报告期内，公司未召开债券持有人会议。</w:t>
      </w:r>
    </w:p>
    <w:p>
      <w:pPr>
        <w:spacing w:after="0"/>
        <w:jc w:val="left"/>
        <w:rPr>
          <w:rFonts w:ascii="宋体" w:hAnsi="宋体" w:cs="宋体" w:eastAsia="宋体" w:hint="default"/>
          <w:sz w:val="18"/>
          <w:szCs w:val="18"/>
        </w:rPr>
        <w:sectPr>
          <w:pgSz w:w="11910" w:h="16840"/>
          <w:pgMar w:header="850" w:footer="1012" w:top="1440" w:bottom="1200" w:left="100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34"/>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、报告期内债券受托管理人履行职责的情况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32" w:right="109"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报告期内，公司债券受托管理人华林证券股份有限公司严格按照《债券受托管理协议》认真履行职责。公司《2015年公</w:t>
      </w:r>
      <w:r>
        <w:rPr>
          <w:rFonts w:ascii="宋体" w:hAnsi="宋体" w:cs="宋体" w:eastAsia="宋体" w:hint="default"/>
          <w:sz w:val="18"/>
          <w:szCs w:val="18"/>
        </w:rPr>
        <w:t> 司债券受托管理事务报告》于2016年4月25</w:t>
      </w:r>
      <w:hyperlink r:id="rId12">
        <w:r>
          <w:rPr>
            <w:rFonts w:ascii="宋体" w:hAnsi="宋体" w:cs="宋体" w:eastAsia="宋体" w:hint="default"/>
            <w:sz w:val="18"/>
            <w:szCs w:val="18"/>
          </w:rPr>
          <w:t>日刊登在巨潮资讯网（www.cninfo.com.cn</w:t>
        </w:r>
      </w:hyperlink>
      <w:r>
        <w:rPr>
          <w:rFonts w:ascii="宋体" w:hAnsi="宋体" w:cs="宋体" w:eastAsia="宋体" w:hint="default"/>
          <w:sz w:val="18"/>
          <w:szCs w:val="18"/>
        </w:rPr>
        <w:t>）上，敬请广大投资者关注。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、截至报告期末公司近</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年的主要会计数据和财务指标</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62"/>
        <w:gridCol w:w="2122"/>
        <w:gridCol w:w="2392"/>
        <w:gridCol w:w="2392"/>
      </w:tblGrid>
      <w:tr>
        <w:trPr>
          <w:trHeight w:val="412" w:hRule="exact"/>
        </w:trPr>
        <w:tc>
          <w:tcPr>
            <w:tcW w:w="266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1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44,908.38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39,580.12</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13.46%</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-32,807.72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w w:val="95"/>
                <w:sz w:val="18"/>
              </w:rPr>
              <w:t>-11,966.57</w:t>
            </w:r>
            <w:r>
              <w:rPr>
                <w:rFonts w:ascii="Times New Roman"/>
                <w:spacing w:val="-1"/>
                <w:sz w:val="18"/>
              </w:rPr>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-174.16%</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4,186.27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-6,424.52</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88"/>
              <w:jc w:val="right"/>
              <w:rPr>
                <w:rFonts w:ascii="Times New Roman" w:hAnsi="Times New Roman" w:cs="Times New Roman" w:eastAsia="Times New Roman" w:hint="default"/>
                <w:sz w:val="18"/>
                <w:szCs w:val="18"/>
              </w:rPr>
            </w:pPr>
            <w:r>
              <w:rPr>
                <w:rFonts w:ascii="Times New Roman"/>
                <w:spacing w:val="-1"/>
                <w:sz w:val="18"/>
              </w:rPr>
              <w:t>165.16%</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68,670.02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69,755.94</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217.19%</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42.82%</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41.68%</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192.40%</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17.51%</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20.30%</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5.68</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33.98%</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21.55%</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7.07</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33.24%</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0.00%</w:t>
            </w:r>
          </w:p>
        </w:tc>
      </w:tr>
      <w:tr>
        <w:trPr>
          <w:trHeight w:val="412" w:hRule="exact"/>
        </w:trPr>
        <w:tc>
          <w:tcPr>
            <w:tcW w:w="266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0"/>
              <w:ind w:right="8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32" w:right="109"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1"/>
        <w:ind w:left="132" w:right="10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7"/>
        <w:ind w:left="132" w:right="184" w:firstLine="0"/>
        <w:jc w:val="left"/>
        <w:rPr>
          <w:rFonts w:ascii="宋体" w:hAnsi="宋体" w:cs="宋体" w:eastAsia="宋体" w:hint="default"/>
          <w:sz w:val="18"/>
          <w:szCs w:val="18"/>
        </w:rPr>
      </w:pPr>
      <w:r>
        <w:rPr>
          <w:rFonts w:ascii="宋体" w:hAnsi="宋体" w:cs="宋体" w:eastAsia="宋体" w:hint="default"/>
          <w:sz w:val="18"/>
          <w:szCs w:val="18"/>
        </w:rPr>
        <w:t>（1）投资活动产生的现金流量净额同比减少174.16%，主要原因系2015年末购买短期低风险保本型理财产品2.6亿，2014年 购置土地、房屋建筑物6915万元。</w:t>
      </w:r>
    </w:p>
    <w:p>
      <w:pPr>
        <w:spacing w:line="316" w:lineRule="auto" w:before="19"/>
        <w:ind w:left="132" w:right="94" w:firstLine="0"/>
        <w:jc w:val="left"/>
        <w:rPr>
          <w:rFonts w:ascii="宋体" w:hAnsi="宋体" w:cs="宋体" w:eastAsia="宋体" w:hint="default"/>
          <w:sz w:val="18"/>
          <w:szCs w:val="18"/>
        </w:rPr>
      </w:pPr>
      <w:r>
        <w:rPr>
          <w:rFonts w:ascii="宋体" w:hAnsi="宋体" w:cs="宋体" w:eastAsia="宋体" w:hint="default"/>
          <w:sz w:val="18"/>
          <w:szCs w:val="18"/>
        </w:rPr>
        <w:t>（2）筹资活动产生的现金流量净额同比增加165.16%，主要原因系2015年三个月以上到期的银行保证金较上年减少4200万， 2014年三个月以上到期的银行保证金较上年增加5800万。</w:t>
      </w:r>
    </w:p>
    <w:p>
      <w:pPr>
        <w:spacing w:before="19"/>
        <w:ind w:left="132" w:right="109" w:firstLine="0"/>
        <w:jc w:val="left"/>
        <w:rPr>
          <w:rFonts w:ascii="宋体" w:hAnsi="宋体" w:cs="宋体" w:eastAsia="宋体" w:hint="default"/>
          <w:sz w:val="18"/>
          <w:szCs w:val="18"/>
        </w:rPr>
      </w:pPr>
      <w:r>
        <w:rPr>
          <w:rFonts w:ascii="宋体" w:hAnsi="宋体" w:cs="宋体" w:eastAsia="宋体" w:hint="default"/>
          <w:sz w:val="18"/>
          <w:szCs w:val="18"/>
        </w:rPr>
        <w:t>（3）流动比率同比增加42.82%，主要原因系理财，存货增加，应付票据减少。</w:t>
      </w:r>
    </w:p>
    <w:p>
      <w:pPr>
        <w:spacing w:before="76"/>
        <w:ind w:left="132" w:right="109" w:firstLine="0"/>
        <w:jc w:val="left"/>
        <w:rPr>
          <w:rFonts w:ascii="宋体" w:hAnsi="宋体" w:cs="宋体" w:eastAsia="宋体" w:hint="default"/>
          <w:sz w:val="18"/>
          <w:szCs w:val="18"/>
        </w:rPr>
      </w:pPr>
      <w:r>
        <w:rPr>
          <w:rFonts w:ascii="宋体" w:hAnsi="宋体" w:cs="宋体" w:eastAsia="宋体" w:hint="default"/>
          <w:sz w:val="18"/>
          <w:szCs w:val="18"/>
        </w:rPr>
        <w:t>（4）利息保障倍数同比增加33.98%，主要原因系利润增加，利息支出减少。</w:t>
      </w:r>
    </w:p>
    <w:p>
      <w:pPr>
        <w:spacing w:before="76"/>
        <w:ind w:left="132" w:right="109" w:firstLine="0"/>
        <w:jc w:val="left"/>
        <w:rPr>
          <w:rFonts w:ascii="宋体" w:hAnsi="宋体" w:cs="宋体" w:eastAsia="宋体" w:hint="default"/>
          <w:sz w:val="18"/>
          <w:szCs w:val="18"/>
        </w:rPr>
      </w:pPr>
      <w:r>
        <w:rPr>
          <w:rFonts w:ascii="宋体" w:hAnsi="宋体" w:cs="宋体" w:eastAsia="宋体" w:hint="default"/>
          <w:sz w:val="18"/>
          <w:szCs w:val="18"/>
        </w:rPr>
        <w:t>（5）EBITDA利息保障倍数同比增加33.24%，主要原因系利润增加，利息支出减少。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3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tabs>
          <w:tab w:pos="4812" w:val="left" w:leader="none"/>
        </w:tabs>
        <w:spacing w:before="0"/>
        <w:ind w:left="132" w:right="109" w:firstLine="0"/>
        <w:jc w:val="left"/>
        <w:rPr>
          <w:rFonts w:ascii="宋体" w:hAnsi="宋体" w:cs="宋体" w:eastAsia="宋体" w:hint="default"/>
          <w:sz w:val="18"/>
          <w:szCs w:val="18"/>
        </w:rPr>
      </w:pPr>
      <w:r>
        <w:rPr>
          <w:rFonts w:ascii="宋体" w:hAnsi="宋体" w:cs="宋体" w:eastAsia="宋体" w:hint="default"/>
          <w:sz w:val="18"/>
          <w:szCs w:val="18"/>
        </w:rPr>
        <w:t>详情请见第十节</w:t>
      </w:r>
      <w:r>
        <w:rPr>
          <w:rFonts w:ascii="宋体" w:hAnsi="宋体" w:cs="宋体" w:eastAsia="宋体" w:hint="default"/>
          <w:spacing w:val="1"/>
          <w:sz w:val="18"/>
          <w:szCs w:val="18"/>
        </w:rPr>
        <w:t> </w:t>
      </w:r>
      <w:r>
        <w:rPr>
          <w:rFonts w:ascii="宋体" w:hAnsi="宋体" w:cs="宋体" w:eastAsia="宋体" w:hint="default"/>
          <w:sz w:val="18"/>
          <w:szCs w:val="18"/>
        </w:rPr>
        <w:t>财务报告“六、合并财务报表项目注释</w:t>
        <w:tab/>
        <w:t>46、所有权或使用权受到限制的资产”。</w:t>
      </w:r>
    </w:p>
    <w:p>
      <w:pPr>
        <w:spacing w:after="0"/>
        <w:jc w:val="left"/>
        <w:rPr>
          <w:rFonts w:ascii="宋体" w:hAnsi="宋体" w:cs="宋体" w:eastAsia="宋体" w:hint="default"/>
          <w:sz w:val="18"/>
          <w:szCs w:val="18"/>
        </w:rPr>
        <w:sectPr>
          <w:footerReference w:type="default" r:id="rId23"/>
          <w:pgSz w:w="11910" w:h="16840"/>
          <w:pgMar w:footer="1012" w:header="850" w:top="1440" w:bottom="1200" w:left="1000" w:right="940"/>
          <w:pgNumType w:start="63"/>
        </w:sectPr>
      </w:pPr>
    </w:p>
    <w:p>
      <w:pPr>
        <w:spacing w:line="240" w:lineRule="auto" w:before="9"/>
        <w:rPr>
          <w:rFonts w:ascii="宋体" w:hAnsi="宋体" w:cs="宋体" w:eastAsia="宋体" w:hint="default"/>
          <w:sz w:val="14"/>
          <w:szCs w:val="14"/>
        </w:rPr>
      </w:pPr>
    </w:p>
    <w:p>
      <w:pPr>
        <w:spacing w:before="34"/>
        <w:ind w:left="11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、报告期内对其他债券和债务融资工具的付息兑付情况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00" w:lineRule="auto" w:before="0"/>
        <w:ind w:left="112" w:right="96"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日发行了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年度第一期短期融资券，主承销商:</w:t>
      </w:r>
      <w:r>
        <w:rPr>
          <w:rFonts w:ascii="宋体" w:hAnsi="宋体" w:cs="宋体" w:eastAsia="宋体" w:hint="default"/>
          <w:spacing w:val="-5"/>
          <w:sz w:val="18"/>
          <w:szCs w:val="18"/>
        </w:rPr>
        <w:t> </w:t>
      </w:r>
      <w:r>
        <w:rPr>
          <w:rFonts w:ascii="宋体" w:hAnsi="宋体" w:cs="宋体" w:eastAsia="宋体" w:hint="default"/>
          <w:sz w:val="18"/>
          <w:szCs w:val="18"/>
        </w:rPr>
        <w:t>中国工商银行股份有限 公司, 联席主承销商:</w:t>
      </w:r>
      <w:r>
        <w:rPr>
          <w:rFonts w:ascii="宋体" w:hAnsi="宋体" w:cs="宋体" w:eastAsia="宋体" w:hint="default"/>
          <w:spacing w:val="-2"/>
          <w:sz w:val="18"/>
          <w:szCs w:val="18"/>
        </w:rPr>
        <w:t> </w:t>
      </w:r>
      <w:r>
        <w:rPr>
          <w:rFonts w:ascii="宋体" w:hAnsi="宋体" w:cs="宋体" w:eastAsia="宋体" w:hint="default"/>
          <w:sz w:val="18"/>
          <w:szCs w:val="18"/>
        </w:rPr>
        <w:t>上海浦东发展银行股份有限公司，名称：浙江万马股份有限公司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年度第一期短期融资券，简称： </w:t>
      </w:r>
      <w:r>
        <w:rPr>
          <w:rFonts w:ascii="Times New Roman" w:hAnsi="Times New Roman" w:cs="Times New Roman" w:eastAsia="Times New Roman" w:hint="default"/>
          <w:sz w:val="18"/>
          <w:szCs w:val="18"/>
        </w:rPr>
        <w:t>15</w:t>
      </w:r>
      <w:r>
        <w:rPr>
          <w:rFonts w:ascii="宋体" w:hAnsi="宋体" w:cs="宋体" w:eastAsia="宋体" w:hint="default"/>
          <w:sz w:val="18"/>
          <w:szCs w:val="18"/>
        </w:rPr>
        <w:t>万马</w:t>
      </w:r>
      <w:r>
        <w:rPr>
          <w:rFonts w:ascii="Times New Roman" w:hAnsi="Times New Roman" w:cs="Times New Roman" w:eastAsia="Times New Roman" w:hint="default"/>
          <w:sz w:val="18"/>
          <w:szCs w:val="18"/>
        </w:rPr>
        <w:t>CP001</w:t>
      </w:r>
      <w:r>
        <w:rPr>
          <w:rFonts w:ascii="宋体" w:hAnsi="宋体" w:cs="宋体" w:eastAsia="宋体" w:hint="default"/>
          <w:sz w:val="18"/>
          <w:szCs w:val="18"/>
        </w:rPr>
        <w:t>，代码：</w:t>
      </w:r>
      <w:r>
        <w:rPr>
          <w:rFonts w:ascii="Times New Roman" w:hAnsi="Times New Roman" w:cs="Times New Roman" w:eastAsia="Times New Roman" w:hint="default"/>
          <w:sz w:val="18"/>
          <w:szCs w:val="18"/>
        </w:rPr>
        <w:t>041551045</w:t>
      </w:r>
      <w:r>
        <w:rPr>
          <w:rFonts w:ascii="宋体" w:hAnsi="宋体" w:cs="宋体" w:eastAsia="宋体" w:hint="default"/>
          <w:sz w:val="18"/>
          <w:szCs w:val="18"/>
        </w:rPr>
        <w:t>，期限：366天，起息日：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日，兑付日：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日，实际发行总额：2.5 亿元,</w:t>
      </w:r>
      <w:r>
        <w:rPr>
          <w:rFonts w:ascii="宋体" w:hAnsi="宋体" w:cs="宋体" w:eastAsia="宋体" w:hint="default"/>
          <w:spacing w:val="-1"/>
          <w:sz w:val="18"/>
          <w:szCs w:val="18"/>
        </w:rPr>
        <w:t> </w:t>
      </w:r>
      <w:r>
        <w:rPr>
          <w:rFonts w:ascii="宋体" w:hAnsi="宋体" w:cs="宋体" w:eastAsia="宋体" w:hint="default"/>
          <w:sz w:val="18"/>
          <w:szCs w:val="18"/>
        </w:rPr>
        <w:t>发行利率4%。</w:t>
      </w:r>
    </w:p>
    <w:p>
      <w:pPr>
        <w:spacing w:line="240" w:lineRule="auto" w:before="7"/>
        <w:rPr>
          <w:rFonts w:ascii="宋体" w:hAnsi="宋体" w:cs="宋体" w:eastAsia="宋体" w:hint="default"/>
          <w:sz w:val="23"/>
          <w:szCs w:val="23"/>
        </w:rPr>
      </w:pPr>
    </w:p>
    <w:p>
      <w:pPr>
        <w:spacing w:before="0"/>
        <w:ind w:left="11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、报告期内获得的银行授信情况、使用情况以及偿还银行贷款的情况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472" w:right="96" w:firstLine="0"/>
        <w:jc w:val="left"/>
        <w:rPr>
          <w:rFonts w:ascii="宋体" w:hAnsi="宋体" w:cs="宋体" w:eastAsia="宋体" w:hint="default"/>
          <w:sz w:val="18"/>
          <w:szCs w:val="18"/>
        </w:rPr>
      </w:pPr>
      <w:r>
        <w:rPr>
          <w:rFonts w:ascii="宋体" w:hAnsi="宋体" w:cs="宋体" w:eastAsia="宋体" w:hint="default"/>
          <w:sz w:val="18"/>
          <w:szCs w:val="18"/>
        </w:rPr>
        <w:t>截止2015年12月31日，公司获得银行授信238,650万元，公司尚未使用的银行借款额度为人民币 172,054</w:t>
      </w:r>
      <w:r>
        <w:rPr>
          <w:rFonts w:ascii="宋体" w:hAnsi="宋体" w:cs="宋体" w:eastAsia="宋体" w:hint="default"/>
          <w:spacing w:val="-61"/>
          <w:sz w:val="18"/>
          <w:szCs w:val="18"/>
        </w:rPr>
        <w:t> </w:t>
      </w:r>
      <w:r>
        <w:rPr>
          <w:rFonts w:ascii="宋体" w:hAnsi="宋体" w:cs="宋体" w:eastAsia="宋体" w:hint="default"/>
          <w:spacing w:val="-5"/>
          <w:sz w:val="18"/>
          <w:szCs w:val="18"/>
        </w:rPr>
        <w:t>万元，其中尚</w:t>
      </w:r>
    </w:p>
    <w:p>
      <w:pPr>
        <w:spacing w:before="76"/>
        <w:ind w:left="112" w:right="96" w:firstLine="0"/>
        <w:jc w:val="left"/>
        <w:rPr>
          <w:rFonts w:ascii="宋体" w:hAnsi="宋体" w:cs="宋体" w:eastAsia="宋体" w:hint="default"/>
          <w:sz w:val="18"/>
          <w:szCs w:val="18"/>
        </w:rPr>
      </w:pPr>
      <w:r>
        <w:rPr>
          <w:rFonts w:ascii="宋体" w:hAnsi="宋体" w:cs="宋体" w:eastAsia="宋体" w:hint="default"/>
          <w:sz w:val="18"/>
          <w:szCs w:val="18"/>
        </w:rPr>
        <w:t>未使用的短期银行借款额度为人民币 172,054</w:t>
      </w:r>
      <w:r>
        <w:rPr>
          <w:rFonts w:ascii="宋体" w:hAnsi="宋体" w:cs="宋体" w:eastAsia="宋体" w:hint="default"/>
          <w:spacing w:val="86"/>
          <w:sz w:val="18"/>
          <w:szCs w:val="18"/>
        </w:rPr>
        <w:t> </w:t>
      </w:r>
      <w:r>
        <w:rPr>
          <w:rFonts w:ascii="宋体" w:hAnsi="宋体" w:cs="宋体" w:eastAsia="宋体" w:hint="default"/>
          <w:sz w:val="18"/>
          <w:szCs w:val="18"/>
        </w:rPr>
        <w:t>万元，报告期内所借款项到期均已按时归还。</w:t>
      </w:r>
    </w:p>
    <w:p>
      <w:pPr>
        <w:spacing w:line="240" w:lineRule="auto" w:before="11"/>
        <w:rPr>
          <w:rFonts w:ascii="宋体" w:hAnsi="宋体" w:cs="宋体" w:eastAsia="宋体" w:hint="default"/>
          <w:sz w:val="26"/>
          <w:szCs w:val="26"/>
        </w:rPr>
      </w:pPr>
    </w:p>
    <w:p>
      <w:pPr>
        <w:spacing w:before="0"/>
        <w:ind w:left="11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、报告期内执行公司债券募集说明书相关约定或承诺的情况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96" w:firstLine="0"/>
        <w:jc w:val="left"/>
        <w:rPr>
          <w:rFonts w:ascii="宋体" w:hAnsi="宋体" w:cs="宋体" w:eastAsia="宋体" w:hint="default"/>
          <w:sz w:val="18"/>
          <w:szCs w:val="18"/>
        </w:rPr>
      </w:pPr>
      <w:r>
        <w:rPr>
          <w:rFonts w:ascii="宋体" w:hAnsi="宋体" w:cs="宋体" w:eastAsia="宋体" w:hint="default"/>
          <w:sz w:val="18"/>
          <w:szCs w:val="18"/>
        </w:rPr>
        <w:t>严格按募集说明书履行相关约定及承诺。</w:t>
      </w:r>
    </w:p>
    <w:p>
      <w:pPr>
        <w:spacing w:line="240" w:lineRule="auto" w:before="0"/>
        <w:rPr>
          <w:rFonts w:ascii="宋体" w:hAnsi="宋体" w:cs="宋体" w:eastAsia="宋体" w:hint="default"/>
          <w:sz w:val="18"/>
          <w:szCs w:val="18"/>
        </w:rPr>
      </w:pPr>
    </w:p>
    <w:p>
      <w:pPr>
        <w:spacing w:before="118"/>
        <w:ind w:left="11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、报告期内发生的重大事项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96" w:firstLine="0"/>
        <w:jc w:val="left"/>
        <w:rPr>
          <w:rFonts w:ascii="宋体" w:hAnsi="宋体" w:cs="宋体" w:eastAsia="宋体" w:hint="default"/>
          <w:sz w:val="18"/>
          <w:szCs w:val="18"/>
        </w:rPr>
      </w:pPr>
      <w:r>
        <w:rPr>
          <w:rFonts w:ascii="宋体" w:hAnsi="宋体" w:cs="宋体" w:eastAsia="宋体" w:hint="default"/>
          <w:sz w:val="18"/>
          <w:szCs w:val="18"/>
        </w:rPr>
        <w:t>公司未发生《公司债券发行与交易管理办法》第四十五条列示的重大事项。</w:t>
      </w:r>
    </w:p>
    <w:p>
      <w:pPr>
        <w:spacing w:line="240" w:lineRule="auto" w:before="0"/>
        <w:rPr>
          <w:rFonts w:ascii="宋体" w:hAnsi="宋体" w:cs="宋体" w:eastAsia="宋体" w:hint="default"/>
          <w:sz w:val="18"/>
          <w:szCs w:val="18"/>
        </w:rPr>
      </w:pPr>
    </w:p>
    <w:p>
      <w:pPr>
        <w:spacing w:before="118"/>
        <w:ind w:left="11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、公司债券是否存在保证人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96"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50" w:footer="1012" w:top="144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948" w:right="104"/>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04"/>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spacing w:before="0"/>
        <w:ind w:left="132"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52"/>
        <w:gridCol w:w="1125"/>
        <w:gridCol w:w="855"/>
        <w:gridCol w:w="615"/>
        <w:gridCol w:w="435"/>
        <w:gridCol w:w="720"/>
        <w:gridCol w:w="1080"/>
        <w:gridCol w:w="1020"/>
        <w:gridCol w:w="1020"/>
        <w:gridCol w:w="850"/>
      </w:tblGrid>
      <w:tr>
        <w:trPr>
          <w:trHeight w:val="412" w:hRule="exact"/>
        </w:trPr>
        <w:tc>
          <w:tcPr>
            <w:tcW w:w="1852" w:type="dxa"/>
            <w:vMerge w:val="restart"/>
            <w:tcBorders>
              <w:top w:val="single" w:sz="12" w:space="0" w:color="000000"/>
              <w:left w:val="single" w:sz="12" w:space="0" w:color="000000"/>
              <w:right w:val="single" w:sz="4" w:space="0" w:color="000000"/>
            </w:tcBorders>
            <w:shd w:val="clear" w:color="auto" w:fill="D3D3D3"/>
          </w:tcPr>
          <w:p>
            <w:pPr/>
          </w:p>
        </w:tc>
        <w:tc>
          <w:tcPr>
            <w:tcW w:w="1980"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585" w:right="0"/>
              <w:jc w:val="left"/>
              <w:rPr>
                <w:rFonts w:ascii="宋体" w:hAnsi="宋体" w:cs="宋体" w:eastAsia="宋体" w:hint="default"/>
                <w:sz w:val="16"/>
                <w:szCs w:val="16"/>
              </w:rPr>
            </w:pPr>
            <w:r>
              <w:rPr>
                <w:rFonts w:ascii="宋体" w:hAnsi="宋体" w:cs="宋体" w:eastAsia="宋体" w:hint="default"/>
                <w:sz w:val="16"/>
                <w:szCs w:val="16"/>
              </w:rPr>
              <w:t>本次变动前</w:t>
            </w:r>
          </w:p>
        </w:tc>
        <w:tc>
          <w:tcPr>
            <w:tcW w:w="3870" w:type="dxa"/>
            <w:gridSpan w:val="5"/>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1050" w:right="0"/>
              <w:jc w:val="left"/>
              <w:rPr>
                <w:rFonts w:ascii="宋体" w:hAnsi="宋体" w:cs="宋体" w:eastAsia="宋体" w:hint="default"/>
                <w:sz w:val="16"/>
                <w:szCs w:val="16"/>
              </w:rPr>
            </w:pPr>
            <w:r>
              <w:rPr>
                <w:rFonts w:ascii="宋体" w:hAnsi="宋体" w:cs="宋体" w:eastAsia="宋体" w:hint="default"/>
                <w:sz w:val="16"/>
                <w:szCs w:val="16"/>
              </w:rPr>
              <w:t>本次变动增减（＋，－）</w:t>
            </w:r>
          </w:p>
        </w:tc>
        <w:tc>
          <w:tcPr>
            <w:tcW w:w="1870" w:type="dxa"/>
            <w:gridSpan w:val="2"/>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66"/>
              <w:ind w:left="531" w:right="0"/>
              <w:jc w:val="left"/>
              <w:rPr>
                <w:rFonts w:ascii="宋体" w:hAnsi="宋体" w:cs="宋体" w:eastAsia="宋体" w:hint="default"/>
                <w:sz w:val="16"/>
                <w:szCs w:val="16"/>
              </w:rPr>
            </w:pPr>
            <w:r>
              <w:rPr>
                <w:rFonts w:ascii="宋体" w:hAnsi="宋体" w:cs="宋体" w:eastAsia="宋体" w:hint="default"/>
                <w:sz w:val="16"/>
                <w:szCs w:val="16"/>
              </w:rPr>
              <w:t>本次变动后</w:t>
            </w:r>
          </w:p>
        </w:tc>
      </w:tr>
      <w:tr>
        <w:trPr>
          <w:trHeight w:val="714" w:hRule="exact"/>
        </w:trPr>
        <w:tc>
          <w:tcPr>
            <w:tcW w:w="1852" w:type="dxa"/>
            <w:vMerge/>
            <w:tcBorders>
              <w:left w:val="single" w:sz="12" w:space="0" w:color="000000"/>
              <w:bottom w:val="single" w:sz="4" w:space="0" w:color="000000"/>
              <w:right w:val="single" w:sz="4" w:space="0" w:color="000000"/>
            </w:tcBorders>
            <w:shd w:val="clear" w:color="auto" w:fill="D3D3D3"/>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7"/>
              <w:ind w:left="141" w:right="140"/>
              <w:jc w:val="left"/>
              <w:rPr>
                <w:rFonts w:ascii="宋体" w:hAnsi="宋体" w:cs="宋体" w:eastAsia="宋体" w:hint="default"/>
                <w:sz w:val="16"/>
                <w:szCs w:val="16"/>
              </w:rPr>
            </w:pPr>
            <w:r>
              <w:rPr>
                <w:rFonts w:ascii="宋体" w:hAnsi="宋体" w:cs="宋体" w:eastAsia="宋体" w:hint="default"/>
                <w:sz w:val="16"/>
                <w:szCs w:val="16"/>
              </w:rPr>
              <w:t>发行</w:t>
            </w:r>
            <w:r>
              <w:rPr>
                <w:rFonts w:ascii="宋体" w:hAnsi="宋体" w:cs="宋体" w:eastAsia="宋体" w:hint="default"/>
                <w:w w:val="100"/>
                <w:sz w:val="16"/>
                <w:szCs w:val="16"/>
              </w:rPr>
              <w:t> </w:t>
            </w:r>
            <w:r>
              <w:rPr>
                <w:rFonts w:ascii="宋体" w:hAnsi="宋体" w:cs="宋体" w:eastAsia="宋体" w:hint="default"/>
                <w:sz w:val="16"/>
                <w:szCs w:val="16"/>
              </w:rPr>
              <w:t>新股</w:t>
            </w:r>
          </w:p>
        </w:tc>
        <w:tc>
          <w:tcPr>
            <w:tcW w:w="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7"/>
              <w:ind w:left="131" w:right="131"/>
              <w:jc w:val="left"/>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67"/>
              <w:ind w:left="195" w:right="112" w:hanging="80"/>
              <w:jc w:val="left"/>
              <w:rPr>
                <w:rFonts w:ascii="宋体" w:hAnsi="宋体" w:cs="宋体" w:eastAsia="宋体" w:hint="default"/>
                <w:sz w:val="16"/>
                <w:szCs w:val="16"/>
              </w:rPr>
            </w:pPr>
            <w:r>
              <w:rPr>
                <w:rFonts w:ascii="宋体" w:hAnsi="宋体" w:cs="宋体" w:eastAsia="宋体" w:hint="default"/>
                <w:sz w:val="16"/>
                <w:szCs w:val="16"/>
              </w:rPr>
              <w:t>公积金</w:t>
            </w:r>
            <w:r>
              <w:rPr>
                <w:rFonts w:ascii="宋体" w:hAnsi="宋体" w:cs="宋体" w:eastAsia="宋体" w:hint="default"/>
                <w:w w:val="100"/>
                <w:sz w:val="16"/>
                <w:szCs w:val="16"/>
              </w:rPr>
              <w:t> </w:t>
            </w:r>
            <w:r>
              <w:rPr>
                <w:rFonts w:ascii="宋体" w:hAnsi="宋体" w:cs="宋体" w:eastAsia="宋体" w:hint="default"/>
                <w:sz w:val="16"/>
                <w:szCs w:val="16"/>
              </w:rPr>
              <w:t>转股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850"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6"/>
                <w:szCs w:val="16"/>
              </w:rPr>
            </w:pPr>
            <w:r>
              <w:rPr>
                <w:rFonts w:ascii="宋体" w:hAnsi="宋体" w:cs="宋体" w:eastAsia="宋体" w:hint="default"/>
                <w:sz w:val="16"/>
                <w:szCs w:val="16"/>
              </w:rPr>
              <w:t>比例</w:t>
            </w:r>
          </w:p>
        </w:tc>
      </w:tr>
      <w:tr>
        <w:trPr>
          <w:trHeight w:val="402" w:hRule="exact"/>
        </w:trPr>
        <w:tc>
          <w:tcPr>
            <w:tcW w:w="185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6"/>
              <w:ind w:left="92" w:right="0"/>
              <w:jc w:val="left"/>
              <w:rPr>
                <w:rFonts w:ascii="宋体" w:hAnsi="宋体" w:cs="宋体" w:eastAsia="宋体" w:hint="default"/>
                <w:sz w:val="16"/>
                <w:szCs w:val="16"/>
              </w:rPr>
            </w:pPr>
            <w:r>
              <w:rPr>
                <w:rFonts w:ascii="宋体" w:hAnsi="宋体" w:cs="宋体" w:eastAsia="宋体" w:hint="default"/>
                <w:sz w:val="16"/>
                <w:szCs w:val="16"/>
              </w:rPr>
              <w:t>一、有限售条件股份</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106,997,136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2"/>
                <w:sz w:val="16"/>
              </w:rPr>
              <w:t>11.39%</w:t>
            </w:r>
          </w:p>
        </w:tc>
        <w:tc>
          <w:tcPr>
            <w:tcW w:w="615"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-89,792,615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-89,792,615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17,204,521</w:t>
            </w:r>
          </w:p>
        </w:tc>
        <w:tc>
          <w:tcPr>
            <w:tcW w:w="8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233" w:right="0"/>
              <w:jc w:val="center"/>
              <w:rPr>
                <w:rFonts w:ascii="Times New Roman" w:hAnsi="Times New Roman" w:cs="Times New Roman" w:eastAsia="Times New Roman" w:hint="default"/>
                <w:sz w:val="16"/>
                <w:szCs w:val="16"/>
              </w:rPr>
            </w:pPr>
            <w:r>
              <w:rPr>
                <w:rFonts w:ascii="Times New Roman"/>
                <w:sz w:val="16"/>
              </w:rPr>
              <w:t>1.83%</w:t>
            </w:r>
          </w:p>
        </w:tc>
      </w:tr>
      <w:tr>
        <w:trPr>
          <w:trHeight w:val="402" w:hRule="exact"/>
        </w:trPr>
        <w:tc>
          <w:tcPr>
            <w:tcW w:w="185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、其他内资持股</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106,997,136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2"/>
                <w:sz w:val="16"/>
              </w:rPr>
              <w:t>11.39%</w:t>
            </w:r>
          </w:p>
        </w:tc>
        <w:tc>
          <w:tcPr>
            <w:tcW w:w="615"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-89,792,615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-89,792,615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17,204,521</w:t>
            </w:r>
          </w:p>
        </w:tc>
        <w:tc>
          <w:tcPr>
            <w:tcW w:w="8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4"/>
              <w:ind w:left="233" w:right="0"/>
              <w:jc w:val="center"/>
              <w:rPr>
                <w:rFonts w:ascii="Times New Roman" w:hAnsi="Times New Roman" w:cs="Times New Roman" w:eastAsia="Times New Roman" w:hint="default"/>
                <w:sz w:val="16"/>
                <w:szCs w:val="16"/>
              </w:rPr>
            </w:pPr>
            <w:r>
              <w:rPr>
                <w:rFonts w:ascii="Times New Roman"/>
                <w:sz w:val="16"/>
              </w:rPr>
              <w:t>1.83%</w:t>
            </w:r>
          </w:p>
        </w:tc>
      </w:tr>
      <w:tr>
        <w:trPr>
          <w:trHeight w:val="402" w:hRule="exact"/>
        </w:trPr>
        <w:tc>
          <w:tcPr>
            <w:tcW w:w="185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6"/>
              <w:ind w:left="92" w:right="0"/>
              <w:jc w:val="left"/>
              <w:rPr>
                <w:rFonts w:ascii="宋体" w:hAnsi="宋体" w:cs="宋体" w:eastAsia="宋体" w:hint="default"/>
                <w:sz w:val="16"/>
                <w:szCs w:val="16"/>
              </w:rPr>
            </w:pPr>
            <w:r>
              <w:rPr>
                <w:rFonts w:ascii="宋体" w:hAnsi="宋体" w:cs="宋体" w:eastAsia="宋体" w:hint="default"/>
                <w:sz w:val="16"/>
                <w:szCs w:val="16"/>
              </w:rPr>
              <w:t>其中：境内法人持股</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71,678,874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7.63%</w:t>
            </w:r>
          </w:p>
        </w:tc>
        <w:tc>
          <w:tcPr>
            <w:tcW w:w="615"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-71,678,874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-71,678,874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w w:val="100"/>
                <w:sz w:val="16"/>
              </w:rPr>
              <w:t>0</w:t>
            </w:r>
          </w:p>
        </w:tc>
        <w:tc>
          <w:tcPr>
            <w:tcW w:w="8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233" w:right="0"/>
              <w:jc w:val="center"/>
              <w:rPr>
                <w:rFonts w:ascii="Times New Roman" w:hAnsi="Times New Roman" w:cs="Times New Roman" w:eastAsia="Times New Roman" w:hint="default"/>
                <w:sz w:val="16"/>
                <w:szCs w:val="16"/>
              </w:rPr>
            </w:pPr>
            <w:r>
              <w:rPr>
                <w:rFonts w:ascii="Times New Roman"/>
                <w:sz w:val="16"/>
              </w:rPr>
              <w:t>0.00%</w:t>
            </w:r>
          </w:p>
        </w:tc>
      </w:tr>
      <w:tr>
        <w:trPr>
          <w:trHeight w:val="402" w:hRule="exact"/>
        </w:trPr>
        <w:tc>
          <w:tcPr>
            <w:tcW w:w="185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7"/>
              <w:ind w:left="572" w:right="0"/>
              <w:jc w:val="left"/>
              <w:rPr>
                <w:rFonts w:ascii="宋体" w:hAnsi="宋体" w:cs="宋体" w:eastAsia="宋体" w:hint="default"/>
                <w:sz w:val="16"/>
                <w:szCs w:val="16"/>
              </w:rPr>
            </w:pPr>
            <w:r>
              <w:rPr>
                <w:rFonts w:ascii="宋体" w:hAnsi="宋体" w:cs="宋体" w:eastAsia="宋体" w:hint="default"/>
                <w:sz w:val="16"/>
                <w:szCs w:val="16"/>
              </w:rPr>
              <w:t>境内自然人持股</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35,318,262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3.76%</w:t>
            </w:r>
          </w:p>
        </w:tc>
        <w:tc>
          <w:tcPr>
            <w:tcW w:w="615"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2"/>
                <w:sz w:val="16"/>
              </w:rPr>
              <w:t>-18,113,741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2"/>
                <w:sz w:val="16"/>
              </w:rPr>
              <w:t>-18,113,741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17,204,521</w:t>
            </w:r>
          </w:p>
        </w:tc>
        <w:tc>
          <w:tcPr>
            <w:tcW w:w="8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4"/>
              <w:ind w:left="233" w:right="0"/>
              <w:jc w:val="center"/>
              <w:rPr>
                <w:rFonts w:ascii="Times New Roman" w:hAnsi="Times New Roman" w:cs="Times New Roman" w:eastAsia="Times New Roman" w:hint="default"/>
                <w:sz w:val="16"/>
                <w:szCs w:val="16"/>
              </w:rPr>
            </w:pPr>
            <w:r>
              <w:rPr>
                <w:rFonts w:ascii="Times New Roman"/>
                <w:sz w:val="16"/>
              </w:rPr>
              <w:t>1.83%</w:t>
            </w:r>
          </w:p>
        </w:tc>
      </w:tr>
      <w:tr>
        <w:trPr>
          <w:trHeight w:val="402" w:hRule="exact"/>
        </w:trPr>
        <w:tc>
          <w:tcPr>
            <w:tcW w:w="185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6"/>
              <w:ind w:left="92" w:right="0"/>
              <w:jc w:val="left"/>
              <w:rPr>
                <w:rFonts w:ascii="宋体" w:hAnsi="宋体" w:cs="宋体" w:eastAsia="宋体" w:hint="default"/>
                <w:sz w:val="16"/>
                <w:szCs w:val="16"/>
              </w:rPr>
            </w:pPr>
            <w:r>
              <w:rPr>
                <w:rFonts w:ascii="宋体" w:hAnsi="宋体" w:cs="宋体" w:eastAsia="宋体" w:hint="default"/>
                <w:sz w:val="16"/>
                <w:szCs w:val="16"/>
              </w:rPr>
              <w:t>二、无限售条件股份</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832,638,352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88.61%</w:t>
            </w:r>
          </w:p>
        </w:tc>
        <w:tc>
          <w:tcPr>
            <w:tcW w:w="615"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89,482,615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89,482,615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spacing w:val="-1"/>
                <w:sz w:val="16"/>
              </w:rPr>
              <w:t>922,120,967</w:t>
            </w:r>
          </w:p>
        </w:tc>
        <w:tc>
          <w:tcPr>
            <w:tcW w:w="8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149" w:right="0"/>
              <w:jc w:val="center"/>
              <w:rPr>
                <w:rFonts w:ascii="Times New Roman" w:hAnsi="Times New Roman" w:cs="Times New Roman" w:eastAsia="Times New Roman" w:hint="default"/>
                <w:sz w:val="16"/>
                <w:szCs w:val="16"/>
              </w:rPr>
            </w:pPr>
            <w:r>
              <w:rPr>
                <w:rFonts w:ascii="Times New Roman"/>
                <w:sz w:val="16"/>
              </w:rPr>
              <w:t>98.17%</w:t>
            </w:r>
          </w:p>
        </w:tc>
      </w:tr>
      <w:tr>
        <w:trPr>
          <w:trHeight w:val="402" w:hRule="exact"/>
        </w:trPr>
        <w:tc>
          <w:tcPr>
            <w:tcW w:w="185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、人民币普通股</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832,638,352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88.61%</w:t>
            </w:r>
          </w:p>
        </w:tc>
        <w:tc>
          <w:tcPr>
            <w:tcW w:w="615"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89,482,615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spacing w:val="-1"/>
                <w:sz w:val="16"/>
              </w:rPr>
              <w:t>89,482,615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spacing w:val="-1"/>
                <w:sz w:val="16"/>
              </w:rPr>
              <w:t>922,120,967</w:t>
            </w:r>
          </w:p>
        </w:tc>
        <w:tc>
          <w:tcPr>
            <w:tcW w:w="8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4"/>
              <w:ind w:left="149" w:right="0"/>
              <w:jc w:val="center"/>
              <w:rPr>
                <w:rFonts w:ascii="Times New Roman" w:hAnsi="Times New Roman" w:cs="Times New Roman" w:eastAsia="Times New Roman" w:hint="default"/>
                <w:sz w:val="16"/>
                <w:szCs w:val="16"/>
              </w:rPr>
            </w:pPr>
            <w:r>
              <w:rPr>
                <w:rFonts w:ascii="Times New Roman"/>
                <w:sz w:val="16"/>
              </w:rPr>
              <w:t>98.17%</w:t>
            </w:r>
          </w:p>
        </w:tc>
      </w:tr>
      <w:tr>
        <w:trPr>
          <w:trHeight w:val="412" w:hRule="exact"/>
        </w:trPr>
        <w:tc>
          <w:tcPr>
            <w:tcW w:w="185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66"/>
              <w:ind w:left="92" w:right="0"/>
              <w:jc w:val="left"/>
              <w:rPr>
                <w:rFonts w:ascii="宋体" w:hAnsi="宋体" w:cs="宋体" w:eastAsia="宋体" w:hint="default"/>
                <w:sz w:val="16"/>
                <w:szCs w:val="16"/>
              </w:rPr>
            </w:pPr>
            <w:r>
              <w:rPr>
                <w:rFonts w:ascii="宋体" w:hAnsi="宋体" w:cs="宋体" w:eastAsia="宋体" w:hint="default"/>
                <w:sz w:val="16"/>
                <w:szCs w:val="16"/>
              </w:rPr>
              <w:t>三、股份总数</w:t>
            </w:r>
          </w:p>
        </w:tc>
        <w:tc>
          <w:tcPr>
            <w:tcW w:w="11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939,635,488</w:t>
            </w:r>
          </w:p>
        </w:tc>
        <w:tc>
          <w:tcPr>
            <w:tcW w:w="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100.00%</w:t>
            </w:r>
          </w:p>
        </w:tc>
        <w:tc>
          <w:tcPr>
            <w:tcW w:w="615" w:type="dxa"/>
            <w:tcBorders>
              <w:top w:val="single" w:sz="4" w:space="0" w:color="000000"/>
              <w:left w:val="single" w:sz="4" w:space="0" w:color="000000"/>
              <w:bottom w:val="single" w:sz="12" w:space="0" w:color="000000"/>
              <w:right w:val="single" w:sz="4" w:space="0" w:color="000000"/>
            </w:tcBorders>
          </w:tcPr>
          <w:p>
            <w:pPr/>
          </w:p>
        </w:tc>
        <w:tc>
          <w:tcPr>
            <w:tcW w:w="435"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-310,000</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6"/>
                <w:szCs w:val="16"/>
              </w:rPr>
            </w:pPr>
            <w:r>
              <w:rPr>
                <w:rFonts w:ascii="Times New Roman"/>
                <w:spacing w:val="-1"/>
                <w:sz w:val="16"/>
              </w:rPr>
              <w:t>-310,000</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spacing w:val="-1"/>
                <w:sz w:val="16"/>
              </w:rPr>
              <w:t>939,325,488</w:t>
            </w:r>
          </w:p>
        </w:tc>
        <w:tc>
          <w:tcPr>
            <w:tcW w:w="8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3"/>
              <w:ind w:left="72" w:right="0"/>
              <w:jc w:val="center"/>
              <w:rPr>
                <w:rFonts w:ascii="Times New Roman" w:hAnsi="Times New Roman" w:cs="Times New Roman" w:eastAsia="Times New Roman" w:hint="default"/>
                <w:sz w:val="16"/>
                <w:szCs w:val="16"/>
              </w:rPr>
            </w:pPr>
            <w:r>
              <w:rPr>
                <w:rFonts w:ascii="Times New Roman"/>
                <w:sz w:val="16"/>
              </w:rPr>
              <w:t>100.00%</w:t>
            </w:r>
          </w:p>
        </w:tc>
      </w:tr>
    </w:tbl>
    <w:p>
      <w:pPr>
        <w:spacing w:before="28"/>
        <w:ind w:left="132" w:right="104" w:firstLine="0"/>
        <w:jc w:val="left"/>
        <w:rPr>
          <w:rFonts w:ascii="宋体" w:hAnsi="宋体" w:cs="宋体" w:eastAsia="宋体" w:hint="default"/>
          <w:sz w:val="21"/>
          <w:szCs w:val="21"/>
        </w:rPr>
      </w:pPr>
      <w:r>
        <w:rPr>
          <w:rFonts w:ascii="宋体" w:hAnsi="宋体" w:cs="宋体" w:eastAsia="宋体" w:hint="default"/>
          <w:b/>
          <w:bCs/>
          <w:sz w:val="21"/>
          <w:szCs w:val="21"/>
        </w:rPr>
        <w:t>股份变动的原因</w:t>
      </w:r>
      <w:r>
        <w:rPr>
          <w:rFonts w:ascii="宋体" w:hAnsi="宋体" w:cs="宋体" w:eastAsia="宋体" w:hint="default"/>
          <w:sz w:val="21"/>
          <w:szCs w:val="21"/>
        </w:rPr>
      </w:r>
    </w:p>
    <w:p>
      <w:pPr>
        <w:spacing w:before="101"/>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line="408" w:lineRule="auto" w:before="0"/>
        <w:ind w:left="132" w:right="251" w:firstLine="256"/>
        <w:jc w:val="both"/>
        <w:rPr>
          <w:rFonts w:ascii="宋体" w:hAnsi="宋体" w:cs="宋体" w:eastAsia="宋体" w:hint="default"/>
          <w:sz w:val="21"/>
          <w:szCs w:val="21"/>
        </w:rPr>
      </w:pPr>
      <w:r>
        <w:rPr>
          <w:rFonts w:ascii="宋体" w:hAnsi="宋体" w:cs="宋体" w:eastAsia="宋体" w:hint="default"/>
          <w:w w:val="95"/>
          <w:sz w:val="21"/>
          <w:szCs w:val="21"/>
        </w:rPr>
        <w:t>（1）2015年2月27日，嘉兴硅谷天堂嘉绩投资合伙企业（有限合伙）所持公司股份660万股承诺锁定到</w:t>
      </w:r>
      <w:r>
        <w:rPr>
          <w:rFonts w:ascii="宋体" w:hAnsi="宋体" w:cs="宋体" w:eastAsia="宋体" w:hint="default"/>
          <w:spacing w:val="87"/>
          <w:w w:val="95"/>
          <w:sz w:val="21"/>
          <w:szCs w:val="21"/>
        </w:rPr>
        <w:t> </w:t>
      </w:r>
      <w:r>
        <w:rPr>
          <w:rFonts w:ascii="宋体" w:hAnsi="宋体" w:cs="宋体" w:eastAsia="宋体" w:hint="default"/>
          <w:spacing w:val="87"/>
          <w:w w:val="95"/>
          <w:sz w:val="21"/>
          <w:szCs w:val="21"/>
        </w:rPr>
      </w:r>
      <w:r>
        <w:rPr>
          <w:rFonts w:ascii="宋体" w:hAnsi="宋体" w:cs="宋体" w:eastAsia="宋体" w:hint="default"/>
          <w:sz w:val="21"/>
          <w:szCs w:val="21"/>
        </w:rPr>
        <w:t>期解除限售上市流通。（详见巨潮资讯网2015年2月26日《限售股份上市流通的提示性公告》）</w:t>
      </w:r>
    </w:p>
    <w:p>
      <w:pPr>
        <w:spacing w:line="408" w:lineRule="auto" w:before="46"/>
        <w:ind w:left="132" w:right="104" w:firstLine="360"/>
        <w:jc w:val="left"/>
        <w:rPr>
          <w:rFonts w:ascii="宋体" w:hAnsi="宋体" w:cs="宋体" w:eastAsia="宋体" w:hint="default"/>
          <w:sz w:val="21"/>
          <w:szCs w:val="21"/>
        </w:rPr>
      </w:pPr>
      <w:r>
        <w:rPr>
          <w:rFonts w:ascii="宋体" w:hAnsi="宋体" w:cs="宋体" w:eastAsia="宋体" w:hint="default"/>
          <w:spacing w:val="-1"/>
          <w:w w:val="95"/>
          <w:sz w:val="21"/>
          <w:szCs w:val="21"/>
        </w:rPr>
        <w:t>（2）2015年5月，回购注销部分不符合解锁条件的激励对象所持限制性股票31万股。（详见巨潮资讯网</w:t>
      </w:r>
      <w:r>
        <w:rPr>
          <w:rFonts w:ascii="宋体" w:hAnsi="宋体" w:cs="宋体" w:eastAsia="宋体" w:hint="default"/>
          <w:spacing w:val="-25"/>
          <w:w w:val="95"/>
          <w:sz w:val="21"/>
          <w:szCs w:val="21"/>
        </w:rPr>
        <w:t> </w:t>
      </w:r>
      <w:r>
        <w:rPr>
          <w:rFonts w:ascii="宋体" w:hAnsi="宋体" w:cs="宋体" w:eastAsia="宋体" w:hint="default"/>
          <w:spacing w:val="-25"/>
          <w:w w:val="95"/>
          <w:sz w:val="21"/>
          <w:szCs w:val="21"/>
        </w:rPr>
      </w:r>
      <w:r>
        <w:rPr>
          <w:rFonts w:ascii="宋体" w:hAnsi="宋体" w:cs="宋体" w:eastAsia="宋体" w:hint="default"/>
          <w:sz w:val="21"/>
          <w:szCs w:val="21"/>
        </w:rPr>
        <w:t>2015年5月28日《关于回购注销已离职激励对象已获授但尚未解锁限制性股票的公告》）。</w:t>
      </w:r>
    </w:p>
    <w:p>
      <w:pPr>
        <w:spacing w:line="408" w:lineRule="auto" w:before="46"/>
        <w:ind w:left="132" w:right="104" w:firstLine="360"/>
        <w:jc w:val="left"/>
        <w:rPr>
          <w:rFonts w:ascii="宋体" w:hAnsi="宋体" w:cs="宋体" w:eastAsia="宋体" w:hint="default"/>
          <w:sz w:val="21"/>
          <w:szCs w:val="21"/>
        </w:rPr>
      </w:pPr>
      <w:r>
        <w:rPr>
          <w:rFonts w:ascii="宋体" w:hAnsi="宋体" w:cs="宋体" w:eastAsia="宋体" w:hint="default"/>
          <w:spacing w:val="-1"/>
          <w:w w:val="95"/>
          <w:sz w:val="21"/>
          <w:szCs w:val="21"/>
        </w:rPr>
        <w:t>（3）2015年11月6日，电气电缆集团、张德生先生分别持有的65,078,874股、11,675,822股2012年重组</w:t>
      </w:r>
      <w:r>
        <w:rPr>
          <w:rFonts w:ascii="宋体" w:hAnsi="宋体" w:cs="宋体" w:eastAsia="宋体" w:hint="default"/>
          <w:spacing w:val="-13"/>
          <w:w w:val="95"/>
          <w:sz w:val="21"/>
          <w:szCs w:val="21"/>
        </w:rPr>
        <w:t> </w:t>
      </w:r>
      <w:r>
        <w:rPr>
          <w:rFonts w:ascii="宋体" w:hAnsi="宋体" w:cs="宋体" w:eastAsia="宋体" w:hint="default"/>
          <w:spacing w:val="-13"/>
          <w:w w:val="95"/>
          <w:sz w:val="21"/>
          <w:szCs w:val="21"/>
        </w:rPr>
      </w:r>
      <w:r>
        <w:rPr>
          <w:rFonts w:ascii="宋体" w:hAnsi="宋体" w:cs="宋体" w:eastAsia="宋体" w:hint="default"/>
          <w:sz w:val="21"/>
          <w:szCs w:val="21"/>
        </w:rPr>
        <w:t>时发行股份解除限售上市流通。（详见巨潮资讯网2015年11月4日《限售股份上市流通提示性公告》）。</w:t>
      </w:r>
    </w:p>
    <w:p>
      <w:pPr>
        <w:spacing w:line="408" w:lineRule="auto" w:before="46"/>
        <w:ind w:left="132" w:right="251" w:firstLine="256"/>
        <w:jc w:val="both"/>
        <w:rPr>
          <w:rFonts w:ascii="宋体" w:hAnsi="宋体" w:cs="宋体" w:eastAsia="宋体" w:hint="default"/>
          <w:sz w:val="21"/>
          <w:szCs w:val="21"/>
        </w:rPr>
      </w:pPr>
      <w:r>
        <w:rPr>
          <w:rFonts w:ascii="宋体" w:hAnsi="宋体" w:cs="宋体" w:eastAsia="宋体" w:hint="default"/>
          <w:sz w:val="21"/>
          <w:szCs w:val="21"/>
        </w:rPr>
        <w:t>（4）2015年</w:t>
      </w:r>
      <w:r>
        <w:rPr>
          <w:rFonts w:ascii="宋体" w:hAnsi="宋体" w:cs="宋体" w:eastAsia="宋体" w:hint="default"/>
          <w:spacing w:val="-19"/>
          <w:sz w:val="21"/>
          <w:szCs w:val="21"/>
        </w:rPr>
        <w:t> </w:t>
      </w:r>
      <w:r>
        <w:rPr>
          <w:rFonts w:ascii="宋体" w:hAnsi="宋体" w:cs="宋体" w:eastAsia="宋体" w:hint="default"/>
          <w:sz w:val="21"/>
          <w:szCs w:val="21"/>
        </w:rPr>
        <w:t>11月27日，首次授予限制性股票解锁数量为2,819,400股，预留授予限制性股票解锁数量</w:t>
      </w:r>
      <w:r>
        <w:rPr>
          <w:rFonts w:ascii="宋体" w:hAnsi="宋体" w:cs="宋体" w:eastAsia="宋体" w:hint="default"/>
          <w:w w:val="99"/>
          <w:sz w:val="21"/>
          <w:szCs w:val="21"/>
        </w:rPr>
        <w:t> </w:t>
      </w:r>
      <w:r>
        <w:rPr>
          <w:rFonts w:ascii="宋体" w:hAnsi="宋体" w:cs="宋体" w:eastAsia="宋体" w:hint="default"/>
          <w:sz w:val="21"/>
          <w:szCs w:val="21"/>
        </w:rPr>
        <w:t>为450,000股，解除限售上市流通。（详见巨潮资讯网2015年11月25日《关于限制性股票第二次解锁股份</w:t>
      </w:r>
      <w:r>
        <w:rPr>
          <w:rFonts w:ascii="宋体" w:hAnsi="宋体" w:cs="宋体" w:eastAsia="宋体" w:hint="default"/>
          <w:w w:val="99"/>
          <w:sz w:val="21"/>
          <w:szCs w:val="21"/>
        </w:rPr>
        <w:t> </w:t>
      </w:r>
      <w:r>
        <w:rPr>
          <w:rFonts w:ascii="宋体" w:hAnsi="宋体" w:cs="宋体" w:eastAsia="宋体" w:hint="default"/>
          <w:sz w:val="21"/>
          <w:szCs w:val="21"/>
        </w:rPr>
        <w:t>上市流通提示性公告》）。</w:t>
      </w:r>
    </w:p>
    <w:p>
      <w:pPr>
        <w:spacing w:before="46"/>
        <w:ind w:left="658" w:right="104" w:firstLine="0"/>
        <w:jc w:val="left"/>
        <w:rPr>
          <w:rFonts w:ascii="宋体" w:hAnsi="宋体" w:cs="宋体" w:eastAsia="宋体" w:hint="default"/>
          <w:sz w:val="21"/>
          <w:szCs w:val="21"/>
        </w:rPr>
      </w:pPr>
      <w:r>
        <w:rPr>
          <w:rFonts w:ascii="宋体" w:hAnsi="宋体" w:cs="宋体" w:eastAsia="宋体" w:hint="default"/>
          <w:sz w:val="21"/>
          <w:szCs w:val="21"/>
        </w:rPr>
        <w:t>（5）其他因高管变动引起的股份变动。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32" w:right="104" w:firstLine="0"/>
        <w:jc w:val="left"/>
        <w:rPr>
          <w:rFonts w:ascii="宋体" w:hAnsi="宋体" w:cs="宋体" w:eastAsia="宋体" w:hint="default"/>
          <w:sz w:val="21"/>
          <w:szCs w:val="21"/>
        </w:rPr>
      </w:pPr>
      <w:r>
        <w:rPr>
          <w:rFonts w:ascii="宋体" w:hAnsi="宋体" w:cs="宋体" w:eastAsia="宋体" w:hint="default"/>
          <w:b/>
          <w:bCs/>
          <w:sz w:val="21"/>
          <w:szCs w:val="21"/>
        </w:rPr>
        <w:t>股份变动的批准情况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32" w:right="10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50" w:footer="1012" w:top="1440" w:bottom="1200" w:left="1000" w:right="920"/>
        </w:sectPr>
      </w:pPr>
    </w:p>
    <w:p>
      <w:pPr>
        <w:spacing w:line="240" w:lineRule="auto" w:before="8"/>
        <w:rPr>
          <w:rFonts w:ascii="宋体" w:hAnsi="宋体" w:cs="宋体" w:eastAsia="宋体" w:hint="default"/>
          <w:sz w:val="20"/>
          <w:szCs w:val="20"/>
        </w:rPr>
      </w:pPr>
    </w:p>
    <w:p>
      <w:pPr>
        <w:spacing w:line="408" w:lineRule="auto" w:before="34"/>
        <w:ind w:left="112" w:right="109" w:firstLine="300"/>
        <w:jc w:val="left"/>
        <w:rPr>
          <w:rFonts w:ascii="宋体" w:hAnsi="宋体" w:cs="宋体" w:eastAsia="宋体" w:hint="default"/>
          <w:sz w:val="21"/>
          <w:szCs w:val="21"/>
        </w:rPr>
      </w:pPr>
      <w:r>
        <w:rPr>
          <w:rFonts w:ascii="宋体" w:hAnsi="宋体" w:cs="宋体" w:eastAsia="宋体" w:hint="default"/>
          <w:w w:val="95"/>
          <w:sz w:val="21"/>
          <w:szCs w:val="21"/>
        </w:rPr>
        <w:t>（1）2015年5月27日，第三届董事会第二十七次会议、第三届监事会第十六次会议分别审议通过《关于</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回购注销已离职激励对象已获授但尚未解锁限制性股票的议案》，董事会薪酬与考核委员会发表《关于回</w:t>
      </w:r>
      <w:r>
        <w:rPr>
          <w:rFonts w:ascii="宋体" w:hAnsi="宋体" w:cs="宋体" w:eastAsia="宋体" w:hint="default"/>
          <w:w w:val="99"/>
          <w:sz w:val="21"/>
          <w:szCs w:val="21"/>
        </w:rPr>
        <w:t> </w:t>
      </w:r>
      <w:r>
        <w:rPr>
          <w:rFonts w:ascii="宋体" w:hAnsi="宋体" w:cs="宋体" w:eastAsia="宋体" w:hint="default"/>
          <w:sz w:val="21"/>
          <w:szCs w:val="21"/>
        </w:rPr>
        <w:t>购注销已离职激励对象已获授但尚未解锁限制性股票的审核意见》、独立董事发表《独立董事关于回购注</w:t>
      </w:r>
      <w:r>
        <w:rPr>
          <w:rFonts w:ascii="宋体" w:hAnsi="宋体" w:cs="宋体" w:eastAsia="宋体" w:hint="default"/>
          <w:w w:val="99"/>
          <w:sz w:val="21"/>
          <w:szCs w:val="21"/>
        </w:rPr>
        <w:t> </w:t>
      </w:r>
      <w:r>
        <w:rPr>
          <w:rFonts w:ascii="宋体" w:hAnsi="宋体" w:cs="宋体" w:eastAsia="宋体" w:hint="default"/>
          <w:sz w:val="21"/>
          <w:szCs w:val="21"/>
        </w:rPr>
        <w:t>销部分制性股票等事项的独立意见》，天册律所出具《关于万马股份限制性股票激励计划部分股票回购注</w:t>
      </w:r>
      <w:r>
        <w:rPr>
          <w:rFonts w:ascii="宋体" w:hAnsi="宋体" w:cs="宋体" w:eastAsia="宋体" w:hint="default"/>
          <w:w w:val="99"/>
          <w:sz w:val="21"/>
          <w:szCs w:val="21"/>
        </w:rPr>
        <w:t> </w:t>
      </w:r>
      <w:r>
        <w:rPr>
          <w:rFonts w:ascii="宋体" w:hAnsi="宋体" w:cs="宋体" w:eastAsia="宋体" w:hint="default"/>
          <w:sz w:val="21"/>
          <w:szCs w:val="21"/>
        </w:rPr>
        <w:t>销相关事项之法律意见书》。</w:t>
      </w:r>
    </w:p>
    <w:p>
      <w:pPr>
        <w:spacing w:line="408" w:lineRule="auto" w:before="46"/>
        <w:ind w:left="112" w:right="109" w:firstLine="300"/>
        <w:jc w:val="left"/>
        <w:rPr>
          <w:rFonts w:ascii="宋体" w:hAnsi="宋体" w:cs="宋体" w:eastAsia="宋体" w:hint="default"/>
          <w:sz w:val="21"/>
          <w:szCs w:val="21"/>
        </w:rPr>
      </w:pPr>
      <w:r>
        <w:rPr>
          <w:rFonts w:ascii="宋体" w:hAnsi="宋体" w:cs="宋体" w:eastAsia="宋体" w:hint="default"/>
          <w:spacing w:val="-2"/>
          <w:w w:val="95"/>
          <w:sz w:val="21"/>
          <w:szCs w:val="21"/>
        </w:rPr>
        <w:t>（2）2015年11月17日，第三届董事会第三十六次会议、第三届监事会第二十一次会议分别审议通过《关</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于公司限制性股票激励计划首次授予限制性股票第二次解锁及预留授予限制性股票第一次解锁条件成就</w:t>
      </w:r>
      <w:r>
        <w:rPr>
          <w:rFonts w:ascii="宋体" w:hAnsi="宋体" w:cs="宋体" w:eastAsia="宋体" w:hint="default"/>
          <w:w w:val="99"/>
          <w:sz w:val="21"/>
          <w:szCs w:val="21"/>
        </w:rPr>
        <w:t> </w:t>
      </w:r>
      <w:r>
        <w:rPr>
          <w:rFonts w:ascii="宋体" w:hAnsi="宋体" w:cs="宋体" w:eastAsia="宋体" w:hint="default"/>
          <w:sz w:val="21"/>
          <w:szCs w:val="21"/>
        </w:rPr>
        <w:t>的议案》、董事会薪酬与考核委员会发表《关于对公司限制性股票激励计划激励对象解锁的核查意见》、</w:t>
      </w:r>
      <w:r>
        <w:rPr>
          <w:rFonts w:ascii="宋体" w:hAnsi="宋体" w:cs="宋体" w:eastAsia="宋体" w:hint="default"/>
          <w:w w:val="99"/>
          <w:sz w:val="21"/>
          <w:szCs w:val="21"/>
        </w:rPr>
        <w:t> </w:t>
      </w:r>
      <w:r>
        <w:rPr>
          <w:rFonts w:ascii="宋体" w:hAnsi="宋体" w:cs="宋体" w:eastAsia="宋体" w:hint="default"/>
          <w:sz w:val="21"/>
          <w:szCs w:val="21"/>
        </w:rPr>
        <w:t>独立董事发表《关于限制性股票解锁事项的独立意见》，天册律所出具《关于浙江万马股份有限公司限制</w:t>
      </w:r>
      <w:r>
        <w:rPr>
          <w:rFonts w:ascii="宋体" w:hAnsi="宋体" w:cs="宋体" w:eastAsia="宋体" w:hint="default"/>
          <w:w w:val="99"/>
          <w:sz w:val="21"/>
          <w:szCs w:val="21"/>
        </w:rPr>
        <w:t> </w:t>
      </w:r>
      <w:r>
        <w:rPr>
          <w:rFonts w:ascii="宋体" w:hAnsi="宋体" w:cs="宋体" w:eastAsia="宋体" w:hint="default"/>
          <w:sz w:val="21"/>
          <w:szCs w:val="21"/>
        </w:rPr>
        <w:t>性股票激励计划第二次解锁相关事项之法律意见书》。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12" w:right="109" w:firstLine="0"/>
        <w:jc w:val="left"/>
        <w:rPr>
          <w:rFonts w:ascii="宋体" w:hAnsi="宋体" w:cs="宋体" w:eastAsia="宋体" w:hint="default"/>
          <w:sz w:val="21"/>
          <w:szCs w:val="21"/>
        </w:rPr>
      </w:pPr>
      <w:r>
        <w:rPr>
          <w:rFonts w:ascii="宋体" w:hAnsi="宋体" w:cs="宋体" w:eastAsia="宋体" w:hint="default"/>
          <w:b/>
          <w:bCs/>
          <w:sz w:val="21"/>
          <w:szCs w:val="21"/>
        </w:rPr>
        <w:t>股份变动的过户情况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12" w:right="10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4"/>
          <w:szCs w:val="14"/>
        </w:rPr>
      </w:pPr>
    </w:p>
    <w:p>
      <w:pPr>
        <w:spacing w:line="408" w:lineRule="auto" w:before="0"/>
        <w:ind w:left="112" w:right="109" w:firstLine="420"/>
        <w:jc w:val="left"/>
        <w:rPr>
          <w:rFonts w:ascii="宋体" w:hAnsi="宋体" w:cs="宋体" w:eastAsia="宋体" w:hint="default"/>
          <w:sz w:val="21"/>
          <w:szCs w:val="21"/>
        </w:rPr>
      </w:pPr>
      <w:r>
        <w:rPr>
          <w:rFonts w:ascii="宋体" w:hAnsi="宋体" w:cs="宋体" w:eastAsia="宋体" w:hint="default"/>
          <w:sz w:val="21"/>
          <w:szCs w:val="21"/>
        </w:rPr>
        <w:t>2015 年 6</w:t>
      </w:r>
      <w:r>
        <w:rPr>
          <w:rFonts w:ascii="宋体" w:hAnsi="宋体" w:cs="宋体" w:eastAsia="宋体" w:hint="default"/>
          <w:spacing w:val="-42"/>
          <w:sz w:val="21"/>
          <w:szCs w:val="21"/>
        </w:rPr>
        <w:t> </w:t>
      </w:r>
      <w:r>
        <w:rPr>
          <w:rFonts w:ascii="宋体" w:hAnsi="宋体" w:cs="宋体" w:eastAsia="宋体" w:hint="default"/>
          <w:sz w:val="21"/>
          <w:szCs w:val="21"/>
        </w:rPr>
        <w:t>月19日，31万股回购注销限制性股票在中国证券登记结算有限责任公司深圳分公司完成注</w:t>
      </w:r>
      <w:r>
        <w:rPr>
          <w:rFonts w:ascii="宋体" w:hAnsi="宋体" w:cs="宋体" w:eastAsia="宋体" w:hint="default"/>
          <w:w w:val="99"/>
          <w:sz w:val="21"/>
          <w:szCs w:val="21"/>
        </w:rPr>
        <w:t> </w:t>
      </w:r>
      <w:r>
        <w:rPr>
          <w:rFonts w:ascii="宋体" w:hAnsi="宋体" w:cs="宋体" w:eastAsia="宋体" w:hint="default"/>
          <w:sz w:val="21"/>
          <w:szCs w:val="21"/>
        </w:rPr>
        <w:t>销手续。（详见巨潮资讯网2015年6月20日公司公告《关于部分限制性股票回购注销完成的公告》）。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12" w:right="109" w:firstLine="0"/>
        <w:jc w:val="left"/>
        <w:rPr>
          <w:rFonts w:ascii="宋体" w:hAnsi="宋体" w:cs="宋体" w:eastAsia="宋体" w:hint="default"/>
          <w:sz w:val="21"/>
          <w:szCs w:val="21"/>
        </w:rPr>
      </w:pPr>
      <w:r>
        <w:rPr>
          <w:rFonts w:ascii="宋体" w:hAnsi="宋体" w:cs="宋体" w:eastAsia="宋体" w:hint="default"/>
          <w:b/>
          <w:bCs/>
          <w:w w:val="95"/>
          <w:sz w:val="21"/>
          <w:szCs w:val="21"/>
        </w:rPr>
        <w:t>股份变动对最近一年和最近一期基本每股收益和稀释每股收益、归属于公司普通股股东的每股净资产等财</w:t>
      </w:r>
      <w:r>
        <w:rPr>
          <w:rFonts w:ascii="宋体" w:hAnsi="宋体" w:cs="宋体" w:eastAsia="宋体" w:hint="default"/>
          <w:b/>
          <w:bCs/>
          <w:spacing w:val="7"/>
          <w:w w:val="95"/>
          <w:sz w:val="21"/>
          <w:szCs w:val="21"/>
        </w:rPr>
        <w:t> </w:t>
      </w:r>
      <w:r>
        <w:rPr>
          <w:rFonts w:ascii="宋体" w:hAnsi="宋体" w:cs="宋体" w:eastAsia="宋体" w:hint="default"/>
          <w:b/>
          <w:bCs/>
          <w:spacing w:val="7"/>
          <w:w w:val="95"/>
          <w:sz w:val="21"/>
          <w:szCs w:val="21"/>
        </w:rPr>
      </w:r>
      <w:r>
        <w:rPr>
          <w:rFonts w:ascii="宋体" w:hAnsi="宋体" w:cs="宋体" w:eastAsia="宋体" w:hint="default"/>
          <w:b/>
          <w:bCs/>
          <w:sz w:val="21"/>
          <w:szCs w:val="21"/>
        </w:rPr>
        <w:t>务指标的影响</w:t>
      </w:r>
      <w:r>
        <w:rPr>
          <w:rFonts w:ascii="宋体" w:hAnsi="宋体" w:cs="宋体" w:eastAsia="宋体" w:hint="default"/>
          <w:sz w:val="21"/>
          <w:szCs w:val="21"/>
        </w:rPr>
      </w:r>
    </w:p>
    <w:p>
      <w:pPr>
        <w:spacing w:before="46"/>
        <w:ind w:left="112" w:right="10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4"/>
          <w:szCs w:val="14"/>
        </w:rPr>
      </w:pPr>
    </w:p>
    <w:p>
      <w:pPr>
        <w:spacing w:line="408" w:lineRule="auto" w:before="0"/>
        <w:ind w:left="112" w:right="109" w:firstLine="420"/>
        <w:jc w:val="left"/>
        <w:rPr>
          <w:rFonts w:ascii="宋体" w:hAnsi="宋体" w:cs="宋体" w:eastAsia="宋体" w:hint="default"/>
          <w:sz w:val="21"/>
          <w:szCs w:val="21"/>
        </w:rPr>
      </w:pPr>
      <w:r>
        <w:rPr>
          <w:rFonts w:ascii="宋体" w:hAnsi="宋体" w:cs="宋体" w:eastAsia="宋体" w:hint="default"/>
          <w:sz w:val="21"/>
          <w:szCs w:val="21"/>
        </w:rPr>
        <w:t>2015 年 6</w:t>
      </w:r>
      <w:r>
        <w:rPr>
          <w:rFonts w:ascii="宋体" w:hAnsi="宋体" w:cs="宋体" w:eastAsia="宋体" w:hint="default"/>
          <w:spacing w:val="-42"/>
          <w:sz w:val="21"/>
          <w:szCs w:val="21"/>
        </w:rPr>
        <w:t> </w:t>
      </w:r>
      <w:r>
        <w:rPr>
          <w:rFonts w:ascii="宋体" w:hAnsi="宋体" w:cs="宋体" w:eastAsia="宋体" w:hint="default"/>
          <w:sz w:val="21"/>
          <w:szCs w:val="21"/>
        </w:rPr>
        <w:t>月19日，31万股回购注销限制性股票在中国证券登记结算有限责任公司深圳分公司完成注</w:t>
      </w:r>
      <w:r>
        <w:rPr>
          <w:rFonts w:ascii="宋体" w:hAnsi="宋体" w:cs="宋体" w:eastAsia="宋体" w:hint="default"/>
          <w:w w:val="99"/>
          <w:sz w:val="21"/>
          <w:szCs w:val="21"/>
        </w:rPr>
        <w:t> </w:t>
      </w:r>
      <w:r>
        <w:rPr>
          <w:rFonts w:ascii="宋体" w:hAnsi="宋体" w:cs="宋体" w:eastAsia="宋体" w:hint="default"/>
          <w:sz w:val="21"/>
          <w:szCs w:val="21"/>
        </w:rPr>
        <w:t>销手续，回购完成后，公司总股本由939,635,488股变更为939,325,488股。（详见巨潮资讯网2015年6月</w:t>
      </w:r>
      <w:r>
        <w:rPr>
          <w:rFonts w:ascii="宋体" w:hAnsi="宋体" w:cs="宋体" w:eastAsia="宋体" w:hint="default"/>
          <w:w w:val="99"/>
          <w:sz w:val="21"/>
          <w:szCs w:val="21"/>
        </w:rPr>
        <w:t> </w:t>
      </w:r>
      <w:r>
        <w:rPr>
          <w:rFonts w:ascii="宋体" w:hAnsi="宋体" w:cs="宋体" w:eastAsia="宋体" w:hint="default"/>
          <w:sz w:val="21"/>
          <w:szCs w:val="21"/>
        </w:rPr>
        <w:t>20日公司公告《关于部分限制性股票回购注销完成的公告》）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12" w:right="109" w:firstLine="0"/>
        <w:jc w:val="left"/>
        <w:rPr>
          <w:rFonts w:ascii="宋体" w:hAnsi="宋体" w:cs="宋体" w:eastAsia="宋体" w:hint="default"/>
          <w:sz w:val="21"/>
          <w:szCs w:val="21"/>
        </w:rPr>
      </w:pPr>
      <w:r>
        <w:rPr>
          <w:rFonts w:ascii="宋体" w:hAnsi="宋体" w:cs="宋体" w:eastAsia="宋体" w:hint="default"/>
          <w:b/>
          <w:bCs/>
          <w:sz w:val="21"/>
          <w:szCs w:val="21"/>
        </w:rPr>
        <w:t>公司认为必要或证券监管机构要求披露的其他内容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12" w:right="10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2" w:right="10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2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850" w:footer="1012" w:top="1440" w:bottom="1200" w:left="1020" w:right="920"/>
        </w:sect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1177"/>
        <w:gridCol w:w="1260"/>
        <w:gridCol w:w="1260"/>
        <w:gridCol w:w="1215"/>
        <w:gridCol w:w="1260"/>
        <w:gridCol w:w="1875"/>
        <w:gridCol w:w="1524"/>
      </w:tblGrid>
      <w:tr>
        <w:trPr>
          <w:trHeight w:val="724" w:hRule="exact"/>
        </w:trPr>
        <w:tc>
          <w:tcPr>
            <w:tcW w:w="117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5" w:right="173"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2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5" w:right="17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1" w:right="152"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4" w:right="173"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87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24"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92" w:right="163"/>
              <w:jc w:val="both"/>
              <w:rPr>
                <w:rFonts w:ascii="宋体" w:hAnsi="宋体" w:cs="宋体" w:eastAsia="宋体" w:hint="default"/>
                <w:sz w:val="18"/>
                <w:szCs w:val="18"/>
              </w:rPr>
            </w:pPr>
            <w:r>
              <w:rPr>
                <w:rFonts w:ascii="宋体" w:hAnsi="宋体" w:cs="宋体" w:eastAsia="宋体" w:hint="default"/>
                <w:sz w:val="18"/>
                <w:szCs w:val="18"/>
              </w:rPr>
              <w:t>浙江万马电 气电缆集团 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65,078,874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65,078,874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2" w:right="140"/>
              <w:jc w:val="left"/>
              <w:rPr>
                <w:rFonts w:ascii="宋体" w:hAnsi="宋体" w:cs="宋体" w:eastAsia="宋体" w:hint="default"/>
                <w:sz w:val="18"/>
                <w:szCs w:val="18"/>
              </w:rPr>
            </w:pPr>
            <w:r>
              <w:rPr>
                <w:rFonts w:ascii="宋体" w:hAnsi="宋体" w:cs="宋体" w:eastAsia="宋体" w:hint="default"/>
                <w:sz w:val="18"/>
                <w:szCs w:val="18"/>
              </w:rPr>
              <w:t>重组发行股份，承诺 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2015-11-6</w:t>
            </w:r>
          </w:p>
        </w:tc>
      </w:tr>
      <w:tr>
        <w:trPr>
          <w:trHeight w:val="1650"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0"/>
              <w:ind w:left="92" w:right="163"/>
              <w:jc w:val="both"/>
              <w:rPr>
                <w:rFonts w:ascii="宋体" w:hAnsi="宋体" w:cs="宋体" w:eastAsia="宋体" w:hint="default"/>
                <w:sz w:val="18"/>
                <w:szCs w:val="18"/>
              </w:rPr>
            </w:pPr>
            <w:r>
              <w:rPr>
                <w:rFonts w:ascii="宋体" w:hAnsi="宋体" w:cs="宋体" w:eastAsia="宋体" w:hint="default"/>
                <w:sz w:val="18"/>
                <w:szCs w:val="18"/>
              </w:rPr>
              <w:t>嘉兴硅谷天 堂嘉绩投资 合伙企业</w:t>
            </w:r>
          </w:p>
          <w:p>
            <w:pPr>
              <w:pStyle w:val="TableParagraph"/>
              <w:spacing w:line="316" w:lineRule="auto" w:before="19"/>
              <w:ind w:left="92" w:right="343"/>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7" w:lineRule="auto"/>
              <w:ind w:left="102" w:right="14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 受让公司股份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股，自愿承诺锁定一 年。</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2015-2-27</w:t>
            </w:r>
          </w:p>
        </w:tc>
      </w:tr>
      <w:tr>
        <w:trPr>
          <w:trHeight w:val="2586"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11,675,822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11,675,822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5,837,911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5,837,911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102" w:right="140"/>
              <w:jc w:val="both"/>
              <w:rPr>
                <w:rFonts w:ascii="宋体" w:hAnsi="宋体" w:cs="宋体" w:eastAsia="宋体" w:hint="default"/>
                <w:sz w:val="18"/>
                <w:szCs w:val="18"/>
              </w:rPr>
            </w:pPr>
            <w:r>
              <w:rPr>
                <w:rFonts w:ascii="宋体" w:hAnsi="宋体" w:cs="宋体" w:eastAsia="宋体" w:hint="default"/>
                <w:sz w:val="18"/>
                <w:szCs w:val="18"/>
              </w:rPr>
              <w:t>重组发行股份，承诺 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年；董事离任 锁定。</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p>
            <w:pPr>
              <w:pStyle w:val="TableParagraph"/>
              <w:spacing w:line="316" w:lineRule="auto" w:before="63"/>
              <w:ind w:left="102" w:right="56"/>
              <w:jc w:val="both"/>
              <w:rPr>
                <w:rFonts w:ascii="宋体" w:hAnsi="宋体" w:cs="宋体" w:eastAsia="宋体" w:hint="default"/>
                <w:sz w:val="18"/>
                <w:szCs w:val="18"/>
              </w:rPr>
            </w:pPr>
            <w:r>
              <w:rPr>
                <w:rFonts w:ascii="宋体" w:hAnsi="宋体" w:cs="宋体" w:eastAsia="宋体" w:hint="default"/>
                <w:sz w:val="18"/>
                <w:szCs w:val="18"/>
              </w:rPr>
              <w:t>日，解除限售股 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11675822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p>
            <w:pPr>
              <w:pStyle w:val="TableParagraph"/>
              <w:spacing w:line="300" w:lineRule="auto"/>
              <w:ind w:left="102"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月不再 </w:t>
            </w:r>
            <w:r>
              <w:rPr>
                <w:rFonts w:ascii="宋体" w:hAnsi="宋体" w:cs="宋体" w:eastAsia="宋体" w:hint="default"/>
                <w:spacing w:val="-6"/>
                <w:sz w:val="18"/>
                <w:szCs w:val="18"/>
              </w:rPr>
              <w:t>担任公司董事，</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个月后的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 内所持股份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锁定。</w:t>
            </w:r>
          </w:p>
        </w:tc>
      </w:tr>
      <w:tr>
        <w:trPr>
          <w:trHeight w:val="714"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7,118,490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6,643,924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4,745,660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40"/>
              <w:jc w:val="left"/>
              <w:rPr>
                <w:rFonts w:ascii="宋体" w:hAnsi="宋体" w:cs="宋体" w:eastAsia="宋体" w:hint="default"/>
                <w:sz w:val="18"/>
                <w:szCs w:val="18"/>
              </w:rPr>
            </w:pPr>
            <w:r>
              <w:rPr>
                <w:rFonts w:ascii="宋体" w:hAnsi="宋体" w:cs="宋体" w:eastAsia="宋体" w:hint="default"/>
                <w:sz w:val="18"/>
                <w:szCs w:val="18"/>
              </w:rPr>
              <w:t>高管锁定股、董事离 任锁定。</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2015-11-27</w:t>
            </w:r>
          </w:p>
        </w:tc>
      </w:tr>
      <w:tr>
        <w:trPr>
          <w:trHeight w:val="714"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刘焕新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690,000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102" w:right="140"/>
              <w:jc w:val="left"/>
              <w:rPr>
                <w:rFonts w:ascii="宋体" w:hAnsi="宋体" w:cs="宋体" w:eastAsia="宋体" w:hint="default"/>
                <w:sz w:val="18"/>
                <w:szCs w:val="18"/>
              </w:rPr>
            </w:pPr>
            <w:r>
              <w:rPr>
                <w:rFonts w:ascii="宋体" w:hAnsi="宋体" w:cs="宋体" w:eastAsia="宋体" w:hint="default"/>
                <w:sz w:val="18"/>
                <w:szCs w:val="18"/>
              </w:rPr>
              <w:t>任职期间每年解 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4"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637,500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637,500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0"/>
              <w:ind w:left="102" w:right="140"/>
              <w:jc w:val="left"/>
              <w:rPr>
                <w:rFonts w:ascii="宋体" w:hAnsi="宋体" w:cs="宋体" w:eastAsia="宋体" w:hint="default"/>
                <w:sz w:val="18"/>
                <w:szCs w:val="18"/>
              </w:rPr>
            </w:pPr>
            <w:r>
              <w:rPr>
                <w:rFonts w:ascii="宋体" w:hAnsi="宋体" w:cs="宋体" w:eastAsia="宋体" w:hint="default"/>
                <w:sz w:val="18"/>
                <w:szCs w:val="18"/>
              </w:rPr>
              <w:t>任职期间每年解 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夏臣科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667,500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333,750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333,750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高管离任锁定。</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2015-10-14</w:t>
            </w:r>
          </w:p>
        </w:tc>
      </w:tr>
      <w:tr>
        <w:trPr>
          <w:trHeight w:val="714"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覃运平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40"/>
              <w:jc w:val="left"/>
              <w:rPr>
                <w:rFonts w:ascii="宋体" w:hAnsi="宋体" w:cs="宋体" w:eastAsia="宋体" w:hint="default"/>
                <w:sz w:val="18"/>
                <w:szCs w:val="18"/>
              </w:rPr>
            </w:pPr>
            <w:r>
              <w:rPr>
                <w:rFonts w:ascii="宋体" w:hAnsi="宋体" w:cs="宋体" w:eastAsia="宋体" w:hint="default"/>
                <w:sz w:val="18"/>
                <w:szCs w:val="18"/>
              </w:rPr>
              <w:t>限制性股票解锁，进 入高管锁定股</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0"/>
              <w:ind w:left="102" w:right="140"/>
              <w:jc w:val="left"/>
              <w:rPr>
                <w:rFonts w:ascii="宋体" w:hAnsi="宋体" w:cs="宋体" w:eastAsia="宋体" w:hint="default"/>
                <w:sz w:val="18"/>
                <w:szCs w:val="18"/>
              </w:rPr>
            </w:pPr>
            <w:r>
              <w:rPr>
                <w:rFonts w:ascii="宋体" w:hAnsi="宋体" w:cs="宋体" w:eastAsia="宋体" w:hint="default"/>
                <w:sz w:val="18"/>
                <w:szCs w:val="18"/>
              </w:rPr>
              <w:t>任职期间每年解 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4"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40"/>
              <w:jc w:val="left"/>
              <w:rPr>
                <w:rFonts w:ascii="宋体" w:hAnsi="宋体" w:cs="宋体" w:eastAsia="宋体" w:hint="default"/>
                <w:sz w:val="18"/>
                <w:szCs w:val="18"/>
              </w:rPr>
            </w:pPr>
            <w:r>
              <w:rPr>
                <w:rFonts w:ascii="宋体" w:hAnsi="宋体" w:cs="宋体" w:eastAsia="宋体" w:hint="default"/>
                <w:sz w:val="18"/>
                <w:szCs w:val="18"/>
              </w:rPr>
              <w:t>限制性股票解锁，进 入高管锁定股</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102" w:right="140"/>
              <w:jc w:val="left"/>
              <w:rPr>
                <w:rFonts w:ascii="宋体" w:hAnsi="宋体" w:cs="宋体" w:eastAsia="宋体" w:hint="default"/>
                <w:sz w:val="18"/>
                <w:szCs w:val="18"/>
              </w:rPr>
            </w:pPr>
            <w:r>
              <w:rPr>
                <w:rFonts w:ascii="宋体" w:hAnsi="宋体" w:cs="宋体" w:eastAsia="宋体" w:hint="default"/>
                <w:sz w:val="18"/>
                <w:szCs w:val="18"/>
              </w:rPr>
              <w:t>任职期间每年解 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650"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92" w:right="163"/>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7,788,600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3,579,400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4,334,200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0" w:lineRule="auto" w:before="63"/>
              <w:ind w:left="102"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3,269,400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股限制性股 票上市流通；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月，回购注销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股限制性股票。</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2015-11-28</w:t>
            </w:r>
          </w:p>
        </w:tc>
      </w:tr>
      <w:tr>
        <w:trPr>
          <w:trHeight w:val="714" w:hRule="exact"/>
        </w:trPr>
        <w:tc>
          <w:tcPr>
            <w:tcW w:w="117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92" w:right="163"/>
              <w:jc w:val="left"/>
              <w:rPr>
                <w:rFonts w:ascii="宋体" w:hAnsi="宋体" w:cs="宋体" w:eastAsia="宋体" w:hint="default"/>
                <w:sz w:val="18"/>
                <w:szCs w:val="18"/>
              </w:rPr>
            </w:pPr>
            <w:r>
              <w:rPr>
                <w:rFonts w:ascii="宋体" w:hAnsi="宋体" w:cs="宋体" w:eastAsia="宋体" w:hint="default"/>
                <w:sz w:val="18"/>
                <w:szCs w:val="18"/>
              </w:rPr>
              <w:t>其他高管锁 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6,567,850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6,212,350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355,500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2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102" w:right="140"/>
              <w:jc w:val="left"/>
              <w:rPr>
                <w:rFonts w:ascii="宋体" w:hAnsi="宋体" w:cs="宋体" w:eastAsia="宋体" w:hint="default"/>
                <w:sz w:val="18"/>
                <w:szCs w:val="18"/>
              </w:rPr>
            </w:pPr>
            <w:r>
              <w:rPr>
                <w:rFonts w:ascii="宋体" w:hAnsi="宋体" w:cs="宋体" w:eastAsia="宋体" w:hint="default"/>
                <w:sz w:val="18"/>
                <w:szCs w:val="18"/>
              </w:rPr>
              <w:t>任职期间每年解 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12" w:hRule="exact"/>
        </w:trPr>
        <w:tc>
          <w:tcPr>
            <w:tcW w:w="117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106,844,636</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100,124,120</w:t>
            </w:r>
          </w:p>
        </w:tc>
        <w:tc>
          <w:tcPr>
            <w:tcW w:w="1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6,087,911</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17,204,521</w:t>
            </w:r>
          </w:p>
        </w:tc>
        <w:tc>
          <w:tcPr>
            <w:tcW w:w="187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12" w:space="0" w:color="000000"/>
              <w:right w:val="single" w:sz="12" w:space="0" w:color="000000"/>
            </w:tcBorders>
            <w:shd w:val="clear" w:color="auto" w:fill="D3D3D3"/>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3"/>
        <w:rPr>
          <w:rFonts w:ascii="Times New Roman" w:hAnsi="Times New Roman" w:cs="Times New Roman" w:eastAsia="Times New Roman" w:hint="default"/>
          <w:sz w:val="15"/>
          <w:szCs w:val="15"/>
        </w:rPr>
      </w:pPr>
    </w:p>
    <w:p>
      <w:pPr>
        <w:pStyle w:val="Heading2"/>
        <w:spacing w:line="240" w:lineRule="auto" w:before="26"/>
        <w:ind w:right="144"/>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44"/>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28"/>
        <w:gridCol w:w="600"/>
        <w:gridCol w:w="263"/>
        <w:gridCol w:w="532"/>
        <w:gridCol w:w="825"/>
        <w:gridCol w:w="195"/>
        <w:gridCol w:w="840"/>
        <w:gridCol w:w="135"/>
        <w:gridCol w:w="1005"/>
        <w:gridCol w:w="780"/>
        <w:gridCol w:w="255"/>
        <w:gridCol w:w="218"/>
        <w:gridCol w:w="775"/>
        <w:gridCol w:w="585"/>
        <w:gridCol w:w="642"/>
        <w:gridCol w:w="390"/>
      </w:tblGrid>
      <w:tr>
        <w:trPr>
          <w:trHeight w:val="1268" w:hRule="exact"/>
        </w:trPr>
        <w:tc>
          <w:tcPr>
            <w:tcW w:w="152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2" w:right="154"/>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6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142,173</w:t>
            </w:r>
          </w:p>
        </w:tc>
        <w:tc>
          <w:tcPr>
            <w:tcW w:w="1552" w:type="dxa"/>
            <w:gridSpan w:val="3"/>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7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141,499</w:t>
            </w:r>
          </w:p>
        </w:tc>
        <w:tc>
          <w:tcPr>
            <w:tcW w:w="1920" w:type="dxa"/>
            <w:gridSpan w:val="3"/>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2" w:right="186"/>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7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0</w:t>
            </w:r>
          </w:p>
        </w:tc>
        <w:tc>
          <w:tcPr>
            <w:tcW w:w="2002" w:type="dxa"/>
            <w:gridSpan w:val="3"/>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01" w:right="268"/>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3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568" w:type="dxa"/>
            <w:gridSpan w:val="16"/>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9"/>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22" w:hRule="exact"/>
        </w:trPr>
        <w:tc>
          <w:tcPr>
            <w:tcW w:w="2128" w:type="dxa"/>
            <w:gridSpan w:val="2"/>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8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股东性 质</w:t>
            </w:r>
          </w:p>
        </w:tc>
        <w:tc>
          <w:tcPr>
            <w:tcW w:w="8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18" w:right="1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7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9" w:right="12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0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137" w:right="13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152" w:right="15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130" w:right="131"/>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617" w:type="dxa"/>
            <w:gridSpan w:val="3"/>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
              <w:ind w:left="17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4" w:hRule="exact"/>
        </w:trPr>
        <w:tc>
          <w:tcPr>
            <w:tcW w:w="2128" w:type="dxa"/>
            <w:gridSpan w:val="2"/>
            <w:vMerge/>
            <w:tcBorders>
              <w:left w:val="single" w:sz="12" w:space="0" w:color="000000"/>
              <w:bottom w:val="single" w:sz="4" w:space="0" w:color="000000"/>
              <w:right w:val="single" w:sz="4" w:space="0" w:color="000000"/>
            </w:tcBorders>
            <w:shd w:val="clear" w:color="auto" w:fill="D3D3D3"/>
          </w:tcPr>
          <w:p>
            <w:pPr/>
          </w:p>
        </w:tc>
        <w:tc>
          <w:tcPr>
            <w:tcW w:w="795" w:type="dxa"/>
            <w:gridSpan w:val="2"/>
            <w:vMerge/>
            <w:tcBorders>
              <w:left w:val="single" w:sz="4" w:space="0" w:color="000000"/>
              <w:bottom w:val="single" w:sz="4" w:space="0" w:color="000000"/>
              <w:right w:val="single" w:sz="4" w:space="0" w:color="000000"/>
            </w:tcBorders>
            <w:shd w:val="clear" w:color="auto" w:fill="D3D3D3"/>
          </w:tcPr>
          <w:p>
            <w:pPr/>
          </w:p>
        </w:tc>
        <w:tc>
          <w:tcPr>
            <w:tcW w:w="825" w:type="dxa"/>
            <w:vMerge/>
            <w:tcBorders>
              <w:left w:val="single" w:sz="4" w:space="0" w:color="000000"/>
              <w:bottom w:val="single" w:sz="4" w:space="0" w:color="000000"/>
              <w:right w:val="single" w:sz="4" w:space="0" w:color="000000"/>
            </w:tcBorders>
            <w:shd w:val="clear" w:color="auto" w:fill="D3D3D3"/>
          </w:tcPr>
          <w:p>
            <w:pPr/>
          </w:p>
        </w:tc>
        <w:tc>
          <w:tcPr>
            <w:tcW w:w="1170" w:type="dxa"/>
            <w:gridSpan w:val="3"/>
            <w:vMerge/>
            <w:tcBorders>
              <w:left w:val="single" w:sz="4" w:space="0" w:color="000000"/>
              <w:bottom w:val="single" w:sz="4" w:space="0" w:color="000000"/>
              <w:right w:val="single" w:sz="4" w:space="0" w:color="000000"/>
            </w:tcBorders>
            <w:shd w:val="clear" w:color="auto" w:fill="D3D3D3"/>
          </w:tcPr>
          <w:p>
            <w:pPr/>
          </w:p>
        </w:tc>
        <w:tc>
          <w:tcPr>
            <w:tcW w:w="1005" w:type="dxa"/>
            <w:vMerge/>
            <w:tcBorders>
              <w:left w:val="single" w:sz="4" w:space="0" w:color="000000"/>
              <w:bottom w:val="single" w:sz="4" w:space="0" w:color="000000"/>
              <w:right w:val="single" w:sz="4" w:space="0" w:color="000000"/>
            </w:tcBorders>
            <w:shd w:val="clear" w:color="auto" w:fill="D3D3D3"/>
          </w:tcPr>
          <w:p>
            <w:pPr/>
          </w:p>
        </w:tc>
        <w:tc>
          <w:tcPr>
            <w:tcW w:w="1035" w:type="dxa"/>
            <w:gridSpan w:val="2"/>
            <w:vMerge/>
            <w:tcBorders>
              <w:left w:val="single" w:sz="4" w:space="0" w:color="000000"/>
              <w:bottom w:val="single" w:sz="4" w:space="0" w:color="000000"/>
              <w:right w:val="single" w:sz="4" w:space="0" w:color="000000"/>
            </w:tcBorders>
            <w:shd w:val="clear" w:color="auto" w:fill="D3D3D3"/>
          </w:tcPr>
          <w:p>
            <w:pPr/>
          </w:p>
        </w:tc>
        <w:tc>
          <w:tcPr>
            <w:tcW w:w="993" w:type="dxa"/>
            <w:gridSpan w:val="2"/>
            <w:vMerge/>
            <w:tcBorders>
              <w:left w:val="single" w:sz="4" w:space="0" w:color="000000"/>
              <w:bottom w:val="single" w:sz="4" w:space="0" w:color="000000"/>
              <w:right w:val="single" w:sz="4" w:space="0" w:color="000000"/>
            </w:tcBorders>
            <w:shd w:val="clear" w:color="auto" w:fill="D3D3D3"/>
          </w:tcPr>
          <w:p>
            <w:pPr/>
          </w:p>
        </w:tc>
        <w:tc>
          <w:tcPr>
            <w:tcW w:w="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06" w:right="10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32" w:type="dxa"/>
            <w:gridSpan w:val="2"/>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946" w:hRule="exact"/>
        </w:trPr>
        <w:tc>
          <w:tcPr>
            <w:tcW w:w="2128"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214"/>
              <w:jc w:val="left"/>
              <w:rPr>
                <w:rFonts w:ascii="宋体" w:hAnsi="宋体" w:cs="宋体" w:eastAsia="宋体" w:hint="default"/>
                <w:sz w:val="18"/>
                <w:szCs w:val="18"/>
              </w:rPr>
            </w:pPr>
            <w:r>
              <w:rPr>
                <w:rFonts w:ascii="宋体" w:hAnsi="宋体" w:cs="宋体" w:eastAsia="宋体" w:hint="default"/>
                <w:sz w:val="18"/>
                <w:szCs w:val="18"/>
              </w:rPr>
              <w:t>浙江万马电气电缆集团 有限公司</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40"/>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44.72%</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8" w:right="0"/>
              <w:jc w:val="left"/>
              <w:rPr>
                <w:rFonts w:ascii="Times New Roman" w:hAnsi="Times New Roman" w:cs="Times New Roman" w:eastAsia="Times New Roman" w:hint="default"/>
                <w:sz w:val="18"/>
                <w:szCs w:val="18"/>
              </w:rPr>
            </w:pPr>
            <w:r>
              <w:rPr>
                <w:rFonts w:ascii="Times New Roman"/>
                <w:sz w:val="18"/>
              </w:rPr>
              <w:t>420,090,812</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-41000000</w:t>
            </w:r>
          </w:p>
        </w:tc>
        <w:tc>
          <w:tcPr>
            <w:tcW w:w="1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420,090,8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12</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2"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0" w:right="0"/>
              <w:jc w:val="left"/>
              <w:rPr>
                <w:rFonts w:ascii="Times New Roman" w:hAnsi="Times New Roman" w:cs="Times New Roman" w:eastAsia="Times New Roman" w:hint="default"/>
                <w:sz w:val="18"/>
                <w:szCs w:val="18"/>
              </w:rPr>
            </w:pPr>
            <w:r>
              <w:rPr>
                <w:rFonts w:ascii="Times New Roman"/>
                <w:sz w:val="18"/>
              </w:rPr>
              <w:t>42,718,500</w:t>
            </w:r>
          </w:p>
        </w:tc>
      </w:tr>
      <w:tr>
        <w:trPr>
          <w:trHeight w:val="946" w:hRule="exact"/>
        </w:trPr>
        <w:tc>
          <w:tcPr>
            <w:tcW w:w="2128"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2" w:right="214"/>
              <w:jc w:val="left"/>
              <w:rPr>
                <w:rFonts w:ascii="宋体" w:hAnsi="宋体" w:cs="宋体" w:eastAsia="宋体" w:hint="default"/>
                <w:sz w:val="18"/>
                <w:szCs w:val="18"/>
              </w:rPr>
            </w:pPr>
            <w:r>
              <w:rPr>
                <w:rFonts w:ascii="宋体" w:hAnsi="宋体" w:cs="宋体" w:eastAsia="宋体" w:hint="default"/>
                <w:sz w:val="18"/>
                <w:szCs w:val="18"/>
              </w:rPr>
              <w:t>中国人寿保险股份有限 公司－分红－个人分红</w:t>
            </w:r>
          </w:p>
          <w:p>
            <w:pPr>
              <w:pStyle w:val="TableParagraph"/>
              <w:spacing w:line="240" w:lineRule="auto" w:before="19"/>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深</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1.70%</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6" w:right="0"/>
              <w:jc w:val="left"/>
              <w:rPr>
                <w:rFonts w:ascii="Times New Roman" w:hAnsi="Times New Roman" w:cs="Times New Roman" w:eastAsia="Times New Roman" w:hint="default"/>
                <w:sz w:val="18"/>
                <w:szCs w:val="18"/>
              </w:rPr>
            </w:pPr>
            <w:r>
              <w:rPr>
                <w:rFonts w:ascii="Times New Roman"/>
                <w:sz w:val="18"/>
              </w:rPr>
              <w:t>15,999,962</w:t>
            </w:r>
          </w:p>
        </w:tc>
        <w:tc>
          <w:tcPr>
            <w:tcW w:w="1005" w:type="dxa"/>
            <w:tcBorders>
              <w:top w:val="single" w:sz="4" w:space="0" w:color="000000"/>
              <w:left w:val="single" w:sz="4" w:space="0" w:color="000000"/>
              <w:bottom w:val="single" w:sz="4" w:space="0" w:color="000000"/>
              <w:right w:val="single" w:sz="4" w:space="0" w:color="000000"/>
            </w:tcBorders>
          </w:tcPr>
          <w:p>
            <w:pPr/>
          </w:p>
        </w:tc>
        <w:tc>
          <w:tcPr>
            <w:tcW w:w="1035" w:type="dxa"/>
            <w:gridSpan w:val="2"/>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1032" w:type="dxa"/>
            <w:gridSpan w:val="2"/>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2128"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2" w:right="140"/>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11,675,822</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5,837,911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5,837,911</w:t>
            </w:r>
          </w:p>
        </w:tc>
        <w:tc>
          <w:tcPr>
            <w:tcW w:w="585" w:type="dxa"/>
            <w:tcBorders>
              <w:top w:val="single" w:sz="4" w:space="0" w:color="000000"/>
              <w:left w:val="single" w:sz="4" w:space="0" w:color="000000"/>
              <w:bottom w:val="single" w:sz="4" w:space="0" w:color="000000"/>
              <w:right w:val="single" w:sz="4" w:space="0" w:color="000000"/>
            </w:tcBorders>
          </w:tcPr>
          <w:p>
            <w:pPr/>
          </w:p>
        </w:tc>
        <w:tc>
          <w:tcPr>
            <w:tcW w:w="1032" w:type="dxa"/>
            <w:gridSpan w:val="2"/>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2128"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2" w:right="140"/>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9,491,320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4,745,660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4,745,660</w:t>
            </w:r>
          </w:p>
        </w:tc>
        <w:tc>
          <w:tcPr>
            <w:tcW w:w="585" w:type="dxa"/>
            <w:tcBorders>
              <w:top w:val="single" w:sz="4" w:space="0" w:color="000000"/>
              <w:left w:val="single" w:sz="4" w:space="0" w:color="000000"/>
              <w:bottom w:val="single" w:sz="4" w:space="0" w:color="000000"/>
              <w:right w:val="single" w:sz="4" w:space="0" w:color="000000"/>
            </w:tcBorders>
          </w:tcPr>
          <w:p>
            <w:pPr/>
          </w:p>
        </w:tc>
        <w:tc>
          <w:tcPr>
            <w:tcW w:w="1032" w:type="dxa"/>
            <w:gridSpan w:val="2"/>
            <w:tcBorders>
              <w:top w:val="single" w:sz="4" w:space="0" w:color="000000"/>
              <w:left w:val="single" w:sz="4" w:space="0" w:color="000000"/>
              <w:bottom w:val="single" w:sz="4" w:space="0" w:color="000000"/>
              <w:right w:val="single" w:sz="12" w:space="0" w:color="000000"/>
            </w:tcBorders>
          </w:tcPr>
          <w:p>
            <w:pPr/>
          </w:p>
        </w:tc>
      </w:tr>
      <w:tr>
        <w:trPr>
          <w:trHeight w:val="946" w:hRule="exact"/>
        </w:trPr>
        <w:tc>
          <w:tcPr>
            <w:tcW w:w="2128"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6" w:lineRule="auto" w:before="9"/>
              <w:ind w:left="92" w:right="214"/>
              <w:jc w:val="both"/>
              <w:rPr>
                <w:rFonts w:ascii="宋体" w:hAnsi="宋体" w:cs="宋体" w:eastAsia="宋体" w:hint="default"/>
                <w:sz w:val="18"/>
                <w:szCs w:val="18"/>
              </w:rPr>
            </w:pPr>
            <w:r>
              <w:rPr>
                <w:rFonts w:ascii="宋体" w:hAnsi="宋体" w:cs="宋体" w:eastAsia="宋体" w:hint="default"/>
                <w:sz w:val="18"/>
                <w:szCs w:val="18"/>
              </w:rPr>
              <w:t>中国建设银行股份有限 公司－华商盛世成长混 合型证券投资基金</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0.90%</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8" w:right="0"/>
              <w:jc w:val="left"/>
              <w:rPr>
                <w:rFonts w:ascii="Times New Roman" w:hAnsi="Times New Roman" w:cs="Times New Roman" w:eastAsia="Times New Roman" w:hint="default"/>
                <w:sz w:val="18"/>
                <w:szCs w:val="18"/>
              </w:rPr>
            </w:pPr>
            <w:r>
              <w:rPr>
                <w:rFonts w:ascii="Times New Roman"/>
                <w:sz w:val="18"/>
              </w:rPr>
              <w:t>8,437,181</w:t>
            </w:r>
          </w:p>
        </w:tc>
        <w:tc>
          <w:tcPr>
            <w:tcW w:w="1005" w:type="dxa"/>
            <w:tcBorders>
              <w:top w:val="single" w:sz="4" w:space="0" w:color="000000"/>
              <w:left w:val="single" w:sz="4" w:space="0" w:color="000000"/>
              <w:bottom w:val="single" w:sz="4" w:space="0" w:color="000000"/>
              <w:right w:val="single" w:sz="4" w:space="0" w:color="000000"/>
            </w:tcBorders>
          </w:tcPr>
          <w:p>
            <w:pPr/>
          </w:p>
        </w:tc>
        <w:tc>
          <w:tcPr>
            <w:tcW w:w="1035" w:type="dxa"/>
            <w:gridSpan w:val="2"/>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1032" w:type="dxa"/>
            <w:gridSpan w:val="2"/>
            <w:tcBorders>
              <w:top w:val="single" w:sz="4" w:space="0" w:color="000000"/>
              <w:left w:val="single" w:sz="4" w:space="0" w:color="000000"/>
              <w:bottom w:val="single" w:sz="4" w:space="0" w:color="000000"/>
              <w:right w:val="single" w:sz="12" w:space="0" w:color="000000"/>
            </w:tcBorders>
          </w:tcPr>
          <w:p>
            <w:pPr/>
          </w:p>
        </w:tc>
      </w:tr>
      <w:tr>
        <w:trPr>
          <w:trHeight w:val="944" w:hRule="exact"/>
        </w:trPr>
        <w:tc>
          <w:tcPr>
            <w:tcW w:w="2128"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214"/>
              <w:jc w:val="both"/>
              <w:rPr>
                <w:rFonts w:ascii="宋体" w:hAnsi="宋体" w:cs="宋体" w:eastAsia="宋体" w:hint="default"/>
                <w:sz w:val="18"/>
                <w:szCs w:val="18"/>
              </w:rPr>
            </w:pPr>
            <w:r>
              <w:rPr>
                <w:rFonts w:ascii="宋体" w:hAnsi="宋体" w:cs="宋体" w:eastAsia="宋体" w:hint="default"/>
                <w:sz w:val="18"/>
                <w:szCs w:val="18"/>
              </w:rPr>
              <w:t>中国建设银行股份有限 公司－华商价值精选混 合型证券投资基金</w:t>
            </w:r>
          </w:p>
        </w:tc>
        <w:tc>
          <w:tcPr>
            <w:tcW w:w="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0.86%</w:t>
            </w:r>
          </w:p>
        </w:tc>
        <w:tc>
          <w:tcPr>
            <w:tcW w:w="1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8" w:right="0"/>
              <w:jc w:val="left"/>
              <w:rPr>
                <w:rFonts w:ascii="Times New Roman" w:hAnsi="Times New Roman" w:cs="Times New Roman" w:eastAsia="Times New Roman" w:hint="default"/>
                <w:sz w:val="18"/>
                <w:szCs w:val="18"/>
              </w:rPr>
            </w:pPr>
            <w:r>
              <w:rPr>
                <w:rFonts w:ascii="Times New Roman"/>
                <w:sz w:val="18"/>
              </w:rPr>
              <w:t>8,045,430</w:t>
            </w:r>
          </w:p>
        </w:tc>
        <w:tc>
          <w:tcPr>
            <w:tcW w:w="1005" w:type="dxa"/>
            <w:tcBorders>
              <w:top w:val="single" w:sz="4" w:space="0" w:color="000000"/>
              <w:left w:val="single" w:sz="4" w:space="0" w:color="000000"/>
              <w:bottom w:val="single" w:sz="4" w:space="0" w:color="000000"/>
              <w:right w:val="single" w:sz="4" w:space="0" w:color="000000"/>
            </w:tcBorders>
          </w:tcPr>
          <w:p>
            <w:pPr/>
          </w:p>
        </w:tc>
        <w:tc>
          <w:tcPr>
            <w:tcW w:w="1035" w:type="dxa"/>
            <w:gridSpan w:val="2"/>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1032" w:type="dxa"/>
            <w:gridSpan w:val="2"/>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50" w:footer="1012" w:top="1440" w:bottom="1200" w:left="1000" w:right="102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128"/>
        <w:gridCol w:w="795"/>
        <w:gridCol w:w="135"/>
        <w:gridCol w:w="690"/>
        <w:gridCol w:w="1170"/>
        <w:gridCol w:w="555"/>
        <w:gridCol w:w="450"/>
        <w:gridCol w:w="1035"/>
        <w:gridCol w:w="993"/>
        <w:gridCol w:w="387"/>
        <w:gridCol w:w="198"/>
        <w:gridCol w:w="1032"/>
      </w:tblGrid>
      <w:tr>
        <w:trPr>
          <w:trHeight w:val="946" w:hRule="exact"/>
        </w:trPr>
        <w:tc>
          <w:tcPr>
            <w:tcW w:w="212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2" w:right="214"/>
              <w:jc w:val="both"/>
              <w:rPr>
                <w:rFonts w:ascii="宋体" w:hAnsi="宋体" w:cs="宋体" w:eastAsia="宋体" w:hint="default"/>
                <w:sz w:val="18"/>
                <w:szCs w:val="18"/>
              </w:rPr>
            </w:pPr>
            <w:r>
              <w:rPr>
                <w:rFonts w:ascii="宋体" w:hAnsi="宋体" w:cs="宋体" w:eastAsia="宋体" w:hint="default"/>
                <w:sz w:val="18"/>
                <w:szCs w:val="18"/>
              </w:rPr>
              <w:t>中国人寿财产保险股份 有限公司－传统－普通 保险产品</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8" w:right="0"/>
              <w:jc w:val="left"/>
              <w:rPr>
                <w:rFonts w:ascii="Times New Roman" w:hAnsi="Times New Roman" w:cs="Times New Roman" w:eastAsia="Times New Roman" w:hint="default"/>
                <w:sz w:val="18"/>
                <w:szCs w:val="18"/>
              </w:rPr>
            </w:pPr>
            <w:r>
              <w:rPr>
                <w:rFonts w:ascii="Times New Roman"/>
                <w:sz w:val="18"/>
              </w:rPr>
              <w:t>0.57%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5,372,500</w:t>
            </w:r>
          </w:p>
        </w:tc>
        <w:tc>
          <w:tcPr>
            <w:tcW w:w="1005" w:type="dxa"/>
            <w:gridSpan w:val="2"/>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85" w:type="dxa"/>
            <w:gridSpan w:val="2"/>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21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顾春序</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40"/>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0.50%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4,720,000</w:t>
            </w:r>
          </w:p>
        </w:tc>
        <w:tc>
          <w:tcPr>
            <w:tcW w:w="1005" w:type="dxa"/>
            <w:gridSpan w:val="2"/>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85" w:type="dxa"/>
            <w:gridSpan w:val="2"/>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12" w:space="0" w:color="000000"/>
            </w:tcBorders>
          </w:tcPr>
          <w:p>
            <w:pPr/>
          </w:p>
        </w:tc>
      </w:tr>
      <w:tr>
        <w:trPr>
          <w:trHeight w:val="1258" w:hRule="exact"/>
        </w:trPr>
        <w:tc>
          <w:tcPr>
            <w:tcW w:w="212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
              <w:ind w:left="92" w:right="214"/>
              <w:jc w:val="both"/>
              <w:rPr>
                <w:rFonts w:ascii="宋体" w:hAnsi="宋体" w:cs="宋体" w:eastAsia="宋体" w:hint="default"/>
                <w:sz w:val="18"/>
                <w:szCs w:val="18"/>
              </w:rPr>
            </w:pPr>
            <w:r>
              <w:rPr>
                <w:rFonts w:ascii="宋体" w:hAnsi="宋体" w:cs="宋体" w:eastAsia="宋体" w:hint="default"/>
                <w:sz w:val="18"/>
                <w:szCs w:val="18"/>
              </w:rPr>
              <w:t>中国建设银行股份有限 公司－富国中证新能源 汽车指数分级证券投资 基金</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0.43%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3,998,177</w:t>
            </w:r>
          </w:p>
        </w:tc>
        <w:tc>
          <w:tcPr>
            <w:tcW w:w="1005" w:type="dxa"/>
            <w:gridSpan w:val="2"/>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85" w:type="dxa"/>
            <w:gridSpan w:val="2"/>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12" w:space="0" w:color="000000"/>
            </w:tcBorders>
          </w:tcPr>
          <w:p>
            <w:pPr/>
          </w:p>
        </w:tc>
      </w:tr>
      <w:tr>
        <w:trPr>
          <w:trHeight w:val="1258" w:hRule="exact"/>
        </w:trPr>
        <w:tc>
          <w:tcPr>
            <w:tcW w:w="212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214"/>
              <w:jc w:val="both"/>
              <w:rPr>
                <w:rFonts w:ascii="宋体" w:hAnsi="宋体" w:cs="宋体" w:eastAsia="宋体" w:hint="default"/>
                <w:sz w:val="18"/>
                <w:szCs w:val="18"/>
              </w:rPr>
            </w:pPr>
            <w:r>
              <w:rPr>
                <w:rFonts w:ascii="宋体" w:hAnsi="宋体" w:cs="宋体" w:eastAsia="宋体" w:hint="default"/>
                <w:sz w:val="18"/>
                <w:szCs w:val="18"/>
              </w:rPr>
              <w:t>中国工商银行股份有限 公司－华商创新成长灵 活配置混合型发起式证 券投资基金</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0.36%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3,427,231</w:t>
            </w:r>
          </w:p>
        </w:tc>
        <w:tc>
          <w:tcPr>
            <w:tcW w:w="1005" w:type="dxa"/>
            <w:gridSpan w:val="2"/>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85" w:type="dxa"/>
            <w:gridSpan w:val="2"/>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12" w:space="0" w:color="000000"/>
            </w:tcBorders>
          </w:tcPr>
          <w:p>
            <w:pPr/>
          </w:p>
        </w:tc>
      </w:tr>
      <w:tr>
        <w:trPr>
          <w:trHeight w:val="946" w:hRule="exact"/>
        </w:trPr>
        <w:tc>
          <w:tcPr>
            <w:tcW w:w="2923"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09" w:lineRule="auto" w:before="11"/>
              <w:ind w:left="92" w:right="102"/>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23"/>
                <w:sz w:val="18"/>
                <w:szCs w:val="18"/>
              </w:rPr>
              <w:t>名股东的情况（如有）（参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45"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2923"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10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45" w:type="dxa"/>
            <w:gridSpan w:val="10"/>
            <w:tcBorders>
              <w:top w:val="single" w:sz="4" w:space="0" w:color="000000"/>
              <w:left w:val="single" w:sz="4" w:space="0" w:color="000000"/>
              <w:bottom w:val="single" w:sz="4" w:space="0" w:color="000000"/>
              <w:right w:val="single" w:sz="12" w:space="0" w:color="000000"/>
            </w:tcBorders>
          </w:tcPr>
          <w:p>
            <w:pPr>
              <w:pStyle w:val="TableParagraph"/>
              <w:spacing w:line="312" w:lineRule="auto" w:before="11"/>
              <w:ind w:left="102" w:right="92"/>
              <w:jc w:val="both"/>
              <w:rPr>
                <w:rFonts w:ascii="宋体" w:hAnsi="宋体" w:cs="宋体" w:eastAsia="宋体" w:hint="default"/>
                <w:sz w:val="18"/>
                <w:szCs w:val="18"/>
              </w:rPr>
            </w:pPr>
            <w:r>
              <w:rPr>
                <w:rFonts w:ascii="宋体" w:hAnsi="宋体" w:cs="宋体" w:eastAsia="宋体" w:hint="default"/>
                <w:spacing w:val="-2"/>
                <w:sz w:val="18"/>
                <w:szCs w:val="18"/>
              </w:rPr>
              <w:t>张德生先生为公司实际控制人，除个人持股外，其通过电气电缆集团持有本公司股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份；张珊珊女士为张德生先生之女。除此之外，公司未知前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名股东之间是否存 </w:t>
            </w:r>
            <w:r>
              <w:rPr>
                <w:rFonts w:ascii="宋体" w:hAnsi="宋体" w:cs="宋体" w:eastAsia="宋体" w:hint="default"/>
                <w:spacing w:val="-2"/>
                <w:sz w:val="18"/>
                <w:szCs w:val="18"/>
              </w:rPr>
              <w:t>在关联关系，也未知是否存在《上市公司收购管理办法》中规定的一致行动人的情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况。</w:t>
            </w:r>
          </w:p>
        </w:tc>
      </w:tr>
      <w:tr>
        <w:trPr>
          <w:trHeight w:val="322" w:hRule="exact"/>
        </w:trPr>
        <w:tc>
          <w:tcPr>
            <w:tcW w:w="9568" w:type="dxa"/>
            <w:gridSpan w:val="12"/>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5473" w:type="dxa"/>
            <w:gridSpan w:val="6"/>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108" w:right="105"/>
              <w:jc w:val="center"/>
              <w:rPr>
                <w:rFonts w:ascii="宋体" w:hAnsi="宋体" w:cs="宋体" w:eastAsia="宋体" w:hint="default"/>
                <w:sz w:val="18"/>
                <w:szCs w:val="18"/>
              </w:rPr>
            </w:pPr>
            <w:r>
              <w:rPr>
                <w:rFonts w:ascii="宋体" w:hAnsi="宋体" w:cs="宋体" w:eastAsia="宋体" w:hint="default"/>
                <w:sz w:val="18"/>
                <w:szCs w:val="18"/>
              </w:rPr>
              <w:t>报告期末持有无 限售条件股份数 量</w:t>
            </w:r>
          </w:p>
        </w:tc>
        <w:tc>
          <w:tcPr>
            <w:tcW w:w="2610" w:type="dxa"/>
            <w:gridSpan w:val="4"/>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624" w:hRule="exact"/>
        </w:trPr>
        <w:tc>
          <w:tcPr>
            <w:tcW w:w="5473" w:type="dxa"/>
            <w:gridSpan w:val="6"/>
            <w:vMerge/>
            <w:tcBorders>
              <w:left w:val="single" w:sz="12" w:space="0" w:color="000000"/>
              <w:bottom w:val="single" w:sz="4" w:space="0" w:color="000000"/>
              <w:right w:val="single" w:sz="4" w:space="0" w:color="000000"/>
            </w:tcBorders>
            <w:shd w:val="clear" w:color="auto" w:fill="D3D3D3"/>
          </w:tcPr>
          <w:p>
            <w:pPr/>
          </w:p>
        </w:tc>
        <w:tc>
          <w:tcPr>
            <w:tcW w:w="1485" w:type="dxa"/>
            <w:gridSpan w:val="2"/>
            <w:vMerge/>
            <w:tcBorders>
              <w:left w:val="single" w:sz="4" w:space="0" w:color="000000"/>
              <w:bottom w:val="single" w:sz="4" w:space="0" w:color="000000"/>
              <w:right w:val="single" w:sz="4" w:space="0" w:color="000000"/>
            </w:tcBorders>
            <w:shd w:val="clear" w:color="auto" w:fill="D3D3D3"/>
          </w:tcPr>
          <w:p>
            <w:pPr/>
          </w:p>
        </w:tc>
        <w:tc>
          <w:tcPr>
            <w:tcW w:w="1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2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30" w:type="dxa"/>
            <w:gridSpan w:val="2"/>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6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Times New Roman" w:hAnsi="Times New Roman" w:cs="Times New Roman" w:eastAsia="Times New Roman" w:hint="default"/>
                <w:sz w:val="18"/>
                <w:szCs w:val="18"/>
              </w:rPr>
            </w:pPr>
            <w:r>
              <w:rPr>
                <w:rFonts w:ascii="Times New Roman"/>
                <w:sz w:val="18"/>
              </w:rPr>
              <w:t>420,090,812</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16" w:right="0"/>
              <w:jc w:val="left"/>
              <w:rPr>
                <w:rFonts w:ascii="Times New Roman" w:hAnsi="Times New Roman" w:cs="Times New Roman" w:eastAsia="Times New Roman" w:hint="default"/>
                <w:sz w:val="18"/>
                <w:szCs w:val="18"/>
              </w:rPr>
            </w:pPr>
            <w:r>
              <w:rPr>
                <w:rFonts w:ascii="Times New Roman"/>
                <w:sz w:val="18"/>
              </w:rPr>
              <w:t>420,090,812</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深</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1" w:right="0"/>
              <w:jc w:val="left"/>
              <w:rPr>
                <w:rFonts w:ascii="Times New Roman" w:hAnsi="Times New Roman" w:cs="Times New Roman" w:eastAsia="Times New Roman" w:hint="default"/>
                <w:sz w:val="18"/>
                <w:szCs w:val="18"/>
              </w:rPr>
            </w:pPr>
            <w:r>
              <w:rPr>
                <w:rFonts w:ascii="Times New Roman"/>
                <w:sz w:val="18"/>
              </w:rPr>
              <w:t>15,999,962</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307" w:right="0"/>
              <w:jc w:val="left"/>
              <w:rPr>
                <w:rFonts w:ascii="Times New Roman" w:hAnsi="Times New Roman" w:cs="Times New Roman" w:eastAsia="Times New Roman" w:hint="default"/>
                <w:sz w:val="18"/>
                <w:szCs w:val="18"/>
              </w:rPr>
            </w:pPr>
            <w:r>
              <w:rPr>
                <w:rFonts w:ascii="Times New Roman"/>
                <w:sz w:val="18"/>
              </w:rPr>
              <w:t>15,999,962</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中国建设银行股份有限公司－华商盛世成长混合型证券投资基金</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Times New Roman" w:hAnsi="Times New Roman" w:cs="Times New Roman" w:eastAsia="Times New Roman" w:hint="default"/>
                <w:sz w:val="18"/>
                <w:szCs w:val="18"/>
              </w:rPr>
            </w:pPr>
            <w:r>
              <w:rPr>
                <w:rFonts w:ascii="Times New Roman"/>
                <w:sz w:val="18"/>
              </w:rPr>
              <w:t>8,437,181</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396" w:right="0"/>
              <w:jc w:val="left"/>
              <w:rPr>
                <w:rFonts w:ascii="Times New Roman" w:hAnsi="Times New Roman" w:cs="Times New Roman" w:eastAsia="Times New Roman" w:hint="default"/>
                <w:sz w:val="18"/>
                <w:szCs w:val="18"/>
              </w:rPr>
            </w:pPr>
            <w:r>
              <w:rPr>
                <w:rFonts w:ascii="Times New Roman"/>
                <w:sz w:val="18"/>
              </w:rPr>
              <w:t>8,437,181</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中国建设银行股份有限公司－华商价值精选混合型证券投资基金</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2" w:right="0"/>
              <w:jc w:val="left"/>
              <w:rPr>
                <w:rFonts w:ascii="Times New Roman" w:hAnsi="Times New Roman" w:cs="Times New Roman" w:eastAsia="Times New Roman" w:hint="default"/>
                <w:sz w:val="18"/>
                <w:szCs w:val="18"/>
              </w:rPr>
            </w:pPr>
            <w:r>
              <w:rPr>
                <w:rFonts w:ascii="Times New Roman"/>
                <w:sz w:val="18"/>
              </w:rPr>
              <w:t>8,045,430</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396" w:right="0"/>
              <w:jc w:val="left"/>
              <w:rPr>
                <w:rFonts w:ascii="Times New Roman" w:hAnsi="Times New Roman" w:cs="Times New Roman" w:eastAsia="Times New Roman" w:hint="default"/>
                <w:sz w:val="18"/>
                <w:szCs w:val="18"/>
              </w:rPr>
            </w:pPr>
            <w:r>
              <w:rPr>
                <w:rFonts w:ascii="Times New Roman"/>
                <w:sz w:val="18"/>
              </w:rPr>
              <w:t>8,045,430</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0" w:right="0"/>
              <w:jc w:val="left"/>
              <w:rPr>
                <w:rFonts w:ascii="Times New Roman" w:hAnsi="Times New Roman" w:cs="Times New Roman" w:eastAsia="Times New Roman" w:hint="default"/>
                <w:sz w:val="18"/>
                <w:szCs w:val="18"/>
              </w:rPr>
            </w:pPr>
            <w:r>
              <w:rPr>
                <w:rFonts w:ascii="Times New Roman"/>
                <w:sz w:val="18"/>
              </w:rPr>
              <w:t>5,837,911</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403" w:right="0"/>
              <w:jc w:val="left"/>
              <w:rPr>
                <w:rFonts w:ascii="Times New Roman" w:hAnsi="Times New Roman" w:cs="Times New Roman" w:eastAsia="Times New Roman" w:hint="default"/>
                <w:sz w:val="18"/>
                <w:szCs w:val="18"/>
              </w:rPr>
            </w:pPr>
            <w:r>
              <w:rPr>
                <w:rFonts w:ascii="Times New Roman"/>
                <w:sz w:val="18"/>
              </w:rPr>
              <w:t>5,837,911</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中国人寿财产保险股份有限公司－传统－普通保险产品</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5,372,500</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396" w:right="0"/>
              <w:jc w:val="left"/>
              <w:rPr>
                <w:rFonts w:ascii="Times New Roman" w:hAnsi="Times New Roman" w:cs="Times New Roman" w:eastAsia="Times New Roman" w:hint="default"/>
                <w:sz w:val="18"/>
                <w:szCs w:val="18"/>
              </w:rPr>
            </w:pPr>
            <w:r>
              <w:rPr>
                <w:rFonts w:ascii="Times New Roman"/>
                <w:sz w:val="18"/>
              </w:rPr>
              <w:t>5,372,500</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4,745,660</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396" w:right="0"/>
              <w:jc w:val="left"/>
              <w:rPr>
                <w:rFonts w:ascii="Times New Roman" w:hAnsi="Times New Roman" w:cs="Times New Roman" w:eastAsia="Times New Roman" w:hint="default"/>
                <w:sz w:val="18"/>
                <w:szCs w:val="18"/>
              </w:rPr>
            </w:pPr>
            <w:r>
              <w:rPr>
                <w:rFonts w:ascii="Times New Roman"/>
                <w:sz w:val="18"/>
              </w:rPr>
              <w:t>4,745,660</w:t>
            </w:r>
          </w:p>
        </w:tc>
      </w:tr>
      <w:tr>
        <w:trPr>
          <w:trHeight w:val="322"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顾春序</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Times New Roman" w:hAnsi="Times New Roman" w:cs="Times New Roman" w:eastAsia="Times New Roman" w:hint="default"/>
                <w:sz w:val="18"/>
                <w:szCs w:val="18"/>
              </w:rPr>
            </w:pPr>
            <w:r>
              <w:rPr>
                <w:rFonts w:ascii="Times New Roman"/>
                <w:sz w:val="18"/>
              </w:rPr>
              <w:t>4,720,000</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396" w:right="0"/>
              <w:jc w:val="left"/>
              <w:rPr>
                <w:rFonts w:ascii="Times New Roman" w:hAnsi="Times New Roman" w:cs="Times New Roman" w:eastAsia="Times New Roman" w:hint="default"/>
                <w:sz w:val="18"/>
                <w:szCs w:val="18"/>
              </w:rPr>
            </w:pPr>
            <w:r>
              <w:rPr>
                <w:rFonts w:ascii="Times New Roman"/>
                <w:sz w:val="18"/>
              </w:rPr>
              <w:t>4,720,000</w:t>
            </w:r>
          </w:p>
        </w:tc>
      </w:tr>
      <w:tr>
        <w:trPr>
          <w:trHeight w:val="634"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139"/>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中国建设银行股份有限公司－富国中证新能源汽车指数分级证券投 资基金</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3,998,177</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3,998,177</w:t>
            </w:r>
          </w:p>
        </w:tc>
      </w:tr>
      <w:tr>
        <w:trPr>
          <w:trHeight w:val="634" w:hRule="exact"/>
        </w:trPr>
        <w:tc>
          <w:tcPr>
            <w:tcW w:w="5473" w:type="dxa"/>
            <w:gridSpan w:val="6"/>
            <w:tcBorders>
              <w:top w:val="single" w:sz="4" w:space="0" w:color="000000"/>
              <w:left w:val="single" w:sz="12" w:space="0" w:color="000000"/>
              <w:bottom w:val="single" w:sz="4" w:space="0" w:color="000000"/>
              <w:right w:val="single" w:sz="4" w:space="0" w:color="000000"/>
            </w:tcBorders>
          </w:tcPr>
          <w:p>
            <w:pPr>
              <w:pStyle w:val="TableParagraph"/>
              <w:spacing w:line="316" w:lineRule="auto" w:before="11"/>
              <w:ind w:left="92" w:right="139"/>
              <w:jc w:val="left"/>
              <w:rPr>
                <w:rFonts w:ascii="宋体" w:hAnsi="宋体" w:cs="宋体" w:eastAsia="宋体" w:hint="default"/>
                <w:sz w:val="18"/>
                <w:szCs w:val="18"/>
              </w:rPr>
            </w:pPr>
            <w:r>
              <w:rPr>
                <w:rFonts w:ascii="宋体" w:hAnsi="宋体" w:cs="宋体" w:eastAsia="宋体" w:hint="default"/>
                <w:sz w:val="18"/>
                <w:szCs w:val="18"/>
              </w:rPr>
              <w:t>中国工商银行股份有限公司－华商创新成长灵活配置混合型发起式 证券投资基金</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3,427,231</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3,427,231</w:t>
            </w:r>
          </w:p>
        </w:tc>
      </w:tr>
      <w:tr>
        <w:trPr>
          <w:trHeight w:val="1258" w:hRule="exact"/>
        </w:trPr>
        <w:tc>
          <w:tcPr>
            <w:tcW w:w="3058" w:type="dxa"/>
            <w:gridSpan w:val="3"/>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07" w:lineRule="auto" w:before="10"/>
              <w:ind w:left="92" w:right="10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 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510" w:type="dxa"/>
            <w:gridSpan w:val="9"/>
            <w:tcBorders>
              <w:top w:val="single" w:sz="4" w:space="0" w:color="000000"/>
              <w:left w:val="single" w:sz="4" w:space="0" w:color="000000"/>
              <w:bottom w:val="single" w:sz="4" w:space="0" w:color="000000"/>
              <w:right w:val="single" w:sz="12" w:space="0" w:color="000000"/>
            </w:tcBorders>
          </w:tcPr>
          <w:p>
            <w:pPr>
              <w:pStyle w:val="TableParagraph"/>
              <w:spacing w:line="312" w:lineRule="auto" w:before="10"/>
              <w:ind w:left="104" w:right="92"/>
              <w:jc w:val="both"/>
              <w:rPr>
                <w:rFonts w:ascii="宋体" w:hAnsi="宋体" w:cs="宋体" w:eastAsia="宋体" w:hint="default"/>
                <w:sz w:val="18"/>
                <w:szCs w:val="18"/>
              </w:rPr>
            </w:pPr>
            <w:r>
              <w:rPr>
                <w:rFonts w:ascii="宋体" w:hAnsi="宋体" w:cs="宋体" w:eastAsia="宋体" w:hint="default"/>
                <w:sz w:val="18"/>
                <w:szCs w:val="18"/>
              </w:rPr>
              <w:t>张德生先生为公司实际控制人，除个人持股外，其通过电气电缆集团持有本公司 股份；张珊珊女士为张德生先生之女。除此之外，公司未知前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名股东之间是 否存在关联关系，也未知是否存在《上市公司收购管理办法》中规定的一致行动 人的情况。</w:t>
            </w:r>
          </w:p>
        </w:tc>
      </w:tr>
      <w:tr>
        <w:trPr>
          <w:trHeight w:val="644" w:hRule="exact"/>
        </w:trPr>
        <w:tc>
          <w:tcPr>
            <w:tcW w:w="3058" w:type="dxa"/>
            <w:gridSpan w:val="3"/>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300" w:lineRule="auto" w:before="10"/>
              <w:ind w:left="92" w:right="1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务情况说明（如有）（参见注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510" w:type="dxa"/>
            <w:gridSpan w:val="9"/>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3"/>
        <w:ind w:left="132" w:right="14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after="0"/>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9"/>
        <w:rPr>
          <w:rFonts w:ascii="宋体" w:hAnsi="宋体" w:cs="宋体" w:eastAsia="宋体" w:hint="default"/>
          <w:sz w:val="15"/>
          <w:szCs w:val="15"/>
        </w:rPr>
      </w:pPr>
    </w:p>
    <w:p>
      <w:pPr>
        <w:spacing w:before="44"/>
        <w:ind w:left="132" w:right="7083"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7"/>
        <w:ind w:left="132" w:right="14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控股股东性质：社团集体控股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4"/>
        <w:ind w:left="0" w:right="146" w:firstLine="0"/>
        <w:jc w:val="right"/>
        <w:rPr>
          <w:rFonts w:ascii="宋体" w:hAnsi="宋体" w:cs="宋体" w:eastAsia="宋体" w:hint="default"/>
          <w:sz w:val="18"/>
          <w:szCs w:val="18"/>
        </w:rPr>
      </w:pPr>
      <w:r>
        <w:rPr/>
        <w:pict>
          <v:shape style="position:absolute;margin-left:55.98pt;margin-top:-162.31778pt;width:480.6pt;height:249.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6"/>
                    <w:gridCol w:w="1185"/>
                    <w:gridCol w:w="1710"/>
                    <w:gridCol w:w="1395"/>
                    <w:gridCol w:w="3222"/>
                  </w:tblGrid>
                  <w:tr>
                    <w:trPr>
                      <w:trHeight w:val="724" w:hRule="exact"/>
                    </w:trPr>
                    <w:tc>
                      <w:tcPr>
                        <w:tcW w:w="205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8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36" w:right="111"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单位负责人</w:t>
                        </w:r>
                      </w:p>
                    </w:tc>
                    <w:tc>
                      <w:tcPr>
                        <w:tcW w:w="171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3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22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056" w:type="dxa"/>
                        <w:tcBorders>
                          <w:top w:val="single" w:sz="4" w:space="0" w:color="000000"/>
                          <w:left w:val="single" w:sz="12" w:space="0" w:color="000000"/>
                          <w:bottom w:val="nil" w:sz="6" w:space="0" w:color="auto"/>
                          <w:right w:val="single" w:sz="4" w:space="0" w:color="000000"/>
                        </w:tcBorders>
                      </w:tcPr>
                      <w:p>
                        <w:pPr/>
                      </w:p>
                    </w:tc>
                    <w:tc>
                      <w:tcPr>
                        <w:tcW w:w="1185" w:type="dxa"/>
                        <w:tcBorders>
                          <w:top w:val="single" w:sz="4" w:space="0" w:color="000000"/>
                          <w:left w:val="single" w:sz="4" w:space="0" w:color="000000"/>
                          <w:bottom w:val="nil" w:sz="6" w:space="0" w:color="auto"/>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395" w:type="dxa"/>
                        <w:tcBorders>
                          <w:top w:val="single" w:sz="4" w:space="0" w:color="000000"/>
                          <w:left w:val="single" w:sz="4" w:space="0" w:color="000000"/>
                          <w:bottom w:val="nil" w:sz="6" w:space="0" w:color="auto"/>
                          <w:right w:val="single" w:sz="4" w:space="0" w:color="000000"/>
                        </w:tcBorders>
                      </w:tcPr>
                      <w:p>
                        <w:pPr/>
                      </w:p>
                    </w:tc>
                    <w:tc>
                      <w:tcPr>
                        <w:tcW w:w="3222"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8"/>
                            <w:sz w:val="18"/>
                            <w:szCs w:val="18"/>
                          </w:rPr>
                          <w:t>电力设备、器材，橡塑制品、机械设备、</w:t>
                        </w:r>
                      </w:p>
                    </w:tc>
                  </w:tr>
                  <w:tr>
                    <w:trPr>
                      <w:trHeight w:val="312" w:hRule="exact"/>
                    </w:trPr>
                    <w:tc>
                      <w:tcPr>
                        <w:tcW w:w="2056" w:type="dxa"/>
                        <w:tcBorders>
                          <w:top w:val="nil" w:sz="6" w:space="0" w:color="auto"/>
                          <w:left w:val="single" w:sz="12" w:space="0" w:color="000000"/>
                          <w:bottom w:val="nil" w:sz="6" w:space="0" w:color="auto"/>
                          <w:right w:val="single" w:sz="4" w:space="0" w:color="000000"/>
                        </w:tcBorders>
                      </w:tcPr>
                      <w:p>
                        <w:pPr/>
                      </w:p>
                    </w:tc>
                    <w:tc>
                      <w:tcPr>
                        <w:tcW w:w="1185"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4"/>
                            <w:sz w:val="18"/>
                            <w:szCs w:val="18"/>
                          </w:rPr>
                          <w:t>金属材料、建筑材料（除砂石）、化工</w:t>
                        </w:r>
                      </w:p>
                    </w:tc>
                  </w:tr>
                  <w:tr>
                    <w:trPr>
                      <w:trHeight w:val="312" w:hRule="exact"/>
                    </w:trPr>
                    <w:tc>
                      <w:tcPr>
                        <w:tcW w:w="2056" w:type="dxa"/>
                        <w:tcBorders>
                          <w:top w:val="nil" w:sz="6" w:space="0" w:color="auto"/>
                          <w:left w:val="single" w:sz="12" w:space="0" w:color="000000"/>
                          <w:bottom w:val="nil" w:sz="6" w:space="0" w:color="auto"/>
                          <w:right w:val="single" w:sz="4" w:space="0" w:color="000000"/>
                        </w:tcBorders>
                      </w:tcPr>
                      <w:p>
                        <w:pPr/>
                      </w:p>
                    </w:tc>
                    <w:tc>
                      <w:tcPr>
                        <w:tcW w:w="1185"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4"/>
                            <w:sz w:val="18"/>
                            <w:szCs w:val="18"/>
                          </w:rPr>
                          <w:t>产品及原料（除化学危险品及易制毒化</w:t>
                        </w:r>
                      </w:p>
                    </w:tc>
                  </w:tr>
                  <w:tr>
                    <w:trPr>
                      <w:trHeight w:val="312" w:hRule="exact"/>
                    </w:trPr>
                    <w:tc>
                      <w:tcPr>
                        <w:tcW w:w="2056" w:type="dxa"/>
                        <w:tcBorders>
                          <w:top w:val="nil" w:sz="6" w:space="0" w:color="auto"/>
                          <w:left w:val="single" w:sz="12" w:space="0" w:color="000000"/>
                          <w:bottom w:val="nil" w:sz="6" w:space="0" w:color="auto"/>
                          <w:right w:val="single" w:sz="4" w:space="0" w:color="000000"/>
                        </w:tcBorders>
                      </w:tcPr>
                      <w:p>
                        <w:pPr/>
                      </w:p>
                    </w:tc>
                    <w:tc>
                      <w:tcPr>
                        <w:tcW w:w="1185"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8"/>
                            <w:sz w:val="18"/>
                            <w:szCs w:val="18"/>
                          </w:rPr>
                          <w:t>学品）、纺织品及原料、五金、贵金属；</w:t>
                        </w:r>
                      </w:p>
                    </w:tc>
                  </w:tr>
                  <w:tr>
                    <w:trPr>
                      <w:trHeight w:val="624" w:hRule="exact"/>
                    </w:trPr>
                    <w:tc>
                      <w:tcPr>
                        <w:tcW w:w="2056" w:type="dxa"/>
                        <w:tcBorders>
                          <w:top w:val="nil" w:sz="6" w:space="0" w:color="auto"/>
                          <w:left w:val="single" w:sz="12" w:space="0" w:color="000000"/>
                          <w:bottom w:val="nil" w:sz="6" w:space="0" w:color="auto"/>
                          <w:right w:val="single" w:sz="4" w:space="0" w:color="000000"/>
                        </w:tcBorders>
                      </w:tcPr>
                      <w:p>
                        <w:pPr>
                          <w:pStyle w:val="TableParagraph"/>
                          <w:spacing w:line="316" w:lineRule="auto" w:before="10"/>
                          <w:ind w:left="92" w:right="142"/>
                          <w:jc w:val="left"/>
                          <w:rPr>
                            <w:rFonts w:ascii="宋体" w:hAnsi="宋体" w:cs="宋体" w:eastAsia="宋体" w:hint="default"/>
                            <w:sz w:val="18"/>
                            <w:szCs w:val="18"/>
                          </w:rPr>
                        </w:pPr>
                        <w:r>
                          <w:rPr>
                            <w:rFonts w:ascii="宋体" w:hAnsi="宋体" w:cs="宋体" w:eastAsia="宋体" w:hint="default"/>
                            <w:sz w:val="18"/>
                            <w:szCs w:val="18"/>
                          </w:rPr>
                          <w:t>浙江万马电气电缆集团 有限公司</w:t>
                        </w:r>
                      </w:p>
                    </w:tc>
                    <w:tc>
                      <w:tcPr>
                        <w:tcW w:w="11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70431249-1</w:t>
                        </w: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104" w:right="93"/>
                          <w:jc w:val="left"/>
                          <w:rPr>
                            <w:rFonts w:ascii="宋体" w:hAnsi="宋体" w:cs="宋体" w:eastAsia="宋体" w:hint="default"/>
                            <w:sz w:val="18"/>
                            <w:szCs w:val="18"/>
                          </w:rPr>
                        </w:pPr>
                        <w:r>
                          <w:rPr>
                            <w:rFonts w:ascii="宋体" w:hAnsi="宋体" w:cs="宋体" w:eastAsia="宋体" w:hint="default"/>
                            <w:spacing w:val="-4"/>
                            <w:sz w:val="18"/>
                            <w:szCs w:val="18"/>
                          </w:rPr>
                          <w:t>经济信息咨询（除商品中介）；投资管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理及投资咨询（不含金融、期货、证券</w:t>
                        </w:r>
                      </w:p>
                    </w:tc>
                  </w:tr>
                  <w:tr>
                    <w:trPr>
                      <w:trHeight w:val="312" w:hRule="exact"/>
                    </w:trPr>
                    <w:tc>
                      <w:tcPr>
                        <w:tcW w:w="2056" w:type="dxa"/>
                        <w:tcBorders>
                          <w:top w:val="nil" w:sz="6" w:space="0" w:color="auto"/>
                          <w:left w:val="single" w:sz="12" w:space="0" w:color="000000"/>
                          <w:bottom w:val="nil" w:sz="6" w:space="0" w:color="auto"/>
                          <w:right w:val="single" w:sz="4" w:space="0" w:color="000000"/>
                        </w:tcBorders>
                      </w:tcPr>
                      <w:p>
                        <w:pPr/>
                      </w:p>
                    </w:tc>
                    <w:tc>
                      <w:tcPr>
                        <w:tcW w:w="1185"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4"/>
                            <w:sz w:val="18"/>
                            <w:szCs w:val="18"/>
                          </w:rPr>
                          <w:t>信息）；货物进出口（法律、行政法规</w:t>
                        </w:r>
                      </w:p>
                    </w:tc>
                  </w:tr>
                  <w:tr>
                    <w:trPr>
                      <w:trHeight w:val="312" w:hRule="exact"/>
                    </w:trPr>
                    <w:tc>
                      <w:tcPr>
                        <w:tcW w:w="2056" w:type="dxa"/>
                        <w:tcBorders>
                          <w:top w:val="nil" w:sz="6" w:space="0" w:color="auto"/>
                          <w:left w:val="single" w:sz="12" w:space="0" w:color="000000"/>
                          <w:bottom w:val="nil" w:sz="6" w:space="0" w:color="auto"/>
                          <w:right w:val="single" w:sz="4" w:space="0" w:color="000000"/>
                        </w:tcBorders>
                      </w:tcPr>
                      <w:p>
                        <w:pPr/>
                      </w:p>
                    </w:tc>
                    <w:tc>
                      <w:tcPr>
                        <w:tcW w:w="1185"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4"/>
                            <w:sz w:val="18"/>
                            <w:szCs w:val="18"/>
                          </w:rPr>
                          <w:t>禁止经营的项目除外，法律、行政法规</w:t>
                        </w:r>
                      </w:p>
                    </w:tc>
                  </w:tr>
                  <w:tr>
                    <w:trPr>
                      <w:trHeight w:val="312" w:hRule="exact"/>
                    </w:trPr>
                    <w:tc>
                      <w:tcPr>
                        <w:tcW w:w="2056" w:type="dxa"/>
                        <w:tcBorders>
                          <w:top w:val="nil" w:sz="6" w:space="0" w:color="auto"/>
                          <w:left w:val="single" w:sz="12" w:space="0" w:color="000000"/>
                          <w:bottom w:val="nil" w:sz="6" w:space="0" w:color="auto"/>
                          <w:right w:val="single" w:sz="4" w:space="0" w:color="000000"/>
                        </w:tcBorders>
                      </w:tcPr>
                      <w:p>
                        <w:pPr/>
                      </w:p>
                    </w:tc>
                    <w:tc>
                      <w:tcPr>
                        <w:tcW w:w="1185"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3222"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限制经营的项目取得许可后方可经营</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57" w:hRule="exact"/>
                    </w:trPr>
                    <w:tc>
                      <w:tcPr>
                        <w:tcW w:w="2056" w:type="dxa"/>
                        <w:tcBorders>
                          <w:top w:val="nil" w:sz="6" w:space="0" w:color="auto"/>
                          <w:left w:val="single" w:sz="12" w:space="0" w:color="000000"/>
                          <w:bottom w:val="single" w:sz="4" w:space="0" w:color="000000"/>
                          <w:right w:val="single" w:sz="4" w:space="0" w:color="000000"/>
                        </w:tcBorders>
                      </w:tcPr>
                      <w:p>
                        <w:pPr/>
                      </w:p>
                    </w:tc>
                    <w:tc>
                      <w:tcPr>
                        <w:tcW w:w="1185" w:type="dxa"/>
                        <w:tcBorders>
                          <w:top w:val="nil" w:sz="6" w:space="0" w:color="auto"/>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395" w:type="dxa"/>
                        <w:tcBorders>
                          <w:top w:val="nil" w:sz="6" w:space="0" w:color="auto"/>
                          <w:left w:val="single" w:sz="4" w:space="0" w:color="000000"/>
                          <w:bottom w:val="single" w:sz="4" w:space="0" w:color="000000"/>
                          <w:right w:val="single" w:sz="4" w:space="0" w:color="000000"/>
                        </w:tcBorders>
                      </w:tcPr>
                      <w:p>
                        <w:pPr/>
                      </w:p>
                    </w:tc>
                    <w:tc>
                      <w:tcPr>
                        <w:tcW w:w="3222"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其他无需报经审批的一切合法项目。</w:t>
                        </w:r>
                      </w:p>
                    </w:tc>
                  </w:tr>
                  <w:tr>
                    <w:trPr>
                      <w:trHeight w:val="358" w:hRule="exact"/>
                    </w:trPr>
                    <w:tc>
                      <w:tcPr>
                        <w:tcW w:w="2056" w:type="dxa"/>
                        <w:tcBorders>
                          <w:top w:val="single" w:sz="4" w:space="0" w:color="000000"/>
                          <w:left w:val="single" w:sz="12" w:space="0" w:color="000000"/>
                          <w:bottom w:val="nil" w:sz="6" w:space="0" w:color="auto"/>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512" w:type="dxa"/>
                        <w:gridSpan w:val="4"/>
                        <w:tcBorders>
                          <w:top w:val="single" w:sz="4" w:space="0" w:color="000000"/>
                          <w:left w:val="single" w:sz="4" w:space="0" w:color="000000"/>
                          <w:bottom w:val="nil" w:sz="6" w:space="0" w:color="auto"/>
                          <w:right w:val="single" w:sz="12" w:space="0" w:color="000000"/>
                        </w:tcBorders>
                      </w:tcPr>
                      <w:p>
                        <w:pPr/>
                      </w:p>
                    </w:tc>
                  </w:tr>
                  <w:tr>
                    <w:trPr>
                      <w:trHeight w:val="316" w:hRule="exact"/>
                    </w:trPr>
                    <w:tc>
                      <w:tcPr>
                        <w:tcW w:w="2056"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512" w:type="dxa"/>
                        <w:gridSpan w:val="4"/>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持有新三板上市公司万马科技股份有限公司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股，持股比例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62" w:hRule="exact"/>
                    </w:trPr>
                    <w:tc>
                      <w:tcPr>
                        <w:tcW w:w="2056" w:type="dxa"/>
                        <w:tcBorders>
                          <w:top w:val="nil" w:sz="6" w:space="0" w:color="auto"/>
                          <w:left w:val="single" w:sz="12" w:space="0" w:color="000000"/>
                          <w:bottom w:val="single" w:sz="12" w:space="0" w:color="000000"/>
                          <w:right w:val="single" w:sz="4" w:space="0" w:color="000000"/>
                        </w:tcBorders>
                        <w:shd w:val="clear" w:color="auto" w:fill="D3D3D3"/>
                      </w:tcPr>
                      <w:p>
                        <w:pPr>
                          <w:pStyle w:val="TableParagraph"/>
                          <w:spacing w:line="240" w:lineRule="auto" w:before="6"/>
                          <w:ind w:left="9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512" w:type="dxa"/>
                        <w:gridSpan w:val="4"/>
                        <w:tcBorders>
                          <w:top w:val="nil" w:sz="6" w:space="0" w:color="auto"/>
                          <w:left w:val="single" w:sz="4"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7"/>
        <w:ind w:left="13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2"/>
        <w:rPr>
          <w:rFonts w:ascii="宋体" w:hAnsi="宋体" w:cs="宋体" w:eastAsia="宋体" w:hint="default"/>
          <w:sz w:val="19"/>
          <w:szCs w:val="19"/>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9" w:type="dxa"/>
        <w:tblLayout w:type="fixed"/>
        <w:tblCellMar>
          <w:top w:w="0" w:type="dxa"/>
          <w:left w:w="0" w:type="dxa"/>
          <w:bottom w:w="0" w:type="dxa"/>
          <w:right w:w="0" w:type="dxa"/>
        </w:tblCellMar>
        <w:tblLook w:val="01E0"/>
      </w:tblPr>
      <w:tblGrid>
        <w:gridCol w:w="3418"/>
        <w:gridCol w:w="2302"/>
        <w:gridCol w:w="3848"/>
      </w:tblGrid>
      <w:tr>
        <w:trPr>
          <w:trHeight w:val="412" w:hRule="exact"/>
        </w:trPr>
        <w:tc>
          <w:tcPr>
            <w:tcW w:w="341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106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12" w:space="0" w:color="000000"/>
            </w:tcBorders>
          </w:tcPr>
          <w:p>
            <w:pPr>
              <w:pStyle w:val="TableParagraph"/>
              <w:spacing w:line="300" w:lineRule="auto" w:before="50"/>
              <w:ind w:left="104" w:right="92"/>
              <w:jc w:val="both"/>
              <w:rPr>
                <w:rFonts w:ascii="宋体" w:hAnsi="宋体" w:cs="宋体" w:eastAsia="宋体" w:hint="default"/>
                <w:sz w:val="18"/>
                <w:szCs w:val="18"/>
              </w:rPr>
            </w:pPr>
            <w:r>
              <w:rPr>
                <w:rFonts w:ascii="Times New Roman" w:hAnsi="Times New Roman" w:cs="Times New Roman" w:eastAsia="Times New Roman" w:hint="default"/>
                <w:sz w:val="18"/>
                <w:szCs w:val="18"/>
              </w:rPr>
              <w:t>1974 </w:t>
            </w:r>
            <w:r>
              <w:rPr>
                <w:rFonts w:ascii="宋体" w:hAnsi="宋体" w:cs="宋体" w:eastAsia="宋体" w:hint="default"/>
                <w:spacing w:val="-2"/>
                <w:sz w:val="18"/>
                <w:szCs w:val="18"/>
              </w:rPr>
              <w:t>年起历任临天乡农机厂副厂长、临天乡标牌厂副厂长、临天乡供销社公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司经理；</w:t>
            </w:r>
            <w:r>
              <w:rPr>
                <w:rFonts w:ascii="Times New Roman" w:hAnsi="Times New Roman" w:cs="Times New Roman" w:eastAsia="Times New Roman" w:hint="default"/>
                <w:spacing w:val="-3"/>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年起创业，逐步发展壮大。最近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年内一直担任万马联合控股</w:t>
            </w:r>
            <w:r>
              <w:rPr>
                <w:rFonts w:ascii="宋体" w:hAnsi="宋体" w:cs="宋体" w:eastAsia="宋体" w:hint="default"/>
                <w:spacing w:val="-88"/>
                <w:sz w:val="18"/>
                <w:szCs w:val="18"/>
              </w:rPr>
              <w:t> </w:t>
            </w:r>
            <w:r>
              <w:rPr>
                <w:rFonts w:ascii="宋体" w:hAnsi="宋体" w:cs="宋体" w:eastAsia="宋体" w:hint="default"/>
                <w:sz w:val="18"/>
                <w:szCs w:val="18"/>
              </w:rPr>
              <w:t>集团有限公司董事长。</w:t>
            </w:r>
          </w:p>
        </w:tc>
      </w:tr>
      <w:tr>
        <w:trPr>
          <w:trHeight w:val="412" w:hRule="exact"/>
        </w:trPr>
        <w:tc>
          <w:tcPr>
            <w:tcW w:w="3418"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32" w:right="708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3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after="0" w:line="357" w:lineRule="auto"/>
        <w:jc w:val="left"/>
        <w:rPr>
          <w:rFonts w:ascii="宋体" w:hAnsi="宋体" w:cs="宋体" w:eastAsia="宋体" w:hint="default"/>
          <w:sz w:val="18"/>
          <w:szCs w:val="18"/>
        </w:rPr>
        <w:sectPr>
          <w:footerReference w:type="default" r:id="rId24"/>
          <w:pgSz w:w="11910" w:h="16840"/>
          <w:pgMar w:footer="1012" w:header="850" w:top="1440" w:bottom="1200" w:left="1000" w:right="1020"/>
          <w:pgNumType w:start="70"/>
        </w:sectPr>
      </w:pPr>
    </w:p>
    <w:p>
      <w:pPr>
        <w:spacing w:line="240" w:lineRule="auto" w:before="2"/>
        <w:rPr>
          <w:rFonts w:ascii="宋体" w:hAnsi="宋体" w:cs="宋体" w:eastAsia="宋体" w:hint="default"/>
          <w:sz w:val="25"/>
          <w:szCs w:val="25"/>
        </w:rPr>
      </w:pPr>
    </w:p>
    <w:p>
      <w:pPr>
        <w:spacing w:line="4185" w:lineRule="exact"/>
        <w:ind w:left="1317"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89629" cy="2657475"/>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25" cstate="print"/>
                    <a:stretch>
                      <a:fillRect/>
                    </a:stretch>
                  </pic:blipFill>
                  <pic:spPr>
                    <a:xfrm>
                      <a:off x="0" y="0"/>
                      <a:ext cx="4589629" cy="265747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8"/>
        <w:rPr>
          <w:rFonts w:ascii="宋体" w:hAnsi="宋体" w:cs="宋体" w:eastAsia="宋体" w:hint="default"/>
          <w:sz w:val="17"/>
          <w:szCs w:val="17"/>
        </w:rPr>
      </w:pPr>
    </w:p>
    <w:p>
      <w:pPr>
        <w:pStyle w:val="Heading3"/>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50" w:footer="1012" w:top="144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spacing w:line="360" w:lineRule="auto" w:before="44"/>
        <w:ind w:left="112" w:right="757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850" w:footer="1012" w:top="144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664" w:right="104"/>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0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811"/>
        <w:gridCol w:w="690"/>
        <w:gridCol w:w="585"/>
        <w:gridCol w:w="420"/>
        <w:gridCol w:w="450"/>
        <w:gridCol w:w="1065"/>
        <w:gridCol w:w="1095"/>
        <w:gridCol w:w="1080"/>
        <w:gridCol w:w="810"/>
        <w:gridCol w:w="840"/>
        <w:gridCol w:w="765"/>
        <w:gridCol w:w="1110"/>
      </w:tblGrid>
      <w:tr>
        <w:trPr>
          <w:trHeight w:val="1348" w:hRule="exact"/>
        </w:trPr>
        <w:tc>
          <w:tcPr>
            <w:tcW w:w="811"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6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8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08" w:right="10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16" w:right="112"/>
              <w:jc w:val="left"/>
              <w:rPr>
                <w:rFonts w:ascii="宋体" w:hAnsi="宋体" w:cs="宋体" w:eastAsia="宋体" w:hint="default"/>
                <w:sz w:val="18"/>
                <w:szCs w:val="18"/>
              </w:rPr>
            </w:pPr>
            <w:r>
              <w:rPr>
                <w:rFonts w:ascii="宋体" w:hAnsi="宋体" w:cs="宋体" w:eastAsia="宋体" w:hint="default"/>
                <w:sz w:val="18"/>
                <w:szCs w:val="18"/>
              </w:rPr>
              <w:t>性 别</w:t>
            </w:r>
          </w:p>
        </w:tc>
        <w:tc>
          <w:tcPr>
            <w:tcW w:w="45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30" w:right="128"/>
              <w:jc w:val="left"/>
              <w:rPr>
                <w:rFonts w:ascii="宋体" w:hAnsi="宋体" w:cs="宋体" w:eastAsia="宋体" w:hint="default"/>
                <w:sz w:val="18"/>
                <w:szCs w:val="18"/>
              </w:rPr>
            </w:pPr>
            <w:r>
              <w:rPr>
                <w:rFonts w:ascii="宋体" w:hAnsi="宋体" w:cs="宋体" w:eastAsia="宋体" w:hint="default"/>
                <w:sz w:val="18"/>
                <w:szCs w:val="18"/>
              </w:rPr>
              <w:t>年 龄</w:t>
            </w:r>
          </w:p>
        </w:tc>
        <w:tc>
          <w:tcPr>
            <w:tcW w:w="106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347" w:right="1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362" w:right="18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74" w:right="17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9" w:right="129"/>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4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4" w:right="143"/>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4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6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0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90" w:right="17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何若虚</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董事 长</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2014-04-11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1026"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沈伟康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3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2015-06-12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364,000</w:t>
            </w:r>
          </w:p>
        </w:tc>
      </w:tr>
      <w:tr>
        <w:trPr>
          <w:trHeight w:val="1026"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66"/>
              <w:jc w:val="center"/>
              <w:rPr>
                <w:rFonts w:ascii="宋体" w:hAnsi="宋体" w:cs="宋体" w:eastAsia="宋体" w:hint="default"/>
                <w:sz w:val="18"/>
                <w:szCs w:val="18"/>
              </w:rPr>
            </w:pPr>
            <w:r>
              <w:rPr>
                <w:rFonts w:ascii="宋体" w:hAnsi="宋体" w:cs="宋体" w:eastAsia="宋体" w:hint="default"/>
                <w:sz w:val="18"/>
                <w:szCs w:val="18"/>
              </w:rPr>
              <w:t>何孙益</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3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2015-06-12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280,000</w:t>
            </w:r>
          </w:p>
        </w:tc>
        <w:tc>
          <w:tcPr>
            <w:tcW w:w="81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40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66"/>
              <w:jc w:val="center"/>
              <w:rPr>
                <w:rFonts w:ascii="宋体" w:hAnsi="宋体" w:cs="宋体" w:eastAsia="宋体" w:hint="default"/>
                <w:sz w:val="18"/>
                <w:szCs w:val="18"/>
              </w:rPr>
            </w:pPr>
            <w:r>
              <w:rPr>
                <w:rFonts w:ascii="宋体" w:hAnsi="宋体" w:cs="宋体" w:eastAsia="宋体" w:hint="default"/>
                <w:sz w:val="18"/>
                <w:szCs w:val="18"/>
              </w:rPr>
              <w:t>张丹凤</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center"/>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姚伟国</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1026"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王震宇</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36"/>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杜烈康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2015-05-06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阎孟昆</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1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邹  峻</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66"/>
              <w:jc w:val="center"/>
              <w:rPr>
                <w:rFonts w:ascii="宋体" w:hAnsi="宋体" w:cs="宋体" w:eastAsia="宋体" w:hint="default"/>
                <w:sz w:val="18"/>
                <w:szCs w:val="18"/>
              </w:rPr>
            </w:pPr>
            <w:r>
              <w:rPr>
                <w:rFonts w:ascii="宋体" w:hAnsi="宋体" w:cs="宋体" w:eastAsia="宋体" w:hint="default"/>
                <w:sz w:val="18"/>
                <w:szCs w:val="18"/>
              </w:rPr>
              <w:t>刘金华</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张亦春</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2014-04-11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66"/>
              <w:jc w:val="center"/>
              <w:rPr>
                <w:rFonts w:ascii="宋体" w:hAnsi="宋体" w:cs="宋体" w:eastAsia="宋体" w:hint="default"/>
                <w:sz w:val="18"/>
                <w:szCs w:val="18"/>
              </w:rPr>
            </w:pPr>
            <w:r>
              <w:rPr>
                <w:rFonts w:ascii="宋体" w:hAnsi="宋体" w:cs="宋体" w:eastAsia="宋体" w:hint="default"/>
                <w:sz w:val="18"/>
                <w:szCs w:val="18"/>
              </w:rPr>
              <w:t>邵淑青</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center"/>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周  炯</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212,500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637,500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刘焕新</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1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190,000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730,000</w:t>
            </w:r>
          </w:p>
        </w:tc>
      </w:tr>
      <w:tr>
        <w:trPr>
          <w:trHeight w:val="71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覃运平</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300,000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40" w:bottom="1200" w:left="1000" w:right="920"/>
        </w:sectPr>
      </w:pPr>
    </w:p>
    <w:p>
      <w:pPr>
        <w:spacing w:line="240" w:lineRule="auto" w:before="4"/>
        <w:rPr>
          <w:rFonts w:ascii="宋体" w:hAnsi="宋体" w:cs="宋体" w:eastAsia="宋体"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811"/>
        <w:gridCol w:w="690"/>
        <w:gridCol w:w="585"/>
        <w:gridCol w:w="420"/>
        <w:gridCol w:w="450"/>
        <w:gridCol w:w="1065"/>
        <w:gridCol w:w="1095"/>
        <w:gridCol w:w="1080"/>
        <w:gridCol w:w="810"/>
        <w:gridCol w:w="840"/>
        <w:gridCol w:w="765"/>
        <w:gridCol w:w="1110"/>
      </w:tblGrid>
      <w:tr>
        <w:trPr>
          <w:trHeight w:val="1026"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36"/>
              <w:jc w:val="left"/>
              <w:rPr>
                <w:rFonts w:ascii="宋体" w:hAnsi="宋体" w:cs="宋体" w:eastAsia="宋体" w:hint="default"/>
                <w:sz w:val="18"/>
                <w:szCs w:val="18"/>
              </w:rPr>
            </w:pPr>
            <w:r>
              <w:rPr>
                <w:rFonts w:ascii="宋体" w:hAnsi="宋体" w:cs="宋体" w:eastAsia="宋体" w:hint="default"/>
                <w:sz w:val="18"/>
                <w:szCs w:val="18"/>
              </w:rPr>
              <w:t>财务 总监、 董秘</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2015-02-14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2016-05-09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32,500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97,500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夏臣科</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1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离任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2015-04-15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222,500</w:t>
            </w:r>
          </w:p>
        </w:tc>
        <w:tc>
          <w:tcPr>
            <w:tcW w:w="76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667,500</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副董 事长</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离任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2015-05-26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9,491,320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9,491,320</w:t>
            </w:r>
          </w:p>
        </w:tc>
      </w:tr>
      <w:tr>
        <w:trPr>
          <w:trHeight w:val="402"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离任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7"/>
              <w:jc w:val="center"/>
              <w:rPr>
                <w:rFonts w:ascii="Times New Roman" w:hAnsi="Times New Roman" w:cs="Times New Roman" w:eastAsia="Times New Roman" w:hint="default"/>
                <w:sz w:val="18"/>
                <w:szCs w:val="18"/>
              </w:rPr>
            </w:pPr>
            <w:r>
              <w:rPr>
                <w:rFonts w:ascii="Times New Roman"/>
                <w:sz w:val="18"/>
              </w:rPr>
              <w:t>2015-05-26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11,675,822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11,675,822</w:t>
            </w:r>
          </w:p>
        </w:tc>
      </w:tr>
      <w:tr>
        <w:trPr>
          <w:trHeight w:val="714"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石道金</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1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离任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2013-05-09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2015-04-25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36"/>
              <w:jc w:val="left"/>
              <w:rPr>
                <w:rFonts w:ascii="宋体" w:hAnsi="宋体" w:cs="宋体" w:eastAsia="宋体" w:hint="default"/>
                <w:sz w:val="18"/>
                <w:szCs w:val="18"/>
              </w:rPr>
            </w:pPr>
            <w:r>
              <w:rPr>
                <w:rFonts w:ascii="宋体" w:hAnsi="宋体" w:cs="宋体" w:eastAsia="宋体" w:hint="default"/>
                <w:sz w:val="18"/>
                <w:szCs w:val="18"/>
              </w:rPr>
              <w:t>副总 经理、 董秘</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
              <w:jc w:val="center"/>
              <w:rPr>
                <w:rFonts w:ascii="宋体" w:hAnsi="宋体" w:cs="宋体" w:eastAsia="宋体" w:hint="default"/>
                <w:sz w:val="18"/>
                <w:szCs w:val="18"/>
              </w:rPr>
            </w:pPr>
            <w:r>
              <w:rPr>
                <w:rFonts w:ascii="宋体" w:hAnsi="宋体" w:cs="宋体" w:eastAsia="宋体" w:hint="default"/>
                <w:sz w:val="18"/>
                <w:szCs w:val="18"/>
              </w:rPr>
              <w:t>离任</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center"/>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2014-03-28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2015-02-14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81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125,000</w:t>
            </w:r>
          </w:p>
        </w:tc>
        <w:tc>
          <w:tcPr>
            <w:tcW w:w="76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375,000</w:t>
            </w:r>
          </w:p>
        </w:tc>
      </w:tr>
      <w:tr>
        <w:trPr>
          <w:trHeight w:val="412" w:hRule="exact"/>
        </w:trPr>
        <w:tc>
          <w:tcPr>
            <w:tcW w:w="811"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58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45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26,191,142</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170,000</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882,500</w:t>
            </w:r>
          </w:p>
        </w:tc>
        <w:tc>
          <w:tcPr>
            <w:tcW w:w="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25,478,642</w:t>
            </w:r>
          </w:p>
        </w:tc>
      </w:tr>
    </w:tbl>
    <w:p>
      <w:pPr>
        <w:spacing w:line="240" w:lineRule="auto" w:before="2"/>
        <w:rPr>
          <w:rFonts w:ascii="宋体" w:hAnsi="宋体" w:cs="宋体" w:eastAsia="宋体" w:hint="default"/>
          <w:b/>
          <w:bCs/>
          <w:sz w:val="18"/>
          <w:szCs w:val="18"/>
        </w:rPr>
      </w:pPr>
    </w:p>
    <w:p>
      <w:pPr>
        <w:pStyle w:val="Heading2"/>
        <w:spacing w:line="240" w:lineRule="auto" w:before="26"/>
        <w:ind w:right="104"/>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30"/>
        <w:gridCol w:w="1716"/>
        <w:gridCol w:w="944"/>
        <w:gridCol w:w="2236"/>
        <w:gridCol w:w="3341"/>
      </w:tblGrid>
      <w:tr>
        <w:trPr>
          <w:trHeight w:val="412" w:hRule="exact"/>
        </w:trPr>
        <w:tc>
          <w:tcPr>
            <w:tcW w:w="133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71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4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23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34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工作重心调整</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工作重心调整</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石道金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政策不允许在企业单位兼职</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夏臣科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工作调动</w:t>
            </w:r>
          </w:p>
        </w:tc>
      </w:tr>
      <w:tr>
        <w:trPr>
          <w:trHeight w:val="412" w:hRule="exact"/>
        </w:trPr>
        <w:tc>
          <w:tcPr>
            <w:tcW w:w="13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工作调动</w:t>
            </w:r>
          </w:p>
        </w:tc>
      </w:tr>
    </w:tbl>
    <w:p>
      <w:pPr>
        <w:spacing w:line="240" w:lineRule="auto" w:before="1"/>
        <w:rPr>
          <w:rFonts w:ascii="宋体" w:hAnsi="宋体" w:cs="宋体" w:eastAsia="宋体" w:hint="default"/>
          <w:b/>
          <w:bCs/>
          <w:sz w:val="18"/>
          <w:szCs w:val="18"/>
        </w:rPr>
      </w:pPr>
    </w:p>
    <w:p>
      <w:pPr>
        <w:pStyle w:val="Heading2"/>
        <w:spacing w:line="240" w:lineRule="auto" w:before="26"/>
        <w:ind w:right="104"/>
        <w:jc w:val="left"/>
        <w:rPr>
          <w:b w:val="0"/>
          <w:bCs w:val="0"/>
        </w:rPr>
      </w:pPr>
      <w:r>
        <w:rPr/>
        <w:t>三、任职情况</w:t>
      </w:r>
      <w:r>
        <w:rPr>
          <w:b w:val="0"/>
          <w:bCs w:val="0"/>
        </w:rPr>
      </w:r>
    </w:p>
    <w:p>
      <w:pPr>
        <w:spacing w:line="240" w:lineRule="auto" w:before="8"/>
        <w:rPr>
          <w:rFonts w:ascii="宋体" w:hAnsi="宋体" w:cs="宋体" w:eastAsia="宋体" w:hint="default"/>
          <w:b/>
          <w:bCs/>
          <w:sz w:val="30"/>
          <w:szCs w:val="30"/>
        </w:rPr>
      </w:pPr>
    </w:p>
    <w:p>
      <w:pPr>
        <w:spacing w:before="0"/>
        <w:ind w:left="132" w:right="104"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spacing w:line="408" w:lineRule="auto" w:before="0"/>
        <w:ind w:left="612" w:right="109" w:hanging="164"/>
        <w:jc w:val="left"/>
        <w:rPr>
          <w:rFonts w:ascii="宋体" w:hAnsi="宋体" w:cs="宋体" w:eastAsia="宋体" w:hint="default"/>
          <w:sz w:val="21"/>
          <w:szCs w:val="21"/>
        </w:rPr>
      </w:pPr>
      <w:r>
        <w:rPr>
          <w:rFonts w:ascii="宋体" w:hAnsi="宋体" w:cs="宋体" w:eastAsia="宋体" w:hint="default"/>
          <w:b/>
          <w:bCs/>
          <w:sz w:val="21"/>
          <w:szCs w:val="21"/>
        </w:rPr>
        <w:t>（一）董事</w:t>
      </w:r>
      <w:r>
        <w:rPr>
          <w:rFonts w:ascii="宋体" w:hAnsi="宋体" w:cs="宋体" w:eastAsia="宋体" w:hint="default"/>
          <w:b/>
          <w:bCs/>
          <w:w w:val="99"/>
          <w:sz w:val="21"/>
          <w:szCs w:val="21"/>
        </w:rPr>
        <w:t> </w:t>
      </w:r>
      <w:r>
        <w:rPr>
          <w:rFonts w:ascii="宋体" w:hAnsi="宋体" w:cs="宋体" w:eastAsia="宋体" w:hint="default"/>
          <w:b/>
          <w:bCs/>
          <w:sz w:val="21"/>
          <w:szCs w:val="21"/>
        </w:rPr>
        <w:t>何若虚先生：</w:t>
      </w:r>
      <w:r>
        <w:rPr>
          <w:rFonts w:ascii="Times New Roman" w:hAnsi="Times New Roman" w:cs="Times New Roman" w:eastAsia="Times New Roman" w:hint="default"/>
          <w:sz w:val="21"/>
          <w:szCs w:val="21"/>
        </w:rPr>
        <w:t>1979</w:t>
      </w:r>
      <w:r>
        <w:rPr>
          <w:rFonts w:ascii="宋体" w:hAnsi="宋体" w:cs="宋体" w:eastAsia="宋体" w:hint="default"/>
          <w:sz w:val="21"/>
          <w:szCs w:val="21"/>
        </w:rPr>
        <w:t>年出生，中国国籍，硕士，经济师、工程师。历任浙江万马药业有限公司总经理、</w:t>
      </w:r>
    </w:p>
    <w:p>
      <w:pPr>
        <w:spacing w:line="408" w:lineRule="auto" w:before="14"/>
        <w:ind w:left="132" w:right="104" w:firstLine="0"/>
        <w:jc w:val="left"/>
        <w:rPr>
          <w:rFonts w:ascii="宋体" w:hAnsi="宋体" w:cs="宋体" w:eastAsia="宋体" w:hint="default"/>
          <w:sz w:val="21"/>
          <w:szCs w:val="21"/>
        </w:rPr>
      </w:pPr>
      <w:r>
        <w:rPr>
          <w:rFonts w:ascii="宋体" w:hAnsi="宋体" w:cs="宋体" w:eastAsia="宋体" w:hint="default"/>
          <w:w w:val="95"/>
          <w:sz w:val="21"/>
          <w:szCs w:val="21"/>
        </w:rPr>
        <w:t>浙江万马房地产集团有限公司总裁、董事长。为公司实际控制人张德生先生之女婿。现任万马联合控股集</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团有限公司副总裁、本公司董事长。</w:t>
      </w:r>
    </w:p>
    <w:p>
      <w:pPr>
        <w:spacing w:line="398" w:lineRule="auto" w:before="46"/>
        <w:ind w:left="132" w:right="105" w:firstLine="415"/>
        <w:jc w:val="left"/>
        <w:rPr>
          <w:rFonts w:ascii="宋体" w:hAnsi="宋体" w:cs="宋体" w:eastAsia="宋体" w:hint="default"/>
          <w:sz w:val="21"/>
          <w:szCs w:val="21"/>
        </w:rPr>
      </w:pPr>
      <w:r>
        <w:rPr>
          <w:rFonts w:ascii="宋体" w:hAnsi="宋体" w:cs="宋体" w:eastAsia="宋体" w:hint="default"/>
          <w:b/>
          <w:bCs/>
          <w:w w:val="95"/>
          <w:sz w:val="21"/>
          <w:szCs w:val="21"/>
        </w:rPr>
        <w:t>姚伟国先生：</w:t>
      </w:r>
      <w:r>
        <w:rPr>
          <w:rFonts w:ascii="Times New Roman" w:hAnsi="Times New Roman" w:cs="Times New Roman" w:eastAsia="Times New Roman" w:hint="default"/>
          <w:w w:val="95"/>
          <w:sz w:val="21"/>
          <w:szCs w:val="21"/>
        </w:rPr>
        <w:t>1972</w:t>
      </w:r>
      <w:r>
        <w:rPr>
          <w:rFonts w:ascii="宋体" w:hAnsi="宋体" w:cs="宋体" w:eastAsia="宋体" w:hint="default"/>
          <w:w w:val="95"/>
          <w:sz w:val="21"/>
          <w:szCs w:val="21"/>
        </w:rPr>
        <w:t>年出生，中国国籍，无境外居留权，</w:t>
      </w:r>
      <w:r>
        <w:rPr>
          <w:rFonts w:ascii="Times New Roman" w:hAnsi="Times New Roman" w:cs="Times New Roman" w:eastAsia="Times New Roman" w:hint="default"/>
          <w:w w:val="95"/>
          <w:sz w:val="21"/>
          <w:szCs w:val="21"/>
        </w:rPr>
        <w:t>MBA</w:t>
      </w:r>
      <w:r>
        <w:rPr>
          <w:rFonts w:ascii="宋体" w:hAnsi="宋体" w:cs="宋体" w:eastAsia="宋体" w:hint="default"/>
          <w:w w:val="95"/>
          <w:sz w:val="21"/>
          <w:szCs w:val="21"/>
        </w:rPr>
        <w:t>。历任上海无线电六厂财务科长，上海飞</w:t>
      </w:r>
      <w:r>
        <w:rPr>
          <w:rFonts w:ascii="宋体" w:hAnsi="宋体" w:cs="宋体" w:eastAsia="宋体" w:hint="default"/>
          <w:w w:val="99"/>
          <w:sz w:val="21"/>
          <w:szCs w:val="21"/>
        </w:rPr>
        <w:t> </w:t>
      </w:r>
      <w:r>
        <w:rPr>
          <w:rFonts w:ascii="宋体" w:hAnsi="宋体" w:cs="宋体" w:eastAsia="宋体" w:hint="default"/>
          <w:spacing w:val="-3"/>
          <w:sz w:val="21"/>
          <w:szCs w:val="21"/>
        </w:rPr>
        <w:t>乐股份有限公司财务部经理，德隆国际战略投资有限公司战略发展部经理。现任万马联合控股集团副总裁、</w:t>
      </w:r>
      <w:r>
        <w:rPr>
          <w:rFonts w:ascii="宋体" w:hAnsi="宋体" w:cs="宋体" w:eastAsia="宋体" w:hint="default"/>
          <w:w w:val="99"/>
          <w:sz w:val="21"/>
          <w:szCs w:val="21"/>
        </w:rPr>
        <w:t> </w:t>
      </w:r>
      <w:r>
        <w:rPr>
          <w:rFonts w:ascii="宋体" w:hAnsi="宋体" w:cs="宋体" w:eastAsia="宋体" w:hint="default"/>
          <w:sz w:val="21"/>
          <w:szCs w:val="21"/>
        </w:rPr>
        <w:t>本公司副董事长。</w:t>
      </w:r>
    </w:p>
    <w:p>
      <w:pPr>
        <w:spacing w:before="54"/>
        <w:ind w:left="548" w:right="104" w:firstLine="0"/>
        <w:jc w:val="left"/>
        <w:rPr>
          <w:rFonts w:ascii="Times New Roman" w:hAnsi="Times New Roman" w:cs="Times New Roman" w:eastAsia="Times New Roman" w:hint="default"/>
          <w:sz w:val="21"/>
          <w:szCs w:val="21"/>
        </w:rPr>
      </w:pPr>
      <w:r>
        <w:rPr>
          <w:rFonts w:ascii="宋体" w:hAnsi="宋体" w:cs="宋体" w:eastAsia="宋体" w:hint="default"/>
          <w:b/>
          <w:bCs/>
          <w:spacing w:val="-6"/>
          <w:sz w:val="21"/>
          <w:szCs w:val="21"/>
        </w:rPr>
        <w:t>张丹凤女士：</w:t>
      </w:r>
      <w:r>
        <w:rPr>
          <w:rFonts w:ascii="Times New Roman" w:hAnsi="Times New Roman" w:cs="Times New Roman" w:eastAsia="Times New Roman" w:hint="default"/>
          <w:spacing w:val="-6"/>
          <w:sz w:val="21"/>
          <w:szCs w:val="21"/>
        </w:rPr>
        <w:t>1965</w:t>
      </w:r>
      <w:r>
        <w:rPr>
          <w:rFonts w:ascii="宋体" w:hAnsi="宋体" w:cs="宋体" w:eastAsia="宋体" w:hint="default"/>
          <w:spacing w:val="-6"/>
          <w:sz w:val="21"/>
          <w:szCs w:val="21"/>
        </w:rPr>
        <w:t>年出生，中国国籍，浙江工业大学</w:t>
      </w:r>
      <w:r>
        <w:rPr>
          <w:rFonts w:ascii="Times New Roman" w:hAnsi="Times New Roman" w:cs="Times New Roman" w:eastAsia="Times New Roman" w:hint="default"/>
          <w:spacing w:val="-6"/>
          <w:sz w:val="21"/>
          <w:szCs w:val="21"/>
        </w:rPr>
        <w:t>MBA</w:t>
      </w:r>
      <w:r>
        <w:rPr>
          <w:rFonts w:ascii="宋体" w:hAnsi="宋体" w:cs="宋体" w:eastAsia="宋体" w:hint="default"/>
          <w:spacing w:val="-6"/>
          <w:sz w:val="21"/>
          <w:szCs w:val="21"/>
        </w:rPr>
        <w:t>。曾任浙江天屹集团有限公司副总经理、</w:t>
      </w:r>
      <w:r>
        <w:rPr>
          <w:rFonts w:ascii="Times New Roman" w:hAnsi="Times New Roman" w:cs="Times New Roman" w:eastAsia="Times New Roman" w:hint="default"/>
          <w:spacing w:val="-6"/>
          <w:sz w:val="21"/>
          <w:szCs w:val="21"/>
        </w:rPr>
        <w:t>2004</w:t>
      </w:r>
    </w:p>
    <w:p>
      <w:pPr>
        <w:spacing w:after="0"/>
        <w:jc w:val="left"/>
        <w:rPr>
          <w:rFonts w:ascii="Times New Roman" w:hAnsi="Times New Roman" w:cs="Times New Roman" w:eastAsia="Times New Roman" w:hint="default"/>
          <w:sz w:val="21"/>
          <w:szCs w:val="21"/>
        </w:rPr>
        <w:sectPr>
          <w:pgSz w:w="11910" w:h="16840"/>
          <w:pgMar w:header="850" w:footer="1012" w:top="1440" w:bottom="1200" w:left="1000" w:right="920"/>
        </w:sectPr>
      </w:pPr>
    </w:p>
    <w:p>
      <w:pPr>
        <w:spacing w:line="240" w:lineRule="auto" w:before="5"/>
        <w:rPr>
          <w:rFonts w:ascii="Times New Roman" w:hAnsi="Times New Roman" w:cs="Times New Roman" w:eastAsia="Times New Roman" w:hint="default"/>
          <w:sz w:val="23"/>
          <w:szCs w:val="23"/>
        </w:rPr>
      </w:pPr>
    </w:p>
    <w:p>
      <w:pPr>
        <w:spacing w:line="408" w:lineRule="auto" w:before="34"/>
        <w:ind w:left="112" w:right="210" w:firstLine="0"/>
        <w:jc w:val="both"/>
        <w:rPr>
          <w:rFonts w:ascii="宋体" w:hAnsi="宋体" w:cs="宋体" w:eastAsia="宋体" w:hint="default"/>
          <w:sz w:val="21"/>
          <w:szCs w:val="21"/>
        </w:rPr>
      </w:pPr>
      <w:r>
        <w:rPr>
          <w:rFonts w:ascii="宋体" w:hAnsi="宋体" w:cs="宋体" w:eastAsia="宋体" w:hint="default"/>
          <w:w w:val="95"/>
          <w:sz w:val="21"/>
          <w:szCs w:val="21"/>
        </w:rPr>
        <w:t>年加入万马联合控股集团，先后担任投资总监、总裁助理、董事长助理等职，现任万马高分子董事、本公</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司董事。</w:t>
      </w:r>
    </w:p>
    <w:p>
      <w:pPr>
        <w:spacing w:line="386" w:lineRule="auto" w:before="46"/>
        <w:ind w:left="112" w:right="207" w:firstLine="415"/>
        <w:jc w:val="both"/>
        <w:rPr>
          <w:rFonts w:ascii="宋体" w:hAnsi="宋体" w:cs="宋体" w:eastAsia="宋体" w:hint="default"/>
          <w:sz w:val="21"/>
          <w:szCs w:val="21"/>
        </w:rPr>
      </w:pPr>
      <w:r>
        <w:rPr>
          <w:rFonts w:ascii="宋体" w:hAnsi="宋体" w:cs="宋体" w:eastAsia="宋体" w:hint="default"/>
          <w:b/>
          <w:bCs/>
          <w:w w:val="95"/>
          <w:sz w:val="21"/>
          <w:szCs w:val="21"/>
        </w:rPr>
        <w:t>王震宇先生：</w:t>
      </w:r>
      <w:r>
        <w:rPr>
          <w:rFonts w:ascii="Times New Roman" w:hAnsi="Times New Roman" w:cs="Times New Roman" w:eastAsia="Times New Roman" w:hint="default"/>
          <w:w w:val="95"/>
          <w:sz w:val="21"/>
          <w:szCs w:val="21"/>
        </w:rPr>
        <w:t>1972</w:t>
      </w:r>
      <w:r>
        <w:rPr>
          <w:rFonts w:ascii="宋体" w:hAnsi="宋体" w:cs="宋体" w:eastAsia="宋体" w:hint="default"/>
          <w:w w:val="95"/>
          <w:sz w:val="21"/>
          <w:szCs w:val="21"/>
        </w:rPr>
        <w:t>年出生，中国国籍，无境外居留权，中共党员，本科，历任青岛半导体研究所工程</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sz w:val="21"/>
          <w:szCs w:val="21"/>
        </w:rPr>
        <w:t>师、三美电机有限公司主任、海尔电机有限公司总经理。现任万马电缆总经理、本公司董事兼总经理。</w:t>
      </w:r>
    </w:p>
    <w:p>
      <w:pPr>
        <w:spacing w:line="386" w:lineRule="auto" w:before="65"/>
        <w:ind w:left="112" w:right="205" w:firstLine="415"/>
        <w:jc w:val="both"/>
        <w:rPr>
          <w:rFonts w:ascii="宋体" w:hAnsi="宋体" w:cs="宋体" w:eastAsia="宋体" w:hint="default"/>
          <w:sz w:val="21"/>
          <w:szCs w:val="21"/>
        </w:rPr>
      </w:pPr>
      <w:r>
        <w:rPr>
          <w:rFonts w:ascii="宋体" w:hAnsi="宋体" w:cs="宋体" w:eastAsia="宋体" w:hint="default"/>
          <w:b/>
          <w:bCs/>
          <w:w w:val="95"/>
          <w:sz w:val="21"/>
          <w:szCs w:val="21"/>
        </w:rPr>
        <w:t>沈伟康先生：</w:t>
      </w:r>
      <w:r>
        <w:rPr>
          <w:rFonts w:ascii="Times New Roman" w:hAnsi="Times New Roman" w:cs="Times New Roman" w:eastAsia="Times New Roman" w:hint="default"/>
          <w:w w:val="95"/>
          <w:sz w:val="21"/>
          <w:szCs w:val="21"/>
        </w:rPr>
        <w:t>1965</w:t>
      </w:r>
      <w:r>
        <w:rPr>
          <w:rFonts w:ascii="宋体" w:hAnsi="宋体" w:cs="宋体" w:eastAsia="宋体" w:hint="default"/>
          <w:w w:val="95"/>
          <w:sz w:val="21"/>
          <w:szCs w:val="21"/>
        </w:rPr>
        <w:t>年出生，中国国籍，无境外居留权，中共党员，研究生学历，历任东方通信股份有</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pacing w:val="2"/>
          <w:sz w:val="21"/>
          <w:szCs w:val="21"/>
        </w:rPr>
        <w:t>限公司副总裁。曾获全国劳动模范、浙江省经营管理大师等荣誉。</w:t>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31"/>
          <w:sz w:val="21"/>
          <w:szCs w:val="21"/>
        </w:rPr>
        <w:t> </w:t>
      </w:r>
      <w:r>
        <w:rPr>
          <w:rFonts w:ascii="宋体" w:hAnsi="宋体" w:cs="宋体" w:eastAsia="宋体" w:hint="default"/>
          <w:spacing w:val="2"/>
          <w:sz w:val="21"/>
          <w:szCs w:val="21"/>
        </w:rPr>
        <w:t>年加入浙江万马高分子材料有限</w:t>
      </w:r>
      <w:r>
        <w:rPr>
          <w:rFonts w:ascii="宋体" w:hAnsi="宋体" w:cs="宋体" w:eastAsia="宋体" w:hint="default"/>
          <w:w w:val="99"/>
          <w:sz w:val="21"/>
          <w:szCs w:val="21"/>
        </w:rPr>
        <w:t> </w:t>
      </w:r>
      <w:r>
        <w:rPr>
          <w:rFonts w:ascii="宋体" w:hAnsi="宋体" w:cs="宋体" w:eastAsia="宋体" w:hint="default"/>
          <w:sz w:val="21"/>
          <w:szCs w:val="21"/>
        </w:rPr>
        <w:t>公司，至今任万马高分子总经理，现兼任本公司董事、副总经理。</w:t>
      </w:r>
    </w:p>
    <w:p>
      <w:pPr>
        <w:spacing w:line="398" w:lineRule="auto" w:before="65"/>
        <w:ind w:left="112" w:right="210" w:firstLine="480"/>
        <w:jc w:val="both"/>
        <w:rPr>
          <w:rFonts w:ascii="宋体" w:hAnsi="宋体" w:cs="宋体" w:eastAsia="宋体" w:hint="default"/>
          <w:sz w:val="21"/>
          <w:szCs w:val="21"/>
        </w:rPr>
      </w:pPr>
      <w:r>
        <w:rPr>
          <w:rFonts w:ascii="宋体" w:hAnsi="宋体" w:cs="宋体" w:eastAsia="宋体" w:hint="default"/>
          <w:b/>
          <w:bCs/>
          <w:sz w:val="21"/>
          <w:szCs w:val="21"/>
        </w:rPr>
        <w:t>何孙益先生：</w:t>
      </w:r>
      <w:r>
        <w:rPr>
          <w:rFonts w:ascii="Times New Roman" w:hAnsi="Times New Roman" w:cs="Times New Roman" w:eastAsia="Times New Roman" w:hint="default"/>
          <w:sz w:val="21"/>
          <w:szCs w:val="21"/>
        </w:rPr>
        <w:t>1970</w:t>
      </w:r>
      <w:r>
        <w:rPr>
          <w:rFonts w:ascii="宋体" w:hAnsi="宋体" w:cs="宋体" w:eastAsia="宋体" w:hint="default"/>
          <w:sz w:val="21"/>
          <w:szCs w:val="21"/>
        </w:rPr>
        <w:t>年出生，中国国籍，无境外居留权，中共党员，大专学历。</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年加入本公司，</w:t>
      </w:r>
      <w:r>
        <w:rPr>
          <w:rFonts w:ascii="宋体" w:hAnsi="宋体" w:cs="宋体" w:eastAsia="宋体" w:hint="default"/>
          <w:w w:val="99"/>
          <w:sz w:val="21"/>
          <w:szCs w:val="21"/>
        </w:rPr>
        <w:t> </w:t>
      </w:r>
      <w:r>
        <w:rPr>
          <w:rFonts w:ascii="宋体" w:hAnsi="宋体" w:cs="宋体" w:eastAsia="宋体" w:hint="default"/>
          <w:w w:val="95"/>
          <w:sz w:val="21"/>
          <w:szCs w:val="21"/>
        </w:rPr>
        <w:t>历任浙江天屹网络科技股份有限公司设备制造部经理、浙江万马天屹通信线缆有限公司销售副总经理。现</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任浙江万马天屹通信线缆有限公司总经理、本公司董事兼副总经理。</w:t>
      </w:r>
    </w:p>
    <w:p>
      <w:pPr>
        <w:spacing w:line="403" w:lineRule="auto" w:before="54"/>
        <w:ind w:left="112" w:right="212" w:firstLine="460"/>
        <w:jc w:val="both"/>
        <w:rPr>
          <w:rFonts w:ascii="宋体" w:hAnsi="宋体" w:cs="宋体" w:eastAsia="宋体" w:hint="default"/>
          <w:sz w:val="21"/>
          <w:szCs w:val="21"/>
        </w:rPr>
      </w:pPr>
      <w:r>
        <w:rPr>
          <w:rFonts w:ascii="宋体" w:hAnsi="宋体" w:cs="宋体" w:eastAsia="宋体" w:hint="default"/>
          <w:b/>
          <w:bCs/>
          <w:sz w:val="21"/>
          <w:szCs w:val="21"/>
        </w:rPr>
        <w:t>杜烈康先生：</w:t>
      </w:r>
      <w:r>
        <w:rPr>
          <w:rFonts w:ascii="Times New Roman" w:hAnsi="Times New Roman" w:cs="Times New Roman" w:eastAsia="Times New Roman" w:hint="default"/>
          <w:sz w:val="21"/>
          <w:szCs w:val="21"/>
        </w:rPr>
        <w:t>1973</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年出生，中国国籍，无境外居留权，中共党员，硕士研究生学历，高级会计师、</w:t>
      </w:r>
      <w:r>
        <w:rPr>
          <w:rFonts w:ascii="宋体" w:hAnsi="宋体" w:cs="宋体" w:eastAsia="宋体" w:hint="default"/>
          <w:w w:val="99"/>
          <w:sz w:val="21"/>
          <w:szCs w:val="21"/>
        </w:rPr>
        <w:t> </w:t>
      </w:r>
      <w:r>
        <w:rPr>
          <w:rFonts w:ascii="宋体" w:hAnsi="宋体" w:cs="宋体" w:eastAsia="宋体" w:hint="default"/>
          <w:w w:val="95"/>
          <w:sz w:val="21"/>
          <w:szCs w:val="21"/>
        </w:rPr>
        <w:t>注册会计师、注册税务师。历任天健会计师事务所审计员、项目经理、部门经理、党委委员。现任浙江核</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新同花顺网络信息股份有限公司财务总监，兼任中国上市公司协会财务总监专业委员会委员、浙江上市公</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司协会财务总监专业委员会副主任，中国注册会计师协会综合报告委员会委员，杭州市软件协会协会副理</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事长。现任本公司独立董事。</w:t>
      </w:r>
    </w:p>
    <w:p>
      <w:pPr>
        <w:spacing w:line="400" w:lineRule="auto" w:before="50"/>
        <w:ind w:left="112" w:right="212" w:firstLine="460"/>
        <w:jc w:val="both"/>
        <w:rPr>
          <w:rFonts w:ascii="宋体" w:hAnsi="宋体" w:cs="宋体" w:eastAsia="宋体" w:hint="default"/>
          <w:sz w:val="21"/>
          <w:szCs w:val="21"/>
        </w:rPr>
      </w:pPr>
      <w:r>
        <w:rPr>
          <w:rFonts w:ascii="宋体" w:hAnsi="宋体" w:cs="宋体" w:eastAsia="宋体" w:hint="default"/>
          <w:b/>
          <w:bCs/>
          <w:spacing w:val="-1"/>
          <w:w w:val="95"/>
          <w:sz w:val="21"/>
          <w:szCs w:val="21"/>
        </w:rPr>
        <w:t>邹峻先生</w:t>
      </w:r>
      <w:r>
        <w:rPr>
          <w:rFonts w:ascii="宋体" w:hAnsi="宋体" w:cs="宋体" w:eastAsia="宋体" w:hint="default"/>
          <w:spacing w:val="-1"/>
          <w:w w:val="95"/>
          <w:sz w:val="21"/>
          <w:szCs w:val="21"/>
        </w:rPr>
        <w:t>：</w:t>
      </w:r>
      <w:r>
        <w:rPr>
          <w:rFonts w:ascii="Times New Roman" w:hAnsi="Times New Roman" w:cs="Times New Roman" w:eastAsia="Times New Roman" w:hint="default"/>
          <w:spacing w:val="-1"/>
          <w:w w:val="95"/>
          <w:sz w:val="21"/>
          <w:szCs w:val="21"/>
        </w:rPr>
        <w:t>1971</w:t>
      </w:r>
      <w:r>
        <w:rPr>
          <w:rFonts w:ascii="宋体" w:hAnsi="宋体" w:cs="宋体" w:eastAsia="宋体" w:hint="default"/>
          <w:spacing w:val="-1"/>
          <w:w w:val="95"/>
          <w:sz w:val="21"/>
          <w:szCs w:val="21"/>
        </w:rPr>
        <w:t>年生，中国籍，无境外居留权，华东政法学院国际经济法专业本科，英国伦敦大学访</w:t>
      </w:r>
      <w:r>
        <w:rPr>
          <w:rFonts w:ascii="宋体" w:hAnsi="宋体" w:cs="宋体" w:eastAsia="宋体" w:hint="default"/>
          <w:w w:val="99"/>
          <w:sz w:val="21"/>
          <w:szCs w:val="21"/>
        </w:rPr>
        <w:t> </w:t>
      </w:r>
      <w:r>
        <w:rPr>
          <w:rFonts w:ascii="宋体" w:hAnsi="宋体" w:cs="宋体" w:eastAsia="宋体" w:hint="default"/>
          <w:w w:val="95"/>
          <w:sz w:val="21"/>
          <w:szCs w:val="21"/>
        </w:rPr>
        <w:t>问学者，一级律师。历任伦敦富肯律师事务所外国顾问律师，丹敦浩国际律师事务所香港事务所外国顾问</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律师，浙江天册律师事务所合伙人，北京凯源律师事务所合伙人、浙江凯麦律师事务所合伙人、北京观韬</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律师事务所合伙人。现任本公司独立董事。</w:t>
      </w:r>
    </w:p>
    <w:p>
      <w:pPr>
        <w:spacing w:line="400" w:lineRule="auto" w:before="52"/>
        <w:ind w:left="112" w:right="105" w:firstLine="460"/>
        <w:jc w:val="left"/>
        <w:rPr>
          <w:rFonts w:ascii="宋体" w:hAnsi="宋体" w:cs="宋体" w:eastAsia="宋体" w:hint="default"/>
          <w:sz w:val="21"/>
          <w:szCs w:val="21"/>
        </w:rPr>
      </w:pPr>
      <w:r>
        <w:rPr>
          <w:rFonts w:ascii="宋体" w:hAnsi="宋体" w:cs="宋体" w:eastAsia="宋体" w:hint="default"/>
          <w:b/>
          <w:bCs/>
          <w:sz w:val="21"/>
          <w:szCs w:val="21"/>
        </w:rPr>
        <w:t>阎孟昆先生</w:t>
      </w:r>
      <w:r>
        <w:rPr>
          <w:rFonts w:ascii="宋体" w:hAnsi="宋体" w:cs="宋体" w:eastAsia="宋体" w:hint="default"/>
          <w:sz w:val="21"/>
          <w:szCs w:val="21"/>
        </w:rPr>
        <w:t>：</w:t>
      </w:r>
      <w:r>
        <w:rPr>
          <w:rFonts w:ascii="Times New Roman" w:hAnsi="Times New Roman" w:cs="Times New Roman" w:eastAsia="Times New Roman" w:hint="default"/>
          <w:sz w:val="21"/>
          <w:szCs w:val="21"/>
        </w:rPr>
        <w:t>1965</w:t>
      </w:r>
      <w:r>
        <w:rPr>
          <w:rFonts w:ascii="宋体" w:hAnsi="宋体" w:cs="宋体" w:eastAsia="宋体" w:hint="default"/>
          <w:sz w:val="21"/>
          <w:szCs w:val="21"/>
        </w:rPr>
        <w:t>年出生，西安交通大学电气工程系硕士毕业。中国电力科学研究院电气设备检测中</w:t>
      </w:r>
      <w:r>
        <w:rPr>
          <w:rFonts w:ascii="宋体" w:hAnsi="宋体" w:cs="宋体" w:eastAsia="宋体" w:hint="default"/>
          <w:w w:val="99"/>
          <w:sz w:val="21"/>
          <w:szCs w:val="21"/>
        </w:rPr>
        <w:t> </w:t>
      </w:r>
      <w:r>
        <w:rPr>
          <w:rFonts w:ascii="宋体" w:hAnsi="宋体" w:cs="宋体" w:eastAsia="宋体" w:hint="default"/>
          <w:sz w:val="21"/>
          <w:szCs w:val="21"/>
        </w:rPr>
        <w:t>心教授级高工、电缆质检站站长；电力行业电力电缆标准化技术委员会委员；中国电力科学研究院高电压</w:t>
      </w:r>
      <w:r>
        <w:rPr>
          <w:rFonts w:ascii="宋体" w:hAnsi="宋体" w:cs="宋体" w:eastAsia="宋体" w:hint="default"/>
          <w:w w:val="99"/>
          <w:sz w:val="21"/>
          <w:szCs w:val="21"/>
        </w:rPr>
        <w:t> </w:t>
      </w:r>
      <w:r>
        <w:rPr>
          <w:rFonts w:ascii="宋体" w:hAnsi="宋体" w:cs="宋体" w:eastAsia="宋体" w:hint="default"/>
          <w:spacing w:val="-3"/>
          <w:sz w:val="21"/>
          <w:szCs w:val="21"/>
        </w:rPr>
        <w:t>与输电线路技术分委会委员；全国输配电技术协作网专家组成员；中国电力企业联合会科技成果鉴定专家；</w:t>
      </w:r>
      <w:r>
        <w:rPr>
          <w:rFonts w:ascii="宋体" w:hAnsi="宋体" w:cs="宋体" w:eastAsia="宋体" w:hint="default"/>
          <w:w w:val="99"/>
          <w:sz w:val="21"/>
          <w:szCs w:val="21"/>
        </w:rPr>
        <w:t> </w:t>
      </w:r>
      <w:r>
        <w:rPr>
          <w:rFonts w:ascii="宋体" w:hAnsi="宋体" w:cs="宋体" w:eastAsia="宋体" w:hint="default"/>
          <w:sz w:val="21"/>
          <w:szCs w:val="21"/>
        </w:rPr>
        <w:t>北京国联资源网行业专家库专家。现任本公司独立董事。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408" w:lineRule="auto" w:before="0"/>
        <w:ind w:left="592" w:right="109" w:hanging="104"/>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99"/>
          <w:sz w:val="21"/>
          <w:szCs w:val="21"/>
        </w:rPr>
        <w:t> </w:t>
      </w:r>
      <w:r>
        <w:rPr>
          <w:rFonts w:ascii="宋体" w:hAnsi="宋体" w:cs="宋体" w:eastAsia="宋体" w:hint="default"/>
          <w:b/>
          <w:bCs/>
          <w:w w:val="95"/>
          <w:sz w:val="21"/>
          <w:szCs w:val="21"/>
        </w:rPr>
        <w:t>刘金华先生：</w:t>
      </w:r>
      <w:r>
        <w:rPr>
          <w:rFonts w:ascii="Times New Roman" w:hAnsi="Times New Roman" w:cs="Times New Roman" w:eastAsia="Times New Roman" w:hint="default"/>
          <w:w w:val="95"/>
          <w:sz w:val="21"/>
          <w:szCs w:val="21"/>
        </w:rPr>
        <w:t>1962</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7</w:t>
      </w:r>
      <w:r>
        <w:rPr>
          <w:rFonts w:ascii="宋体" w:hAnsi="宋体" w:cs="宋体" w:eastAsia="宋体" w:hint="default"/>
          <w:w w:val="95"/>
          <w:sz w:val="21"/>
          <w:szCs w:val="21"/>
        </w:rPr>
        <w:t>月出生，本科，中国国籍，高级会计师</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中国注册会计师，中国注册税务师，中</w:t>
      </w:r>
      <w:r>
        <w:rPr>
          <w:rFonts w:ascii="宋体" w:hAnsi="宋体" w:cs="宋体" w:eastAsia="宋体" w:hint="default"/>
          <w:sz w:val="21"/>
          <w:szCs w:val="21"/>
        </w:rPr>
      </w:r>
    </w:p>
    <w:p>
      <w:pPr>
        <w:spacing w:line="386" w:lineRule="auto" w:before="14"/>
        <w:ind w:left="112" w:right="212" w:firstLine="0"/>
        <w:jc w:val="both"/>
        <w:rPr>
          <w:rFonts w:ascii="宋体" w:hAnsi="宋体" w:cs="宋体" w:eastAsia="宋体" w:hint="default"/>
          <w:sz w:val="21"/>
          <w:szCs w:val="21"/>
        </w:rPr>
      </w:pPr>
      <w:r>
        <w:rPr>
          <w:rFonts w:ascii="宋体" w:hAnsi="宋体" w:cs="宋体" w:eastAsia="宋体" w:hint="default"/>
          <w:spacing w:val="2"/>
          <w:w w:val="95"/>
          <w:sz w:val="21"/>
          <w:szCs w:val="21"/>
        </w:rPr>
        <w:t>国注册资产评估师。</w:t>
      </w:r>
      <w:r>
        <w:rPr>
          <w:rFonts w:ascii="Times New Roman" w:hAnsi="Times New Roman" w:cs="Times New Roman" w:eastAsia="Times New Roman" w:hint="default"/>
          <w:spacing w:val="2"/>
          <w:w w:val="95"/>
          <w:sz w:val="21"/>
          <w:szCs w:val="21"/>
        </w:rPr>
        <w:t>2008</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8</w:t>
      </w:r>
      <w:r>
        <w:rPr>
          <w:rFonts w:ascii="宋体" w:hAnsi="宋体" w:cs="宋体" w:eastAsia="宋体" w:hint="default"/>
          <w:spacing w:val="2"/>
          <w:w w:val="95"/>
          <w:sz w:val="21"/>
          <w:szCs w:val="21"/>
        </w:rPr>
        <w:t>月起历任浙江杭州鑫富药业股份有限公司审计总监、财务总监和浙江扬帆新</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材料股份有限公司财务总监。</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月任万马联合控股集团有限公司审计总监</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今任本公司审计负责人。</w:t>
      </w:r>
    </w:p>
    <w:p>
      <w:pPr>
        <w:spacing w:after="0" w:line="386" w:lineRule="auto"/>
        <w:jc w:val="both"/>
        <w:rPr>
          <w:rFonts w:ascii="宋体" w:hAnsi="宋体" w:cs="宋体" w:eastAsia="宋体" w:hint="default"/>
          <w:sz w:val="21"/>
          <w:szCs w:val="21"/>
        </w:rPr>
        <w:sectPr>
          <w:pgSz w:w="11910" w:h="16840"/>
          <w:pgMar w:header="850" w:footer="1012" w:top="1440" w:bottom="1200" w:left="1020" w:right="920"/>
        </w:sectPr>
      </w:pPr>
    </w:p>
    <w:p>
      <w:pPr>
        <w:spacing w:line="240" w:lineRule="auto" w:before="8"/>
        <w:rPr>
          <w:rFonts w:ascii="宋体" w:hAnsi="宋体" w:cs="宋体" w:eastAsia="宋体" w:hint="default"/>
          <w:sz w:val="20"/>
          <w:szCs w:val="20"/>
        </w:rPr>
      </w:pPr>
    </w:p>
    <w:p>
      <w:pPr>
        <w:spacing w:line="386" w:lineRule="auto" w:before="34"/>
        <w:ind w:left="132" w:right="205" w:firstLine="480"/>
        <w:jc w:val="both"/>
        <w:rPr>
          <w:rFonts w:ascii="宋体" w:hAnsi="宋体" w:cs="宋体" w:eastAsia="宋体" w:hint="default"/>
          <w:sz w:val="21"/>
          <w:szCs w:val="21"/>
        </w:rPr>
      </w:pPr>
      <w:r>
        <w:rPr>
          <w:rFonts w:ascii="宋体" w:hAnsi="宋体" w:cs="宋体" w:eastAsia="宋体" w:hint="default"/>
          <w:b/>
          <w:bCs/>
          <w:spacing w:val="-1"/>
          <w:w w:val="95"/>
          <w:sz w:val="21"/>
          <w:szCs w:val="21"/>
        </w:rPr>
        <w:t>张亦春女士：</w:t>
      </w:r>
      <w:r>
        <w:rPr>
          <w:rFonts w:ascii="Times New Roman" w:hAnsi="Times New Roman" w:cs="Times New Roman" w:eastAsia="Times New Roman" w:hint="default"/>
          <w:spacing w:val="-1"/>
          <w:w w:val="95"/>
          <w:sz w:val="21"/>
          <w:szCs w:val="21"/>
        </w:rPr>
        <w:t>1970</w:t>
      </w:r>
      <w:r>
        <w:rPr>
          <w:rFonts w:ascii="宋体" w:hAnsi="宋体" w:cs="宋体" w:eastAsia="宋体" w:hint="default"/>
          <w:spacing w:val="-1"/>
          <w:w w:val="95"/>
          <w:sz w:val="21"/>
          <w:szCs w:val="21"/>
        </w:rPr>
        <w:t>年</w:t>
      </w:r>
      <w:r>
        <w:rPr>
          <w:rFonts w:ascii="Times New Roman" w:hAnsi="Times New Roman" w:cs="Times New Roman" w:eastAsia="Times New Roman" w:hint="default"/>
          <w:spacing w:val="-1"/>
          <w:w w:val="95"/>
          <w:sz w:val="21"/>
          <w:szCs w:val="21"/>
        </w:rPr>
        <w:t>11</w:t>
      </w:r>
      <w:r>
        <w:rPr>
          <w:rFonts w:ascii="宋体" w:hAnsi="宋体" w:cs="宋体" w:eastAsia="宋体" w:hint="default"/>
          <w:spacing w:val="-1"/>
          <w:w w:val="95"/>
          <w:sz w:val="21"/>
          <w:szCs w:val="21"/>
        </w:rPr>
        <w:t>月出生，本科，中国国籍，高级经济师、会计师。</w:t>
      </w:r>
      <w:r>
        <w:rPr>
          <w:rFonts w:ascii="Times New Roman" w:hAnsi="Times New Roman" w:cs="Times New Roman" w:eastAsia="Times New Roman" w:hint="default"/>
          <w:spacing w:val="-1"/>
          <w:w w:val="95"/>
          <w:sz w:val="21"/>
          <w:szCs w:val="21"/>
        </w:rPr>
        <w:t>2004</w:t>
      </w:r>
      <w:r>
        <w:rPr>
          <w:rFonts w:ascii="宋体" w:hAnsi="宋体" w:cs="宋体" w:eastAsia="宋体" w:hint="default"/>
          <w:spacing w:val="-1"/>
          <w:w w:val="95"/>
          <w:sz w:val="21"/>
          <w:szCs w:val="21"/>
        </w:rPr>
        <w:t>年</w:t>
      </w:r>
      <w:r>
        <w:rPr>
          <w:rFonts w:ascii="Times New Roman" w:hAnsi="Times New Roman" w:cs="Times New Roman" w:eastAsia="Times New Roman" w:hint="default"/>
          <w:spacing w:val="-1"/>
          <w:w w:val="95"/>
          <w:sz w:val="21"/>
          <w:szCs w:val="21"/>
        </w:rPr>
        <w:t>8</w:t>
      </w:r>
      <w:r>
        <w:rPr>
          <w:rFonts w:ascii="宋体" w:hAnsi="宋体" w:cs="宋体" w:eastAsia="宋体" w:hint="default"/>
          <w:spacing w:val="-1"/>
          <w:w w:val="95"/>
          <w:sz w:val="21"/>
          <w:szCs w:val="21"/>
        </w:rPr>
        <w:t>月至</w:t>
      </w:r>
      <w:r>
        <w:rPr>
          <w:rFonts w:ascii="Times New Roman" w:hAnsi="Times New Roman" w:cs="Times New Roman" w:eastAsia="Times New Roman" w:hint="default"/>
          <w:spacing w:val="-1"/>
          <w:w w:val="95"/>
          <w:sz w:val="21"/>
          <w:szCs w:val="21"/>
        </w:rPr>
        <w:t>2010</w:t>
      </w:r>
      <w:r>
        <w:rPr>
          <w:rFonts w:ascii="宋体" w:hAnsi="宋体" w:cs="宋体" w:eastAsia="宋体" w:hint="default"/>
          <w:spacing w:val="-1"/>
          <w:w w:val="95"/>
          <w:sz w:val="21"/>
          <w:szCs w:val="21"/>
        </w:rPr>
        <w:t>年</w:t>
      </w:r>
      <w:r>
        <w:rPr>
          <w:rFonts w:ascii="Times New Roman" w:hAnsi="Times New Roman" w:cs="Times New Roman" w:eastAsia="Times New Roman" w:hint="default"/>
          <w:spacing w:val="-1"/>
          <w:w w:val="95"/>
          <w:sz w:val="21"/>
          <w:szCs w:val="21"/>
        </w:rPr>
        <w:t>7</w:t>
      </w:r>
      <w:r>
        <w:rPr>
          <w:rFonts w:ascii="宋体" w:hAnsi="宋体" w:cs="宋体" w:eastAsia="宋体" w:hint="default"/>
          <w:spacing w:val="-1"/>
          <w:w w:val="95"/>
          <w:sz w:val="21"/>
          <w:szCs w:val="21"/>
        </w:rPr>
        <w:t>月任杭</w:t>
      </w:r>
      <w:r>
        <w:rPr>
          <w:rFonts w:ascii="宋体" w:hAnsi="宋体" w:cs="宋体" w:eastAsia="宋体" w:hint="default"/>
          <w:w w:val="99"/>
          <w:sz w:val="21"/>
          <w:szCs w:val="21"/>
        </w:rPr>
        <w:t> </w:t>
      </w:r>
      <w:r>
        <w:rPr>
          <w:rFonts w:ascii="宋体" w:hAnsi="宋体" w:cs="宋体" w:eastAsia="宋体" w:hint="default"/>
          <w:spacing w:val="2"/>
          <w:sz w:val="21"/>
          <w:szCs w:val="21"/>
        </w:rPr>
        <w:t>州万马高能量电池有限公司财务经理</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月任浙江万马高分子材料有限公司财务经理。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月至今任万马联合控股集团有限公司财务副总监。</w:t>
      </w:r>
    </w:p>
    <w:p>
      <w:pPr>
        <w:spacing w:line="386" w:lineRule="auto" w:before="35"/>
        <w:ind w:left="132" w:right="100" w:firstLine="480"/>
        <w:jc w:val="left"/>
        <w:rPr>
          <w:rFonts w:ascii="宋体" w:hAnsi="宋体" w:cs="宋体" w:eastAsia="宋体" w:hint="default"/>
          <w:sz w:val="21"/>
          <w:szCs w:val="21"/>
        </w:rPr>
      </w:pPr>
      <w:r>
        <w:rPr>
          <w:rFonts w:ascii="宋体" w:hAnsi="宋体" w:cs="宋体" w:eastAsia="宋体" w:hint="default"/>
          <w:b/>
          <w:bCs/>
          <w:w w:val="95"/>
          <w:sz w:val="21"/>
          <w:szCs w:val="21"/>
        </w:rPr>
        <w:t>邵淑青女士：</w:t>
      </w:r>
      <w:r>
        <w:rPr>
          <w:rFonts w:ascii="Times New Roman" w:hAnsi="Times New Roman" w:cs="Times New Roman" w:eastAsia="Times New Roman" w:hint="default"/>
          <w:w w:val="95"/>
          <w:sz w:val="21"/>
          <w:szCs w:val="21"/>
        </w:rPr>
        <w:t>1978</w:t>
      </w:r>
      <w:r>
        <w:rPr>
          <w:rFonts w:ascii="宋体" w:hAnsi="宋体" w:cs="宋体" w:eastAsia="宋体" w:hint="default"/>
          <w:w w:val="95"/>
          <w:sz w:val="21"/>
          <w:szCs w:val="21"/>
        </w:rPr>
        <w:t>年出生，本科，高级经济师。历任万马集团办公室副主任、电气电缆集团人力资源</w:t>
      </w:r>
      <w:r>
        <w:rPr>
          <w:rFonts w:ascii="宋体" w:hAnsi="宋体" w:cs="宋体" w:eastAsia="宋体" w:hint="default"/>
          <w:w w:val="99"/>
          <w:sz w:val="21"/>
          <w:szCs w:val="21"/>
        </w:rPr>
        <w:t> </w:t>
      </w:r>
      <w:r>
        <w:rPr>
          <w:rFonts w:ascii="宋体" w:hAnsi="宋体" w:cs="宋体" w:eastAsia="宋体" w:hint="default"/>
          <w:spacing w:val="-5"/>
          <w:sz w:val="21"/>
          <w:szCs w:val="21"/>
        </w:rPr>
        <w:t>部经理。</w:t>
      </w:r>
      <w:r>
        <w:rPr>
          <w:rFonts w:ascii="Times New Roman" w:hAnsi="Times New Roman" w:cs="Times New Roman" w:eastAsia="Times New Roman" w:hint="default"/>
          <w:spacing w:val="-5"/>
          <w:sz w:val="21"/>
          <w:szCs w:val="21"/>
        </w:rPr>
        <w:t>2008</w:t>
      </w:r>
      <w:r>
        <w:rPr>
          <w:rFonts w:ascii="宋体" w:hAnsi="宋体" w:cs="宋体" w:eastAsia="宋体" w:hint="default"/>
          <w:spacing w:val="-5"/>
          <w:sz w:val="21"/>
          <w:szCs w:val="21"/>
        </w:rPr>
        <w:t>年取得深交所董事会秘书资格证书，</w:t>
      </w:r>
      <w:r>
        <w:rPr>
          <w:rFonts w:ascii="Times New Roman" w:hAnsi="Times New Roman" w:cs="Times New Roman" w:eastAsia="Times New Roman" w:hint="default"/>
          <w:spacing w:val="-5"/>
          <w:sz w:val="21"/>
          <w:szCs w:val="21"/>
        </w:rPr>
        <w:t>2007</w:t>
      </w:r>
      <w:r>
        <w:rPr>
          <w:rFonts w:ascii="宋体" w:hAnsi="宋体" w:cs="宋体" w:eastAsia="宋体" w:hint="default"/>
          <w:spacing w:val="-5"/>
          <w:sz w:val="21"/>
          <w:szCs w:val="21"/>
        </w:rPr>
        <w:t>年至今担任公司证券事务代表，参与股份改制、</w:t>
      </w:r>
      <w:r>
        <w:rPr>
          <w:rFonts w:ascii="Times New Roman" w:hAnsi="Times New Roman" w:cs="Times New Roman" w:eastAsia="Times New Roman" w:hint="default"/>
          <w:spacing w:val="-5"/>
          <w:sz w:val="21"/>
          <w:szCs w:val="21"/>
        </w:rPr>
        <w:t>IPO</w:t>
      </w:r>
      <w:r>
        <w:rPr>
          <w:rFonts w:ascii="宋体" w:hAnsi="宋体" w:cs="宋体" w:eastAsia="宋体" w:hint="default"/>
          <w:spacing w:val="-5"/>
          <w:sz w:val="21"/>
          <w:szCs w:val="21"/>
        </w:rPr>
        <w:t>、</w:t>
      </w:r>
      <w:r>
        <w:rPr>
          <w:rFonts w:ascii="宋体" w:hAnsi="宋体" w:cs="宋体" w:eastAsia="宋体" w:hint="default"/>
          <w:w w:val="99"/>
          <w:sz w:val="21"/>
          <w:szCs w:val="21"/>
        </w:rPr>
        <w:t> </w:t>
      </w:r>
      <w:r>
        <w:rPr>
          <w:rFonts w:ascii="宋体" w:hAnsi="宋体" w:cs="宋体" w:eastAsia="宋体" w:hint="default"/>
          <w:sz w:val="21"/>
          <w:szCs w:val="21"/>
        </w:rPr>
        <w:t>非公开发行、重大资产重组等项目工作。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612" w:right="201" w:hanging="104"/>
        <w:jc w:val="left"/>
        <w:rPr>
          <w:rFonts w:ascii="宋体" w:hAnsi="宋体" w:cs="宋体" w:eastAsia="宋体" w:hint="default"/>
          <w:sz w:val="21"/>
          <w:szCs w:val="21"/>
        </w:rPr>
      </w:pPr>
      <w:r>
        <w:rPr>
          <w:rFonts w:ascii="宋体" w:hAnsi="宋体" w:cs="宋体" w:eastAsia="宋体" w:hint="default"/>
          <w:b/>
          <w:bCs/>
          <w:sz w:val="21"/>
          <w:szCs w:val="21"/>
        </w:rPr>
        <w:t>（三）其他高级管理人员</w:t>
      </w:r>
      <w:r>
        <w:rPr>
          <w:rFonts w:ascii="宋体" w:hAnsi="宋体" w:cs="宋体" w:eastAsia="宋体" w:hint="default"/>
          <w:b/>
          <w:bCs/>
          <w:w w:val="99"/>
          <w:sz w:val="21"/>
          <w:szCs w:val="21"/>
        </w:rPr>
        <w:t> </w:t>
      </w:r>
      <w:r>
        <w:rPr>
          <w:rFonts w:ascii="宋体" w:hAnsi="宋体" w:cs="宋体" w:eastAsia="宋体" w:hint="default"/>
          <w:b/>
          <w:bCs/>
          <w:spacing w:val="-2"/>
          <w:sz w:val="21"/>
          <w:szCs w:val="21"/>
        </w:rPr>
        <w:t>周炯先生：</w:t>
      </w:r>
      <w:r>
        <w:rPr>
          <w:rFonts w:ascii="Times New Roman" w:hAnsi="Times New Roman" w:cs="Times New Roman" w:eastAsia="Times New Roman" w:hint="default"/>
          <w:spacing w:val="-2"/>
          <w:sz w:val="21"/>
          <w:szCs w:val="21"/>
        </w:rPr>
        <w:t>1970</w:t>
      </w:r>
      <w:r>
        <w:rPr>
          <w:rFonts w:ascii="宋体" w:hAnsi="宋体" w:cs="宋体" w:eastAsia="宋体" w:hint="default"/>
          <w:spacing w:val="-2"/>
          <w:sz w:val="21"/>
          <w:szCs w:val="21"/>
        </w:rPr>
        <w:t>年出生，中国国籍，大专。历任临安市横畈镇酒厂厂长助理，杭州锦江集团公司销售</w:t>
      </w:r>
    </w:p>
    <w:p>
      <w:pPr>
        <w:spacing w:line="386" w:lineRule="auto" w:before="14"/>
        <w:ind w:left="132" w:right="104" w:firstLine="0"/>
        <w:jc w:val="left"/>
        <w:rPr>
          <w:rFonts w:ascii="宋体" w:hAnsi="宋体" w:cs="宋体" w:eastAsia="宋体" w:hint="default"/>
          <w:sz w:val="21"/>
          <w:szCs w:val="21"/>
        </w:rPr>
      </w:pPr>
      <w:r>
        <w:rPr>
          <w:rFonts w:ascii="宋体" w:hAnsi="宋体" w:cs="宋体" w:eastAsia="宋体" w:hint="default"/>
          <w:w w:val="95"/>
          <w:sz w:val="21"/>
          <w:szCs w:val="21"/>
        </w:rPr>
        <w:t>员，浙江天目神实业有限公司销售公司副总经理，</w:t>
      </w:r>
      <w:r>
        <w:rPr>
          <w:rFonts w:ascii="Times New Roman" w:hAnsi="Times New Roman" w:cs="Times New Roman" w:eastAsia="Times New Roman" w:hint="default"/>
          <w:w w:val="95"/>
          <w:sz w:val="21"/>
          <w:szCs w:val="21"/>
        </w:rPr>
        <w:t>2003</w:t>
      </w:r>
      <w:r>
        <w:rPr>
          <w:rFonts w:ascii="宋体" w:hAnsi="宋体" w:cs="宋体" w:eastAsia="宋体" w:hint="default"/>
          <w:w w:val="95"/>
          <w:sz w:val="21"/>
          <w:szCs w:val="21"/>
        </w:rPr>
        <w:t>年起任浙江万马集团电缆有限公司销售经理，现任</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本公司副总经理。</w:t>
      </w:r>
    </w:p>
    <w:p>
      <w:pPr>
        <w:spacing w:line="386" w:lineRule="auto" w:before="65"/>
        <w:ind w:left="132" w:right="207" w:firstLine="480"/>
        <w:jc w:val="both"/>
        <w:rPr>
          <w:rFonts w:ascii="宋体" w:hAnsi="宋体" w:cs="宋体" w:eastAsia="宋体" w:hint="default"/>
          <w:sz w:val="21"/>
          <w:szCs w:val="21"/>
        </w:rPr>
      </w:pPr>
      <w:r>
        <w:rPr>
          <w:rFonts w:ascii="宋体" w:hAnsi="宋体" w:cs="宋体" w:eastAsia="宋体" w:hint="default"/>
          <w:b/>
          <w:bCs/>
          <w:spacing w:val="2"/>
          <w:w w:val="95"/>
          <w:sz w:val="21"/>
          <w:szCs w:val="21"/>
        </w:rPr>
        <w:t>刘焕新先生：</w:t>
      </w:r>
      <w:r>
        <w:rPr>
          <w:rFonts w:ascii="Times New Roman" w:hAnsi="Times New Roman" w:cs="Times New Roman" w:eastAsia="Times New Roman" w:hint="default"/>
          <w:spacing w:val="2"/>
          <w:w w:val="95"/>
          <w:sz w:val="21"/>
          <w:szCs w:val="21"/>
        </w:rPr>
        <w:t>1968</w:t>
      </w:r>
      <w:r>
        <w:rPr>
          <w:rFonts w:ascii="宋体" w:hAnsi="宋体" w:cs="宋体" w:eastAsia="宋体" w:hint="default"/>
          <w:spacing w:val="2"/>
          <w:w w:val="95"/>
          <w:sz w:val="21"/>
          <w:szCs w:val="21"/>
        </w:rPr>
        <w:t>年出生，中国国籍，无境外居留权，</w:t>
      </w:r>
      <w:r>
        <w:rPr>
          <w:rFonts w:ascii="Times New Roman" w:hAnsi="Times New Roman" w:cs="Times New Roman" w:eastAsia="Times New Roman" w:hint="default"/>
          <w:spacing w:val="2"/>
          <w:w w:val="95"/>
          <w:sz w:val="21"/>
          <w:szCs w:val="21"/>
        </w:rPr>
        <w:t>MBA</w:t>
      </w: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1991</w:t>
      </w:r>
      <w:r>
        <w:rPr>
          <w:rFonts w:ascii="宋体" w:hAnsi="宋体" w:cs="宋体" w:eastAsia="宋体" w:hint="default"/>
          <w:spacing w:val="2"/>
          <w:w w:val="95"/>
          <w:sz w:val="21"/>
          <w:szCs w:val="21"/>
        </w:rPr>
        <w:t>年参加工作，历任山东鲁能泰山</w:t>
      </w:r>
      <w:r>
        <w:rPr>
          <w:rFonts w:ascii="宋体" w:hAnsi="宋体" w:cs="宋体" w:eastAsia="宋体" w:hint="default"/>
          <w:w w:val="99"/>
          <w:sz w:val="21"/>
          <w:szCs w:val="21"/>
        </w:rPr>
        <w:t> </w:t>
      </w:r>
      <w:r>
        <w:rPr>
          <w:rFonts w:ascii="宋体" w:hAnsi="宋体" w:cs="宋体" w:eastAsia="宋体" w:hint="default"/>
          <w:sz w:val="21"/>
          <w:szCs w:val="21"/>
        </w:rPr>
        <w:t>电缆有限公司副总经理、总工程师，</w:t>
      </w:r>
      <w:r>
        <w:rPr>
          <w:rFonts w:ascii="Times New Roman" w:hAnsi="Times New Roman" w:cs="Times New Roman" w:eastAsia="Times New Roman" w:hint="default"/>
          <w:sz w:val="21"/>
          <w:szCs w:val="21"/>
        </w:rPr>
        <w:t>2006</w:t>
      </w:r>
      <w:r>
        <w:rPr>
          <w:rFonts w:ascii="宋体" w:hAnsi="宋体" w:cs="宋体" w:eastAsia="宋体" w:hint="default"/>
          <w:sz w:val="21"/>
          <w:szCs w:val="21"/>
        </w:rPr>
        <w:t>年加入本公司，曾任董事长助理，现任本公司副总经理。</w:t>
      </w:r>
    </w:p>
    <w:p>
      <w:pPr>
        <w:spacing w:line="398" w:lineRule="auto" w:before="35"/>
        <w:ind w:left="132" w:right="205" w:firstLine="480"/>
        <w:jc w:val="both"/>
        <w:rPr>
          <w:rFonts w:ascii="宋体" w:hAnsi="宋体" w:cs="宋体" w:eastAsia="宋体" w:hint="default"/>
          <w:sz w:val="21"/>
          <w:szCs w:val="21"/>
        </w:rPr>
      </w:pPr>
      <w:r>
        <w:rPr>
          <w:rFonts w:ascii="宋体" w:hAnsi="宋体" w:cs="宋体" w:eastAsia="宋体" w:hint="default"/>
          <w:b/>
          <w:bCs/>
          <w:spacing w:val="-2"/>
          <w:sz w:val="21"/>
          <w:szCs w:val="21"/>
        </w:rPr>
        <w:t>覃运平先生：</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年出生，中国国籍，无境外居留权，本科，高级工程师。</w:t>
      </w:r>
      <w:r>
        <w:rPr>
          <w:rFonts w:ascii="Times New Roman" w:hAnsi="Times New Roman" w:cs="Times New Roman" w:eastAsia="Times New Roman" w:hint="default"/>
          <w:spacing w:val="-2"/>
          <w:sz w:val="21"/>
          <w:szCs w:val="21"/>
        </w:rPr>
        <w:t>1983</w:t>
      </w:r>
      <w:r>
        <w:rPr>
          <w:rFonts w:ascii="宋体" w:hAnsi="宋体" w:cs="宋体" w:eastAsia="宋体" w:hint="default"/>
          <w:spacing w:val="-2"/>
          <w:sz w:val="21"/>
          <w:szCs w:val="21"/>
        </w:rPr>
        <w:t>年参加工作，历任广</w:t>
      </w:r>
      <w:r>
        <w:rPr>
          <w:rFonts w:ascii="宋体" w:hAnsi="宋体" w:cs="宋体" w:eastAsia="宋体" w:hint="default"/>
          <w:w w:val="99"/>
          <w:sz w:val="21"/>
          <w:szCs w:val="21"/>
        </w:rPr>
        <w:t> </w:t>
      </w:r>
      <w:r>
        <w:rPr>
          <w:rFonts w:ascii="宋体" w:hAnsi="宋体" w:cs="宋体" w:eastAsia="宋体" w:hint="default"/>
          <w:w w:val="95"/>
          <w:sz w:val="21"/>
          <w:szCs w:val="21"/>
        </w:rPr>
        <w:t>西南宁水电设计院电力室科员、海南省三亚市华翔房地产公司副总经理、常州安凯特电缆有限公司销售总</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监，</w:t>
      </w:r>
      <w:r>
        <w:rPr>
          <w:rFonts w:ascii="Times New Roman" w:hAnsi="Times New Roman" w:cs="Times New Roman" w:eastAsia="Times New Roman" w:hint="default"/>
          <w:sz w:val="21"/>
          <w:szCs w:val="21"/>
        </w:rPr>
        <w:t>2008</w:t>
      </w:r>
      <w:r>
        <w:rPr>
          <w:rFonts w:ascii="宋体" w:hAnsi="宋体" w:cs="宋体" w:eastAsia="宋体" w:hint="default"/>
          <w:sz w:val="21"/>
          <w:szCs w:val="21"/>
        </w:rPr>
        <w:t>年加入本公司，任销售总监、总经理助理，现任本公司副总经理。</w:t>
      </w:r>
    </w:p>
    <w:p>
      <w:pPr>
        <w:spacing w:line="400" w:lineRule="auto" w:before="24"/>
        <w:ind w:left="132" w:right="210" w:firstLine="422"/>
        <w:jc w:val="both"/>
        <w:rPr>
          <w:rFonts w:ascii="宋体" w:hAnsi="宋体" w:cs="宋体" w:eastAsia="宋体" w:hint="default"/>
          <w:sz w:val="21"/>
          <w:szCs w:val="21"/>
        </w:rPr>
      </w:pPr>
      <w:r>
        <w:rPr>
          <w:rFonts w:ascii="宋体" w:hAnsi="宋体" w:cs="宋体" w:eastAsia="宋体" w:hint="default"/>
          <w:b/>
          <w:bCs/>
          <w:w w:val="95"/>
          <w:sz w:val="21"/>
          <w:szCs w:val="21"/>
        </w:rPr>
        <w:t>屠国良先生：</w:t>
      </w:r>
      <w:r>
        <w:rPr>
          <w:rFonts w:ascii="Times New Roman" w:hAnsi="Times New Roman" w:cs="Times New Roman" w:eastAsia="Times New Roman" w:hint="default"/>
          <w:w w:val="95"/>
          <w:sz w:val="21"/>
          <w:szCs w:val="21"/>
        </w:rPr>
        <w:t>1976</w:t>
      </w:r>
      <w:r>
        <w:rPr>
          <w:rFonts w:ascii="宋体" w:hAnsi="宋体" w:cs="宋体" w:eastAsia="宋体" w:hint="default"/>
          <w:w w:val="95"/>
          <w:sz w:val="21"/>
          <w:szCs w:val="21"/>
        </w:rPr>
        <w:t>年生，大学本科，会计师，注册税务师。曾任杭州钢铁集团公司财务部会计科副科</w:t>
      </w:r>
      <w:r>
        <w:rPr>
          <w:rFonts w:ascii="宋体" w:hAnsi="宋体" w:cs="宋体" w:eastAsia="宋体" w:hint="default"/>
          <w:w w:val="99"/>
          <w:sz w:val="21"/>
          <w:szCs w:val="21"/>
        </w:rPr>
        <w:t> </w:t>
      </w:r>
      <w:r>
        <w:rPr>
          <w:rFonts w:ascii="宋体" w:hAnsi="宋体" w:cs="宋体" w:eastAsia="宋体" w:hint="default"/>
          <w:w w:val="95"/>
          <w:sz w:val="21"/>
          <w:szCs w:val="21"/>
        </w:rPr>
        <w:t>长、杭钢动力财务科副科长、财务部资产科科长；华立集团股份有限公司资产管理部资产管理经理、资金</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财务部财务经理；华方医药科技有限公司资金财务部部长，杭州新中大软件股份有限公司财务总监兼董事</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会秘书。现任本公司董事会秘书、财务总监。</w:t>
      </w:r>
    </w:p>
    <w:p>
      <w:pPr>
        <w:spacing w:line="240" w:lineRule="auto" w:before="11"/>
        <w:rPr>
          <w:rFonts w:ascii="宋体" w:hAnsi="宋体" w:cs="宋体" w:eastAsia="宋体" w:hint="default"/>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b/>
          <w:bCs/>
          <w:sz w:val="18"/>
          <w:szCs w:val="18"/>
        </w:rPr>
        <w:t>在股东单位任职情况</w:t>
      </w:r>
      <w:r>
        <w:rPr>
          <w:rFonts w:ascii="宋体" w:hAnsi="宋体" w:cs="宋体" w:eastAsia="宋体" w:hint="default"/>
          <w:sz w:val="18"/>
          <w:szCs w:val="18"/>
        </w:rPr>
      </w:r>
    </w:p>
    <w:p>
      <w:pPr>
        <w:spacing w:before="115"/>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17"/>
        <w:gridCol w:w="2819"/>
        <w:gridCol w:w="1488"/>
        <w:gridCol w:w="1737"/>
        <w:gridCol w:w="822"/>
        <w:gridCol w:w="1485"/>
      </w:tblGrid>
      <w:tr>
        <w:trPr>
          <w:trHeight w:val="724" w:hRule="exact"/>
        </w:trPr>
        <w:tc>
          <w:tcPr>
            <w:tcW w:w="121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502" w:right="15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81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8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0" w:right="106"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3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6" w:right="13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8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1"/>
              <w:ind w:left="198" w:right="9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2"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2"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2"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22"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2"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1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2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财务副总监</w:t>
            </w:r>
          </w:p>
        </w:tc>
        <w:tc>
          <w:tcPr>
            <w:tcW w:w="1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2" w:type="dxa"/>
            <w:tcBorders>
              <w:top w:val="single" w:sz="4" w:space="0" w:color="000000"/>
              <w:left w:val="single" w:sz="4" w:space="0" w:color="000000"/>
              <w:bottom w:val="single" w:sz="12" w:space="0" w:color="000000"/>
              <w:right w:val="single" w:sz="4" w:space="0" w:color="000000"/>
            </w:tcBorders>
          </w:tcPr>
          <w:p>
            <w:pPr/>
          </w:p>
        </w:tc>
        <w:tc>
          <w:tcPr>
            <w:tcW w:w="14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0" w:footer="1012" w:top="1440" w:bottom="1200" w:left="100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before="115"/>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21"/>
        <w:gridCol w:w="3315"/>
        <w:gridCol w:w="1605"/>
        <w:gridCol w:w="1635"/>
        <w:gridCol w:w="675"/>
        <w:gridCol w:w="1316"/>
      </w:tblGrid>
      <w:tr>
        <w:trPr>
          <w:trHeight w:val="1036" w:hRule="exact"/>
        </w:trPr>
        <w:tc>
          <w:tcPr>
            <w:tcW w:w="1021"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5" w:right="144"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3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60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7" w:right="165"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3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67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3" w:right="150"/>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316"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1"/>
              <w:ind w:left="114" w:right="100"/>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1021"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21" w:type="dxa"/>
            <w:vMerge w:val="restart"/>
            <w:tcBorders>
              <w:top w:val="single" w:sz="4" w:space="0" w:color="000000"/>
              <w:left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vMerge/>
            <w:tcBorders>
              <w:left w:val="single" w:sz="12"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浙江核新同花顺网络信息股份有限公司</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中国电力科学研究院电气设备检测中心</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电缆质检站站长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02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3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北京观韬律师事务所合伙人</w:t>
            </w:r>
          </w:p>
        </w:tc>
        <w:tc>
          <w:tcPr>
            <w:tcW w:w="16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12" w:space="0" w:color="000000"/>
              <w:right w:val="single" w:sz="4" w:space="0" w:color="000000"/>
            </w:tcBorders>
          </w:tcPr>
          <w:p>
            <w:pPr/>
          </w:p>
        </w:tc>
        <w:tc>
          <w:tcPr>
            <w:tcW w:w="13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0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73" w:lineRule="auto" w:before="92"/>
        <w:ind w:left="132" w:right="105" w:firstLine="0"/>
        <w:jc w:val="left"/>
        <w:rPr>
          <w:rFonts w:ascii="宋体" w:hAnsi="宋体" w:cs="宋体" w:eastAsia="宋体" w:hint="default"/>
          <w:sz w:val="21"/>
          <w:szCs w:val="21"/>
        </w:rPr>
      </w:pPr>
      <w:r>
        <w:rPr>
          <w:rFonts w:ascii="宋体" w:hAnsi="宋体" w:cs="宋体" w:eastAsia="宋体" w:hint="default"/>
          <w:sz w:val="21"/>
          <w:szCs w:val="21"/>
        </w:rPr>
        <w:t>（1）董事、监事、高级管理人员报酬确定依据：在公司任职的董事、监事和高级管理人员按其行政岗位</w:t>
      </w:r>
      <w:r>
        <w:rPr>
          <w:rFonts w:ascii="宋体" w:hAnsi="宋体" w:cs="宋体" w:eastAsia="宋体" w:hint="default"/>
          <w:w w:val="99"/>
          <w:sz w:val="21"/>
          <w:szCs w:val="21"/>
        </w:rPr>
        <w:t> </w:t>
      </w:r>
      <w:r>
        <w:rPr>
          <w:rFonts w:ascii="宋体" w:hAnsi="宋体" w:cs="宋体" w:eastAsia="宋体" w:hint="default"/>
          <w:spacing w:val="-3"/>
          <w:sz w:val="21"/>
          <w:szCs w:val="21"/>
        </w:rPr>
        <w:t>及职务，根据公司现行的年度考核体系和薪酬制度领取薪酬。未在公司担任行政职务的董事、监事无津贴。</w:t>
      </w:r>
    </w:p>
    <w:p>
      <w:pPr>
        <w:spacing w:line="273" w:lineRule="auto" w:before="48"/>
        <w:ind w:left="132" w:right="104" w:firstLine="0"/>
        <w:jc w:val="left"/>
        <w:rPr>
          <w:rFonts w:ascii="宋体" w:hAnsi="宋体" w:cs="宋体" w:eastAsia="宋体" w:hint="default"/>
          <w:sz w:val="21"/>
          <w:szCs w:val="21"/>
        </w:rPr>
      </w:pPr>
      <w:r>
        <w:rPr>
          <w:rFonts w:ascii="宋体" w:hAnsi="宋体" w:cs="宋体" w:eastAsia="宋体" w:hint="default"/>
          <w:spacing w:val="2"/>
          <w:w w:val="95"/>
          <w:sz w:val="21"/>
          <w:szCs w:val="21"/>
        </w:rPr>
        <w:t>（2）独立董事报酬确定依据：公司独立董事的薪酬由董事会审议后提交股东大会批准决定，按月支付到</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个人帐户。</w:t>
      </w:r>
    </w:p>
    <w:p>
      <w:pPr>
        <w:spacing w:after="0" w:line="273" w:lineRule="auto"/>
        <w:jc w:val="left"/>
        <w:rPr>
          <w:rFonts w:ascii="宋体" w:hAnsi="宋体" w:cs="宋体" w:eastAsia="宋体" w:hint="default"/>
          <w:sz w:val="21"/>
          <w:szCs w:val="21"/>
        </w:rPr>
        <w:sectPr>
          <w:pgSz w:w="11910" w:h="16840"/>
          <w:pgMar w:header="850" w:footer="1012" w:top="1440" w:bottom="1200" w:left="100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0" w:footer="1012" w:top="1440" w:bottom="1200" w:left="1000" w:right="1020"/>
        </w:sectPr>
      </w:pPr>
    </w:p>
    <w:p>
      <w:pPr>
        <w:pStyle w:val="Heading2"/>
        <w:spacing w:line="240" w:lineRule="auto" w:before="26"/>
        <w:ind w:right="0"/>
        <w:jc w:val="left"/>
        <w:rPr>
          <w:b w:val="0"/>
          <w:bCs w:val="0"/>
        </w:rPr>
      </w:pPr>
      <w:r>
        <w:rPr>
          <w:w w:val="95"/>
        </w:rPr>
        <w:t>公司报告期内董事、监事和高级管理人员报酬情况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4"/>
          <w:szCs w:val="14"/>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5432" w:space="3306"/>
            <w:col w:w="1152"/>
          </w:cols>
        </w:sectPr>
      </w:pP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69"/>
        <w:gridCol w:w="1962"/>
        <w:gridCol w:w="1125"/>
        <w:gridCol w:w="1014"/>
        <w:gridCol w:w="1367"/>
        <w:gridCol w:w="1367"/>
        <w:gridCol w:w="1367"/>
      </w:tblGrid>
      <w:tr>
        <w:trPr>
          <w:trHeight w:val="724" w:hRule="exact"/>
        </w:trPr>
        <w:tc>
          <w:tcPr>
            <w:tcW w:w="1369"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姓名</w:t>
            </w:r>
          </w:p>
        </w:tc>
        <w:tc>
          <w:tcPr>
            <w:tcW w:w="196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1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1"/>
              <w:ind w:left="137" w:right="12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62.02</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刘金华</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22.28</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17.41</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刘焕新</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覃运平</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6"/>
                <w:sz w:val="18"/>
                <w:szCs w:val="18"/>
              </w:rPr>
              <w:t>财务总监、董事会秘书</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夏臣科</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2"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2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392.21</w:t>
            </w:r>
          </w:p>
        </w:tc>
        <w:tc>
          <w:tcPr>
            <w:tcW w:w="1367" w:type="dxa"/>
            <w:tcBorders>
              <w:top w:val="single" w:sz="4" w:space="0" w:color="000000"/>
              <w:left w:val="single" w:sz="4" w:space="0" w:color="000000"/>
              <w:bottom w:val="single" w:sz="12" w:space="0" w:color="000000"/>
              <w:right w:val="single" w:sz="12"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440" w:bottom="280" w:left="1000" w:right="1020"/>
        </w:sectPr>
      </w:pPr>
    </w:p>
    <w:p>
      <w:pPr>
        <w:spacing w:before="44"/>
        <w:ind w:left="132"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公司董事、监事、高级管理人员报告期内被授予的股权激励情况</w:t>
      </w:r>
      <w:r>
        <w:rPr>
          <w:rFonts w:ascii="宋体" w:hAnsi="宋体" w:cs="宋体" w:eastAsia="宋体" w:hint="default"/>
          <w:sz w:val="18"/>
          <w:szCs w:val="18"/>
        </w:rPr>
      </w:r>
    </w:p>
    <w:p>
      <w:pPr>
        <w:spacing w:before="117"/>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5192" w:space="3726"/>
            <w:col w:w="972"/>
          </w:cols>
        </w:sectPr>
      </w:pP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865"/>
        <w:gridCol w:w="869"/>
        <w:gridCol w:w="870"/>
        <w:gridCol w:w="870"/>
        <w:gridCol w:w="870"/>
        <w:gridCol w:w="772"/>
        <w:gridCol w:w="967"/>
        <w:gridCol w:w="870"/>
        <w:gridCol w:w="870"/>
        <w:gridCol w:w="870"/>
        <w:gridCol w:w="870"/>
      </w:tblGrid>
      <w:tr>
        <w:trPr>
          <w:trHeight w:val="1970" w:hRule="exact"/>
        </w:trPr>
        <w:tc>
          <w:tcPr>
            <w:tcW w:w="86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34" w:right="134" w:firstLine="26"/>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77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1" w:right="108"/>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200" w:right="174"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9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7" w:right="11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34" w:right="134" w:firstLine="26"/>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59" w:right="149"/>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bl>
    <w:p>
      <w:pPr>
        <w:spacing w:after="0" w:line="316" w:lineRule="auto"/>
        <w:jc w:val="both"/>
        <w:rPr>
          <w:rFonts w:ascii="宋体" w:hAnsi="宋体" w:cs="宋体" w:eastAsia="宋体" w:hint="default"/>
          <w:sz w:val="18"/>
          <w:szCs w:val="18"/>
        </w:rPr>
        <w:sectPr>
          <w:type w:val="continuous"/>
          <w:pgSz w:w="11910" w:h="16840"/>
          <w:pgMar w:top="1440" w:bottom="280" w:left="1000" w:right="1020"/>
        </w:sectPr>
      </w:pPr>
    </w:p>
    <w:p>
      <w:pPr>
        <w:spacing w:line="240" w:lineRule="auto" w:before="4"/>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865"/>
        <w:gridCol w:w="869"/>
        <w:gridCol w:w="870"/>
        <w:gridCol w:w="870"/>
        <w:gridCol w:w="870"/>
        <w:gridCol w:w="772"/>
        <w:gridCol w:w="967"/>
        <w:gridCol w:w="870"/>
        <w:gridCol w:w="870"/>
        <w:gridCol w:w="870"/>
        <w:gridCol w:w="870"/>
      </w:tblGrid>
      <w:tr>
        <w:trPr>
          <w:trHeight w:val="714" w:hRule="exact"/>
        </w:trPr>
        <w:tc>
          <w:tcPr>
            <w:tcW w:w="8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7"/>
                <w:sz w:val="18"/>
                <w:szCs w:val="18"/>
              </w:rPr>
              <w:t>董事、总</w:t>
            </w:r>
            <w:r>
              <w:rPr>
                <w:rFonts w:ascii="宋体" w:hAnsi="宋体" w:cs="宋体" w:eastAsia="宋体" w:hint="default"/>
                <w:sz w:val="18"/>
                <w:szCs w:val="18"/>
              </w:rPr>
              <w:t> 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320,000</w:t>
            </w:r>
          </w:p>
        </w:tc>
      </w:tr>
      <w:tr>
        <w:trPr>
          <w:trHeight w:val="714" w:hRule="exact"/>
        </w:trPr>
        <w:tc>
          <w:tcPr>
            <w:tcW w:w="8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覃运平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160,000</w:t>
            </w:r>
          </w:p>
        </w:tc>
      </w:tr>
      <w:tr>
        <w:trPr>
          <w:trHeight w:val="714" w:hRule="exact"/>
        </w:trPr>
        <w:tc>
          <w:tcPr>
            <w:tcW w:w="8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7"/>
                <w:sz w:val="18"/>
                <w:szCs w:val="18"/>
              </w:rPr>
              <w:t>董秘、财</w:t>
            </w:r>
            <w:r>
              <w:rPr>
                <w:rFonts w:ascii="宋体" w:hAnsi="宋体" w:cs="宋体" w:eastAsia="宋体" w:hint="default"/>
                <w:sz w:val="18"/>
                <w:szCs w:val="18"/>
              </w:rPr>
              <w:t> 务总监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52,000</w:t>
            </w:r>
          </w:p>
        </w:tc>
      </w:tr>
      <w:tr>
        <w:trPr>
          <w:trHeight w:val="714" w:hRule="exact"/>
        </w:trPr>
        <w:tc>
          <w:tcPr>
            <w:tcW w:w="8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208,000</w:t>
            </w:r>
          </w:p>
        </w:tc>
      </w:tr>
      <w:tr>
        <w:trPr>
          <w:trHeight w:val="714" w:hRule="exact"/>
        </w:trPr>
        <w:tc>
          <w:tcPr>
            <w:tcW w:w="8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160,000</w:t>
            </w:r>
          </w:p>
        </w:tc>
      </w:tr>
      <w:tr>
        <w:trPr>
          <w:trHeight w:val="402" w:hRule="exact"/>
        </w:trPr>
        <w:tc>
          <w:tcPr>
            <w:tcW w:w="86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22" w:right="0"/>
              <w:jc w:val="left"/>
              <w:rPr>
                <w:rFonts w:ascii="Times New Roman" w:hAnsi="Times New Roman" w:cs="Times New Roman" w:eastAsia="Times New Roman" w:hint="default"/>
                <w:sz w:val="18"/>
                <w:szCs w:val="18"/>
              </w:rPr>
            </w:pPr>
            <w:r>
              <w:rPr>
                <w:rFonts w:ascii="Times New Roman"/>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900,000</w:t>
            </w:r>
          </w:p>
        </w:tc>
      </w:tr>
      <w:tr>
        <w:trPr>
          <w:trHeight w:val="1660" w:hRule="exact"/>
        </w:trPr>
        <w:tc>
          <w:tcPr>
            <w:tcW w:w="1734"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12" w:space="0" w:color="000000"/>
              <w:right w:val="single" w:sz="12" w:space="0" w:color="000000"/>
            </w:tcBorders>
          </w:tcPr>
          <w:p>
            <w:pPr>
              <w:pStyle w:val="TableParagraph"/>
              <w:spacing w:line="309" w:lineRule="auto" w:before="51"/>
              <w:ind w:left="96" w:right="91"/>
              <w:jc w:val="both"/>
              <w:rPr>
                <w:rFonts w:ascii="宋体" w:hAnsi="宋体" w:cs="宋体" w:eastAsia="宋体" w:hint="default"/>
                <w:sz w:val="18"/>
                <w:szCs w:val="18"/>
              </w:rPr>
            </w:pPr>
            <w:r>
              <w:rPr>
                <w:rFonts w:ascii="宋体" w:hAnsi="宋体" w:cs="宋体" w:eastAsia="宋体" w:hint="default"/>
                <w:sz w:val="18"/>
                <w:szCs w:val="18"/>
              </w:rPr>
              <w:t>限制性股票激励计划第二期解锁并上市流通：公司第三届董事会第三十六次会议审议通过《关于 公司限制性股票激励计划首次授予限制性股票第二次解锁及预留授予限制性股票第一次解锁条件 成就的议案》，同意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名符合条件激励对象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3,269,400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日上市流通。公 司高管王震宇、沈伟康、何孙益、覃运平、屠国良、</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年被授予的限制性股票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解锁。（详 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日巨潮资讯网</w:t>
            </w:r>
            <w:r>
              <w:rPr>
                <w:rFonts w:ascii="宋体" w:hAnsi="宋体" w:cs="宋体" w:eastAsia="宋体" w:hint="default"/>
                <w:spacing w:val="-48"/>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相关公告）</w:t>
            </w:r>
          </w:p>
        </w:tc>
      </w:tr>
    </w:tbl>
    <w:p>
      <w:pPr>
        <w:spacing w:line="240" w:lineRule="auto" w:before="2"/>
        <w:rPr>
          <w:rFonts w:ascii="宋体" w:hAnsi="宋体" w:cs="宋体" w:eastAsia="宋体" w:hint="default"/>
          <w:sz w:val="18"/>
          <w:szCs w:val="18"/>
        </w:rPr>
      </w:pPr>
    </w:p>
    <w:p>
      <w:pPr>
        <w:pStyle w:val="Heading2"/>
        <w:spacing w:line="240" w:lineRule="auto" w:before="26"/>
        <w:ind w:right="708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784"/>
        <w:gridCol w:w="4784"/>
      </w:tblGrid>
      <w:tr>
        <w:trPr>
          <w:trHeight w:val="412" w:hRule="exact"/>
        </w:trPr>
        <w:tc>
          <w:tcPr>
            <w:tcW w:w="478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1,648</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2,151</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3,799</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3,799</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2,460</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391</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569</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316</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3,799</w:t>
            </w:r>
          </w:p>
        </w:tc>
      </w:tr>
      <w:tr>
        <w:trPr>
          <w:trHeight w:val="402" w:hRule="exact"/>
        </w:trPr>
        <w:tc>
          <w:tcPr>
            <w:tcW w:w="9568" w:type="dxa"/>
            <w:gridSpan w:val="2"/>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0" w:hRule="exact"/>
        </w:trPr>
        <w:tc>
          <w:tcPr>
            <w:tcW w:w="47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33</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4"/>
        <w:rPr>
          <w:rFonts w:ascii="宋体" w:hAnsi="宋体" w:cs="宋体" w:eastAsia="宋体"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859</w:t>
            </w:r>
          </w:p>
        </w:tc>
      </w:tr>
      <w:tr>
        <w:trPr>
          <w:trHeight w:val="402" w:hRule="exact"/>
        </w:trPr>
        <w:tc>
          <w:tcPr>
            <w:tcW w:w="47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2,496</w:t>
            </w:r>
          </w:p>
        </w:tc>
      </w:tr>
      <w:tr>
        <w:trPr>
          <w:trHeight w:val="412" w:hRule="exact"/>
        </w:trPr>
        <w:tc>
          <w:tcPr>
            <w:tcW w:w="4784"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3,799</w:t>
            </w:r>
          </w:p>
        </w:tc>
      </w:tr>
    </w:tbl>
    <w:p>
      <w:pPr>
        <w:spacing w:line="386" w:lineRule="auto" w:before="64"/>
        <w:ind w:left="132" w:right="38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b/>
          <w:bCs/>
          <w:w w:val="99"/>
          <w:sz w:val="21"/>
          <w:szCs w:val="21"/>
        </w:rPr>
        <w:t> </w:t>
      </w:r>
      <w:r>
        <w:rPr>
          <w:rFonts w:ascii="宋体" w:hAnsi="宋体" w:cs="宋体" w:eastAsia="宋体" w:hint="default"/>
          <w:w w:val="95"/>
          <w:sz w:val="21"/>
          <w:szCs w:val="21"/>
        </w:rPr>
        <w:t>提升企业效益，改善工作环境，制定合理的薪资体系。</w:t>
      </w:r>
      <w:r>
        <w:rPr>
          <w:rFonts w:ascii="宋体" w:hAnsi="宋体" w:cs="宋体" w:eastAsia="宋体" w:hint="default"/>
          <w:sz w:val="21"/>
          <w:szCs w:val="21"/>
        </w:rPr>
      </w:r>
    </w:p>
    <w:p>
      <w:pPr>
        <w:spacing w:line="398" w:lineRule="auto" w:before="65"/>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、企业效益好，综合竞争力强，是吸引员工的根本。公司全体员工共同努力，各司其职，向市场、向管</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理要效益，以大纲为标杆，确保每年经营指标超额完成，为员工创造提薪、提升机会、实现员企共赢。</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、改造设备、改善员工工作环境、结合生产情况制定合理的工时定额，稳定员工。</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line="386" w:lineRule="auto" w:before="0"/>
        <w:ind w:left="13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b/>
          <w:bCs/>
          <w:w w:val="99"/>
          <w:sz w:val="21"/>
          <w:szCs w:val="21"/>
        </w:rPr>
        <w:t> </w:t>
      </w:r>
      <w:r>
        <w:rPr>
          <w:rFonts w:ascii="宋体" w:hAnsi="宋体" w:cs="宋体" w:eastAsia="宋体" w:hint="default"/>
          <w:sz w:val="21"/>
          <w:szCs w:val="21"/>
        </w:rPr>
        <w:t>为干事的员工、人才搭建平台。</w:t>
      </w:r>
    </w:p>
    <w:p>
      <w:pPr>
        <w:spacing w:line="398" w:lineRule="auto" w:before="65"/>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、帮助青年技术、管理人才拟订个人职业规划，对自己的发展方向和目标有明确的认识，将个人兴趣特</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长与企业的发展相结合。</w:t>
      </w:r>
      <w:r>
        <w:rPr>
          <w:rFonts w:ascii="宋体" w:hAnsi="宋体" w:cs="宋体" w:eastAsia="宋体" w:hint="default"/>
          <w:w w:val="99"/>
          <w:sz w:val="21"/>
          <w:szCs w:val="21"/>
        </w:rPr>
        <w:t> </w:t>
      </w: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、除大纲年度培训计划外，根据需求及时增加临时培训，确保满足需求。培训方式多样，除传统授课培</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训外，还有案例剖析、户外拓展、专家授课、专题讲座等。</w:t>
      </w:r>
      <w:r>
        <w:rPr>
          <w:rFonts w:ascii="宋体" w:hAnsi="宋体" w:cs="宋体" w:eastAsia="宋体" w:hint="default"/>
          <w:w w:val="99"/>
          <w:sz w:val="21"/>
          <w:szCs w:val="21"/>
        </w:rPr>
        <w:t> </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、技术、管理人员入职，公司安排</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个月车间实习期，</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个月岗位试岗期，在此期间每月进行工作总结，</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人力资源部对部门实行业务搭档，多方位了解员工、部门实际工作状况，确保员工真正适岗。并根据实际</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情况实行师带徒制度。</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、以激励方式，引导核心人员增大对技术、产品、设备创新的重视度，实施员企共赢。</w:t>
      </w:r>
    </w:p>
    <w:p>
      <w:pPr>
        <w:spacing w:before="24"/>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、组织华为参观，向优秀管理企业汲取经验，相互交流。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7"/>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26"/>
          <w:pgSz w:w="11910" w:h="16840"/>
          <w:pgMar w:footer="1012" w:header="850" w:top="1440" w:bottom="1200" w:left="1000" w:right="102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713" w:right="3810"/>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12" w:right="109"/>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210" w:firstLine="480"/>
        <w:jc w:val="both"/>
        <w:rPr>
          <w:rFonts w:ascii="宋体" w:hAnsi="宋体" w:cs="宋体" w:eastAsia="宋体" w:hint="default"/>
          <w:sz w:val="21"/>
          <w:szCs w:val="21"/>
        </w:rPr>
      </w:pPr>
      <w:r>
        <w:rPr>
          <w:rFonts w:ascii="宋体" w:hAnsi="宋体" w:cs="宋体" w:eastAsia="宋体" w:hint="default"/>
          <w:spacing w:val="-2"/>
          <w:sz w:val="21"/>
          <w:szCs w:val="21"/>
        </w:rPr>
        <w:t>报告期内，公司严格按照《公司法》、《证券法》、《上市公司治理准则》、《深圳证券交易所股票</w:t>
      </w:r>
      <w:r>
        <w:rPr>
          <w:rFonts w:ascii="宋体" w:hAnsi="宋体" w:cs="宋体" w:eastAsia="宋体" w:hint="default"/>
          <w:w w:val="99"/>
          <w:sz w:val="21"/>
          <w:szCs w:val="21"/>
        </w:rPr>
        <w:t> </w:t>
      </w:r>
      <w:r>
        <w:rPr>
          <w:rFonts w:ascii="宋体" w:hAnsi="宋体" w:cs="宋体" w:eastAsia="宋体" w:hint="default"/>
          <w:w w:val="95"/>
          <w:sz w:val="21"/>
          <w:szCs w:val="21"/>
        </w:rPr>
        <w:t>上市规则》、《深圳证券交易所中小企业板上市公司规范运作指引》及中国证监会有关法律法规要求，不</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断完善公司法人治理结构、建立健全公司内部管理和控制制度，规范公司运作。</w:t>
      </w:r>
    </w:p>
    <w:p>
      <w:pPr>
        <w:spacing w:line="391" w:lineRule="auto" w:before="46"/>
        <w:ind w:left="112" w:right="108"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报告期内，公司三次修订公司章程：</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月，根据《上市公司章程指引（</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年修订）》的相关</w:t>
      </w:r>
      <w:r>
        <w:rPr>
          <w:rFonts w:ascii="宋体" w:hAnsi="宋体" w:cs="宋体" w:eastAsia="宋体" w:hint="default"/>
          <w:w w:val="99"/>
          <w:sz w:val="21"/>
          <w:szCs w:val="21"/>
        </w:rPr>
        <w:t> </w:t>
      </w:r>
      <w:r>
        <w:rPr>
          <w:rFonts w:ascii="宋体" w:hAnsi="宋体" w:cs="宋体" w:eastAsia="宋体" w:hint="default"/>
          <w:spacing w:val="2"/>
          <w:sz w:val="21"/>
          <w:szCs w:val="21"/>
        </w:rPr>
        <w:t>规定，公司对章程部分条款进行修订；</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月，经第三届董事会第二十七次会议审议通过了《关于回</w:t>
      </w:r>
      <w:r>
        <w:rPr>
          <w:rFonts w:ascii="宋体" w:hAnsi="宋体" w:cs="宋体" w:eastAsia="宋体" w:hint="default"/>
          <w:w w:val="99"/>
          <w:sz w:val="21"/>
          <w:szCs w:val="21"/>
        </w:rPr>
        <w:t> </w:t>
      </w:r>
      <w:r>
        <w:rPr>
          <w:rFonts w:ascii="宋体" w:hAnsi="宋体" w:cs="宋体" w:eastAsia="宋体" w:hint="default"/>
          <w:sz w:val="21"/>
          <w:szCs w:val="21"/>
        </w:rPr>
        <w:t>购注销已离职激励对象已获授但尚未解锁限制性股票的议案》，决定回购注销已离职激励对象所持有的已</w:t>
      </w:r>
      <w:r>
        <w:rPr>
          <w:rFonts w:ascii="宋体" w:hAnsi="宋体" w:cs="宋体" w:eastAsia="宋体" w:hint="default"/>
          <w:w w:val="99"/>
          <w:sz w:val="21"/>
          <w:szCs w:val="21"/>
        </w:rPr>
        <w:t> </w:t>
      </w:r>
      <w:r>
        <w:rPr>
          <w:rFonts w:ascii="宋体" w:hAnsi="宋体" w:cs="宋体" w:eastAsia="宋体" w:hint="default"/>
          <w:sz w:val="21"/>
          <w:szCs w:val="21"/>
        </w:rPr>
        <w:t>获授但尚未解锁的限制性股票共计 </w:t>
      </w:r>
      <w:r>
        <w:rPr>
          <w:rFonts w:ascii="Times New Roman" w:hAnsi="Times New Roman" w:cs="Times New Roman" w:eastAsia="Times New Roman" w:hint="default"/>
          <w:sz w:val="21"/>
          <w:szCs w:val="21"/>
        </w:rPr>
        <w:t>310,000 </w:t>
      </w:r>
      <w:r>
        <w:rPr>
          <w:rFonts w:ascii="宋体" w:hAnsi="宋体" w:cs="宋体" w:eastAsia="宋体" w:hint="default"/>
          <w:sz w:val="21"/>
          <w:szCs w:val="21"/>
        </w:rPr>
        <w:t>股，公司总股份变动至</w:t>
      </w:r>
      <w:r>
        <w:rPr>
          <w:rFonts w:ascii="Times New Roman" w:hAnsi="Times New Roman" w:cs="Times New Roman" w:eastAsia="Times New Roman" w:hint="default"/>
          <w:sz w:val="21"/>
          <w:szCs w:val="21"/>
        </w:rPr>
        <w:t>939,325,488</w:t>
      </w:r>
      <w:r>
        <w:rPr>
          <w:rFonts w:ascii="宋体" w:hAnsi="宋体" w:cs="宋体" w:eastAsia="宋体" w:hint="default"/>
          <w:sz w:val="21"/>
          <w:szCs w:val="21"/>
        </w:rPr>
        <w:t>股；</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月，为进一步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规范公司治理，有效保障中小投资者合法权益，根据《关于进一步落实上市公司现金分红有关事项的通知》</w:t>
      </w:r>
    </w:p>
    <w:p>
      <w:pPr>
        <w:spacing w:line="386" w:lineRule="auto" w:before="61"/>
        <w:ind w:left="112" w:right="109" w:firstLine="0"/>
        <w:jc w:val="left"/>
        <w:rPr>
          <w:rFonts w:ascii="宋体" w:hAnsi="宋体" w:cs="宋体" w:eastAsia="宋体" w:hint="default"/>
          <w:sz w:val="21"/>
          <w:szCs w:val="21"/>
        </w:rPr>
      </w:pPr>
      <w:r>
        <w:rPr>
          <w:rFonts w:ascii="宋体" w:hAnsi="宋体" w:cs="宋体" w:eastAsia="宋体" w:hint="default"/>
          <w:sz w:val="21"/>
          <w:szCs w:val="21"/>
        </w:rPr>
        <w:t>（证监发〔</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37 </w:t>
      </w:r>
      <w:r>
        <w:rPr>
          <w:rFonts w:ascii="宋体" w:hAnsi="宋体" w:cs="宋体" w:eastAsia="宋体" w:hint="default"/>
          <w:sz w:val="21"/>
          <w:szCs w:val="21"/>
        </w:rPr>
        <w:t>号）、《上市公司监管指引第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上市公司现金分红》（证监会公告〔</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号）、《上市公司章程指引（</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年修订）的相关规定，公司对章程部分条款进行修订。</w:t>
      </w:r>
    </w:p>
    <w:p>
      <w:pPr>
        <w:spacing w:line="240" w:lineRule="auto" w:before="7"/>
        <w:rPr>
          <w:rFonts w:ascii="宋体" w:hAnsi="宋体" w:cs="宋体" w:eastAsia="宋体" w:hint="default"/>
          <w:sz w:val="25"/>
          <w:szCs w:val="25"/>
        </w:rPr>
      </w:pPr>
    </w:p>
    <w:p>
      <w:pPr>
        <w:spacing w:before="0"/>
        <w:ind w:left="112" w:right="109"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5"/>
        <w:ind w:left="112" w:right="263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2"/>
        <w:spacing w:line="240" w:lineRule="auto"/>
        <w:ind w:left="112" w:right="109"/>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212" w:firstLine="420"/>
        <w:jc w:val="both"/>
        <w:rPr>
          <w:rFonts w:ascii="宋体" w:hAnsi="宋体" w:cs="宋体" w:eastAsia="宋体" w:hint="default"/>
          <w:sz w:val="21"/>
          <w:szCs w:val="21"/>
        </w:rPr>
      </w:pPr>
      <w:r>
        <w:rPr>
          <w:rFonts w:ascii="宋体" w:hAnsi="宋体" w:cs="宋体" w:eastAsia="宋体" w:hint="default"/>
          <w:w w:val="95"/>
          <w:sz w:val="21"/>
          <w:szCs w:val="21"/>
        </w:rPr>
        <w:t>公司成立以来，严格按照《公司法》、《证券法》等有关法律、法规和公司章程的要求规范运作，具</w:t>
      </w:r>
      <w:r>
        <w:rPr>
          <w:rFonts w:ascii="宋体" w:hAnsi="宋体" w:cs="宋体" w:eastAsia="宋体" w:hint="default"/>
          <w:w w:val="99"/>
          <w:sz w:val="21"/>
          <w:szCs w:val="21"/>
        </w:rPr>
        <w:t> </w:t>
      </w:r>
      <w:r>
        <w:rPr>
          <w:rFonts w:ascii="宋体" w:hAnsi="宋体" w:cs="宋体" w:eastAsia="宋体" w:hint="default"/>
          <w:w w:val="95"/>
          <w:sz w:val="21"/>
          <w:szCs w:val="21"/>
        </w:rPr>
        <w:t>有独立完整的供应、生产、销售、研发系统，完全独立运作、独立承担责任和风险。公司与控股股东在业</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务、人员、资产、机构、财务等方面完全分开，具有独立完整的业务及自主经营能力。</w:t>
      </w:r>
    </w:p>
    <w:p>
      <w:pPr>
        <w:spacing w:line="408" w:lineRule="auto" w:before="46"/>
        <w:ind w:left="532" w:right="109" w:firstLine="0"/>
        <w:jc w:val="left"/>
        <w:rPr>
          <w:rFonts w:ascii="宋体" w:hAnsi="宋体" w:cs="宋体" w:eastAsia="宋体" w:hint="default"/>
          <w:sz w:val="21"/>
          <w:szCs w:val="21"/>
        </w:rPr>
      </w:pPr>
      <w:r>
        <w:rPr>
          <w:rFonts w:ascii="宋体" w:hAnsi="宋体" w:cs="宋体" w:eastAsia="宋体" w:hint="default"/>
          <w:sz w:val="21"/>
          <w:szCs w:val="21"/>
        </w:rPr>
        <w:t>1、业务独立</w:t>
      </w:r>
      <w:r>
        <w:rPr>
          <w:rFonts w:ascii="宋体" w:hAnsi="宋体" w:cs="宋体" w:eastAsia="宋体" w:hint="default"/>
          <w:w w:val="99"/>
          <w:sz w:val="21"/>
          <w:szCs w:val="21"/>
        </w:rPr>
        <w:t> </w:t>
      </w:r>
      <w:r>
        <w:rPr>
          <w:rFonts w:ascii="宋体" w:hAnsi="宋体" w:cs="宋体" w:eastAsia="宋体" w:hint="default"/>
          <w:w w:val="95"/>
          <w:sz w:val="21"/>
          <w:szCs w:val="21"/>
        </w:rPr>
        <w:t>公司具有独立开展业务的能力，拥有独立的经营决策权和实施权，并完全独立于控股股东、实际控制</w:t>
      </w:r>
      <w:r>
        <w:rPr>
          <w:rFonts w:ascii="宋体" w:hAnsi="宋体" w:cs="宋体" w:eastAsia="宋体" w:hint="default"/>
          <w:sz w:val="21"/>
          <w:szCs w:val="21"/>
        </w:rPr>
      </w:r>
    </w:p>
    <w:p>
      <w:pPr>
        <w:spacing w:line="408" w:lineRule="auto" w:before="46"/>
        <w:ind w:left="112" w:right="109" w:firstLine="0"/>
        <w:jc w:val="left"/>
        <w:rPr>
          <w:rFonts w:ascii="宋体" w:hAnsi="宋体" w:cs="宋体" w:eastAsia="宋体" w:hint="default"/>
          <w:sz w:val="21"/>
          <w:szCs w:val="21"/>
        </w:rPr>
      </w:pPr>
      <w:r>
        <w:rPr>
          <w:rFonts w:ascii="宋体" w:hAnsi="宋体" w:cs="宋体" w:eastAsia="宋体" w:hint="default"/>
          <w:w w:val="95"/>
          <w:sz w:val="21"/>
          <w:szCs w:val="21"/>
        </w:rPr>
        <w:t>人及其控制的其他企业。公司与控股股东、实际控制人及其控制的其他企业间不存在同业竞争或者显失公</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允的关联交易。本公司拥有独立完整的业务，具备独立面向市场自主经营的能力。</w:t>
      </w:r>
    </w:p>
    <w:p>
      <w:pPr>
        <w:spacing w:line="408" w:lineRule="auto" w:before="46"/>
        <w:ind w:left="532" w:right="109" w:firstLine="0"/>
        <w:jc w:val="left"/>
        <w:rPr>
          <w:rFonts w:ascii="宋体" w:hAnsi="宋体" w:cs="宋体" w:eastAsia="宋体" w:hint="default"/>
          <w:sz w:val="21"/>
          <w:szCs w:val="21"/>
        </w:rPr>
      </w:pPr>
      <w:r>
        <w:rPr>
          <w:rFonts w:ascii="宋体" w:hAnsi="宋体" w:cs="宋体" w:eastAsia="宋体" w:hint="default"/>
          <w:sz w:val="21"/>
          <w:szCs w:val="21"/>
        </w:rPr>
        <w:t>2、资产完整</w:t>
      </w:r>
      <w:r>
        <w:rPr>
          <w:rFonts w:ascii="宋体" w:hAnsi="宋体" w:cs="宋体" w:eastAsia="宋体" w:hint="default"/>
          <w:w w:val="99"/>
          <w:sz w:val="21"/>
          <w:szCs w:val="21"/>
        </w:rPr>
        <w:t> </w:t>
      </w:r>
      <w:r>
        <w:rPr>
          <w:rFonts w:ascii="宋体" w:hAnsi="宋体" w:cs="宋体" w:eastAsia="宋体" w:hint="default"/>
          <w:w w:val="95"/>
          <w:sz w:val="21"/>
          <w:szCs w:val="21"/>
        </w:rPr>
        <w:t>公司拥有独立、完整的生产经营场所，以及与生产经营有关的生产系统、辅助生产系统、配套系统和</w:t>
      </w:r>
      <w:r>
        <w:rPr>
          <w:rFonts w:ascii="宋体" w:hAnsi="宋体" w:cs="宋体" w:eastAsia="宋体" w:hint="default"/>
          <w:sz w:val="21"/>
          <w:szCs w:val="21"/>
        </w:rPr>
      </w:r>
    </w:p>
    <w:p>
      <w:pPr>
        <w:spacing w:before="46"/>
        <w:ind w:left="112" w:right="109" w:firstLine="0"/>
        <w:jc w:val="left"/>
        <w:rPr>
          <w:rFonts w:ascii="宋体" w:hAnsi="宋体" w:cs="宋体" w:eastAsia="宋体" w:hint="default"/>
          <w:sz w:val="21"/>
          <w:szCs w:val="21"/>
        </w:rPr>
      </w:pPr>
      <w:r>
        <w:rPr>
          <w:rFonts w:ascii="宋体" w:hAnsi="宋体" w:cs="宋体" w:eastAsia="宋体" w:hint="default"/>
          <w:sz w:val="21"/>
          <w:szCs w:val="21"/>
        </w:rPr>
        <w:t>土地使用权、商标、专利、非专利技术的所有权或者使用权，具有独立完整的原料采购、生产、销售等配</w:t>
      </w:r>
    </w:p>
    <w:p>
      <w:pPr>
        <w:spacing w:after="0"/>
        <w:jc w:val="left"/>
        <w:rPr>
          <w:rFonts w:ascii="宋体" w:hAnsi="宋体" w:cs="宋体" w:eastAsia="宋体" w:hint="default"/>
          <w:sz w:val="21"/>
          <w:szCs w:val="21"/>
        </w:rPr>
        <w:sectPr>
          <w:pgSz w:w="11910" w:h="16840"/>
          <w:pgMar w:header="850" w:footer="1012" w:top="1440" w:bottom="1200" w:left="1020" w:right="920"/>
        </w:sectPr>
      </w:pPr>
    </w:p>
    <w:p>
      <w:pPr>
        <w:spacing w:line="240" w:lineRule="auto" w:before="8"/>
        <w:rPr>
          <w:rFonts w:ascii="宋体" w:hAnsi="宋体" w:cs="宋体" w:eastAsia="宋体" w:hint="default"/>
          <w:sz w:val="20"/>
          <w:szCs w:val="20"/>
        </w:rPr>
      </w:pPr>
    </w:p>
    <w:p>
      <w:pPr>
        <w:spacing w:line="408" w:lineRule="auto" w:before="34"/>
        <w:ind w:left="112" w:right="109" w:firstLine="0"/>
        <w:jc w:val="left"/>
        <w:rPr>
          <w:rFonts w:ascii="宋体" w:hAnsi="宋体" w:cs="宋体" w:eastAsia="宋体" w:hint="default"/>
          <w:sz w:val="21"/>
          <w:szCs w:val="21"/>
        </w:rPr>
      </w:pPr>
      <w:r>
        <w:rPr>
          <w:rFonts w:ascii="宋体" w:hAnsi="宋体" w:cs="宋体" w:eastAsia="宋体" w:hint="default"/>
          <w:w w:val="95"/>
          <w:sz w:val="21"/>
          <w:szCs w:val="21"/>
        </w:rPr>
        <w:t>套设施及固定资产。公司对所有资产拥有完全的控制支配权，不存在资产、资金被各股东、实际控制人及</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其控制的其他企业违规占用而损害公司利益的情况。</w:t>
      </w:r>
    </w:p>
    <w:p>
      <w:pPr>
        <w:spacing w:line="408" w:lineRule="auto" w:before="46"/>
        <w:ind w:left="532" w:right="109" w:firstLine="0"/>
        <w:jc w:val="left"/>
        <w:rPr>
          <w:rFonts w:ascii="宋体" w:hAnsi="宋体" w:cs="宋体" w:eastAsia="宋体" w:hint="default"/>
          <w:sz w:val="21"/>
          <w:szCs w:val="21"/>
        </w:rPr>
      </w:pPr>
      <w:r>
        <w:rPr>
          <w:rFonts w:ascii="宋体" w:hAnsi="宋体" w:cs="宋体" w:eastAsia="宋体" w:hint="default"/>
          <w:sz w:val="21"/>
          <w:szCs w:val="21"/>
        </w:rPr>
        <w:t>3、人员独立</w:t>
      </w:r>
      <w:r>
        <w:rPr>
          <w:rFonts w:ascii="宋体" w:hAnsi="宋体" w:cs="宋体" w:eastAsia="宋体" w:hint="default"/>
          <w:w w:val="99"/>
          <w:sz w:val="21"/>
          <w:szCs w:val="21"/>
        </w:rPr>
        <w:t> </w:t>
      </w:r>
      <w:r>
        <w:rPr>
          <w:rFonts w:ascii="宋体" w:hAnsi="宋体" w:cs="宋体" w:eastAsia="宋体" w:hint="default"/>
          <w:w w:val="95"/>
          <w:sz w:val="21"/>
          <w:szCs w:val="21"/>
        </w:rPr>
        <w:t>公司董事、监事及高级管理人员均严格按照《公司法》、《公司章程》规定的程序推选和任免，不存</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在股东超越公司股东大会和董事会做出人事任免决定的情况。公司的人事及工资管理与股东单位完全分</w:t>
      </w:r>
      <w:r>
        <w:rPr>
          <w:rFonts w:ascii="宋体" w:hAnsi="宋体" w:cs="宋体" w:eastAsia="宋体" w:hint="default"/>
          <w:w w:val="99"/>
          <w:sz w:val="21"/>
          <w:szCs w:val="21"/>
        </w:rPr>
        <w:t> </w:t>
      </w:r>
      <w:r>
        <w:rPr>
          <w:rFonts w:ascii="宋体" w:hAnsi="宋体" w:cs="宋体" w:eastAsia="宋体" w:hint="default"/>
          <w:sz w:val="21"/>
          <w:szCs w:val="21"/>
        </w:rPr>
        <w:t>离，公司总经理、副总经理、财务负责人和董事会秘书等高级管理人员未在控股股东、实际控制人及其控</w:t>
      </w:r>
      <w:r>
        <w:rPr>
          <w:rFonts w:ascii="宋体" w:hAnsi="宋体" w:cs="宋体" w:eastAsia="宋体" w:hint="default"/>
          <w:w w:val="99"/>
          <w:sz w:val="21"/>
          <w:szCs w:val="21"/>
        </w:rPr>
        <w:t> </w:t>
      </w:r>
      <w:r>
        <w:rPr>
          <w:rFonts w:ascii="宋体" w:hAnsi="宋体" w:cs="宋体" w:eastAsia="宋体" w:hint="default"/>
          <w:spacing w:val="-3"/>
          <w:sz w:val="21"/>
          <w:szCs w:val="21"/>
        </w:rPr>
        <w:t>制的其他企业中担任除董事、监事以外的其他职务，未在控股股东、实际控制人及其控制的其他企业领薪；</w:t>
      </w:r>
      <w:r>
        <w:rPr>
          <w:rFonts w:ascii="宋体" w:hAnsi="宋体" w:cs="宋体" w:eastAsia="宋体" w:hint="default"/>
          <w:w w:val="99"/>
          <w:sz w:val="21"/>
          <w:szCs w:val="21"/>
        </w:rPr>
        <w:t> </w:t>
      </w:r>
      <w:r>
        <w:rPr>
          <w:rFonts w:ascii="宋体" w:hAnsi="宋体" w:cs="宋体" w:eastAsia="宋体" w:hint="default"/>
          <w:sz w:val="21"/>
          <w:szCs w:val="21"/>
        </w:rPr>
        <w:t>公司财务人员未在控股股</w:t>
      </w:r>
      <w:r>
        <w:rPr>
          <w:rFonts w:ascii="宋体" w:hAnsi="宋体" w:cs="宋体" w:eastAsia="宋体" w:hint="default"/>
          <w:spacing w:val="-7"/>
          <w:sz w:val="21"/>
          <w:szCs w:val="21"/>
        </w:rPr>
        <w:t> </w:t>
      </w:r>
      <w:r>
        <w:rPr>
          <w:rFonts w:ascii="宋体" w:hAnsi="宋体" w:cs="宋体" w:eastAsia="宋体" w:hint="default"/>
          <w:sz w:val="21"/>
          <w:szCs w:val="21"/>
        </w:rPr>
        <w:t>东、实际控制人及其控制的其他企业中兼职；公司董事、高级管理人员不存在</w:t>
      </w:r>
      <w:r>
        <w:rPr>
          <w:rFonts w:ascii="宋体" w:hAnsi="宋体" w:cs="宋体" w:eastAsia="宋体" w:hint="default"/>
          <w:w w:val="99"/>
          <w:sz w:val="21"/>
          <w:szCs w:val="21"/>
        </w:rPr>
        <w:t> </w:t>
      </w:r>
      <w:r>
        <w:rPr>
          <w:rFonts w:ascii="宋体" w:hAnsi="宋体" w:cs="宋体" w:eastAsia="宋体" w:hint="default"/>
          <w:sz w:val="21"/>
          <w:szCs w:val="21"/>
        </w:rPr>
        <w:t>兼任监事的情形。同时，公司建立并独立执行人力资源及薪酬管理制度。</w:t>
      </w:r>
    </w:p>
    <w:p>
      <w:pPr>
        <w:spacing w:line="408" w:lineRule="auto" w:before="46"/>
        <w:ind w:left="532" w:right="109" w:firstLine="0"/>
        <w:jc w:val="left"/>
        <w:rPr>
          <w:rFonts w:ascii="宋体" w:hAnsi="宋体" w:cs="宋体" w:eastAsia="宋体" w:hint="default"/>
          <w:sz w:val="21"/>
          <w:szCs w:val="21"/>
        </w:rPr>
      </w:pPr>
      <w:r>
        <w:rPr>
          <w:rFonts w:ascii="宋体" w:hAnsi="宋体" w:cs="宋体" w:eastAsia="宋体" w:hint="default"/>
          <w:sz w:val="21"/>
          <w:szCs w:val="21"/>
        </w:rPr>
        <w:t>4、机构独立</w:t>
      </w:r>
      <w:r>
        <w:rPr>
          <w:rFonts w:ascii="宋体" w:hAnsi="宋体" w:cs="宋体" w:eastAsia="宋体" w:hint="default"/>
          <w:w w:val="99"/>
          <w:sz w:val="21"/>
          <w:szCs w:val="21"/>
        </w:rPr>
        <w:t> </w:t>
      </w:r>
      <w:r>
        <w:rPr>
          <w:rFonts w:ascii="宋体" w:hAnsi="宋体" w:cs="宋体" w:eastAsia="宋体" w:hint="default"/>
          <w:w w:val="95"/>
          <w:sz w:val="21"/>
          <w:szCs w:val="21"/>
        </w:rPr>
        <w:t>公司通过股东大会、董事会、监事会以及独立董事制度，强化了公司的分权制衡和相互监督，形成了</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pacing w:val="-3"/>
          <w:sz w:val="21"/>
          <w:szCs w:val="21"/>
        </w:rPr>
        <w:t>有效的法人治理结构。在内部机构设置上，公司建立了适应自身发展需要的组织机构，明确了各机构职能，</w:t>
      </w:r>
      <w:r>
        <w:rPr>
          <w:rFonts w:ascii="宋体" w:hAnsi="宋体" w:cs="宋体" w:eastAsia="宋体" w:hint="default"/>
          <w:w w:val="99"/>
          <w:sz w:val="21"/>
          <w:szCs w:val="21"/>
        </w:rPr>
        <w:t> </w:t>
      </w:r>
      <w:r>
        <w:rPr>
          <w:rFonts w:ascii="宋体" w:hAnsi="宋体" w:cs="宋体" w:eastAsia="宋体" w:hint="default"/>
          <w:sz w:val="21"/>
          <w:szCs w:val="21"/>
        </w:rPr>
        <w:t>定员定岗，并制定了相应的内部管理与控制制度，独立开展生产经营活动。公司与控股股东、实际控制人</w:t>
      </w:r>
      <w:r>
        <w:rPr>
          <w:rFonts w:ascii="宋体" w:hAnsi="宋体" w:cs="宋体" w:eastAsia="宋体" w:hint="default"/>
          <w:w w:val="99"/>
          <w:sz w:val="21"/>
          <w:szCs w:val="21"/>
        </w:rPr>
        <w:t> </w:t>
      </w:r>
      <w:r>
        <w:rPr>
          <w:rFonts w:ascii="宋体" w:hAnsi="宋体" w:cs="宋体" w:eastAsia="宋体" w:hint="default"/>
          <w:sz w:val="21"/>
          <w:szCs w:val="21"/>
        </w:rPr>
        <w:t>及其控制的其他企业间不存在机构混同的情形。自公司设立以来，未发生股东干预本公司正常生产经营活</w:t>
      </w:r>
      <w:r>
        <w:rPr>
          <w:rFonts w:ascii="宋体" w:hAnsi="宋体" w:cs="宋体" w:eastAsia="宋体" w:hint="default"/>
          <w:w w:val="99"/>
          <w:sz w:val="21"/>
          <w:szCs w:val="21"/>
        </w:rPr>
        <w:t> </w:t>
      </w:r>
      <w:r>
        <w:rPr>
          <w:rFonts w:ascii="宋体" w:hAnsi="宋体" w:cs="宋体" w:eastAsia="宋体" w:hint="default"/>
          <w:sz w:val="21"/>
          <w:szCs w:val="21"/>
        </w:rPr>
        <w:t>动的情况。</w:t>
      </w:r>
    </w:p>
    <w:p>
      <w:pPr>
        <w:spacing w:line="408" w:lineRule="auto" w:before="46"/>
        <w:ind w:left="532" w:right="109" w:firstLine="0"/>
        <w:jc w:val="left"/>
        <w:rPr>
          <w:rFonts w:ascii="宋体" w:hAnsi="宋体" w:cs="宋体" w:eastAsia="宋体" w:hint="default"/>
          <w:sz w:val="21"/>
          <w:szCs w:val="21"/>
        </w:rPr>
      </w:pPr>
      <w:r>
        <w:rPr>
          <w:rFonts w:ascii="宋体" w:hAnsi="宋体" w:cs="宋体" w:eastAsia="宋体" w:hint="default"/>
          <w:sz w:val="21"/>
          <w:szCs w:val="21"/>
        </w:rPr>
        <w:t>5、财务独立</w:t>
      </w:r>
      <w:r>
        <w:rPr>
          <w:rFonts w:ascii="宋体" w:hAnsi="宋体" w:cs="宋体" w:eastAsia="宋体" w:hint="default"/>
          <w:w w:val="99"/>
          <w:sz w:val="21"/>
          <w:szCs w:val="21"/>
        </w:rPr>
        <w:t> </w:t>
      </w:r>
      <w:r>
        <w:rPr>
          <w:rFonts w:ascii="宋体" w:hAnsi="宋体" w:cs="宋体" w:eastAsia="宋体" w:hint="default"/>
          <w:w w:val="95"/>
          <w:sz w:val="21"/>
          <w:szCs w:val="21"/>
        </w:rPr>
        <w:t>公司在财务上规范运作、独立运行，设立了独立的财务部门，配备了独立的财务人员，建立了独立的</w:t>
      </w:r>
      <w:r>
        <w:rPr>
          <w:rFonts w:ascii="宋体" w:hAnsi="宋体" w:cs="宋体" w:eastAsia="宋体" w:hint="default"/>
          <w:sz w:val="21"/>
          <w:szCs w:val="21"/>
        </w:rPr>
      </w:r>
    </w:p>
    <w:p>
      <w:pPr>
        <w:spacing w:line="408" w:lineRule="auto" w:before="46"/>
        <w:ind w:left="112" w:right="192" w:firstLine="0"/>
        <w:jc w:val="both"/>
        <w:rPr>
          <w:rFonts w:ascii="宋体" w:hAnsi="宋体" w:cs="宋体" w:eastAsia="宋体" w:hint="default"/>
          <w:sz w:val="21"/>
          <w:szCs w:val="21"/>
        </w:rPr>
      </w:pPr>
      <w:r>
        <w:rPr>
          <w:rFonts w:ascii="宋体" w:hAnsi="宋体" w:cs="宋体" w:eastAsia="宋体" w:hint="default"/>
          <w:w w:val="95"/>
          <w:sz w:val="21"/>
          <w:szCs w:val="21"/>
        </w:rPr>
        <w:t>会计核算体系，制定了《财务管理制度》、《关联交易决策制度》、《投资决策管理制度》、《对外担保</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w w:val="95"/>
          <w:sz w:val="21"/>
          <w:szCs w:val="21"/>
        </w:rPr>
        <w:t>制度》等多项内控制度且严格执行，独立进行财务决策，享有充分独立的资金调配权，财务会计制度和财</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务管理制度符合上市公司的要求。公司开设独立的银行账户，作为独立的纳税人，依法独立进行纳税申报</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和履行纳税义务。公司根据企业发展规划，自主决定投资计划和资金安排，不存在公司股东干预公司财务</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决策、资金使用的情况；不存在以资产、权益或信誉为股东单位、下属公司或任何个人的债务提供担保，</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或以本公司名义的借款、授信额度转借给前述法人或个人使用的情形。</w:t>
      </w:r>
    </w:p>
    <w:p>
      <w:pPr>
        <w:spacing w:line="240" w:lineRule="auto" w:before="8"/>
        <w:rPr>
          <w:rFonts w:ascii="宋体" w:hAnsi="宋体" w:cs="宋体" w:eastAsia="宋体" w:hint="default"/>
          <w:sz w:val="18"/>
          <w:szCs w:val="18"/>
        </w:rPr>
      </w:pPr>
    </w:p>
    <w:p>
      <w:pPr>
        <w:pStyle w:val="Heading2"/>
        <w:spacing w:line="240" w:lineRule="auto"/>
        <w:ind w:left="112" w:right="109"/>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472" w:right="10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50" w:footer="1012" w:top="1440" w:bottom="1200" w:left="1020" w:right="920"/>
        </w:sectPr>
      </w:pPr>
    </w:p>
    <w:p>
      <w:pPr>
        <w:spacing w:line="240" w:lineRule="auto" w:before="5"/>
        <w:rPr>
          <w:rFonts w:ascii="宋体" w:hAnsi="宋体" w:cs="宋体" w:eastAsia="宋体" w:hint="default"/>
          <w:sz w:val="13"/>
          <w:szCs w:val="13"/>
        </w:rPr>
      </w:pPr>
    </w:p>
    <w:p>
      <w:pPr>
        <w:pStyle w:val="Heading2"/>
        <w:spacing w:line="240" w:lineRule="auto" w:before="26"/>
        <w:ind w:right="144"/>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876"/>
        <w:gridCol w:w="1314"/>
        <w:gridCol w:w="1506"/>
        <w:gridCol w:w="1682"/>
        <w:gridCol w:w="1693"/>
        <w:gridCol w:w="1495"/>
      </w:tblGrid>
      <w:tr>
        <w:trPr>
          <w:trHeight w:val="412" w:hRule="exact"/>
        </w:trPr>
        <w:tc>
          <w:tcPr>
            <w:tcW w:w="187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1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0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16"/>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68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9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49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876" w:type="dxa"/>
            <w:tcBorders>
              <w:top w:val="single" w:sz="4" w:space="0" w:color="000000"/>
              <w:left w:val="single" w:sz="12" w:space="0" w:color="000000"/>
              <w:bottom w:val="nil" w:sz="6" w:space="0" w:color="auto"/>
              <w:right w:val="single" w:sz="4" w:space="0" w:color="000000"/>
            </w:tcBorders>
          </w:tcPr>
          <w:p>
            <w:pPr/>
          </w:p>
        </w:tc>
        <w:tc>
          <w:tcPr>
            <w:tcW w:w="1314" w:type="dxa"/>
            <w:tcBorders>
              <w:top w:val="single" w:sz="4" w:space="0" w:color="000000"/>
              <w:left w:val="single" w:sz="4" w:space="0" w:color="000000"/>
              <w:bottom w:val="nil" w:sz="6" w:space="0" w:color="auto"/>
              <w:right w:val="single" w:sz="4" w:space="0" w:color="000000"/>
            </w:tcBorders>
          </w:tcPr>
          <w:p>
            <w:pPr/>
          </w:p>
        </w:tc>
        <w:tc>
          <w:tcPr>
            <w:tcW w:w="1506" w:type="dxa"/>
            <w:tcBorders>
              <w:top w:val="single" w:sz="4" w:space="0" w:color="000000"/>
              <w:left w:val="single" w:sz="4" w:space="0" w:color="000000"/>
              <w:bottom w:val="nil" w:sz="6" w:space="0" w:color="auto"/>
              <w:right w:val="single" w:sz="4" w:space="0" w:color="000000"/>
            </w:tcBorders>
          </w:tcPr>
          <w:p>
            <w:pPr/>
          </w:p>
        </w:tc>
        <w:tc>
          <w:tcPr>
            <w:tcW w:w="1682"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已披露于巨潮资</w:t>
            </w:r>
          </w:p>
        </w:tc>
      </w:tr>
      <w:tr>
        <w:trPr>
          <w:trHeight w:val="312" w:hRule="exact"/>
        </w:trPr>
        <w:tc>
          <w:tcPr>
            <w:tcW w:w="1876" w:type="dxa"/>
            <w:tcBorders>
              <w:top w:val="nil" w:sz="6" w:space="0" w:color="auto"/>
              <w:left w:val="single" w:sz="12"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628" w:hRule="exact"/>
        </w:trPr>
        <w:tc>
          <w:tcPr>
            <w:tcW w:w="1876" w:type="dxa"/>
            <w:tcBorders>
              <w:top w:val="nil" w:sz="6" w:space="0" w:color="auto"/>
              <w:left w:val="single" w:sz="12"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300" w:lineRule="auto" w:before="10"/>
              <w:ind w:left="102" w:right="1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nfo.com.cn/</w:t>
            </w:r>
            <w:r>
              <w:rPr>
                <w:rFonts w:ascii="宋体" w:hAnsi="宋体" w:cs="宋体" w:eastAsia="宋体" w:hint="default"/>
                <w:sz w:val="18"/>
                <w:szCs w:val="18"/>
              </w:rPr>
              <w:t>）和</w:t>
            </w:r>
          </w:p>
        </w:tc>
      </w:tr>
      <w:tr>
        <w:trPr>
          <w:trHeight w:val="308" w:hRule="exact"/>
        </w:trPr>
        <w:tc>
          <w:tcPr>
            <w:tcW w:w="1876" w:type="dxa"/>
            <w:tcBorders>
              <w:top w:val="nil" w:sz="6" w:space="0" w:color="auto"/>
              <w:left w:val="single" w:sz="12"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56" w:hRule="exact"/>
        </w:trPr>
        <w:tc>
          <w:tcPr>
            <w:tcW w:w="1876" w:type="dxa"/>
            <w:tcBorders>
              <w:top w:val="nil" w:sz="6" w:space="0" w:color="auto"/>
              <w:left w:val="single" w:sz="12" w:space="0" w:color="000000"/>
              <w:bottom w:val="single" w:sz="4" w:space="0" w:color="000000"/>
              <w:right w:val="single" w:sz="4" w:space="0" w:color="000000"/>
            </w:tcBorders>
          </w:tcPr>
          <w:p>
            <w:pPr/>
          </w:p>
        </w:tc>
        <w:tc>
          <w:tcPr>
            <w:tcW w:w="1314" w:type="dxa"/>
            <w:tcBorders>
              <w:top w:val="nil" w:sz="6" w:space="0" w:color="auto"/>
              <w:left w:val="single" w:sz="4" w:space="0" w:color="000000"/>
              <w:bottom w:val="single" w:sz="4" w:space="0" w:color="000000"/>
              <w:right w:val="single" w:sz="4" w:space="0" w:color="000000"/>
            </w:tcBorders>
          </w:tcPr>
          <w:p>
            <w:pPr/>
          </w:p>
        </w:tc>
        <w:tc>
          <w:tcPr>
            <w:tcW w:w="1506" w:type="dxa"/>
            <w:tcBorders>
              <w:top w:val="nil" w:sz="6" w:space="0" w:color="auto"/>
              <w:left w:val="single" w:sz="4" w:space="0" w:color="000000"/>
              <w:bottom w:val="single" w:sz="4" w:space="0" w:color="000000"/>
              <w:right w:val="single" w:sz="4" w:space="0" w:color="000000"/>
            </w:tcBorders>
          </w:tcPr>
          <w:p>
            <w:pPr/>
          </w:p>
        </w:tc>
        <w:tc>
          <w:tcPr>
            <w:tcW w:w="1682"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《上海证券报》</w:t>
            </w:r>
          </w:p>
        </w:tc>
      </w:tr>
      <w:tr>
        <w:trPr>
          <w:trHeight w:val="356" w:hRule="exact"/>
        </w:trPr>
        <w:tc>
          <w:tcPr>
            <w:tcW w:w="1876" w:type="dxa"/>
            <w:tcBorders>
              <w:top w:val="single" w:sz="4" w:space="0" w:color="000000"/>
              <w:left w:val="single" w:sz="12" w:space="0" w:color="000000"/>
              <w:bottom w:val="nil" w:sz="6" w:space="0" w:color="auto"/>
              <w:right w:val="single" w:sz="4" w:space="0" w:color="000000"/>
            </w:tcBorders>
          </w:tcPr>
          <w:p>
            <w:pPr/>
          </w:p>
        </w:tc>
        <w:tc>
          <w:tcPr>
            <w:tcW w:w="1314" w:type="dxa"/>
            <w:tcBorders>
              <w:top w:val="single" w:sz="4" w:space="0" w:color="000000"/>
              <w:left w:val="single" w:sz="4" w:space="0" w:color="000000"/>
              <w:bottom w:val="nil" w:sz="6" w:space="0" w:color="auto"/>
              <w:right w:val="single" w:sz="4" w:space="0" w:color="000000"/>
            </w:tcBorders>
          </w:tcPr>
          <w:p>
            <w:pPr/>
          </w:p>
        </w:tc>
        <w:tc>
          <w:tcPr>
            <w:tcW w:w="1506" w:type="dxa"/>
            <w:tcBorders>
              <w:top w:val="single" w:sz="4" w:space="0" w:color="000000"/>
              <w:left w:val="single" w:sz="4" w:space="0" w:color="000000"/>
              <w:bottom w:val="nil" w:sz="6" w:space="0" w:color="auto"/>
              <w:right w:val="single" w:sz="4" w:space="0" w:color="000000"/>
            </w:tcBorders>
          </w:tcPr>
          <w:p>
            <w:pPr/>
          </w:p>
        </w:tc>
        <w:tc>
          <w:tcPr>
            <w:tcW w:w="1682"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已披露于巨潮资</w:t>
            </w:r>
          </w:p>
        </w:tc>
      </w:tr>
      <w:tr>
        <w:trPr>
          <w:trHeight w:val="312" w:hRule="exact"/>
        </w:trPr>
        <w:tc>
          <w:tcPr>
            <w:tcW w:w="1876" w:type="dxa"/>
            <w:tcBorders>
              <w:top w:val="nil" w:sz="6" w:space="0" w:color="auto"/>
              <w:left w:val="single" w:sz="12"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629" w:hRule="exact"/>
        </w:trPr>
        <w:tc>
          <w:tcPr>
            <w:tcW w:w="1876" w:type="dxa"/>
            <w:tcBorders>
              <w:top w:val="nil" w:sz="6" w:space="0" w:color="auto"/>
              <w:left w:val="single" w:sz="12" w:space="0" w:color="000000"/>
              <w:bottom w:val="nil" w:sz="6" w:space="0" w:color="auto"/>
              <w:right w:val="single" w:sz="4" w:space="0" w:color="000000"/>
            </w:tcBorders>
          </w:tcPr>
          <w:p>
            <w:pPr>
              <w:pStyle w:val="TableParagraph"/>
              <w:spacing w:line="300" w:lineRule="auto" w:before="10"/>
              <w:ind w:left="92" w:right="23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 股东大会</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300" w:lineRule="auto" w:before="10"/>
              <w:ind w:left="102" w:right="1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nfo.com.cn/</w:t>
            </w:r>
            <w:r>
              <w:rPr>
                <w:rFonts w:ascii="宋体" w:hAnsi="宋体" w:cs="宋体" w:eastAsia="宋体" w:hint="default"/>
                <w:sz w:val="18"/>
                <w:szCs w:val="18"/>
              </w:rPr>
              <w:t>）和</w:t>
            </w:r>
          </w:p>
        </w:tc>
      </w:tr>
      <w:tr>
        <w:trPr>
          <w:trHeight w:val="307" w:hRule="exact"/>
        </w:trPr>
        <w:tc>
          <w:tcPr>
            <w:tcW w:w="1876" w:type="dxa"/>
            <w:tcBorders>
              <w:top w:val="nil" w:sz="6" w:space="0" w:color="auto"/>
              <w:left w:val="single" w:sz="12"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58" w:hRule="exact"/>
        </w:trPr>
        <w:tc>
          <w:tcPr>
            <w:tcW w:w="1876" w:type="dxa"/>
            <w:tcBorders>
              <w:top w:val="nil" w:sz="6" w:space="0" w:color="auto"/>
              <w:left w:val="single" w:sz="12" w:space="0" w:color="000000"/>
              <w:bottom w:val="single" w:sz="4" w:space="0" w:color="000000"/>
              <w:right w:val="single" w:sz="4" w:space="0" w:color="000000"/>
            </w:tcBorders>
          </w:tcPr>
          <w:p>
            <w:pPr/>
          </w:p>
        </w:tc>
        <w:tc>
          <w:tcPr>
            <w:tcW w:w="1314" w:type="dxa"/>
            <w:tcBorders>
              <w:top w:val="nil" w:sz="6" w:space="0" w:color="auto"/>
              <w:left w:val="single" w:sz="4" w:space="0" w:color="000000"/>
              <w:bottom w:val="single" w:sz="4" w:space="0" w:color="000000"/>
              <w:right w:val="single" w:sz="4" w:space="0" w:color="000000"/>
            </w:tcBorders>
          </w:tcPr>
          <w:p>
            <w:pPr/>
          </w:p>
        </w:tc>
        <w:tc>
          <w:tcPr>
            <w:tcW w:w="1506" w:type="dxa"/>
            <w:tcBorders>
              <w:top w:val="nil" w:sz="6" w:space="0" w:color="auto"/>
              <w:left w:val="single" w:sz="4" w:space="0" w:color="000000"/>
              <w:bottom w:val="single" w:sz="4" w:space="0" w:color="000000"/>
              <w:right w:val="single" w:sz="4" w:space="0" w:color="000000"/>
            </w:tcBorders>
          </w:tcPr>
          <w:p>
            <w:pPr/>
          </w:p>
        </w:tc>
        <w:tc>
          <w:tcPr>
            <w:tcW w:w="1682" w:type="dxa"/>
            <w:tcBorders>
              <w:top w:val="nil" w:sz="6" w:space="0" w:color="auto"/>
              <w:left w:val="single" w:sz="4" w:space="0" w:color="000000"/>
              <w:bottom w:val="single" w:sz="4" w:space="0" w:color="000000"/>
              <w:right w:val="single" w:sz="4" w:space="0" w:color="000000"/>
            </w:tcBorders>
          </w:tcPr>
          <w:p>
            <w:pPr/>
          </w:p>
        </w:tc>
        <w:tc>
          <w:tcPr>
            <w:tcW w:w="1693"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《上海证券报》</w:t>
            </w:r>
          </w:p>
        </w:tc>
      </w:tr>
      <w:tr>
        <w:trPr>
          <w:trHeight w:val="358" w:hRule="exact"/>
        </w:trPr>
        <w:tc>
          <w:tcPr>
            <w:tcW w:w="1876" w:type="dxa"/>
            <w:tcBorders>
              <w:top w:val="single" w:sz="4" w:space="0" w:color="000000"/>
              <w:left w:val="single" w:sz="12" w:space="0" w:color="000000"/>
              <w:bottom w:val="nil" w:sz="6" w:space="0" w:color="auto"/>
              <w:right w:val="single" w:sz="4" w:space="0" w:color="000000"/>
            </w:tcBorders>
          </w:tcPr>
          <w:p>
            <w:pPr/>
          </w:p>
        </w:tc>
        <w:tc>
          <w:tcPr>
            <w:tcW w:w="1314" w:type="dxa"/>
            <w:tcBorders>
              <w:top w:val="single" w:sz="4" w:space="0" w:color="000000"/>
              <w:left w:val="single" w:sz="4" w:space="0" w:color="000000"/>
              <w:bottom w:val="nil" w:sz="6" w:space="0" w:color="auto"/>
              <w:right w:val="single" w:sz="4" w:space="0" w:color="000000"/>
            </w:tcBorders>
          </w:tcPr>
          <w:p>
            <w:pPr/>
          </w:p>
        </w:tc>
        <w:tc>
          <w:tcPr>
            <w:tcW w:w="1506" w:type="dxa"/>
            <w:tcBorders>
              <w:top w:val="single" w:sz="4" w:space="0" w:color="000000"/>
              <w:left w:val="single" w:sz="4" w:space="0" w:color="000000"/>
              <w:bottom w:val="nil" w:sz="6" w:space="0" w:color="auto"/>
              <w:right w:val="single" w:sz="4" w:space="0" w:color="000000"/>
            </w:tcBorders>
          </w:tcPr>
          <w:p>
            <w:pPr/>
          </w:p>
        </w:tc>
        <w:tc>
          <w:tcPr>
            <w:tcW w:w="1682" w:type="dxa"/>
            <w:tcBorders>
              <w:top w:val="single" w:sz="4" w:space="0" w:color="000000"/>
              <w:left w:val="single" w:sz="4" w:space="0" w:color="000000"/>
              <w:bottom w:val="nil" w:sz="6" w:space="0" w:color="auto"/>
              <w:right w:val="single" w:sz="4" w:space="0" w:color="000000"/>
            </w:tcBorders>
          </w:tcPr>
          <w:p>
            <w:pPr/>
          </w:p>
        </w:tc>
        <w:tc>
          <w:tcPr>
            <w:tcW w:w="1693"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已披露于巨潮资</w:t>
            </w:r>
          </w:p>
        </w:tc>
      </w:tr>
      <w:tr>
        <w:trPr>
          <w:trHeight w:val="312" w:hRule="exact"/>
        </w:trPr>
        <w:tc>
          <w:tcPr>
            <w:tcW w:w="1876" w:type="dxa"/>
            <w:tcBorders>
              <w:top w:val="nil" w:sz="6" w:space="0" w:color="auto"/>
              <w:left w:val="single" w:sz="12"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628" w:hRule="exact"/>
        </w:trPr>
        <w:tc>
          <w:tcPr>
            <w:tcW w:w="1876" w:type="dxa"/>
            <w:tcBorders>
              <w:top w:val="nil" w:sz="6" w:space="0" w:color="auto"/>
              <w:left w:val="single" w:sz="12" w:space="0" w:color="000000"/>
              <w:bottom w:val="nil" w:sz="6" w:space="0" w:color="auto"/>
              <w:right w:val="single" w:sz="4" w:space="0" w:color="000000"/>
            </w:tcBorders>
          </w:tcPr>
          <w:p>
            <w:pPr>
              <w:pStyle w:val="TableParagraph"/>
              <w:spacing w:line="300" w:lineRule="auto" w:before="10"/>
              <w:ind w:left="92" w:right="23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 股东大会</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300" w:lineRule="auto" w:before="10"/>
              <w:ind w:left="102" w:right="1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nfo.com.cn/</w:t>
            </w:r>
            <w:r>
              <w:rPr>
                <w:rFonts w:ascii="宋体" w:hAnsi="宋体" w:cs="宋体" w:eastAsia="宋体" w:hint="default"/>
                <w:sz w:val="18"/>
                <w:szCs w:val="18"/>
              </w:rPr>
              <w:t>）和</w:t>
            </w:r>
          </w:p>
        </w:tc>
      </w:tr>
      <w:tr>
        <w:trPr>
          <w:trHeight w:val="308" w:hRule="exact"/>
        </w:trPr>
        <w:tc>
          <w:tcPr>
            <w:tcW w:w="1876" w:type="dxa"/>
            <w:tcBorders>
              <w:top w:val="nil" w:sz="6" w:space="0" w:color="auto"/>
              <w:left w:val="single" w:sz="12"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1693"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66" w:hRule="exact"/>
        </w:trPr>
        <w:tc>
          <w:tcPr>
            <w:tcW w:w="1876" w:type="dxa"/>
            <w:tcBorders>
              <w:top w:val="nil" w:sz="6" w:space="0" w:color="auto"/>
              <w:left w:val="single" w:sz="12" w:space="0" w:color="000000"/>
              <w:bottom w:val="single" w:sz="12" w:space="0" w:color="000000"/>
              <w:right w:val="single" w:sz="4" w:space="0" w:color="000000"/>
            </w:tcBorders>
          </w:tcPr>
          <w:p>
            <w:pPr/>
          </w:p>
        </w:tc>
        <w:tc>
          <w:tcPr>
            <w:tcW w:w="1314" w:type="dxa"/>
            <w:tcBorders>
              <w:top w:val="nil" w:sz="6" w:space="0" w:color="auto"/>
              <w:left w:val="single" w:sz="4" w:space="0" w:color="000000"/>
              <w:bottom w:val="single" w:sz="12" w:space="0" w:color="000000"/>
              <w:right w:val="single" w:sz="4" w:space="0" w:color="000000"/>
            </w:tcBorders>
          </w:tcPr>
          <w:p>
            <w:pPr/>
          </w:p>
        </w:tc>
        <w:tc>
          <w:tcPr>
            <w:tcW w:w="1506" w:type="dxa"/>
            <w:tcBorders>
              <w:top w:val="nil" w:sz="6" w:space="0" w:color="auto"/>
              <w:left w:val="single" w:sz="4" w:space="0" w:color="000000"/>
              <w:bottom w:val="single" w:sz="12" w:space="0" w:color="000000"/>
              <w:right w:val="single" w:sz="4" w:space="0" w:color="000000"/>
            </w:tcBorders>
          </w:tcPr>
          <w:p>
            <w:pPr/>
          </w:p>
        </w:tc>
        <w:tc>
          <w:tcPr>
            <w:tcW w:w="1682" w:type="dxa"/>
            <w:tcBorders>
              <w:top w:val="nil" w:sz="6" w:space="0" w:color="auto"/>
              <w:left w:val="single" w:sz="4" w:space="0" w:color="000000"/>
              <w:bottom w:val="single" w:sz="12" w:space="0" w:color="000000"/>
              <w:right w:val="single" w:sz="4" w:space="0" w:color="000000"/>
            </w:tcBorders>
          </w:tcPr>
          <w:p>
            <w:pPr/>
          </w:p>
        </w:tc>
        <w:tc>
          <w:tcPr>
            <w:tcW w:w="1693" w:type="dxa"/>
            <w:tcBorders>
              <w:top w:val="nil" w:sz="6" w:space="0" w:color="auto"/>
              <w:left w:val="single" w:sz="4" w:space="0" w:color="000000"/>
              <w:bottom w:val="single" w:sz="12" w:space="0" w:color="000000"/>
              <w:right w:val="single" w:sz="4" w:space="0" w:color="000000"/>
            </w:tcBorders>
          </w:tcPr>
          <w:p>
            <w:pPr/>
          </w:p>
        </w:tc>
        <w:tc>
          <w:tcPr>
            <w:tcW w:w="1495" w:type="dxa"/>
            <w:tcBorders>
              <w:top w:val="nil" w:sz="6" w:space="0" w:color="auto"/>
              <w:left w:val="single" w:sz="4" w:space="0" w:color="000000"/>
              <w:bottom w:val="single" w:sz="12"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《上海证券报》</w:t>
            </w:r>
          </w:p>
        </w:tc>
      </w:tr>
    </w:tbl>
    <w:p>
      <w:pPr>
        <w:spacing w:line="240" w:lineRule="auto" w:before="3"/>
        <w:rPr>
          <w:rFonts w:ascii="宋体" w:hAnsi="宋体" w:cs="宋体" w:eastAsia="宋体" w:hint="default"/>
          <w:b/>
          <w:bCs/>
          <w:sz w:val="19"/>
          <w:szCs w:val="19"/>
        </w:rPr>
      </w:pPr>
    </w:p>
    <w:p>
      <w:pPr>
        <w:spacing w:before="34"/>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14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12" w:hRule="exact"/>
        </w:trPr>
        <w:tc>
          <w:tcPr>
            <w:tcW w:w="9568" w:type="dxa"/>
            <w:gridSpan w:val="7"/>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17" w:right="11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4"/>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7" w:right="116" w:hanging="272"/>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5"/>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0"/>
              <w:ind w:left="116" w:right="106"/>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w w:val="95"/>
                <w:sz w:val="18"/>
              </w:rPr>
              <w:t>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w w:val="95"/>
                <w:sz w:val="18"/>
              </w:rPr>
              <w:t>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948"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40" w:bottom="1200" w:left="1000" w:right="1020"/>
        </w:sectPr>
      </w:pPr>
    </w:p>
    <w:p>
      <w:pPr>
        <w:spacing w:line="240" w:lineRule="auto" w:before="9"/>
        <w:rPr>
          <w:rFonts w:ascii="宋体" w:hAnsi="宋体" w:cs="宋体" w:eastAsia="宋体" w:hint="default"/>
          <w:b/>
          <w:bCs/>
          <w:sz w:val="15"/>
          <w:szCs w:val="15"/>
        </w:rPr>
      </w:pPr>
    </w:p>
    <w:p>
      <w:pPr>
        <w:spacing w:before="44"/>
        <w:ind w:left="132" w:right="26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18"/>
        <w:ind w:left="132" w:right="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2" w:right="26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7"/>
        <w:ind w:left="132" w:right="619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2"/>
        <w:rPr>
          <w:rFonts w:ascii="宋体" w:hAnsi="宋体" w:cs="宋体" w:eastAsia="宋体" w:hint="default"/>
          <w:sz w:val="19"/>
          <w:szCs w:val="19"/>
        </w:rPr>
      </w:pPr>
    </w:p>
    <w:p>
      <w:pPr>
        <w:spacing w:before="0"/>
        <w:ind w:left="132" w:right="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26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7"/>
        <w:ind w:left="132" w:right="601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tbl>
      <w:tblPr>
        <w:tblW w:w="0" w:type="auto"/>
        <w:jc w:val="left"/>
        <w:tblInd w:w="104" w:type="dxa"/>
        <w:tblLayout w:type="fixed"/>
        <w:tblCellMar>
          <w:top w:w="0" w:type="dxa"/>
          <w:left w:w="0" w:type="dxa"/>
          <w:bottom w:w="0" w:type="dxa"/>
          <w:right w:w="0" w:type="dxa"/>
        </w:tblCellMar>
        <w:tblLook w:val="01E0"/>
      </w:tblPr>
      <w:tblGrid>
        <w:gridCol w:w="1845"/>
        <w:gridCol w:w="4785"/>
        <w:gridCol w:w="1080"/>
        <w:gridCol w:w="1080"/>
        <w:gridCol w:w="1080"/>
      </w:tblGrid>
      <w:tr>
        <w:trPr>
          <w:trHeight w:val="442" w:hRule="exact"/>
        </w:trPr>
        <w:tc>
          <w:tcPr>
            <w:tcW w:w="1845" w:type="dxa"/>
            <w:vMerge w:val="restart"/>
            <w:tcBorders>
              <w:top w:val="single" w:sz="12" w:space="0" w:color="000000"/>
              <w:left w:val="single" w:sz="12" w:space="0" w:color="000000"/>
              <w:right w:val="single" w:sz="4" w:space="0" w:color="000000"/>
            </w:tcBorders>
            <w:shd w:val="clear" w:color="auto" w:fill="D8D8D8"/>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20"/>
                <w:szCs w:val="20"/>
              </w:rPr>
            </w:pPr>
            <w:r>
              <w:rPr>
                <w:rFonts w:ascii="宋体" w:hAnsi="宋体" w:cs="宋体" w:eastAsia="宋体" w:hint="default"/>
                <w:sz w:val="20"/>
                <w:szCs w:val="20"/>
              </w:rPr>
              <w:t>时间</w:t>
            </w:r>
          </w:p>
        </w:tc>
        <w:tc>
          <w:tcPr>
            <w:tcW w:w="4785" w:type="dxa"/>
            <w:vMerge w:val="restart"/>
            <w:tcBorders>
              <w:top w:val="single" w:sz="12" w:space="0" w:color="000000"/>
              <w:left w:val="single" w:sz="4" w:space="0" w:color="000000"/>
              <w:right w:val="single" w:sz="4" w:space="0" w:color="000000"/>
            </w:tcBorders>
            <w:shd w:val="clear" w:color="auto" w:fill="D8D8D8"/>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事项</w:t>
            </w:r>
          </w:p>
        </w:tc>
        <w:tc>
          <w:tcPr>
            <w:tcW w:w="3240" w:type="dxa"/>
            <w:gridSpan w:val="3"/>
            <w:tcBorders>
              <w:top w:val="single" w:sz="12"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50"/>
              <w:ind w:left="8" w:right="0"/>
              <w:jc w:val="center"/>
              <w:rPr>
                <w:rFonts w:ascii="宋体" w:hAnsi="宋体" w:cs="宋体" w:eastAsia="宋体" w:hint="default"/>
                <w:sz w:val="20"/>
                <w:szCs w:val="20"/>
              </w:rPr>
            </w:pPr>
            <w:r>
              <w:rPr>
                <w:rFonts w:ascii="宋体" w:hAnsi="宋体" w:cs="宋体" w:eastAsia="宋体" w:hint="default"/>
                <w:sz w:val="20"/>
                <w:szCs w:val="20"/>
              </w:rPr>
              <w:t>发表意见</w:t>
            </w:r>
          </w:p>
        </w:tc>
      </w:tr>
      <w:tr>
        <w:trPr>
          <w:trHeight w:val="452" w:hRule="exact"/>
        </w:trPr>
        <w:tc>
          <w:tcPr>
            <w:tcW w:w="1845" w:type="dxa"/>
            <w:vMerge/>
            <w:tcBorders>
              <w:left w:val="single" w:sz="12" w:space="0" w:color="000000"/>
              <w:bottom w:val="single" w:sz="4" w:space="0" w:color="000000"/>
              <w:right w:val="single" w:sz="4" w:space="0" w:color="000000"/>
            </w:tcBorders>
            <w:shd w:val="clear" w:color="auto" w:fill="D8D8D8"/>
          </w:tcPr>
          <w:p>
            <w:pPr/>
          </w:p>
        </w:tc>
        <w:tc>
          <w:tcPr>
            <w:tcW w:w="4785" w:type="dxa"/>
            <w:vMerge/>
            <w:tcBorders>
              <w:left w:val="single" w:sz="4" w:space="0" w:color="000000"/>
              <w:bottom w:val="single" w:sz="4" w:space="0" w:color="000000"/>
              <w:right w:val="single" w:sz="4" w:space="0" w:color="000000"/>
            </w:tcBorders>
            <w:shd w:val="clear" w:color="auto" w:fill="D8D8D8"/>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sz w:val="20"/>
                <w:szCs w:val="20"/>
              </w:rPr>
              <w:t>杜烈康</w:t>
            </w:r>
          </w:p>
        </w:tc>
        <w:tc>
          <w:tcPr>
            <w:tcW w:w="10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sz w:val="20"/>
                <w:szCs w:val="20"/>
              </w:rPr>
              <w:t>阎孟昆</w:t>
            </w:r>
          </w:p>
        </w:tc>
        <w:tc>
          <w:tcPr>
            <w:tcW w:w="1080" w:type="dxa"/>
            <w:tcBorders>
              <w:top w:val="single" w:sz="4"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69"/>
              <w:ind w:left="5" w:right="0"/>
              <w:jc w:val="center"/>
              <w:rPr>
                <w:rFonts w:ascii="宋体" w:hAnsi="宋体" w:cs="宋体" w:eastAsia="宋体" w:hint="default"/>
                <w:sz w:val="20"/>
                <w:szCs w:val="20"/>
              </w:rPr>
            </w:pPr>
            <w:r>
              <w:rPr>
                <w:rFonts w:ascii="宋体" w:hAnsi="宋体" w:cs="宋体" w:eastAsia="宋体" w:hint="default"/>
                <w:sz w:val="20"/>
                <w:szCs w:val="20"/>
              </w:rPr>
              <w:t>邹峻</w:t>
            </w:r>
          </w:p>
        </w:tc>
      </w:tr>
      <w:tr>
        <w:trPr>
          <w:trHeight w:val="432"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42"/>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20"/>
                <w:szCs w:val="20"/>
              </w:rPr>
            </w:pPr>
            <w:r>
              <w:rPr>
                <w:rFonts w:ascii="宋体" w:hAnsi="宋体" w:cs="宋体" w:eastAsia="宋体" w:hint="default"/>
                <w:sz w:val="20"/>
                <w:szCs w:val="20"/>
              </w:rPr>
              <w:t>《独立董事关于变更公司董事会秘书的独立意见》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32"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42"/>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20"/>
                <w:szCs w:val="20"/>
              </w:rPr>
            </w:pPr>
            <w:r>
              <w:rPr>
                <w:rFonts w:ascii="宋体" w:hAnsi="宋体" w:cs="宋体" w:eastAsia="宋体" w:hint="default"/>
                <w:sz w:val="20"/>
                <w:szCs w:val="20"/>
              </w:rPr>
              <w:t>《独立董事关于对相关事项发表的独立意见》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744"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2"/>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9" w:right="165"/>
              <w:jc w:val="left"/>
              <w:rPr>
                <w:rFonts w:ascii="宋体" w:hAnsi="宋体" w:cs="宋体" w:eastAsia="宋体" w:hint="default"/>
                <w:sz w:val="20"/>
                <w:szCs w:val="20"/>
              </w:rPr>
            </w:pPr>
            <w:r>
              <w:rPr>
                <w:rFonts w:ascii="宋体" w:hAnsi="宋体" w:cs="宋体" w:eastAsia="宋体" w:hint="default"/>
                <w:sz w:val="20"/>
                <w:szCs w:val="20"/>
              </w:rPr>
              <w:t>《独立董事关于回购注销部分限制性股票等事项的独</w:t>
            </w:r>
            <w:r>
              <w:rPr>
                <w:rFonts w:ascii="宋体" w:hAnsi="宋体" w:cs="宋体" w:eastAsia="宋体" w:hint="default"/>
                <w:w w:val="99"/>
                <w:sz w:val="20"/>
                <w:szCs w:val="20"/>
              </w:rPr>
              <w:t> </w:t>
            </w:r>
            <w:r>
              <w:rPr>
                <w:rFonts w:ascii="宋体" w:hAnsi="宋体" w:cs="宋体" w:eastAsia="宋体" w:hint="default"/>
                <w:sz w:val="20"/>
                <w:szCs w:val="20"/>
              </w:rPr>
              <w:t>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1368"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2"/>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9" w:right="165"/>
              <w:jc w:val="left"/>
              <w:rPr>
                <w:rFonts w:ascii="宋体" w:hAnsi="宋体" w:cs="宋体" w:eastAsia="宋体" w:hint="default"/>
                <w:sz w:val="20"/>
                <w:szCs w:val="20"/>
              </w:rPr>
            </w:pPr>
            <w:r>
              <w:rPr>
                <w:rFonts w:ascii="宋体" w:hAnsi="宋体" w:cs="宋体" w:eastAsia="宋体" w:hint="default"/>
                <w:sz w:val="20"/>
                <w:szCs w:val="20"/>
              </w:rPr>
              <w:t>《关于投资设立合资公司山东万恩新能源科技有限公</w:t>
            </w:r>
            <w:r>
              <w:rPr>
                <w:rFonts w:ascii="宋体" w:hAnsi="宋体" w:cs="宋体" w:eastAsia="宋体" w:hint="default"/>
                <w:w w:val="99"/>
                <w:sz w:val="20"/>
                <w:szCs w:val="20"/>
              </w:rPr>
              <w:t> </w:t>
            </w:r>
            <w:r>
              <w:rPr>
                <w:rFonts w:ascii="宋体" w:hAnsi="宋体" w:cs="宋体" w:eastAsia="宋体" w:hint="default"/>
                <w:sz w:val="20"/>
                <w:szCs w:val="20"/>
              </w:rPr>
              <w:t>司（筹）</w:t>
            </w:r>
            <w:r>
              <w:rPr>
                <w:rFonts w:ascii="宋体" w:hAnsi="宋体" w:cs="宋体" w:eastAsia="宋体" w:hint="default"/>
                <w:spacing w:val="-4"/>
                <w:sz w:val="20"/>
                <w:szCs w:val="20"/>
              </w:rPr>
              <w:t> </w:t>
            </w:r>
            <w:r>
              <w:rPr>
                <w:rFonts w:ascii="宋体" w:hAnsi="宋体" w:cs="宋体" w:eastAsia="宋体" w:hint="default"/>
                <w:sz w:val="20"/>
                <w:szCs w:val="20"/>
              </w:rPr>
              <w:t>的独立意见》</w:t>
            </w:r>
          </w:p>
          <w:p>
            <w:pPr>
              <w:pStyle w:val="TableParagraph"/>
              <w:spacing w:line="285" w:lineRule="auto" w:before="12"/>
              <w:ind w:left="9" w:right="165"/>
              <w:jc w:val="left"/>
              <w:rPr>
                <w:rFonts w:ascii="宋体" w:hAnsi="宋体" w:cs="宋体" w:eastAsia="宋体" w:hint="default"/>
                <w:sz w:val="20"/>
                <w:szCs w:val="20"/>
              </w:rPr>
            </w:pPr>
            <w:r>
              <w:rPr>
                <w:rFonts w:ascii="宋体" w:hAnsi="宋体" w:cs="宋体" w:eastAsia="宋体" w:hint="default"/>
                <w:sz w:val="20"/>
                <w:szCs w:val="20"/>
              </w:rPr>
              <w:t>《关于投资设立合资公司山东万恩新能源科技有限公</w:t>
            </w:r>
            <w:r>
              <w:rPr>
                <w:rFonts w:ascii="宋体" w:hAnsi="宋体" w:cs="宋体" w:eastAsia="宋体" w:hint="default"/>
                <w:w w:val="99"/>
                <w:sz w:val="20"/>
                <w:szCs w:val="20"/>
              </w:rPr>
              <w:t> </w:t>
            </w:r>
            <w:r>
              <w:rPr>
                <w:rFonts w:ascii="宋体" w:hAnsi="宋体" w:cs="宋体" w:eastAsia="宋体" w:hint="default"/>
                <w:sz w:val="20"/>
                <w:szCs w:val="20"/>
              </w:rPr>
              <w:t>司（筹）的的事前认可意见》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32"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42"/>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20"/>
                <w:szCs w:val="20"/>
              </w:rPr>
            </w:pPr>
            <w:r>
              <w:rPr>
                <w:rFonts w:ascii="宋体" w:hAnsi="宋体" w:cs="宋体" w:eastAsia="宋体" w:hint="default"/>
                <w:sz w:val="20"/>
                <w:szCs w:val="20"/>
              </w:rPr>
              <w:t>《关于对参股公司委托贷款的独立意见</w:t>
            </w:r>
            <w:r>
              <w:rPr>
                <w:rFonts w:ascii="宋体" w:hAnsi="宋体" w:cs="宋体" w:eastAsia="宋体" w:hint="default"/>
                <w:spacing w:val="-6"/>
                <w:sz w:val="20"/>
                <w:szCs w:val="20"/>
              </w:rPr>
              <w:t> </w:t>
            </w:r>
            <w:r>
              <w:rPr>
                <w:rFonts w:ascii="宋体" w:hAnsi="宋体" w:cs="宋体" w:eastAsia="宋体" w:hint="default"/>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744"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2"/>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9" w:right="165"/>
              <w:jc w:val="left"/>
              <w:rPr>
                <w:rFonts w:ascii="宋体" w:hAnsi="宋体" w:cs="宋体" w:eastAsia="宋体" w:hint="default"/>
                <w:sz w:val="20"/>
                <w:szCs w:val="20"/>
              </w:rPr>
            </w:pPr>
            <w:r>
              <w:rPr>
                <w:rFonts w:ascii="宋体" w:hAnsi="宋体" w:cs="宋体" w:eastAsia="宋体" w:hint="default"/>
                <w:sz w:val="20"/>
                <w:szCs w:val="20"/>
              </w:rPr>
              <w:t>《关于第三届董事会第三十二次会议相关事项的独立</w:t>
            </w:r>
            <w:r>
              <w:rPr>
                <w:rFonts w:ascii="宋体" w:hAnsi="宋体" w:cs="宋体" w:eastAsia="宋体" w:hint="default"/>
                <w:w w:val="99"/>
                <w:sz w:val="20"/>
                <w:szCs w:val="20"/>
              </w:rPr>
              <w:t> </w:t>
            </w:r>
            <w:r>
              <w:rPr>
                <w:rFonts w:ascii="宋体" w:hAnsi="宋体" w:cs="宋体" w:eastAsia="宋体" w:hint="default"/>
                <w:sz w:val="20"/>
                <w:szCs w:val="20"/>
              </w:rPr>
              <w:t>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1368" w:hRule="exact"/>
        </w:trPr>
        <w:tc>
          <w:tcPr>
            <w:tcW w:w="18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9"/>
              <w:ind w:left="9" w:right="165"/>
              <w:jc w:val="left"/>
              <w:rPr>
                <w:rFonts w:ascii="宋体" w:hAnsi="宋体" w:cs="宋体" w:eastAsia="宋体" w:hint="default"/>
                <w:sz w:val="20"/>
                <w:szCs w:val="20"/>
              </w:rPr>
            </w:pPr>
            <w:r>
              <w:rPr>
                <w:rFonts w:ascii="宋体" w:hAnsi="宋体" w:cs="宋体" w:eastAsia="宋体" w:hint="default"/>
                <w:sz w:val="20"/>
                <w:szCs w:val="20"/>
              </w:rPr>
              <w:t>《独立董事关于公司调整非公开发行股票方案的事前</w:t>
            </w:r>
            <w:r>
              <w:rPr>
                <w:rFonts w:ascii="宋体" w:hAnsi="宋体" w:cs="宋体" w:eastAsia="宋体" w:hint="default"/>
                <w:w w:val="99"/>
                <w:sz w:val="20"/>
                <w:szCs w:val="20"/>
              </w:rPr>
              <w:t> </w:t>
            </w:r>
            <w:r>
              <w:rPr>
                <w:rFonts w:ascii="宋体" w:hAnsi="宋体" w:cs="宋体" w:eastAsia="宋体" w:hint="default"/>
                <w:sz w:val="20"/>
                <w:szCs w:val="20"/>
              </w:rPr>
              <w:t>认可意见》</w:t>
            </w:r>
          </w:p>
          <w:p>
            <w:pPr>
              <w:pStyle w:val="TableParagraph"/>
              <w:spacing w:line="285" w:lineRule="auto" w:before="12"/>
              <w:ind w:left="9" w:right="165"/>
              <w:jc w:val="left"/>
              <w:rPr>
                <w:rFonts w:ascii="宋体" w:hAnsi="宋体" w:cs="宋体" w:eastAsia="宋体" w:hint="default"/>
                <w:sz w:val="20"/>
                <w:szCs w:val="20"/>
              </w:rPr>
            </w:pPr>
            <w:r>
              <w:rPr>
                <w:rFonts w:ascii="宋体" w:hAnsi="宋体" w:cs="宋体" w:eastAsia="宋体" w:hint="default"/>
                <w:sz w:val="20"/>
                <w:szCs w:val="20"/>
              </w:rPr>
              <w:t>《独立董事关于公司调整非公开发行股票方案的独立</w:t>
            </w:r>
            <w:r>
              <w:rPr>
                <w:rFonts w:ascii="宋体" w:hAnsi="宋体" w:cs="宋体" w:eastAsia="宋体" w:hint="default"/>
                <w:w w:val="99"/>
                <w:sz w:val="20"/>
                <w:szCs w:val="20"/>
              </w:rPr>
              <w:t> </w:t>
            </w:r>
            <w:r>
              <w:rPr>
                <w:rFonts w:ascii="宋体" w:hAnsi="宋体" w:cs="宋体" w:eastAsia="宋体" w:hint="default"/>
                <w:sz w:val="20"/>
                <w:szCs w:val="20"/>
              </w:rPr>
              <w:t>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42" w:hRule="exact"/>
        </w:trPr>
        <w:tc>
          <w:tcPr>
            <w:tcW w:w="184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9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4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9" w:right="0"/>
              <w:jc w:val="left"/>
              <w:rPr>
                <w:rFonts w:ascii="宋体" w:hAnsi="宋体" w:cs="宋体" w:eastAsia="宋体" w:hint="default"/>
                <w:sz w:val="20"/>
                <w:szCs w:val="20"/>
              </w:rPr>
            </w:pPr>
            <w:r>
              <w:rPr>
                <w:rFonts w:ascii="宋体" w:hAnsi="宋体" w:cs="宋体" w:eastAsia="宋体" w:hint="default"/>
                <w:sz w:val="20"/>
                <w:szCs w:val="20"/>
              </w:rPr>
              <w:t>《独立董事关于限制性股票解锁事项的独立意见》</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10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20"/>
                <w:szCs w:val="20"/>
              </w:rPr>
            </w:pPr>
            <w:r>
              <w:rPr>
                <w:rFonts w:ascii="宋体" w:hAnsi="宋体" w:cs="宋体" w:eastAsia="宋体" w:hint="default"/>
                <w:sz w:val="20"/>
                <w:szCs w:val="20"/>
              </w:rPr>
              <w:t>同意</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26"/>
        <w:ind w:right="262"/>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spacing w:before="0"/>
        <w:ind w:left="132" w:right="262" w:firstLine="0"/>
        <w:jc w:val="left"/>
        <w:rPr>
          <w:rFonts w:ascii="宋体" w:hAnsi="宋体" w:cs="宋体" w:eastAsia="宋体" w:hint="default"/>
          <w:sz w:val="21"/>
          <w:szCs w:val="21"/>
        </w:rPr>
      </w:pPr>
      <w:r>
        <w:rPr>
          <w:rFonts w:ascii="宋体" w:hAnsi="宋体" w:cs="宋体" w:eastAsia="宋体" w:hint="default"/>
          <w:b/>
          <w:bCs/>
          <w:sz w:val="21"/>
          <w:szCs w:val="21"/>
        </w:rPr>
        <w:t>1、审计委员会履职情况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32" w:right="262" w:firstLine="480"/>
        <w:jc w:val="left"/>
        <w:rPr>
          <w:rFonts w:ascii="宋体" w:hAnsi="宋体" w:cs="宋体" w:eastAsia="宋体" w:hint="default"/>
          <w:sz w:val="21"/>
          <w:szCs w:val="21"/>
        </w:rPr>
      </w:pPr>
      <w:r>
        <w:rPr>
          <w:rFonts w:ascii="宋体" w:hAnsi="宋体" w:cs="宋体" w:eastAsia="宋体" w:hint="default"/>
          <w:sz w:val="21"/>
          <w:szCs w:val="21"/>
        </w:rPr>
        <w:t>2016年4月，审计委员会召开会议，审议了未经审计的2015年度财务报表，与年审注册会计师讨论确</w:t>
      </w:r>
      <w:r>
        <w:rPr>
          <w:rFonts w:ascii="宋体" w:hAnsi="宋体" w:cs="宋体" w:eastAsia="宋体" w:hint="default"/>
          <w:w w:val="99"/>
          <w:sz w:val="21"/>
          <w:szCs w:val="21"/>
        </w:rPr>
        <w:t> </w:t>
      </w:r>
      <w:r>
        <w:rPr>
          <w:rFonts w:ascii="宋体" w:hAnsi="宋体" w:cs="宋体" w:eastAsia="宋体" w:hint="default"/>
          <w:w w:val="95"/>
          <w:sz w:val="21"/>
          <w:szCs w:val="21"/>
        </w:rPr>
        <w:t>定2015年度财务报告审计计划，并对2015年度财务报告审计重点提出了建议，审议了公司2015年度审计工</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850" w:footer="1012" w:top="1440" w:bottom="1200" w:left="1000" w:right="780"/>
        </w:sectPr>
      </w:pPr>
    </w:p>
    <w:p>
      <w:pPr>
        <w:spacing w:line="240" w:lineRule="auto" w:before="8"/>
        <w:rPr>
          <w:rFonts w:ascii="宋体" w:hAnsi="宋体" w:cs="宋体" w:eastAsia="宋体" w:hint="default"/>
          <w:sz w:val="20"/>
          <w:szCs w:val="20"/>
        </w:rPr>
      </w:pPr>
    </w:p>
    <w:p>
      <w:pPr>
        <w:spacing w:line="408" w:lineRule="auto" w:before="34"/>
        <w:ind w:left="592" w:right="109" w:hanging="480"/>
        <w:jc w:val="left"/>
        <w:rPr>
          <w:rFonts w:ascii="宋体" w:hAnsi="宋体" w:cs="宋体" w:eastAsia="宋体" w:hint="default"/>
          <w:sz w:val="21"/>
          <w:szCs w:val="21"/>
        </w:rPr>
      </w:pPr>
      <w:r>
        <w:rPr>
          <w:rFonts w:ascii="宋体" w:hAnsi="宋体" w:cs="宋体" w:eastAsia="宋体" w:hint="default"/>
          <w:sz w:val="21"/>
          <w:szCs w:val="21"/>
        </w:rPr>
        <w:t>作汇报和2015年审计工作计划，会后向董事会作了汇报。</w:t>
      </w:r>
      <w:r>
        <w:rPr>
          <w:rFonts w:ascii="宋体" w:hAnsi="宋体" w:cs="宋体" w:eastAsia="宋体" w:hint="default"/>
          <w:w w:val="99"/>
          <w:sz w:val="21"/>
          <w:szCs w:val="21"/>
        </w:rPr>
        <w:t> </w:t>
      </w:r>
      <w:r>
        <w:rPr>
          <w:rFonts w:ascii="宋体" w:hAnsi="宋体" w:cs="宋体" w:eastAsia="宋体" w:hint="default"/>
          <w:sz w:val="21"/>
          <w:szCs w:val="21"/>
        </w:rPr>
        <w:t>2016年4月，审计委员会审议了公司2015年度财务报告、2015年度公司内部控制自我评价报告、信永</w:t>
      </w:r>
    </w:p>
    <w:p>
      <w:pPr>
        <w:spacing w:line="408" w:lineRule="auto" w:before="46"/>
        <w:ind w:left="112" w:right="109" w:firstLine="0"/>
        <w:jc w:val="left"/>
        <w:rPr>
          <w:rFonts w:ascii="宋体" w:hAnsi="宋体" w:cs="宋体" w:eastAsia="宋体" w:hint="default"/>
          <w:sz w:val="21"/>
          <w:szCs w:val="21"/>
        </w:rPr>
      </w:pPr>
      <w:r>
        <w:rPr>
          <w:rFonts w:ascii="宋体" w:hAnsi="宋体" w:cs="宋体" w:eastAsia="宋体" w:hint="default"/>
          <w:w w:val="95"/>
          <w:sz w:val="21"/>
          <w:szCs w:val="21"/>
        </w:rPr>
        <w:t>中和会计师事务所从事2015年度公司审计工作总结、关于续聘会计师事务所等事项，会后向董事会做了工</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作汇报。</w:t>
      </w:r>
    </w:p>
    <w:p>
      <w:pPr>
        <w:spacing w:line="408" w:lineRule="auto" w:before="46"/>
        <w:ind w:left="112" w:right="109" w:firstLine="480"/>
        <w:jc w:val="left"/>
        <w:rPr>
          <w:rFonts w:ascii="宋体" w:hAnsi="宋体" w:cs="宋体" w:eastAsia="宋体" w:hint="default"/>
          <w:sz w:val="21"/>
          <w:szCs w:val="21"/>
        </w:rPr>
      </w:pPr>
      <w:r>
        <w:rPr>
          <w:rFonts w:ascii="宋体" w:hAnsi="宋体" w:cs="宋体" w:eastAsia="宋体" w:hint="default"/>
          <w:sz w:val="21"/>
          <w:szCs w:val="21"/>
        </w:rPr>
        <w:t>2016年4月，审计委员会定期审核公司的财务信息，听取审计工作总结，在向董事会提交季度、中期</w:t>
      </w:r>
      <w:r>
        <w:rPr>
          <w:rFonts w:ascii="宋体" w:hAnsi="宋体" w:cs="宋体" w:eastAsia="宋体" w:hint="default"/>
          <w:w w:val="99"/>
          <w:sz w:val="21"/>
          <w:szCs w:val="21"/>
        </w:rPr>
        <w:t> </w:t>
      </w:r>
      <w:r>
        <w:rPr>
          <w:rFonts w:ascii="宋体" w:hAnsi="宋体" w:cs="宋体" w:eastAsia="宋体" w:hint="default"/>
          <w:sz w:val="21"/>
          <w:szCs w:val="21"/>
        </w:rPr>
        <w:t>及年度财务报表和财务报告前，审计委员会均进行了先行审阅。</w:t>
      </w:r>
    </w:p>
    <w:p>
      <w:pPr>
        <w:spacing w:line="408" w:lineRule="auto" w:before="46"/>
        <w:ind w:left="112" w:right="212" w:firstLine="480"/>
        <w:jc w:val="both"/>
        <w:rPr>
          <w:rFonts w:ascii="宋体" w:hAnsi="宋体" w:cs="宋体" w:eastAsia="宋体" w:hint="default"/>
          <w:sz w:val="21"/>
          <w:szCs w:val="21"/>
        </w:rPr>
      </w:pPr>
      <w:r>
        <w:rPr>
          <w:rFonts w:ascii="宋体" w:hAnsi="宋体" w:cs="宋体" w:eastAsia="宋体" w:hint="default"/>
          <w:sz w:val="21"/>
          <w:szCs w:val="21"/>
        </w:rPr>
        <w:t>2016年4月，审计委员会听取了公司管理层对2015年度经营情况汇报及2016年公司经营思路，对未经</w:t>
      </w:r>
      <w:r>
        <w:rPr>
          <w:rFonts w:ascii="宋体" w:hAnsi="宋体" w:cs="宋体" w:eastAsia="宋体" w:hint="default"/>
          <w:w w:val="99"/>
          <w:sz w:val="21"/>
          <w:szCs w:val="21"/>
        </w:rPr>
        <w:t> </w:t>
      </w:r>
      <w:r>
        <w:rPr>
          <w:rFonts w:ascii="宋体" w:hAnsi="宋体" w:cs="宋体" w:eastAsia="宋体" w:hint="default"/>
          <w:spacing w:val="4"/>
          <w:w w:val="95"/>
          <w:sz w:val="21"/>
          <w:szCs w:val="21"/>
        </w:rPr>
        <w:t>审计的2015年度财务会计报表进行了讨论并发表意见，协商确定了2015年度财务报告审计工作的时间安</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pacing w:val="2"/>
          <w:w w:val="95"/>
          <w:sz w:val="21"/>
          <w:szCs w:val="21"/>
        </w:rPr>
        <w:t>排；2016年4月，审议通过了2015年度审计工作总结和续聘信永中和会计师事务所为2016年度财务审计机</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构的建议。</w:t>
      </w:r>
    </w:p>
    <w:p>
      <w:pPr>
        <w:spacing w:before="46"/>
        <w:ind w:left="535" w:right="109" w:firstLine="0"/>
        <w:jc w:val="left"/>
        <w:rPr>
          <w:rFonts w:ascii="宋体" w:hAnsi="宋体" w:cs="宋体" w:eastAsia="宋体" w:hint="default"/>
          <w:sz w:val="21"/>
          <w:szCs w:val="21"/>
        </w:rPr>
      </w:pPr>
      <w:r>
        <w:rPr>
          <w:rFonts w:ascii="宋体" w:hAnsi="宋体" w:cs="宋体" w:eastAsia="宋体" w:hint="default"/>
          <w:b/>
          <w:bCs/>
          <w:sz w:val="21"/>
          <w:szCs w:val="21"/>
        </w:rPr>
        <w:t>2、战略委员会</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92" w:right="109" w:firstLine="0"/>
        <w:jc w:val="left"/>
        <w:rPr>
          <w:rFonts w:ascii="宋体" w:hAnsi="宋体" w:cs="宋体" w:eastAsia="宋体" w:hint="default"/>
          <w:sz w:val="21"/>
          <w:szCs w:val="21"/>
        </w:rPr>
      </w:pPr>
      <w:r>
        <w:rPr>
          <w:rFonts w:ascii="宋体" w:hAnsi="宋体" w:cs="宋体" w:eastAsia="宋体" w:hint="default"/>
          <w:spacing w:val="6"/>
          <w:sz w:val="21"/>
          <w:szCs w:val="21"/>
        </w:rPr>
        <w:t>2015年6月战略委员会以电话沟通方式审议《关于投资设立合资公司山东万恩新能源科技有限公司</w:t>
      </w:r>
    </w:p>
    <w:p>
      <w:pPr>
        <w:spacing w:line="240" w:lineRule="auto" w:before="10"/>
        <w:rPr>
          <w:rFonts w:ascii="宋体" w:hAnsi="宋体" w:cs="宋体" w:eastAsia="宋体" w:hint="default"/>
          <w:sz w:val="14"/>
          <w:szCs w:val="14"/>
        </w:rPr>
      </w:pPr>
    </w:p>
    <w:p>
      <w:pPr>
        <w:spacing w:line="408" w:lineRule="auto" w:before="0"/>
        <w:ind w:left="592" w:right="109" w:hanging="480"/>
        <w:jc w:val="left"/>
        <w:rPr>
          <w:rFonts w:ascii="宋体" w:hAnsi="宋体" w:cs="宋体" w:eastAsia="宋体" w:hint="default"/>
          <w:sz w:val="21"/>
          <w:szCs w:val="21"/>
        </w:rPr>
      </w:pPr>
      <w:r>
        <w:rPr>
          <w:rFonts w:ascii="宋体" w:hAnsi="宋体" w:cs="宋体" w:eastAsia="宋体" w:hint="default"/>
          <w:sz w:val="21"/>
          <w:szCs w:val="21"/>
        </w:rPr>
        <w:t>（筹）的的议案》</w:t>
      </w:r>
      <w:r>
        <w:rPr>
          <w:rFonts w:ascii="宋体" w:hAnsi="宋体" w:cs="宋体" w:eastAsia="宋体" w:hint="default"/>
          <w:w w:val="99"/>
          <w:sz w:val="21"/>
          <w:szCs w:val="21"/>
        </w:rPr>
        <w:t> </w:t>
      </w:r>
      <w:r>
        <w:rPr>
          <w:rFonts w:ascii="宋体" w:hAnsi="宋体" w:cs="宋体" w:eastAsia="宋体" w:hint="default"/>
          <w:spacing w:val="-2"/>
          <w:w w:val="99"/>
          <w:sz w:val="21"/>
          <w:szCs w:val="21"/>
        </w:rPr>
        <w:t>2015年7月战略委员会以电话沟通方式审议《关于与法国IES合资设立浙江万马海力斯新能源有限公司</w:t>
      </w:r>
      <w:r>
        <w:rPr>
          <w:rFonts w:ascii="宋体" w:hAnsi="宋体" w:cs="宋体" w:eastAsia="宋体" w:hint="default"/>
          <w:spacing w:val="-2"/>
          <w:sz w:val="21"/>
          <w:szCs w:val="21"/>
        </w:rPr>
      </w:r>
    </w:p>
    <w:p>
      <w:pPr>
        <w:spacing w:before="46"/>
        <w:ind w:left="112" w:right="109" w:firstLine="0"/>
        <w:jc w:val="left"/>
        <w:rPr>
          <w:rFonts w:ascii="宋体" w:hAnsi="宋体" w:cs="宋体" w:eastAsia="宋体" w:hint="default"/>
          <w:sz w:val="21"/>
          <w:szCs w:val="21"/>
        </w:rPr>
      </w:pPr>
      <w:r>
        <w:rPr>
          <w:rFonts w:ascii="宋体" w:hAnsi="宋体" w:cs="宋体" w:eastAsia="宋体" w:hint="default"/>
          <w:sz w:val="21"/>
          <w:szCs w:val="21"/>
        </w:rPr>
        <w:t>的议案》</w:t>
      </w:r>
    </w:p>
    <w:p>
      <w:pPr>
        <w:spacing w:line="240" w:lineRule="auto" w:before="10"/>
        <w:rPr>
          <w:rFonts w:ascii="宋体" w:hAnsi="宋体" w:cs="宋体" w:eastAsia="宋体" w:hint="default"/>
          <w:sz w:val="14"/>
          <w:szCs w:val="14"/>
        </w:rPr>
      </w:pPr>
    </w:p>
    <w:p>
      <w:pPr>
        <w:spacing w:before="0"/>
        <w:ind w:left="592" w:right="109" w:firstLine="0"/>
        <w:jc w:val="left"/>
        <w:rPr>
          <w:rFonts w:ascii="宋体" w:hAnsi="宋体" w:cs="宋体" w:eastAsia="宋体" w:hint="default"/>
          <w:sz w:val="21"/>
          <w:szCs w:val="21"/>
        </w:rPr>
      </w:pPr>
      <w:r>
        <w:rPr>
          <w:rFonts w:ascii="宋体" w:hAnsi="宋体" w:cs="宋体" w:eastAsia="宋体" w:hint="default"/>
          <w:sz w:val="21"/>
          <w:szCs w:val="21"/>
        </w:rPr>
        <w:t>2015年7月战略委员会以电话沟通方式审议《关于子公司爱充网与河南佳瑞签署合作协议的议案》</w:t>
      </w:r>
    </w:p>
    <w:p>
      <w:pPr>
        <w:spacing w:line="240" w:lineRule="auto" w:before="10"/>
        <w:rPr>
          <w:rFonts w:ascii="宋体" w:hAnsi="宋体" w:cs="宋体" w:eastAsia="宋体" w:hint="default"/>
          <w:sz w:val="14"/>
          <w:szCs w:val="14"/>
        </w:rPr>
      </w:pPr>
    </w:p>
    <w:p>
      <w:pPr>
        <w:spacing w:before="0"/>
        <w:ind w:left="592" w:right="94" w:firstLine="0"/>
        <w:jc w:val="left"/>
        <w:rPr>
          <w:rFonts w:ascii="宋体" w:hAnsi="宋体" w:cs="宋体" w:eastAsia="宋体" w:hint="default"/>
          <w:sz w:val="21"/>
          <w:szCs w:val="21"/>
        </w:rPr>
      </w:pPr>
      <w:r>
        <w:rPr>
          <w:rFonts w:ascii="宋体" w:hAnsi="宋体" w:cs="宋体" w:eastAsia="宋体" w:hint="default"/>
          <w:sz w:val="21"/>
          <w:szCs w:val="21"/>
        </w:rPr>
        <w:t>2015年11月战略委员会以电话沟通方式审议《关于投资设立万马联合新能源投资有限公司（筹）的公</w:t>
      </w:r>
    </w:p>
    <w:p>
      <w:pPr>
        <w:spacing w:line="240" w:lineRule="auto" w:before="10"/>
        <w:rPr>
          <w:rFonts w:ascii="宋体" w:hAnsi="宋体" w:cs="宋体" w:eastAsia="宋体" w:hint="default"/>
          <w:sz w:val="14"/>
          <w:szCs w:val="14"/>
        </w:rPr>
      </w:pPr>
    </w:p>
    <w:p>
      <w:pPr>
        <w:spacing w:before="0"/>
        <w:ind w:left="112" w:right="109" w:firstLine="0"/>
        <w:jc w:val="left"/>
        <w:rPr>
          <w:rFonts w:ascii="宋体" w:hAnsi="宋体" w:cs="宋体" w:eastAsia="宋体" w:hint="default"/>
          <w:sz w:val="21"/>
          <w:szCs w:val="21"/>
        </w:rPr>
      </w:pPr>
      <w:r>
        <w:rPr>
          <w:rFonts w:ascii="宋体" w:hAnsi="宋体" w:cs="宋体" w:eastAsia="宋体" w:hint="default"/>
          <w:sz w:val="21"/>
          <w:szCs w:val="21"/>
        </w:rPr>
        <w:t>告》</w:t>
      </w:r>
    </w:p>
    <w:p>
      <w:pPr>
        <w:spacing w:line="240" w:lineRule="auto" w:before="10"/>
        <w:rPr>
          <w:rFonts w:ascii="宋体" w:hAnsi="宋体" w:cs="宋体" w:eastAsia="宋体" w:hint="default"/>
          <w:sz w:val="14"/>
          <w:szCs w:val="14"/>
        </w:rPr>
      </w:pPr>
    </w:p>
    <w:p>
      <w:pPr>
        <w:spacing w:line="408" w:lineRule="auto" w:before="0"/>
        <w:ind w:left="112" w:right="208" w:firstLine="480"/>
        <w:jc w:val="left"/>
        <w:rPr>
          <w:rFonts w:ascii="宋体" w:hAnsi="宋体" w:cs="宋体" w:eastAsia="宋体" w:hint="default"/>
          <w:sz w:val="21"/>
          <w:szCs w:val="21"/>
        </w:rPr>
      </w:pPr>
      <w:r>
        <w:rPr>
          <w:rFonts w:ascii="宋体" w:hAnsi="宋体" w:cs="宋体" w:eastAsia="宋体" w:hint="default"/>
          <w:spacing w:val="-2"/>
          <w:sz w:val="21"/>
          <w:szCs w:val="21"/>
        </w:rPr>
        <w:t>2015年12月战略委员会以电话沟通方式审议《关于与国开发展基金有限公司共同对万马联合新能源投</w:t>
      </w:r>
      <w:r>
        <w:rPr>
          <w:rFonts w:ascii="宋体" w:hAnsi="宋体" w:cs="宋体" w:eastAsia="宋体" w:hint="default"/>
          <w:w w:val="99"/>
          <w:sz w:val="21"/>
          <w:szCs w:val="21"/>
        </w:rPr>
        <w:t> </w:t>
      </w:r>
      <w:r>
        <w:rPr>
          <w:rFonts w:ascii="宋体" w:hAnsi="宋体" w:cs="宋体" w:eastAsia="宋体" w:hint="default"/>
          <w:sz w:val="21"/>
          <w:szCs w:val="21"/>
        </w:rPr>
        <w:t>资有限公司进行增资的议案》</w:t>
      </w:r>
    </w:p>
    <w:p>
      <w:pPr>
        <w:spacing w:before="46"/>
        <w:ind w:left="592" w:right="109" w:firstLine="0"/>
        <w:jc w:val="left"/>
        <w:rPr>
          <w:rFonts w:ascii="宋体" w:hAnsi="宋体" w:cs="宋体" w:eastAsia="宋体" w:hint="default"/>
          <w:sz w:val="21"/>
          <w:szCs w:val="21"/>
        </w:rPr>
      </w:pPr>
      <w:r>
        <w:rPr>
          <w:rFonts w:ascii="宋体" w:hAnsi="宋体" w:cs="宋体" w:eastAsia="宋体" w:hint="default"/>
          <w:sz w:val="21"/>
          <w:szCs w:val="21"/>
        </w:rPr>
        <w:t>2015年12月《关于万马联合新能源投资设立湖州等地方投资公司的议案》</w:t>
      </w:r>
    </w:p>
    <w:p>
      <w:pPr>
        <w:spacing w:line="240" w:lineRule="auto" w:before="10"/>
        <w:rPr>
          <w:rFonts w:ascii="宋体" w:hAnsi="宋体" w:cs="宋体" w:eastAsia="宋体" w:hint="default"/>
          <w:sz w:val="14"/>
          <w:szCs w:val="14"/>
        </w:rPr>
      </w:pPr>
    </w:p>
    <w:p>
      <w:pPr>
        <w:spacing w:before="0"/>
        <w:ind w:left="532" w:right="109" w:firstLine="0"/>
        <w:jc w:val="left"/>
        <w:rPr>
          <w:rFonts w:ascii="宋体" w:hAnsi="宋体" w:cs="宋体" w:eastAsia="宋体" w:hint="default"/>
          <w:sz w:val="21"/>
          <w:szCs w:val="21"/>
        </w:rPr>
      </w:pPr>
      <w:r>
        <w:rPr>
          <w:rFonts w:ascii="宋体" w:hAnsi="宋体" w:cs="宋体" w:eastAsia="宋体" w:hint="default"/>
          <w:b/>
          <w:bCs/>
          <w:sz w:val="21"/>
          <w:szCs w:val="21"/>
        </w:rPr>
        <w:t>3、提名委员会</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18" w:right="109" w:firstLine="0"/>
        <w:jc w:val="left"/>
        <w:rPr>
          <w:rFonts w:ascii="宋体" w:hAnsi="宋体" w:cs="宋体" w:eastAsia="宋体" w:hint="default"/>
          <w:sz w:val="21"/>
          <w:szCs w:val="21"/>
        </w:rPr>
      </w:pPr>
      <w:r>
        <w:rPr>
          <w:rFonts w:ascii="宋体" w:hAnsi="宋体" w:cs="宋体" w:eastAsia="宋体" w:hint="default"/>
          <w:sz w:val="21"/>
          <w:szCs w:val="21"/>
        </w:rPr>
        <w:t>2015年2月，提名委员会审核了董事会秘书候选人资格，发表关于公司董事会秘书候选人审核意见</w:t>
      </w:r>
    </w:p>
    <w:p>
      <w:pPr>
        <w:spacing w:line="240" w:lineRule="auto" w:before="10"/>
        <w:rPr>
          <w:rFonts w:ascii="宋体" w:hAnsi="宋体" w:cs="宋体" w:eastAsia="宋体" w:hint="default"/>
          <w:sz w:val="14"/>
          <w:szCs w:val="14"/>
        </w:rPr>
      </w:pPr>
    </w:p>
    <w:p>
      <w:pPr>
        <w:spacing w:line="408" w:lineRule="auto" w:before="0"/>
        <w:ind w:left="112" w:right="202" w:firstLine="405"/>
        <w:jc w:val="left"/>
        <w:rPr>
          <w:rFonts w:ascii="宋体" w:hAnsi="宋体" w:cs="宋体" w:eastAsia="宋体" w:hint="default"/>
          <w:sz w:val="21"/>
          <w:szCs w:val="21"/>
        </w:rPr>
      </w:pPr>
      <w:r>
        <w:rPr>
          <w:rFonts w:ascii="宋体" w:hAnsi="宋体" w:cs="宋体" w:eastAsia="宋体" w:hint="default"/>
          <w:spacing w:val="2"/>
          <w:sz w:val="21"/>
          <w:szCs w:val="21"/>
        </w:rPr>
        <w:t>2015年4月，提名委员会审核了第三届独立董事候选人任职资格，发表关于公司独立董事候选人审核</w:t>
      </w:r>
      <w:r>
        <w:rPr>
          <w:rFonts w:ascii="宋体" w:hAnsi="宋体" w:cs="宋体" w:eastAsia="宋体" w:hint="default"/>
          <w:w w:val="99"/>
          <w:sz w:val="21"/>
          <w:szCs w:val="21"/>
        </w:rPr>
        <w:t> </w:t>
      </w:r>
      <w:r>
        <w:rPr>
          <w:rFonts w:ascii="宋体" w:hAnsi="宋体" w:cs="宋体" w:eastAsia="宋体" w:hint="default"/>
          <w:sz w:val="21"/>
          <w:szCs w:val="21"/>
        </w:rPr>
        <w:t>意见。</w:t>
      </w:r>
    </w:p>
    <w:p>
      <w:pPr>
        <w:spacing w:before="46"/>
        <w:ind w:left="412" w:right="109" w:firstLine="0"/>
        <w:jc w:val="left"/>
        <w:rPr>
          <w:rFonts w:ascii="宋体" w:hAnsi="宋体" w:cs="宋体" w:eastAsia="宋体" w:hint="default"/>
          <w:sz w:val="21"/>
          <w:szCs w:val="21"/>
        </w:rPr>
      </w:pPr>
      <w:r>
        <w:rPr>
          <w:rFonts w:ascii="宋体" w:hAnsi="宋体" w:cs="宋体" w:eastAsia="宋体" w:hint="default"/>
          <w:b/>
          <w:bCs/>
          <w:sz w:val="21"/>
          <w:szCs w:val="21"/>
        </w:rPr>
        <w:t>4、薪酬与考核委员会的履职情况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472" w:right="0" w:firstLine="0"/>
        <w:jc w:val="left"/>
        <w:rPr>
          <w:rFonts w:ascii="宋体" w:hAnsi="宋体" w:cs="宋体" w:eastAsia="宋体" w:hint="default"/>
          <w:sz w:val="21"/>
          <w:szCs w:val="21"/>
        </w:rPr>
      </w:pPr>
      <w:r>
        <w:rPr>
          <w:rFonts w:ascii="宋体" w:hAnsi="宋体" w:cs="宋体" w:eastAsia="宋体" w:hint="default"/>
          <w:sz w:val="21"/>
          <w:szCs w:val="21"/>
        </w:rPr>
        <w:t>2016年初，薪酬与考核委员会审议了2015年度董事及经营层年薪方案及新一年的年度考核、薪酬方案。</w:t>
      </w:r>
    </w:p>
    <w:p>
      <w:pPr>
        <w:spacing w:line="240" w:lineRule="auto" w:before="10"/>
        <w:rPr>
          <w:rFonts w:ascii="宋体" w:hAnsi="宋体" w:cs="宋体" w:eastAsia="宋体" w:hint="default"/>
          <w:sz w:val="14"/>
          <w:szCs w:val="14"/>
        </w:rPr>
      </w:pPr>
    </w:p>
    <w:p>
      <w:pPr>
        <w:spacing w:before="0"/>
        <w:ind w:left="472" w:right="109" w:firstLine="0"/>
        <w:jc w:val="left"/>
        <w:rPr>
          <w:rFonts w:ascii="宋体" w:hAnsi="宋体" w:cs="宋体" w:eastAsia="宋体" w:hint="default"/>
          <w:sz w:val="21"/>
          <w:szCs w:val="21"/>
        </w:rPr>
      </w:pPr>
      <w:r>
        <w:rPr>
          <w:rFonts w:ascii="宋体" w:hAnsi="宋体" w:cs="宋体" w:eastAsia="宋体" w:hint="default"/>
          <w:sz w:val="21"/>
          <w:szCs w:val="21"/>
        </w:rPr>
        <w:t>2015年11月，薪酬与考核委员会审议了关于限制性股票解锁的事项。</w:t>
      </w:r>
    </w:p>
    <w:p>
      <w:pPr>
        <w:spacing w:after="0"/>
        <w:jc w:val="left"/>
        <w:rPr>
          <w:rFonts w:ascii="宋体" w:hAnsi="宋体" w:cs="宋体" w:eastAsia="宋体" w:hint="default"/>
          <w:sz w:val="21"/>
          <w:szCs w:val="21"/>
        </w:rPr>
        <w:sectPr>
          <w:pgSz w:w="11910" w:h="16840"/>
          <w:pgMar w:header="850" w:footer="1012" w:top="1440" w:bottom="1200" w:left="1020" w:right="920"/>
        </w:sectPr>
      </w:pPr>
    </w:p>
    <w:p>
      <w:pPr>
        <w:spacing w:line="240" w:lineRule="auto" w:before="5"/>
        <w:rPr>
          <w:rFonts w:ascii="宋体" w:hAnsi="宋体" w:cs="宋体" w:eastAsia="宋体" w:hint="default"/>
          <w:sz w:val="13"/>
          <w:szCs w:val="13"/>
        </w:rPr>
      </w:pPr>
    </w:p>
    <w:p>
      <w:pPr>
        <w:pStyle w:val="Heading2"/>
        <w:spacing w:line="240" w:lineRule="auto" w:before="26"/>
        <w:ind w:left="112" w:right="708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14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7"/>
        <w:ind w:left="112" w:right="669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2"/>
        <w:rPr>
          <w:rFonts w:ascii="宋体" w:hAnsi="宋体" w:cs="宋体" w:eastAsia="宋体" w:hint="default"/>
          <w:sz w:val="18"/>
          <w:szCs w:val="18"/>
        </w:rPr>
      </w:pPr>
    </w:p>
    <w:p>
      <w:pPr>
        <w:pStyle w:val="Heading2"/>
        <w:spacing w:line="240" w:lineRule="auto"/>
        <w:ind w:left="112" w:right="144"/>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132" w:firstLine="420"/>
        <w:jc w:val="both"/>
        <w:rPr>
          <w:rFonts w:ascii="宋体" w:hAnsi="宋体" w:cs="宋体" w:eastAsia="宋体" w:hint="default"/>
          <w:sz w:val="21"/>
          <w:szCs w:val="21"/>
        </w:rPr>
      </w:pPr>
      <w:r>
        <w:rPr>
          <w:rFonts w:ascii="宋体" w:hAnsi="宋体" w:cs="宋体" w:eastAsia="宋体" w:hint="default"/>
          <w:w w:val="95"/>
          <w:sz w:val="21"/>
          <w:szCs w:val="21"/>
        </w:rPr>
        <w:t>为保证公司持续、稳定的增长，有效激励公司高级管理人员更好地履行工作职责，明确权利义务，公</w:t>
      </w:r>
      <w:r>
        <w:rPr>
          <w:rFonts w:ascii="宋体" w:hAnsi="宋体" w:cs="宋体" w:eastAsia="宋体" w:hint="default"/>
          <w:w w:val="99"/>
          <w:sz w:val="21"/>
          <w:szCs w:val="21"/>
        </w:rPr>
        <w:t> </w:t>
      </w:r>
      <w:r>
        <w:rPr>
          <w:rFonts w:ascii="宋体" w:hAnsi="宋体" w:cs="宋体" w:eastAsia="宋体" w:hint="default"/>
          <w:w w:val="95"/>
          <w:sz w:val="21"/>
          <w:szCs w:val="21"/>
        </w:rPr>
        <w:t>司每年根据公司全年经营管理目标和绩效管理制度制定各业务版块总经理、各位副总经理等各级管理人员</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的考核责任状，将薪酬回报与绩效目标的完成情况挂钩，在与各位高管充分沟通后落实并签订责任状，做</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到职责明确、目标明确、并利用完善的机制进行考核。同时也通过各种激励措施团结各层员工，具体措施  </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如下：</w:t>
      </w:r>
    </w:p>
    <w:p>
      <w:pPr>
        <w:spacing w:line="408" w:lineRule="auto" w:before="46"/>
        <w:ind w:left="112" w:right="132" w:firstLine="312"/>
        <w:jc w:val="both"/>
        <w:rPr>
          <w:rFonts w:ascii="宋体" w:hAnsi="宋体" w:cs="宋体" w:eastAsia="宋体" w:hint="default"/>
          <w:sz w:val="21"/>
          <w:szCs w:val="21"/>
        </w:rPr>
      </w:pPr>
      <w:r>
        <w:rPr>
          <w:rFonts w:ascii="宋体" w:hAnsi="宋体" w:cs="宋体" w:eastAsia="宋体" w:hint="default"/>
          <w:w w:val="95"/>
          <w:sz w:val="21"/>
          <w:szCs w:val="21"/>
        </w:rPr>
        <w:t>（1）用健康的公司品牌文化凝聚人：公司正人、正事、正品的核心价值观正逐步深入人心，使公司上</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下形成一股正气，企业文化正朝着健康、高效、团结的方向发展。同时具有万马特色的公司战略，吸引各</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领域人才汇聚。</w:t>
      </w:r>
    </w:p>
    <w:p>
      <w:pPr>
        <w:spacing w:line="408" w:lineRule="auto" w:before="46"/>
        <w:ind w:left="112" w:right="132" w:firstLine="312"/>
        <w:jc w:val="both"/>
        <w:rPr>
          <w:rFonts w:ascii="宋体" w:hAnsi="宋体" w:cs="宋体" w:eastAsia="宋体" w:hint="default"/>
          <w:sz w:val="21"/>
          <w:szCs w:val="21"/>
        </w:rPr>
      </w:pPr>
      <w:r>
        <w:rPr>
          <w:rFonts w:ascii="宋体" w:hAnsi="宋体" w:cs="宋体" w:eastAsia="宋体" w:hint="default"/>
          <w:w w:val="95"/>
          <w:sz w:val="21"/>
          <w:szCs w:val="21"/>
        </w:rPr>
        <w:t>（2）用灵活的机制吸引人：通过事业人合伙机制，让子公司重点骨干以参股的形式参与到公司管理经</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营，将利益与职责捆绑，创造员工的积极性。强调干部能上能下、人才招聘内外结合的方式，使人才在竞</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争中不断提升业务水平，同时，公司非常注重高管团队的培训，通过内训、外出考察参观等多种方式使高</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管团队能够不断加强自身能力。</w:t>
      </w:r>
    </w:p>
    <w:p>
      <w:pPr>
        <w:spacing w:line="408" w:lineRule="auto" w:before="46"/>
        <w:ind w:left="112" w:right="112" w:firstLine="312"/>
        <w:jc w:val="both"/>
        <w:rPr>
          <w:rFonts w:ascii="宋体" w:hAnsi="宋体" w:cs="宋体" w:eastAsia="宋体" w:hint="default"/>
          <w:sz w:val="21"/>
          <w:szCs w:val="21"/>
        </w:rPr>
      </w:pPr>
      <w:r>
        <w:rPr>
          <w:rFonts w:ascii="宋体" w:hAnsi="宋体" w:cs="宋体" w:eastAsia="宋体" w:hint="default"/>
          <w:w w:val="95"/>
          <w:sz w:val="21"/>
          <w:szCs w:val="21"/>
        </w:rPr>
        <w:t>（3）以丰富的培训机制：公司一直强调企业与员工共同发展，特别是高管团队，分工明确，各自发挥</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自身特长，团队成员年轻有活力并充满工作激情。通过各层次的培训计划，让企业与员工更加紧密联系，</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员工更加拥有归属感和合适的职业规划。</w:t>
      </w:r>
    </w:p>
    <w:p>
      <w:pPr>
        <w:spacing w:line="408" w:lineRule="auto" w:before="46"/>
        <w:ind w:left="112" w:right="132" w:firstLine="316"/>
        <w:jc w:val="both"/>
        <w:rPr>
          <w:rFonts w:ascii="宋体" w:hAnsi="宋体" w:cs="宋体" w:eastAsia="宋体" w:hint="default"/>
          <w:sz w:val="21"/>
          <w:szCs w:val="21"/>
        </w:rPr>
      </w:pPr>
      <w:r>
        <w:rPr>
          <w:rFonts w:ascii="宋体" w:hAnsi="宋体" w:cs="宋体" w:eastAsia="宋体" w:hint="default"/>
          <w:w w:val="95"/>
          <w:sz w:val="21"/>
          <w:szCs w:val="21"/>
        </w:rPr>
        <w:t>（4）用丰富的股权激励人：为进一步建立健全公司长效激励、约束机制，吸引和留住优秀人才，充分</w:t>
      </w:r>
      <w:r>
        <w:rPr>
          <w:rFonts w:ascii="宋体" w:hAnsi="宋体" w:cs="宋体" w:eastAsia="宋体" w:hint="default"/>
          <w:spacing w:val="4"/>
          <w:w w:val="95"/>
          <w:sz w:val="21"/>
          <w:szCs w:val="21"/>
        </w:rPr>
        <w:t> </w:t>
      </w:r>
      <w:r>
        <w:rPr>
          <w:rFonts w:ascii="宋体" w:hAnsi="宋体" w:cs="宋体" w:eastAsia="宋体" w:hint="default"/>
          <w:spacing w:val="4"/>
          <w:w w:val="95"/>
          <w:sz w:val="21"/>
          <w:szCs w:val="21"/>
        </w:rPr>
      </w:r>
      <w:r>
        <w:rPr>
          <w:rFonts w:ascii="宋体" w:hAnsi="宋体" w:cs="宋体" w:eastAsia="宋体" w:hint="default"/>
          <w:w w:val="95"/>
          <w:sz w:val="21"/>
          <w:szCs w:val="21"/>
        </w:rPr>
        <w:t>调动公司中高层管理人员及核心技术、业务人员的积极性，有效地将股东利益、公司利益和经营者个人利</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益结合在一起，提高管理效率和经营者的积极性、创造性与责任心，提高公司可持续发展能力并最终提高</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公司业绩。报告期内，在上一年业绩达标的前提下，公司已授予限制性股票第二期及已授予的预留部分成</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功解锁。</w:t>
      </w:r>
    </w:p>
    <w:p>
      <w:pPr>
        <w:spacing w:line="240" w:lineRule="auto" w:before="8"/>
        <w:rPr>
          <w:rFonts w:ascii="宋体" w:hAnsi="宋体" w:cs="宋体" w:eastAsia="宋体" w:hint="default"/>
          <w:sz w:val="18"/>
          <w:szCs w:val="18"/>
        </w:rPr>
      </w:pPr>
    </w:p>
    <w:p>
      <w:pPr>
        <w:pStyle w:val="Heading2"/>
        <w:spacing w:line="240" w:lineRule="auto"/>
        <w:ind w:left="112" w:right="708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spacing w:before="0"/>
        <w:ind w:left="11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7083"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50" w:footer="1012" w:top="1440" w:bottom="1200" w:left="1020" w:right="1000"/>
        </w:sectPr>
      </w:pPr>
    </w:p>
    <w:p>
      <w:pPr>
        <w:spacing w:line="240" w:lineRule="auto" w:before="9"/>
        <w:rPr>
          <w:rFonts w:ascii="宋体" w:hAnsi="宋体" w:cs="宋体" w:eastAsia="宋体" w:hint="default"/>
          <w:sz w:val="14"/>
          <w:szCs w:val="14"/>
        </w:rPr>
      </w:pPr>
    </w:p>
    <w:p>
      <w:pPr>
        <w:spacing w:before="34"/>
        <w:ind w:left="13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5434"/>
        <w:gridCol w:w="2190"/>
        <w:gridCol w:w="1944"/>
      </w:tblGrid>
      <w:tr>
        <w:trPr>
          <w:trHeight w:val="412" w:hRule="exact"/>
        </w:trPr>
        <w:tc>
          <w:tcPr>
            <w:tcW w:w="543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134"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13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13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13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1944"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0"/>
              <w:ind w:left="517"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413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413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4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413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w:t>
            </w:r>
          </w:p>
        </w:tc>
      </w:tr>
      <w:tr>
        <w:trPr>
          <w:trHeight w:val="412" w:hRule="exact"/>
        </w:trPr>
        <w:tc>
          <w:tcPr>
            <w:tcW w:w="5434"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4134"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44"/>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32" w:right="708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0" w:footer="1012" w:top="1440" w:bottom="1200" w:left="1000" w:right="1020"/>
        </w:sectPr>
      </w:pPr>
    </w:p>
    <w:p>
      <w:pPr>
        <w:spacing w:line="240" w:lineRule="auto" w:before="0"/>
        <w:rPr>
          <w:rFonts w:ascii="宋体" w:hAnsi="宋体" w:cs="宋体" w:eastAsia="宋体" w:hint="default"/>
          <w:sz w:val="4"/>
          <w:szCs w:val="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7998pt" strokecolor="#4f80bd">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1"/>
        <w:spacing w:line="240" w:lineRule="auto" w:before="0"/>
        <w:ind w:right="1"/>
        <w:jc w:val="center"/>
        <w:rPr>
          <w:b w:val="0"/>
          <w:bCs w:val="0"/>
        </w:rPr>
      </w:pPr>
      <w:bookmarkStart w:name="_bookmark9" w:id="10"/>
      <w:bookmarkEnd w:id="10"/>
      <w:r>
        <w:rPr>
          <w:b w:val="0"/>
          <w:bCs w:val="0"/>
        </w:rPr>
      </w:r>
      <w:r>
        <w:rPr/>
        <w:t>第十节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12"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162"/>
        <w:gridCol w:w="4320"/>
      </w:tblGrid>
      <w:tr>
        <w:trPr>
          <w:trHeight w:val="402" w:hRule="exact"/>
        </w:trPr>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50" w:hRule="exact"/>
        </w:trPr>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XYZH/2016SHA10110</w:t>
            </w:r>
          </w:p>
        </w:tc>
      </w:tr>
      <w:tr>
        <w:trPr>
          <w:trHeight w:val="402" w:hRule="exact"/>
        </w:trPr>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叶胜平、刘向荣</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14"/>
        <w:ind w:left="2706" w:right="2744" w:firstLine="0"/>
        <w:jc w:val="center"/>
        <w:rPr>
          <w:rFonts w:ascii="黑体" w:hAnsi="黑体" w:cs="黑体" w:eastAsia="黑体" w:hint="default"/>
          <w:sz w:val="28"/>
          <w:szCs w:val="28"/>
        </w:rPr>
      </w:pPr>
      <w:r>
        <w:rPr>
          <w:rFonts w:ascii="黑体" w:hAnsi="黑体" w:cs="黑体" w:eastAsia="黑体" w:hint="default"/>
          <w:b/>
          <w:bCs/>
          <w:sz w:val="28"/>
          <w:szCs w:val="28"/>
        </w:rPr>
        <w:t>审</w:t>
      </w:r>
      <w:r>
        <w:rPr>
          <w:rFonts w:ascii="黑体" w:hAnsi="黑体" w:cs="黑体" w:eastAsia="黑体" w:hint="default"/>
          <w:b/>
          <w:bCs/>
          <w:spacing w:val="-102"/>
          <w:sz w:val="28"/>
          <w:szCs w:val="28"/>
        </w:rPr>
        <w:t> </w:t>
      </w:r>
      <w:r>
        <w:rPr>
          <w:rFonts w:ascii="黑体" w:hAnsi="黑体" w:cs="黑体" w:eastAsia="黑体" w:hint="default"/>
          <w:b/>
          <w:bCs/>
          <w:sz w:val="28"/>
          <w:szCs w:val="28"/>
        </w:rPr>
        <w:t>计</w:t>
      </w:r>
      <w:r>
        <w:rPr>
          <w:rFonts w:ascii="黑体" w:hAnsi="黑体" w:cs="黑体" w:eastAsia="黑体" w:hint="default"/>
          <w:b/>
          <w:bCs/>
          <w:spacing w:val="-102"/>
          <w:sz w:val="28"/>
          <w:szCs w:val="28"/>
        </w:rPr>
        <w:t> </w:t>
      </w:r>
      <w:r>
        <w:rPr>
          <w:rFonts w:ascii="黑体" w:hAnsi="黑体" w:cs="黑体" w:eastAsia="黑体" w:hint="default"/>
          <w:b/>
          <w:bCs/>
          <w:sz w:val="28"/>
          <w:szCs w:val="28"/>
        </w:rPr>
        <w:t>报</w:t>
      </w:r>
      <w:r>
        <w:rPr>
          <w:rFonts w:ascii="黑体" w:hAnsi="黑体" w:cs="黑体" w:eastAsia="黑体" w:hint="default"/>
          <w:b/>
          <w:bCs/>
          <w:spacing w:val="-104"/>
          <w:sz w:val="28"/>
          <w:szCs w:val="28"/>
        </w:rPr>
        <w:t> </w:t>
      </w:r>
      <w:r>
        <w:rPr>
          <w:rFonts w:ascii="黑体" w:hAnsi="黑体" w:cs="黑体" w:eastAsia="黑体" w:hint="default"/>
          <w:b/>
          <w:bCs/>
          <w:sz w:val="28"/>
          <w:szCs w:val="28"/>
        </w:rPr>
        <w:t>告</w:t>
      </w:r>
      <w:r>
        <w:rPr>
          <w:rFonts w:ascii="黑体" w:hAnsi="黑体" w:cs="黑体" w:eastAsia="黑体" w:hint="default"/>
          <w:b/>
          <w:bCs/>
          <w:spacing w:val="-102"/>
          <w:sz w:val="28"/>
          <w:szCs w:val="28"/>
        </w:rPr>
        <w:t> </w:t>
      </w:r>
      <w:r>
        <w:rPr>
          <w:rFonts w:ascii="黑体" w:hAnsi="黑体" w:cs="黑体" w:eastAsia="黑体" w:hint="default"/>
          <w:b/>
          <w:bCs/>
          <w:sz w:val="28"/>
          <w:szCs w:val="28"/>
        </w:rPr>
        <w:t>正</w:t>
      </w:r>
      <w:r>
        <w:rPr>
          <w:rFonts w:ascii="黑体" w:hAnsi="黑体" w:cs="黑体" w:eastAsia="黑体" w:hint="default"/>
          <w:b/>
          <w:bCs/>
          <w:spacing w:val="-102"/>
          <w:sz w:val="28"/>
          <w:szCs w:val="28"/>
        </w:rPr>
        <w:t> </w:t>
      </w:r>
      <w:r>
        <w:rPr>
          <w:rFonts w:ascii="黑体" w:hAnsi="黑体" w:cs="黑体" w:eastAsia="黑体" w:hint="default"/>
          <w:b/>
          <w:bCs/>
          <w:sz w:val="28"/>
          <w:szCs w:val="28"/>
        </w:rPr>
        <w:t>文</w:t>
      </w:r>
      <w:r>
        <w:rPr>
          <w:rFonts w:ascii="黑体" w:hAnsi="黑体" w:cs="黑体" w:eastAsia="黑体" w:hint="default"/>
          <w:sz w:val="28"/>
          <w:szCs w:val="28"/>
        </w:rPr>
      </w:r>
    </w:p>
    <w:p>
      <w:pPr>
        <w:spacing w:line="240" w:lineRule="auto" w:before="3"/>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headerReference w:type="default" r:id="rId27"/>
          <w:pgSz w:w="11910" w:h="16840"/>
          <w:pgMar w:header="1192" w:footer="1012" w:top="1380" w:bottom="1200" w:left="1020" w:right="1020"/>
        </w:sectPr>
      </w:pPr>
    </w:p>
    <w:p>
      <w:pPr>
        <w:spacing w:line="240" w:lineRule="auto" w:before="5"/>
        <w:rPr>
          <w:rFonts w:ascii="黑体" w:hAnsi="黑体" w:cs="黑体" w:eastAsia="黑体" w:hint="default"/>
          <w:b/>
          <w:bCs/>
          <w:sz w:val="31"/>
          <w:szCs w:val="31"/>
        </w:rPr>
      </w:pPr>
    </w:p>
    <w:p>
      <w:pPr>
        <w:pStyle w:val="Heading4"/>
        <w:spacing w:line="240" w:lineRule="auto" w:before="0"/>
        <w:ind w:left="112" w:right="-5"/>
        <w:jc w:val="left"/>
        <w:rPr>
          <w:b w:val="0"/>
          <w:bCs w:val="0"/>
        </w:rPr>
      </w:pPr>
      <w:r>
        <w:rPr>
          <w:spacing w:val="-1"/>
        </w:rPr>
        <w:t>浙江万马股份有限公司全体股东：</w:t>
      </w:r>
      <w:r>
        <w:rPr>
          <w:b w:val="0"/>
          <w:bCs w:val="0"/>
          <w:spacing w:val="-1"/>
        </w:rPr>
      </w:r>
    </w:p>
    <w:p>
      <w:pPr>
        <w:spacing w:before="76"/>
        <w:ind w:left="112" w:right="0" w:firstLine="0"/>
        <w:jc w:val="left"/>
        <w:rPr>
          <w:rFonts w:ascii="Times New Roman" w:hAnsi="Times New Roman" w:cs="Times New Roman" w:eastAsia="Times New Roman" w:hint="default"/>
          <w:sz w:val="18"/>
          <w:szCs w:val="18"/>
        </w:rPr>
      </w:pPr>
      <w:r>
        <w:rPr/>
        <w:br w:type="column"/>
      </w:r>
      <w:r>
        <w:rPr>
          <w:rFonts w:ascii="Times New Roman"/>
          <w:b/>
          <w:sz w:val="18"/>
        </w:rPr>
        <w:t>XYZH/2016SHA10110</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440" w:bottom="280" w:left="1020" w:right="1020"/>
          <w:cols w:num="2" w:equalWidth="0">
            <w:col w:w="3425" w:space="4478"/>
            <w:col w:w="1967"/>
          </w:cols>
        </w:sectPr>
      </w:pPr>
    </w:p>
    <w:p>
      <w:pPr>
        <w:spacing w:line="240" w:lineRule="auto" w:before="0"/>
        <w:rPr>
          <w:rFonts w:ascii="Times New Roman" w:hAnsi="Times New Roman" w:cs="Times New Roman" w:eastAsia="Times New Roman" w:hint="default"/>
          <w:b/>
          <w:bCs/>
          <w:sz w:val="20"/>
          <w:szCs w:val="20"/>
        </w:rPr>
      </w:pPr>
      <w:r>
        <w:rPr/>
        <w:pict>
          <v:shape style="position:absolute;margin-left:56.759998pt;margin-top:42.600025pt;width:117pt;height:25.32pt;mso-position-horizontal-relative:page;mso-position-vertical-relative:page;z-index:1240" type="#_x0000_t75" stroked="false">
            <v:imagedata r:id="rId28" o:title=""/>
          </v:shape>
        </w:pict>
      </w:r>
    </w:p>
    <w:p>
      <w:pPr>
        <w:pStyle w:val="BodyText"/>
        <w:spacing w:line="300" w:lineRule="auto" w:before="154"/>
        <w:ind w:right="112" w:firstLine="441"/>
        <w:jc w:val="both"/>
      </w:pPr>
      <w:r>
        <w:rPr/>
        <w:t>我们审计了后附的浙江万马股份有限公司（以下简称万马股份公司）财务报表，包括</w:t>
      </w:r>
      <w:r>
        <w:rPr>
          <w:spacing w:val="-64"/>
        </w:rPr>
        <w:t> </w:t>
      </w:r>
      <w:r>
        <w:rPr/>
        <w:t>2015</w:t>
      </w:r>
      <w:r>
        <w:rPr>
          <w:spacing w:val="-62"/>
        </w:rPr>
        <w:t> </w:t>
      </w:r>
      <w:r>
        <w:rPr/>
        <w:t>年</w:t>
      </w:r>
      <w:r>
        <w:rPr>
          <w:spacing w:val="-64"/>
        </w:rPr>
        <w:t> </w:t>
      </w:r>
      <w:r>
        <w:rPr/>
        <w:t>12</w:t>
      </w:r>
      <w:r>
        <w:rPr>
          <w:w w:val="100"/>
        </w:rPr>
        <w:t> </w:t>
      </w:r>
      <w:r>
        <w:rPr/>
        <w:t>月</w:t>
      </w:r>
      <w:r>
        <w:rPr>
          <w:spacing w:val="-60"/>
        </w:rPr>
        <w:t> </w:t>
      </w:r>
      <w:r>
        <w:rPr/>
        <w:t>31</w:t>
      </w:r>
      <w:r>
        <w:rPr>
          <w:spacing w:val="-60"/>
        </w:rPr>
        <w:t> </w:t>
      </w:r>
      <w:r>
        <w:rPr/>
        <w:t>日的合并及母公司资产负债表，2015</w:t>
      </w:r>
      <w:r>
        <w:rPr>
          <w:spacing w:val="-62"/>
        </w:rPr>
        <w:t> </w:t>
      </w:r>
      <w:r>
        <w:rPr/>
        <w:t>年度的合并及母公司利润表、合并及母公司现金流量表、</w:t>
      </w:r>
      <w:r>
        <w:rPr>
          <w:w w:val="100"/>
        </w:rPr>
        <w:t> </w:t>
      </w:r>
      <w:r>
        <w:rPr/>
        <w:t>合并及母公司所有者权益变动表以及财务报表附注。</w:t>
      </w:r>
    </w:p>
    <w:p>
      <w:pPr>
        <w:spacing w:line="672" w:lineRule="exact" w:before="48"/>
        <w:ind w:left="554" w:right="0" w:hanging="111"/>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100"/>
          <w:sz w:val="22"/>
          <w:szCs w:val="22"/>
        </w:rPr>
        <w:t> </w:t>
      </w:r>
      <w:r>
        <w:rPr>
          <w:rFonts w:ascii="宋体" w:hAnsi="宋体" w:cs="宋体" w:eastAsia="宋体" w:hint="default"/>
          <w:spacing w:val="-2"/>
          <w:sz w:val="22"/>
          <w:szCs w:val="22"/>
        </w:rPr>
        <w:t>编制和公允列报财务报表是万马股份公司管理层的责任，这种责任包括：（1）按照企业会计准</w:t>
      </w:r>
    </w:p>
    <w:p>
      <w:pPr>
        <w:pStyle w:val="BodyText"/>
        <w:spacing w:line="257" w:lineRule="exact" w:before="0"/>
        <w:ind w:right="0"/>
        <w:jc w:val="left"/>
      </w:pPr>
      <w:r>
        <w:rPr/>
        <w:t>则的规定编制财务报表，并使其实现公允反映；（2）设计、执行和维护必要的内部控制，以使财务</w:t>
      </w:r>
    </w:p>
    <w:p>
      <w:pPr>
        <w:pStyle w:val="BodyText"/>
        <w:spacing w:line="240" w:lineRule="auto" w:before="72"/>
        <w:ind w:right="0"/>
        <w:jc w:val="left"/>
      </w:pPr>
      <w:r>
        <w:rPr/>
        <w:t>报表不存在由于舞弊或错误导致的重大错报。</w:t>
      </w:r>
    </w:p>
    <w:p>
      <w:pPr>
        <w:spacing w:line="240" w:lineRule="auto" w:before="12"/>
        <w:rPr>
          <w:rFonts w:ascii="宋体" w:hAnsi="宋体" w:cs="宋体" w:eastAsia="宋体" w:hint="default"/>
          <w:sz w:val="26"/>
          <w:szCs w:val="26"/>
        </w:rPr>
      </w:pPr>
    </w:p>
    <w:p>
      <w:pPr>
        <w:spacing w:line="670" w:lineRule="atLeast" w:before="0"/>
        <w:ind w:left="554" w:right="0" w:hanging="111"/>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w w:val="100"/>
          <w:sz w:val="22"/>
          <w:szCs w:val="22"/>
        </w:rPr>
        <w:t> </w:t>
      </w:r>
      <w:r>
        <w:rPr>
          <w:rFonts w:ascii="宋体" w:hAnsi="宋体" w:cs="宋体" w:eastAsia="宋体" w:hint="default"/>
          <w:spacing w:val="-3"/>
          <w:sz w:val="22"/>
          <w:szCs w:val="22"/>
        </w:rPr>
        <w:t>我们的责任是在执行审计工作的基础上对财务报表发表审计意见。我们按照中国注册会计师审计</w:t>
      </w:r>
    </w:p>
    <w:p>
      <w:pPr>
        <w:pStyle w:val="BodyText"/>
        <w:spacing w:line="300" w:lineRule="auto" w:before="72"/>
        <w:ind w:right="0"/>
        <w:jc w:val="left"/>
      </w:pPr>
      <w:r>
        <w:rPr>
          <w:spacing w:val="-3"/>
        </w:rPr>
        <w:t>准则的规定执行了审计工作。中国注册会计师审计准则要求我们遵守职业道德守则，计划和执行审计</w:t>
      </w:r>
      <w:r>
        <w:rPr>
          <w:spacing w:val="-45"/>
        </w:rPr>
        <w:t> </w:t>
      </w:r>
      <w:r>
        <w:rPr>
          <w:spacing w:val="-45"/>
        </w:rPr>
      </w:r>
      <w:r>
        <w:rPr/>
        <w:t>工作以对财务报表是否不存在重大错报获取合理保证。</w:t>
      </w:r>
    </w:p>
    <w:p>
      <w:pPr>
        <w:spacing w:line="240" w:lineRule="auto" w:before="2"/>
        <w:rPr>
          <w:rFonts w:ascii="宋体" w:hAnsi="宋体" w:cs="宋体" w:eastAsia="宋体" w:hint="default"/>
          <w:sz w:val="25"/>
          <w:szCs w:val="25"/>
        </w:rPr>
      </w:pPr>
    </w:p>
    <w:p>
      <w:pPr>
        <w:pStyle w:val="BodyText"/>
        <w:spacing w:line="300" w:lineRule="auto" w:before="0"/>
        <w:ind w:right="110" w:firstLine="441"/>
        <w:jc w:val="both"/>
      </w:pPr>
      <w:r>
        <w:rPr>
          <w:spacing w:val="-3"/>
        </w:rPr>
        <w:t>审计工作涉及实施审计程序，以获取有关财务报表金额和披露的审计证据。选择的审计程序取决</w:t>
      </w:r>
      <w:r>
        <w:rPr>
          <w:w w:val="100"/>
        </w:rPr>
        <w:t> </w:t>
      </w:r>
      <w:r>
        <w:rPr>
          <w:spacing w:val="-3"/>
        </w:rPr>
        <w:t>于注册会计师的判断，包括对由于舞弊或错误导致的财务报表重大错报风险的评估。在进行风险评估</w:t>
      </w:r>
      <w:r>
        <w:rPr>
          <w:spacing w:val="-45"/>
        </w:rPr>
        <w:t> </w:t>
      </w:r>
      <w:r>
        <w:rPr>
          <w:spacing w:val="-45"/>
        </w:rPr>
      </w:r>
      <w:r>
        <w:rPr>
          <w:spacing w:val="-3"/>
        </w:rPr>
        <w:t>时，注册会计师考虑与财务报表编制和公允列报相关的内部控制，以设计恰当的审计程序，但目的并</w:t>
      </w:r>
      <w:r>
        <w:rPr>
          <w:spacing w:val="-45"/>
        </w:rPr>
        <w:t> </w:t>
      </w:r>
      <w:r>
        <w:rPr>
          <w:spacing w:val="-45"/>
        </w:rPr>
      </w:r>
      <w:r>
        <w:rPr>
          <w:spacing w:val="-3"/>
        </w:rPr>
        <w:t>非对内部控制的有效性发表意见。审计工作还包括评价管理层选用会计政策的恰当性和作出会计估计</w:t>
      </w:r>
    </w:p>
    <w:p>
      <w:pPr>
        <w:spacing w:after="0" w:line="300" w:lineRule="auto"/>
        <w:jc w:val="both"/>
        <w:sectPr>
          <w:type w:val="continuous"/>
          <w:pgSz w:w="11910" w:h="16840"/>
          <w:pgMar w:top="1440" w:bottom="280" w:left="1020" w:right="1020"/>
        </w:sectPr>
      </w:pPr>
    </w:p>
    <w:p>
      <w:pPr>
        <w:spacing w:line="240" w:lineRule="auto" w:before="1"/>
        <w:rPr>
          <w:rFonts w:ascii="宋体" w:hAnsi="宋体" w:cs="宋体" w:eastAsia="宋体" w:hint="default"/>
          <w:sz w:val="18"/>
          <w:szCs w:val="18"/>
        </w:rPr>
      </w:pPr>
    </w:p>
    <w:p>
      <w:pPr>
        <w:pStyle w:val="BodyText"/>
        <w:spacing w:line="559" w:lineRule="auto"/>
        <w:ind w:left="444" w:right="0" w:hanging="332"/>
        <w:jc w:val="left"/>
      </w:pPr>
      <w:r>
        <w:rPr/>
        <w:t>的合理性，以及评价财务报表的总体列报。</w:t>
      </w:r>
      <w:r>
        <w:rPr>
          <w:w w:val="100"/>
        </w:rPr>
        <w:t> </w:t>
      </w:r>
      <w:r>
        <w:rPr/>
        <w:t>我们相信，我们获取的审计证据是充分、适当的，为发表审计意见提供了基础。</w:t>
      </w:r>
    </w:p>
    <w:p>
      <w:pPr>
        <w:pStyle w:val="BodyText"/>
        <w:spacing w:line="670" w:lineRule="atLeast" w:before="62"/>
        <w:ind w:left="554" w:right="0" w:hanging="111"/>
        <w:jc w:val="left"/>
      </w:pPr>
      <w:r>
        <w:rPr>
          <w:rFonts w:ascii="宋体" w:hAnsi="宋体" w:cs="宋体" w:eastAsia="宋体" w:hint="default"/>
          <w:b/>
          <w:bCs/>
        </w:rPr>
        <w:t>三、审计意见</w:t>
      </w:r>
      <w:r>
        <w:rPr>
          <w:rFonts w:ascii="宋体" w:hAnsi="宋体" w:cs="宋体" w:eastAsia="宋体" w:hint="default"/>
          <w:b/>
          <w:bCs/>
          <w:w w:val="100"/>
        </w:rPr>
        <w:t> </w:t>
      </w:r>
      <w:r>
        <w:rPr>
          <w:spacing w:val="-3"/>
        </w:rPr>
        <w:t>我们认为，万马股份公司财务报表在所有重大方面按照企业会计准则的规定编制，公允反映了万</w:t>
      </w:r>
    </w:p>
    <w:p>
      <w:pPr>
        <w:pStyle w:val="BodyText"/>
        <w:spacing w:line="300" w:lineRule="auto" w:before="72"/>
        <w:ind w:right="0"/>
        <w:jc w:val="left"/>
      </w:pPr>
      <w:r>
        <w:rPr/>
        <w:t>马股份公司</w:t>
      </w:r>
      <w:r>
        <w:rPr>
          <w:spacing w:val="-62"/>
        </w:rPr>
        <w:t> </w:t>
      </w:r>
      <w:r>
        <w:rPr/>
        <w:t>2015</w:t>
      </w:r>
      <w:r>
        <w:rPr>
          <w:spacing w:val="-62"/>
        </w:rPr>
        <w:t> </w:t>
      </w:r>
      <w:r>
        <w:rPr/>
        <w:t>年</w:t>
      </w:r>
      <w:r>
        <w:rPr>
          <w:spacing w:val="-65"/>
        </w:rPr>
        <w:t> </w:t>
      </w:r>
      <w:r>
        <w:rPr/>
        <w:t>12</w:t>
      </w:r>
      <w:r>
        <w:rPr>
          <w:spacing w:val="-62"/>
        </w:rPr>
        <w:t> </w:t>
      </w:r>
      <w:r>
        <w:rPr/>
        <w:t>月</w:t>
      </w:r>
      <w:r>
        <w:rPr>
          <w:spacing w:val="-65"/>
        </w:rPr>
        <w:t> </w:t>
      </w:r>
      <w:r>
        <w:rPr/>
        <w:t>31</w:t>
      </w:r>
      <w:r>
        <w:rPr>
          <w:spacing w:val="-62"/>
        </w:rPr>
        <w:t> </w:t>
      </w:r>
      <w:r>
        <w:rPr/>
        <w:t>日的合并及母公司财务状况以及</w:t>
      </w:r>
      <w:r>
        <w:rPr>
          <w:spacing w:val="-65"/>
        </w:rPr>
        <w:t> </w:t>
      </w:r>
      <w:r>
        <w:rPr/>
        <w:t>2015</w:t>
      </w:r>
      <w:r>
        <w:rPr>
          <w:spacing w:val="-62"/>
        </w:rPr>
        <w:t> </w:t>
      </w:r>
      <w:r>
        <w:rPr/>
        <w:t>年度的合并及母公司经营成果和现</w:t>
      </w:r>
      <w:r>
        <w:rPr>
          <w:w w:val="100"/>
        </w:rPr>
        <w:t> </w:t>
      </w:r>
      <w:r>
        <w:rPr/>
        <w:t>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2"/>
          <w:szCs w:val="22"/>
        </w:rPr>
      </w:pPr>
    </w:p>
    <w:p>
      <w:pPr>
        <w:pStyle w:val="BodyText"/>
        <w:tabs>
          <w:tab w:pos="5483" w:val="left" w:leader="none"/>
        </w:tabs>
        <w:spacing w:line="240" w:lineRule="auto" w:before="0"/>
        <w:ind w:left="672" w:right="0"/>
        <w:jc w:val="left"/>
      </w:pPr>
      <w:r>
        <w:rPr>
          <w:spacing w:val="-2"/>
        </w:rPr>
        <w:t>信永中和会计师事务所(特殊普通合伙)</w:t>
        <w:tab/>
        <w:t>中国注册会计师：叶胜平</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pStyle w:val="BodyText"/>
        <w:spacing w:line="240" w:lineRule="auto" w:before="0"/>
        <w:ind w:left="5484" w:right="0"/>
        <w:jc w:val="left"/>
      </w:pPr>
      <w:r>
        <w:rPr/>
        <w:t>中国注册会计师：刘向荣</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740" w:val="left" w:leader="none"/>
          <w:tab w:pos="5483" w:val="left" w:leader="none"/>
        </w:tabs>
        <w:spacing w:line="240" w:lineRule="auto" w:before="190"/>
        <w:ind w:left="1900" w:right="0"/>
        <w:jc w:val="left"/>
      </w:pPr>
      <w:r>
        <w:rPr>
          <w:spacing w:val="-1"/>
        </w:rPr>
        <w:t>中国</w:t>
        <w:tab/>
        <w:t>北京</w:t>
        <w:tab/>
      </w:r>
      <w:r>
        <w:rPr>
          <w:spacing w:val="-2"/>
        </w:rPr>
        <w:t>二○一六年四月二十一日</w:t>
      </w:r>
    </w:p>
    <w:p>
      <w:pPr>
        <w:spacing w:after="0" w:line="240" w:lineRule="auto"/>
        <w:jc w:val="left"/>
        <w:sectPr>
          <w:headerReference w:type="default" r:id="rId29"/>
          <w:pgSz w:w="11910" w:h="16840"/>
          <w:pgMar w:header="852" w:footer="1012" w:top="1440" w:bottom="1200" w:left="102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26"/>
        <w:ind w:right="7083"/>
        <w:jc w:val="left"/>
        <w:rPr>
          <w:b w:val="0"/>
          <w:bCs w:val="0"/>
        </w:rPr>
      </w:pPr>
      <w:r>
        <w:rPr/>
        <w:t>二、财务报表</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22" w:right="0"/>
        <w:jc w:val="center"/>
        <w:rPr>
          <w:b w:val="0"/>
          <w:bCs w:val="0"/>
        </w:rPr>
      </w:pPr>
      <w:r>
        <w:rPr/>
        <w:t>合并资产负债表</w:t>
      </w:r>
      <w:r>
        <w:rPr>
          <w:b w:val="0"/>
          <w:bCs w:val="0"/>
        </w:rPr>
      </w:r>
    </w:p>
    <w:p>
      <w:pPr>
        <w:spacing w:before="44"/>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8819" w:val="left" w:leader="none"/>
        </w:tabs>
        <w:spacing w:before="103"/>
        <w:ind w:left="0" w:right="78"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80"/>
        <w:gridCol w:w="1580"/>
        <w:gridCol w:w="1580"/>
        <w:gridCol w:w="1580"/>
        <w:gridCol w:w="1580"/>
        <w:gridCol w:w="1580"/>
      </w:tblGrid>
      <w:tr>
        <w:trPr>
          <w:trHeight w:val="338" w:hRule="exact"/>
        </w:trPr>
        <w:tc>
          <w:tcPr>
            <w:tcW w:w="158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5"/>
                <w:szCs w:val="15"/>
              </w:rPr>
            </w:pPr>
            <w:r>
              <w:rPr>
                <w:rFonts w:ascii="宋体" w:hAnsi="宋体" w:cs="宋体" w:eastAsia="宋体" w:hint="default"/>
                <w:sz w:val="15"/>
                <w:szCs w:val="15"/>
              </w:rPr>
              <w:t>科目</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8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8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科目</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8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8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6"/>
              <w:ind w:left="484" w:right="0"/>
              <w:jc w:val="left"/>
              <w:rPr>
                <w:rFonts w:ascii="宋体" w:hAnsi="宋体" w:cs="宋体" w:eastAsia="宋体" w:hint="default"/>
                <w:sz w:val="15"/>
                <w:szCs w:val="15"/>
              </w:rPr>
            </w:pPr>
            <w:r>
              <w:rPr>
                <w:rFonts w:ascii="宋体" w:hAnsi="宋体" w:cs="宋体" w:eastAsia="宋体" w:hint="default"/>
                <w:sz w:val="15"/>
                <w:szCs w:val="15"/>
              </w:rPr>
              <w:t>期初余额</w:t>
            </w:r>
          </w:p>
        </w:tc>
      </w:tr>
      <w:tr>
        <w:trPr>
          <w:trHeight w:val="328"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6"/>
              <w:ind w:left="243"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15"/>
                <w:szCs w:val="15"/>
              </w:rPr>
            </w:pPr>
            <w:r>
              <w:rPr>
                <w:rFonts w:ascii="宋体"/>
                <w:spacing w:val="-1"/>
                <w:sz w:val="15"/>
              </w:rPr>
              <w:t>737,780,460.96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5"/>
                <w:szCs w:val="15"/>
              </w:rPr>
            </w:pPr>
            <w:r>
              <w:rPr>
                <w:rFonts w:ascii="宋体"/>
                <w:spacing w:val="-1"/>
                <w:sz w:val="15"/>
              </w:rPr>
              <w:t>790,435,306.28</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53"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15"/>
                <w:szCs w:val="15"/>
              </w:rPr>
            </w:pPr>
            <w:r>
              <w:rPr>
                <w:rFonts w:ascii="宋体"/>
                <w:spacing w:val="-1"/>
                <w:sz w:val="15"/>
              </w:rPr>
              <w:t>219,000,000.00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2"/>
              <w:jc w:val="right"/>
              <w:rPr>
                <w:rFonts w:ascii="宋体" w:hAnsi="宋体" w:cs="宋体" w:eastAsia="宋体" w:hint="default"/>
                <w:sz w:val="15"/>
                <w:szCs w:val="15"/>
              </w:rPr>
            </w:pPr>
            <w:r>
              <w:rPr>
                <w:rFonts w:ascii="宋体"/>
                <w:spacing w:val="-1"/>
                <w:sz w:val="15"/>
              </w:rPr>
              <w:t>640,944,731.84</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229,849,727.98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spacing w:val="-1"/>
                <w:sz w:val="15"/>
              </w:rPr>
              <w:t>240,361,944.05</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269,698,166.74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516,097,863.34</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2,037,692,824.26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宋体" w:hAnsi="宋体" w:cs="宋体" w:eastAsia="宋体" w:hint="default"/>
                <w:sz w:val="15"/>
                <w:szCs w:val="15"/>
              </w:rPr>
            </w:pPr>
            <w:r>
              <w:rPr>
                <w:rFonts w:ascii="宋体"/>
                <w:spacing w:val="-1"/>
                <w:sz w:val="15"/>
              </w:rPr>
              <w:t>1,958,448,310.47</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384,782,963.91</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2"/>
              <w:jc w:val="right"/>
              <w:rPr>
                <w:rFonts w:ascii="宋体" w:hAnsi="宋体" w:cs="宋体" w:eastAsia="宋体" w:hint="default"/>
                <w:sz w:val="15"/>
                <w:szCs w:val="15"/>
              </w:rPr>
            </w:pPr>
            <w:r>
              <w:rPr>
                <w:rFonts w:ascii="宋体"/>
                <w:spacing w:val="-1"/>
                <w:sz w:val="15"/>
              </w:rPr>
              <w:t>266,120,463.76</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63,505,932.18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77,619,243.55</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152,649,983.13</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宋体" w:hAnsi="宋体" w:cs="宋体" w:eastAsia="宋体" w:hint="default"/>
                <w:sz w:val="15"/>
                <w:szCs w:val="15"/>
              </w:rPr>
            </w:pPr>
            <w:r>
              <w:rPr>
                <w:rFonts w:ascii="宋体"/>
                <w:spacing w:val="-1"/>
                <w:sz w:val="15"/>
              </w:rPr>
              <w:t>47,972,426.27</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50,919,908.86</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宋体" w:hAnsi="宋体" w:cs="宋体" w:eastAsia="宋体" w:hint="default"/>
                <w:sz w:val="15"/>
                <w:szCs w:val="15"/>
              </w:rPr>
            </w:pPr>
            <w:r>
              <w:rPr>
                <w:rFonts w:ascii="宋体"/>
                <w:spacing w:val="-1"/>
                <w:sz w:val="15"/>
              </w:rPr>
              <w:t>34,174,171.88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52,510,678.96</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5"/>
              <w:jc w:val="right"/>
              <w:rPr>
                <w:rFonts w:ascii="宋体" w:hAnsi="宋体" w:cs="宋体" w:eastAsia="宋体" w:hint="default"/>
                <w:sz w:val="15"/>
                <w:szCs w:val="15"/>
              </w:rPr>
            </w:pPr>
            <w:r>
              <w:rPr>
                <w:rFonts w:ascii="宋体"/>
                <w:spacing w:val="-1"/>
                <w:sz w:val="15"/>
              </w:rPr>
              <w:t>43,850,405.38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94,089,755.98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宋体" w:hAnsi="宋体" w:cs="宋体" w:eastAsia="宋体" w:hint="default"/>
                <w:sz w:val="15"/>
                <w:szCs w:val="15"/>
              </w:rPr>
            </w:pPr>
            <w:r>
              <w:rPr>
                <w:rFonts w:ascii="宋体"/>
                <w:spacing w:val="-1"/>
                <w:sz w:val="15"/>
              </w:rPr>
              <w:t>84,644,561.85</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9,727,893.46</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6"/>
              <w:jc w:val="right"/>
              <w:rPr>
                <w:rFonts w:ascii="宋体" w:hAnsi="宋体" w:cs="宋体" w:eastAsia="宋体" w:hint="default"/>
                <w:sz w:val="15"/>
                <w:szCs w:val="15"/>
              </w:rPr>
            </w:pPr>
            <w:r>
              <w:rPr>
                <w:rFonts w:ascii="宋体"/>
                <w:spacing w:val="-1"/>
                <w:sz w:val="15"/>
              </w:rPr>
              <w:t>9,720,000.00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491,047,745.53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5"/>
                <w:szCs w:val="15"/>
              </w:rPr>
            </w:pPr>
            <w:r>
              <w:rPr>
                <w:rFonts w:ascii="宋体"/>
                <w:spacing w:val="-1"/>
                <w:sz w:val="15"/>
              </w:rPr>
              <w:t>404,599,612.05</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w w:val="95"/>
                <w:sz w:val="15"/>
              </w:rPr>
              <w:t>413,642.00</w:t>
            </w:r>
            <w:r>
              <w:rPr>
                <w:rFonts w:ascii="宋体"/>
                <w:spacing w:val="-1"/>
                <w:sz w:val="15"/>
              </w:rPr>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2"/>
              <w:jc w:val="right"/>
              <w:rPr>
                <w:rFonts w:ascii="宋体" w:hAnsi="宋体" w:cs="宋体" w:eastAsia="宋体" w:hint="default"/>
                <w:sz w:val="15"/>
                <w:szCs w:val="15"/>
              </w:rPr>
            </w:pPr>
            <w:r>
              <w:rPr>
                <w:rFonts w:ascii="宋体"/>
                <w:spacing w:val="-1"/>
                <w:sz w:val="15"/>
              </w:rPr>
              <w:t>344,560.00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263,845,443.60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1,398,981.72</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93,264,872.75</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5"/>
              <w:jc w:val="right"/>
              <w:rPr>
                <w:rFonts w:ascii="宋体" w:hAnsi="宋体" w:cs="宋体" w:eastAsia="宋体" w:hint="default"/>
                <w:sz w:val="15"/>
                <w:szCs w:val="15"/>
              </w:rPr>
            </w:pPr>
            <w:r>
              <w:rPr>
                <w:rFonts w:ascii="宋体"/>
                <w:spacing w:val="-1"/>
                <w:sz w:val="15"/>
              </w:rPr>
              <w:t>62,757,624.14</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3,917,811,890.49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3,557,507,959.97</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273,838,109.13</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5"/>
              <w:jc w:val="right"/>
              <w:rPr>
                <w:rFonts w:ascii="宋体" w:hAnsi="宋体" w:cs="宋体" w:eastAsia="宋体" w:hint="default"/>
                <w:sz w:val="15"/>
                <w:szCs w:val="15"/>
              </w:rPr>
            </w:pPr>
            <w:r>
              <w:rPr>
                <w:rFonts w:ascii="宋体"/>
                <w:spacing w:val="-1"/>
                <w:sz w:val="15"/>
              </w:rPr>
              <w:t>16,008,748.61</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7,000,000.00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宋体" w:hAnsi="宋体" w:cs="宋体" w:eastAsia="宋体" w:hint="default"/>
                <w:sz w:val="15"/>
                <w:szCs w:val="15"/>
              </w:rPr>
            </w:pPr>
            <w:r>
              <w:rPr>
                <w:rFonts w:ascii="宋体"/>
                <w:spacing w:val="-1"/>
                <w:sz w:val="15"/>
              </w:rPr>
              <w:t>7,000,000.00</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102"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1,506,806,218.94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1,637,990,995.22</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160,000,000.00</w:t>
            </w: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298,909,148.24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298,622,485.80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10,841,705.72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3,407,096.61</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9,061,500.00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5"/>
              <w:jc w:val="right"/>
              <w:rPr>
                <w:rFonts w:ascii="宋体" w:hAnsi="宋体" w:cs="宋体" w:eastAsia="宋体" w:hint="default"/>
                <w:sz w:val="15"/>
                <w:szCs w:val="15"/>
              </w:rPr>
            </w:pPr>
            <w:r>
              <w:rPr>
                <w:rFonts w:ascii="宋体"/>
                <w:spacing w:val="-1"/>
                <w:sz w:val="15"/>
              </w:rPr>
              <w:t>10,627,500.00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639,829,641.41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5"/>
                <w:szCs w:val="15"/>
              </w:rPr>
            </w:pPr>
            <w:r>
              <w:rPr>
                <w:rFonts w:ascii="宋体"/>
                <w:spacing w:val="-1"/>
                <w:sz w:val="15"/>
              </w:rPr>
              <w:t>665,697,823.39</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2,040,338.47</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2,463,451.08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18,068,272.50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1,725,746.51</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102"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470,010,986.71</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311,713,436.88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10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1,976,817,205.65</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1,949,704,432.10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580" w:type="dxa"/>
            <w:tcBorders>
              <w:top w:val="single" w:sz="4" w:space="0" w:color="000000"/>
              <w:left w:val="single" w:sz="4" w:space="0" w:color="000000"/>
              <w:bottom w:val="single" w:sz="4" w:space="0" w:color="000000"/>
              <w:right w:val="single" w:sz="4" w:space="0" w:color="000000"/>
            </w:tcBorders>
            <w:shd w:val="clear" w:color="auto" w:fill="D8D8D8"/>
          </w:tcPr>
          <w:p>
            <w:pPr/>
          </w:p>
        </w:tc>
        <w:tc>
          <w:tcPr>
            <w:tcW w:w="1580" w:type="dxa"/>
            <w:tcBorders>
              <w:top w:val="single" w:sz="4" w:space="0" w:color="000000"/>
              <w:left w:val="single" w:sz="4" w:space="0" w:color="000000"/>
              <w:bottom w:val="single" w:sz="4" w:space="0" w:color="000000"/>
              <w:right w:val="single" w:sz="12" w:space="0" w:color="000000"/>
            </w:tcBorders>
            <w:shd w:val="clear" w:color="auto" w:fill="D8D8D8"/>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125,868,836.16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spacing w:val="-1"/>
                <w:sz w:val="15"/>
              </w:rPr>
              <w:t>124,056,103.81</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pacing w:val="-1"/>
                <w:w w:val="99"/>
                <w:sz w:val="15"/>
                <w:szCs w:val="15"/>
              </w:rPr>
              <w:t>实</w:t>
            </w:r>
            <w:r>
              <w:rPr>
                <w:rFonts w:ascii="宋体" w:hAnsi="宋体" w:cs="宋体" w:eastAsia="宋体" w:hint="default"/>
                <w:spacing w:val="2"/>
                <w:w w:val="99"/>
                <w:sz w:val="15"/>
                <w:szCs w:val="15"/>
              </w:rPr>
              <w:t>收</w:t>
            </w:r>
            <w:r>
              <w:rPr>
                <w:rFonts w:ascii="宋体" w:hAnsi="宋体" w:cs="宋体" w:eastAsia="宋体" w:hint="default"/>
                <w:spacing w:val="-1"/>
                <w:w w:val="99"/>
                <w:sz w:val="15"/>
                <w:szCs w:val="15"/>
              </w:rPr>
              <w:t>资</w:t>
            </w:r>
            <w:r>
              <w:rPr>
                <w:rFonts w:ascii="宋体" w:hAnsi="宋体" w:cs="宋体" w:eastAsia="宋体" w:hint="default"/>
                <w:spacing w:val="-61"/>
                <w:w w:val="99"/>
                <w:sz w:val="15"/>
                <w:szCs w:val="15"/>
              </w:rPr>
              <w:t>本</w:t>
            </w:r>
            <w:r>
              <w:rPr>
                <w:rFonts w:ascii="宋体" w:hAnsi="宋体" w:cs="宋体" w:eastAsia="宋体" w:hint="default"/>
                <w:spacing w:val="2"/>
                <w:w w:val="99"/>
                <w:sz w:val="15"/>
                <w:szCs w:val="15"/>
              </w:rPr>
              <w:t>（</w:t>
            </w:r>
            <w:r>
              <w:rPr>
                <w:rFonts w:ascii="宋体" w:hAnsi="宋体" w:cs="宋体" w:eastAsia="宋体" w:hint="default"/>
                <w:spacing w:val="-1"/>
                <w:w w:val="99"/>
                <w:sz w:val="15"/>
                <w:szCs w:val="15"/>
              </w:rPr>
              <w:t>或</w:t>
            </w:r>
            <w:r>
              <w:rPr>
                <w:rFonts w:ascii="宋体" w:hAnsi="宋体" w:cs="宋体" w:eastAsia="宋体" w:hint="default"/>
                <w:spacing w:val="2"/>
                <w:w w:val="99"/>
                <w:sz w:val="15"/>
                <w:szCs w:val="15"/>
              </w:rPr>
              <w:t>股</w:t>
            </w:r>
            <w:r>
              <w:rPr>
                <w:rFonts w:ascii="宋体" w:hAnsi="宋体" w:cs="宋体" w:eastAsia="宋体" w:hint="default"/>
                <w:spacing w:val="-1"/>
                <w:w w:val="99"/>
                <w:sz w:val="15"/>
                <w:szCs w:val="15"/>
              </w:rPr>
              <w:t>本</w:t>
            </w:r>
            <w:r>
              <w:rPr>
                <w:rFonts w:ascii="宋体" w:hAnsi="宋体" w:cs="宋体" w:eastAsia="宋体" w:hint="default"/>
                <w:w w:val="99"/>
                <w:sz w:val="15"/>
                <w:szCs w:val="15"/>
              </w:rPr>
              <w:t>）</w:t>
            </w:r>
            <w:r>
              <w:rPr>
                <w:rFonts w:ascii="宋体" w:hAnsi="宋体" w:cs="宋体" w:eastAsia="宋体" w:hint="default"/>
                <w:sz w:val="15"/>
                <w:szCs w:val="15"/>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939,325,488.00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939,635,488.00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789,956,879.18</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786,790,058.18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295,460,125.84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5"/>
                <w:szCs w:val="15"/>
              </w:rPr>
            </w:pPr>
            <w:r>
              <w:rPr>
                <w:rFonts w:ascii="宋体"/>
                <w:spacing w:val="-1"/>
                <w:sz w:val="15"/>
              </w:rPr>
              <w:t>295,460,125.84</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158,068,366.76</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2"/>
              <w:jc w:val="right"/>
              <w:rPr>
                <w:rFonts w:ascii="宋体" w:hAnsi="宋体" w:cs="宋体" w:eastAsia="宋体" w:hint="default"/>
                <w:sz w:val="15"/>
                <w:szCs w:val="15"/>
              </w:rPr>
            </w:pPr>
            <w:r>
              <w:rPr>
                <w:rFonts w:ascii="宋体"/>
                <w:spacing w:val="-1"/>
                <w:sz w:val="15"/>
              </w:rPr>
              <w:t>133,228,009,23</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9,133,376.78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3,642,326.99</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1,057,971,793.17</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2"/>
              <w:jc w:val="right"/>
              <w:rPr>
                <w:rFonts w:ascii="宋体" w:hAnsi="宋体" w:cs="宋体" w:eastAsia="宋体" w:hint="default"/>
                <w:sz w:val="15"/>
                <w:szCs w:val="15"/>
              </w:rPr>
            </w:pPr>
            <w:r>
              <w:rPr>
                <w:rFonts w:ascii="宋体"/>
                <w:spacing w:val="-1"/>
                <w:sz w:val="15"/>
              </w:rPr>
              <w:t>857,886,642,34</w:t>
            </w:r>
          </w:p>
        </w:tc>
      </w:tr>
      <w:tr>
        <w:trPr>
          <w:trHeight w:val="553"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19,889,348.25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19,472,168.47</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2" w:lineRule="auto" w:before="47"/>
              <w:ind w:left="102" w:right="117"/>
              <w:jc w:val="left"/>
              <w:rPr>
                <w:rFonts w:ascii="宋体" w:hAnsi="宋体" w:cs="宋体" w:eastAsia="宋体" w:hint="default"/>
                <w:sz w:val="15"/>
                <w:szCs w:val="15"/>
              </w:rPr>
            </w:pPr>
            <w:r>
              <w:rPr>
                <w:rFonts w:ascii="宋体" w:hAnsi="宋体" w:cs="宋体" w:eastAsia="宋体" w:hint="default"/>
                <w:sz w:val="15"/>
                <w:szCs w:val="15"/>
              </w:rPr>
              <w:t>归属于母公司所有者</w:t>
            </w:r>
            <w:r>
              <w:rPr>
                <w:rFonts w:ascii="宋体" w:hAnsi="宋体" w:cs="宋体" w:eastAsia="宋体" w:hint="default"/>
                <w:w w:val="99"/>
                <w:sz w:val="15"/>
                <w:szCs w:val="15"/>
              </w:rPr>
              <w:t> </w:t>
            </w:r>
            <w:r>
              <w:rPr>
                <w:rFonts w:ascii="宋体" w:hAnsi="宋体" w:cs="宋体" w:eastAsia="宋体" w:hint="default"/>
                <w:sz w:val="15"/>
                <w:szCs w:val="15"/>
              </w:rPr>
              <w:t>权益合计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2,945,322,527.11</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2,717,540,197.75</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121,763,464.39</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10,724,721.74</w:t>
            </w:r>
          </w:p>
        </w:tc>
      </w:tr>
      <w:tr>
        <w:trPr>
          <w:trHeight w:val="553"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1,126,091,306.66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1,120,461,391.62</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2" w:lineRule="auto" w:before="48"/>
              <w:ind w:left="102" w:right="117"/>
              <w:jc w:val="left"/>
              <w:rPr>
                <w:rFonts w:ascii="宋体" w:hAnsi="宋体" w:cs="宋体" w:eastAsia="宋体" w:hint="default"/>
                <w:sz w:val="15"/>
                <w:szCs w:val="15"/>
              </w:rPr>
            </w:pPr>
            <w:r>
              <w:rPr>
                <w:rFonts w:ascii="宋体" w:hAnsi="宋体" w:cs="宋体" w:eastAsia="宋体" w:hint="default"/>
                <w:sz w:val="15"/>
                <w:szCs w:val="15"/>
              </w:rPr>
              <w:t>所有者权益（或股东</w:t>
            </w:r>
            <w:r>
              <w:rPr>
                <w:rFonts w:ascii="宋体" w:hAnsi="宋体" w:cs="宋体" w:eastAsia="宋体" w:hint="default"/>
                <w:w w:val="99"/>
                <w:sz w:val="15"/>
                <w:szCs w:val="15"/>
              </w:rPr>
              <w:t> </w:t>
            </w:r>
            <w:r>
              <w:rPr>
                <w:rFonts w:ascii="宋体" w:hAnsi="宋体" w:cs="宋体" w:eastAsia="宋体" w:hint="default"/>
                <w:sz w:val="15"/>
                <w:szCs w:val="15"/>
              </w:rPr>
              <w:t>权益）合计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3,067,085,991.50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2,728,264,919.49</w:t>
            </w:r>
          </w:p>
        </w:tc>
      </w:tr>
      <w:tr>
        <w:trPr>
          <w:trHeight w:val="585" w:hRule="exact"/>
        </w:trPr>
        <w:tc>
          <w:tcPr>
            <w:tcW w:w="158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资产总计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5,043,903,197.15</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4,677,969,351.59</w:t>
            </w:r>
          </w:p>
        </w:tc>
        <w:tc>
          <w:tcPr>
            <w:tcW w:w="158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9"/>
              <w:ind w:left="102" w:right="0"/>
              <w:jc w:val="left"/>
              <w:rPr>
                <w:rFonts w:ascii="宋体" w:hAnsi="宋体" w:cs="宋体" w:eastAsia="宋体" w:hint="default"/>
                <w:sz w:val="15"/>
                <w:szCs w:val="15"/>
              </w:rPr>
            </w:pPr>
            <w:r>
              <w:rPr>
                <w:rFonts w:ascii="宋体" w:hAnsi="宋体" w:cs="宋体" w:eastAsia="宋体" w:hint="default"/>
                <w:sz w:val="15"/>
                <w:szCs w:val="15"/>
              </w:rPr>
              <w:t>负债和所有者权益</w:t>
            </w:r>
          </w:p>
          <w:p>
            <w:pPr>
              <w:pStyle w:val="TableParagraph"/>
              <w:spacing w:line="240" w:lineRule="auto" w:before="43"/>
              <w:ind w:left="102" w:right="0"/>
              <w:jc w:val="left"/>
              <w:rPr>
                <w:rFonts w:ascii="宋体" w:hAnsi="宋体" w:cs="宋体" w:eastAsia="宋体" w:hint="default"/>
                <w:sz w:val="15"/>
                <w:szCs w:val="15"/>
              </w:rPr>
            </w:pPr>
            <w:r>
              <w:rPr>
                <w:rFonts w:ascii="宋体" w:hAnsi="宋体" w:cs="宋体" w:eastAsia="宋体" w:hint="default"/>
                <w:sz w:val="15"/>
                <w:szCs w:val="15"/>
              </w:rPr>
              <w:t>（或股东权益）总计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5,043,903,197.15</w:t>
            </w:r>
          </w:p>
        </w:tc>
        <w:tc>
          <w:tcPr>
            <w:tcW w:w="15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4,677,969,351.59</w:t>
            </w:r>
          </w:p>
        </w:tc>
      </w:tr>
    </w:tbl>
    <w:p>
      <w:pPr>
        <w:spacing w:line="240" w:lineRule="auto" w:before="5"/>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footerReference w:type="default" r:id="rId30"/>
          <w:pgSz w:w="11910" w:h="16840"/>
          <w:pgMar w:footer="1012" w:header="852" w:top="1440" w:bottom="1200" w:left="1000" w:right="1020"/>
          <w:pgNumType w:start="90"/>
        </w:sectPr>
      </w:pPr>
    </w:p>
    <w:p>
      <w:pPr>
        <w:spacing w:line="240" w:lineRule="auto" w:before="5"/>
        <w:rPr>
          <w:rFonts w:ascii="宋体" w:hAnsi="宋体" w:cs="宋体" w:eastAsia="宋体" w:hint="default"/>
          <w:sz w:val="19"/>
          <w:szCs w:val="19"/>
        </w:rPr>
      </w:pPr>
    </w:p>
    <w:p>
      <w:pPr>
        <w:pStyle w:val="Heading2"/>
        <w:spacing w:line="240" w:lineRule="auto" w:before="26"/>
        <w:ind w:left="25" w:right="0"/>
        <w:jc w:val="center"/>
        <w:rPr>
          <w:b w:val="0"/>
          <w:bCs w:val="0"/>
        </w:rPr>
      </w:pPr>
      <w:r>
        <w:rPr/>
        <w:t>母公司资产负债表</w:t>
      </w:r>
      <w:r>
        <w:rPr>
          <w:b w:val="0"/>
          <w:bCs w:val="0"/>
        </w:rPr>
      </w:r>
    </w:p>
    <w:p>
      <w:pPr>
        <w:spacing w:before="202"/>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10"/>
        <w:rPr>
          <w:rFonts w:ascii="宋体" w:hAnsi="宋体" w:cs="宋体" w:eastAsia="宋体" w:hint="default"/>
          <w:sz w:val="13"/>
          <w:szCs w:val="13"/>
        </w:rPr>
      </w:pPr>
    </w:p>
    <w:p>
      <w:pPr>
        <w:tabs>
          <w:tab w:pos="8412" w:val="left" w:leader="none"/>
        </w:tabs>
        <w:spacing w:before="0"/>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70"/>
        <w:gridCol w:w="1570"/>
        <w:gridCol w:w="1570"/>
        <w:gridCol w:w="1570"/>
        <w:gridCol w:w="1570"/>
        <w:gridCol w:w="1570"/>
      </w:tblGrid>
      <w:tr>
        <w:trPr>
          <w:trHeight w:val="346" w:hRule="exact"/>
        </w:trPr>
        <w:tc>
          <w:tcPr>
            <w:tcW w:w="157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6"/>
              <w:ind w:right="9"/>
              <w:jc w:val="center"/>
              <w:rPr>
                <w:rFonts w:ascii="宋体" w:hAnsi="宋体" w:cs="宋体" w:eastAsia="宋体" w:hint="default"/>
                <w:sz w:val="15"/>
                <w:szCs w:val="15"/>
              </w:rPr>
            </w:pPr>
            <w:r>
              <w:rPr>
                <w:rFonts w:ascii="宋体" w:hAnsi="宋体" w:cs="宋体" w:eastAsia="宋体" w:hint="default"/>
                <w:sz w:val="15"/>
                <w:szCs w:val="15"/>
              </w:rPr>
              <w:t>科目</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48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48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right="2"/>
              <w:jc w:val="center"/>
              <w:rPr>
                <w:rFonts w:ascii="宋体" w:hAnsi="宋体" w:cs="宋体" w:eastAsia="宋体" w:hint="default"/>
                <w:sz w:val="15"/>
                <w:szCs w:val="15"/>
              </w:rPr>
            </w:pPr>
            <w:r>
              <w:rPr>
                <w:rFonts w:ascii="宋体" w:hAnsi="宋体" w:cs="宋体" w:eastAsia="宋体" w:hint="default"/>
                <w:sz w:val="15"/>
                <w:szCs w:val="15"/>
              </w:rPr>
              <w:t>科目</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47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7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66"/>
              <w:ind w:left="479" w:right="0"/>
              <w:jc w:val="left"/>
              <w:rPr>
                <w:rFonts w:ascii="宋体" w:hAnsi="宋体" w:cs="宋体" w:eastAsia="宋体" w:hint="default"/>
                <w:sz w:val="15"/>
                <w:szCs w:val="15"/>
              </w:rPr>
            </w:pPr>
            <w:r>
              <w:rPr>
                <w:rFonts w:ascii="宋体" w:hAnsi="宋体" w:cs="宋体" w:eastAsia="宋体" w:hint="default"/>
                <w:sz w:val="15"/>
                <w:szCs w:val="15"/>
              </w:rPr>
              <w:t>期初余额</w:t>
            </w:r>
          </w:p>
        </w:tc>
      </w:tr>
      <w:tr>
        <w:trPr>
          <w:trHeight w:val="336"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5"/>
              <w:ind w:left="243"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宋体" w:hAnsi="宋体" w:cs="宋体" w:eastAsia="宋体" w:hint="default"/>
                <w:sz w:val="15"/>
                <w:szCs w:val="15"/>
              </w:rPr>
            </w:pPr>
            <w:r>
              <w:rPr>
                <w:rFonts w:ascii="宋体"/>
                <w:spacing w:val="-1"/>
                <w:sz w:val="15"/>
              </w:rPr>
              <w:t>339,503,018.51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宋体" w:hAnsi="宋体" w:cs="宋体" w:eastAsia="宋体" w:hint="default"/>
                <w:sz w:val="15"/>
                <w:szCs w:val="15"/>
              </w:rPr>
            </w:pPr>
            <w:r>
              <w:rPr>
                <w:rFonts w:ascii="宋体"/>
                <w:spacing w:val="-1"/>
                <w:sz w:val="15"/>
              </w:rPr>
              <w:t>431,275,232.89</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52"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宋体" w:hAnsi="宋体" w:cs="宋体" w:eastAsia="宋体" w:hint="default"/>
                <w:sz w:val="15"/>
                <w:szCs w:val="15"/>
              </w:rPr>
            </w:pPr>
            <w:r>
              <w:rPr>
                <w:rFonts w:ascii="宋体"/>
                <w:spacing w:val="-1"/>
                <w:sz w:val="15"/>
              </w:rPr>
              <w:t>131,000,000.00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宋体" w:hAnsi="宋体" w:cs="宋体" w:eastAsia="宋体" w:hint="default"/>
                <w:sz w:val="15"/>
                <w:szCs w:val="15"/>
              </w:rPr>
            </w:pPr>
            <w:r>
              <w:rPr>
                <w:rFonts w:ascii="宋体"/>
                <w:spacing w:val="-1"/>
                <w:sz w:val="15"/>
              </w:rPr>
              <w:t>393,300,000.00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5"/>
              <w:jc w:val="right"/>
              <w:rPr>
                <w:rFonts w:ascii="宋体" w:hAnsi="宋体" w:cs="宋体" w:eastAsia="宋体" w:hint="default"/>
                <w:sz w:val="15"/>
                <w:szCs w:val="15"/>
              </w:rPr>
            </w:pPr>
            <w:r>
              <w:rPr>
                <w:rFonts w:ascii="宋体"/>
                <w:spacing w:val="-1"/>
                <w:sz w:val="15"/>
              </w:rPr>
              <w:t>92,283,819.88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117,350,331.59</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124,000,000.00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2"/>
              <w:jc w:val="right"/>
              <w:rPr>
                <w:rFonts w:ascii="宋体" w:hAnsi="宋体" w:cs="宋体" w:eastAsia="宋体" w:hint="default"/>
                <w:sz w:val="15"/>
                <w:szCs w:val="15"/>
              </w:rPr>
            </w:pPr>
            <w:r>
              <w:rPr>
                <w:rFonts w:ascii="宋体"/>
                <w:spacing w:val="-1"/>
                <w:sz w:val="15"/>
              </w:rPr>
              <w:t>293,822,982.38</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1,377,521,802.03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1,475,206,591.45</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271,744,815.94</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宋体" w:hAnsi="宋体" w:cs="宋体" w:eastAsia="宋体" w:hint="default"/>
                <w:sz w:val="15"/>
                <w:szCs w:val="15"/>
              </w:rPr>
            </w:pPr>
            <w:r>
              <w:rPr>
                <w:rFonts w:ascii="宋体"/>
                <w:spacing w:val="-1"/>
                <w:sz w:val="15"/>
              </w:rPr>
              <w:t>231,777,624.37</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5"/>
              <w:jc w:val="right"/>
              <w:rPr>
                <w:rFonts w:ascii="宋体" w:hAnsi="宋体" w:cs="宋体" w:eastAsia="宋体" w:hint="default"/>
                <w:sz w:val="15"/>
                <w:szCs w:val="15"/>
              </w:rPr>
            </w:pPr>
            <w:r>
              <w:rPr>
                <w:rFonts w:ascii="宋体"/>
                <w:spacing w:val="-1"/>
                <w:sz w:val="15"/>
              </w:rPr>
              <w:t>11,657,655.45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35,698,059.97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148,492,794.32</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5"/>
              <w:jc w:val="right"/>
              <w:rPr>
                <w:rFonts w:ascii="宋体" w:hAnsi="宋体" w:cs="宋体" w:eastAsia="宋体" w:hint="default"/>
                <w:sz w:val="15"/>
                <w:szCs w:val="15"/>
              </w:rPr>
            </w:pPr>
            <w:r>
              <w:rPr>
                <w:rFonts w:ascii="宋体"/>
                <w:spacing w:val="-1"/>
                <w:sz w:val="15"/>
              </w:rPr>
              <w:t>45,914,196.09</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24,629,560.02</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5"/>
              <w:jc w:val="right"/>
              <w:rPr>
                <w:rFonts w:ascii="宋体" w:hAnsi="宋体" w:cs="宋体" w:eastAsia="宋体" w:hint="default"/>
                <w:sz w:val="15"/>
                <w:szCs w:val="15"/>
              </w:rPr>
            </w:pPr>
            <w:r>
              <w:rPr>
                <w:rFonts w:ascii="宋体"/>
                <w:spacing w:val="-1"/>
                <w:sz w:val="15"/>
              </w:rPr>
              <w:t>15,633,360.94</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宋体" w:hAnsi="宋体" w:cs="宋体" w:eastAsia="宋体" w:hint="default"/>
                <w:sz w:val="15"/>
                <w:szCs w:val="15"/>
              </w:rPr>
            </w:pPr>
            <w:r>
              <w:rPr>
                <w:rFonts w:ascii="宋体"/>
                <w:spacing w:val="-1"/>
                <w:sz w:val="15"/>
              </w:rPr>
              <w:t>28,105,053.57</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28,601,969.41</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158,510,136.29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68,918,643.37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9,727,893.46</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6"/>
              <w:jc w:val="right"/>
              <w:rPr>
                <w:rFonts w:ascii="宋体" w:hAnsi="宋体" w:cs="宋体" w:eastAsia="宋体" w:hint="default"/>
                <w:sz w:val="15"/>
                <w:szCs w:val="15"/>
              </w:rPr>
            </w:pPr>
            <w:r>
              <w:rPr>
                <w:rFonts w:ascii="宋体"/>
                <w:spacing w:val="-1"/>
                <w:sz w:val="15"/>
              </w:rPr>
              <w:t>9,720,000.00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348,987,490.60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288,691,287.63</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w w:val="95"/>
                <w:sz w:val="15"/>
              </w:rPr>
              <w:t>413,642.00</w:t>
            </w:r>
            <w:r>
              <w:rPr>
                <w:rFonts w:ascii="宋体"/>
                <w:spacing w:val="-1"/>
                <w:sz w:val="15"/>
              </w:rPr>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宋体" w:hAnsi="宋体" w:cs="宋体" w:eastAsia="宋体" w:hint="default"/>
                <w:sz w:val="15"/>
                <w:szCs w:val="15"/>
              </w:rPr>
            </w:pPr>
            <w:r>
              <w:rPr>
                <w:rFonts w:ascii="宋体"/>
                <w:spacing w:val="-1"/>
                <w:sz w:val="15"/>
              </w:rPr>
              <w:t>344,560.00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9,678,604.05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376,086.67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44,520,962.92</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5"/>
              <w:jc w:val="right"/>
              <w:rPr>
                <w:rFonts w:ascii="宋体" w:hAnsi="宋体" w:cs="宋体" w:eastAsia="宋体" w:hint="default"/>
                <w:sz w:val="15"/>
                <w:szCs w:val="15"/>
              </w:rPr>
            </w:pPr>
            <w:r>
              <w:rPr>
                <w:rFonts w:ascii="宋体"/>
                <w:spacing w:val="-1"/>
                <w:sz w:val="15"/>
              </w:rPr>
              <w:t>37,775,225.33</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92"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2,338,142,526.81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2,417,516,233.57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267,628,113.77</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5"/>
              <w:jc w:val="right"/>
              <w:rPr>
                <w:rFonts w:ascii="宋体" w:hAnsi="宋体" w:cs="宋体" w:eastAsia="宋体" w:hint="default"/>
                <w:sz w:val="15"/>
                <w:szCs w:val="15"/>
              </w:rPr>
            </w:pPr>
            <w:r>
              <w:rPr>
                <w:rFonts w:ascii="宋体"/>
                <w:spacing w:val="-1"/>
                <w:sz w:val="15"/>
              </w:rPr>
              <w:t>13,162,385.19</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宋体" w:hAnsi="宋体" w:cs="宋体" w:eastAsia="宋体" w:hint="default"/>
                <w:sz w:val="15"/>
                <w:szCs w:val="15"/>
              </w:rPr>
            </w:pPr>
            <w:r>
              <w:rPr>
                <w:rFonts w:ascii="宋体"/>
                <w:spacing w:val="-1"/>
                <w:sz w:val="15"/>
              </w:rPr>
              <w:t>1,050,262,836.00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1,070,052,303.71</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160,000,000.00</w:t>
            </w: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298,909,148.24</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宋体" w:hAnsi="宋体" w:cs="宋体" w:eastAsia="宋体" w:hint="default"/>
                <w:sz w:val="15"/>
                <w:szCs w:val="15"/>
              </w:rPr>
            </w:pPr>
            <w:r>
              <w:rPr>
                <w:rFonts w:ascii="宋体"/>
                <w:spacing w:val="-1"/>
                <w:sz w:val="15"/>
              </w:rPr>
              <w:t>298,622,485.80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1,248,593,736.39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933,219,127.28</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386,390,003.20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416,522,545.44</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3,210,000.00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6"/>
              <w:jc w:val="right"/>
              <w:rPr>
                <w:rFonts w:ascii="宋体" w:hAnsi="宋体" w:cs="宋体" w:eastAsia="宋体" w:hint="default"/>
                <w:sz w:val="15"/>
                <w:szCs w:val="15"/>
              </w:rPr>
            </w:pPr>
            <w:r>
              <w:rPr>
                <w:rFonts w:ascii="宋体"/>
                <w:spacing w:val="-1"/>
                <w:sz w:val="15"/>
              </w:rPr>
              <w:t>3,930,000.00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1,830,431.55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1,725,746.51</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3"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462,119,148.24</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宋体" w:hAnsi="宋体" w:cs="宋体" w:eastAsia="宋体" w:hint="default"/>
                <w:sz w:val="15"/>
                <w:szCs w:val="15"/>
              </w:rPr>
            </w:pPr>
            <w:r>
              <w:rPr>
                <w:rFonts w:ascii="宋体"/>
                <w:spacing w:val="-1"/>
                <w:sz w:val="15"/>
              </w:rPr>
              <w:t>302,552,485.80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5"/>
              <w:jc w:val="right"/>
              <w:rPr>
                <w:rFonts w:ascii="宋体" w:hAnsi="宋体" w:cs="宋体" w:eastAsia="宋体" w:hint="default"/>
                <w:sz w:val="15"/>
                <w:szCs w:val="15"/>
              </w:rPr>
            </w:pPr>
            <w:r>
              <w:rPr>
                <w:rFonts w:ascii="宋体"/>
                <w:spacing w:val="-1"/>
                <w:sz w:val="15"/>
              </w:rPr>
              <w:t>69,259,658.15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67,522,028.70</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1,512,381,984.24</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5"/>
              <w:jc w:val="right"/>
              <w:rPr>
                <w:rFonts w:ascii="宋体" w:hAnsi="宋体" w:cs="宋体" w:eastAsia="宋体" w:hint="default"/>
                <w:sz w:val="15"/>
                <w:szCs w:val="15"/>
              </w:rPr>
            </w:pPr>
            <w:r>
              <w:rPr>
                <w:rFonts w:ascii="宋体"/>
                <w:spacing w:val="-1"/>
                <w:sz w:val="15"/>
              </w:rPr>
              <w:t>1,372,604,789.51</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570" w:type="dxa"/>
            <w:tcBorders>
              <w:top w:val="single" w:sz="4" w:space="0" w:color="000000"/>
              <w:left w:val="single" w:sz="4" w:space="0" w:color="000000"/>
              <w:bottom w:val="single" w:sz="4" w:space="0" w:color="000000"/>
              <w:right w:val="single" w:sz="4" w:space="0" w:color="000000"/>
            </w:tcBorders>
            <w:shd w:val="clear" w:color="auto" w:fill="D8D8D8"/>
          </w:tcPr>
          <w:p>
            <w:pPr/>
          </w:p>
        </w:tc>
        <w:tc>
          <w:tcPr>
            <w:tcW w:w="1570" w:type="dxa"/>
            <w:tcBorders>
              <w:top w:val="single" w:sz="4" w:space="0" w:color="000000"/>
              <w:left w:val="single" w:sz="4" w:space="0" w:color="000000"/>
              <w:bottom w:val="single" w:sz="4" w:space="0" w:color="000000"/>
              <w:right w:val="single" w:sz="12" w:space="0" w:color="000000"/>
            </w:tcBorders>
            <w:shd w:val="clear" w:color="auto" w:fill="D8D8D8"/>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pacing w:val="-1"/>
                <w:w w:val="99"/>
                <w:sz w:val="15"/>
                <w:szCs w:val="15"/>
              </w:rPr>
              <w:t>实</w:t>
            </w:r>
            <w:r>
              <w:rPr>
                <w:rFonts w:ascii="宋体" w:hAnsi="宋体" w:cs="宋体" w:eastAsia="宋体" w:hint="default"/>
                <w:spacing w:val="2"/>
                <w:w w:val="99"/>
                <w:sz w:val="15"/>
                <w:szCs w:val="15"/>
              </w:rPr>
              <w:t>收</w:t>
            </w:r>
            <w:r>
              <w:rPr>
                <w:rFonts w:ascii="宋体" w:hAnsi="宋体" w:cs="宋体" w:eastAsia="宋体" w:hint="default"/>
                <w:spacing w:val="-1"/>
                <w:w w:val="99"/>
                <w:sz w:val="15"/>
                <w:szCs w:val="15"/>
              </w:rPr>
              <w:t>资</w:t>
            </w:r>
            <w:r>
              <w:rPr>
                <w:rFonts w:ascii="宋体" w:hAnsi="宋体" w:cs="宋体" w:eastAsia="宋体" w:hint="default"/>
                <w:spacing w:val="-68"/>
                <w:w w:val="99"/>
                <w:sz w:val="15"/>
                <w:szCs w:val="15"/>
              </w:rPr>
              <w:t>本</w:t>
            </w:r>
            <w:r>
              <w:rPr>
                <w:rFonts w:ascii="宋体" w:hAnsi="宋体" w:cs="宋体" w:eastAsia="宋体" w:hint="default"/>
                <w:spacing w:val="-1"/>
                <w:w w:val="99"/>
                <w:sz w:val="15"/>
                <w:szCs w:val="15"/>
              </w:rPr>
              <w:t>（或</w:t>
            </w:r>
            <w:r>
              <w:rPr>
                <w:rFonts w:ascii="宋体" w:hAnsi="宋体" w:cs="宋体" w:eastAsia="宋体" w:hint="default"/>
                <w:spacing w:val="2"/>
                <w:w w:val="99"/>
                <w:sz w:val="15"/>
                <w:szCs w:val="15"/>
              </w:rPr>
              <w:t>股本</w:t>
            </w:r>
            <w:r>
              <w:rPr>
                <w:rFonts w:ascii="宋体" w:hAnsi="宋体" w:cs="宋体" w:eastAsia="宋体" w:hint="default"/>
                <w:w w:val="99"/>
                <w:sz w:val="15"/>
                <w:szCs w:val="15"/>
              </w:rPr>
              <w:t>）</w:t>
            </w:r>
            <w:r>
              <w:rPr>
                <w:rFonts w:ascii="宋体" w:hAnsi="宋体" w:cs="宋体" w:eastAsia="宋体" w:hint="default"/>
                <w:sz w:val="15"/>
                <w:szCs w:val="15"/>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宋体" w:hAnsi="宋体" w:cs="宋体" w:eastAsia="宋体" w:hint="default"/>
                <w:sz w:val="15"/>
                <w:szCs w:val="15"/>
              </w:rPr>
            </w:pPr>
            <w:r>
              <w:rPr>
                <w:rFonts w:ascii="宋体"/>
                <w:spacing w:val="-1"/>
                <w:sz w:val="15"/>
              </w:rPr>
              <w:t>939,325,488.00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right="92"/>
              <w:jc w:val="right"/>
              <w:rPr>
                <w:rFonts w:ascii="宋体" w:hAnsi="宋体" w:cs="宋体" w:eastAsia="宋体" w:hint="default"/>
                <w:sz w:val="15"/>
                <w:szCs w:val="15"/>
              </w:rPr>
            </w:pPr>
            <w:r>
              <w:rPr>
                <w:rFonts w:ascii="宋体"/>
                <w:spacing w:val="-1"/>
                <w:sz w:val="15"/>
              </w:rPr>
              <w:t>939,635,488.00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3,938,683.37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1,354,396.05</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952,483,680.28</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2"/>
              <w:jc w:val="right"/>
              <w:rPr>
                <w:rFonts w:ascii="宋体" w:hAnsi="宋体" w:cs="宋体" w:eastAsia="宋体" w:hint="default"/>
                <w:sz w:val="15"/>
                <w:szCs w:val="15"/>
              </w:rPr>
            </w:pPr>
            <w:r>
              <w:rPr>
                <w:rFonts w:ascii="宋体"/>
                <w:spacing w:val="-1"/>
                <w:sz w:val="15"/>
              </w:rPr>
              <w:t>949,316,859.28</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5"/>
                <w:szCs w:val="15"/>
              </w:rPr>
            </w:pPr>
            <w:r>
              <w:rPr>
                <w:rFonts w:ascii="宋体"/>
                <w:spacing w:val="-1"/>
                <w:sz w:val="15"/>
              </w:rPr>
              <w:t>13,986,311.36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13,281,330.27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89,066,457.09</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5"/>
              <w:jc w:val="right"/>
              <w:rPr>
                <w:rFonts w:ascii="宋体" w:hAnsi="宋体" w:cs="宋体" w:eastAsia="宋体" w:hint="default"/>
                <w:sz w:val="15"/>
                <w:szCs w:val="15"/>
              </w:rPr>
            </w:pPr>
            <w:r>
              <w:rPr>
                <w:rFonts w:ascii="宋体"/>
                <w:spacing w:val="-1"/>
                <w:sz w:val="15"/>
              </w:rPr>
              <w:t>77,533,236.92</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568,883,741.22</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2"/>
              <w:jc w:val="right"/>
              <w:rPr>
                <w:rFonts w:ascii="宋体" w:hAnsi="宋体" w:cs="宋体" w:eastAsia="宋体" w:hint="default"/>
                <w:sz w:val="15"/>
                <w:szCs w:val="15"/>
              </w:rPr>
            </w:pPr>
            <w:r>
              <w:rPr>
                <w:rFonts w:ascii="宋体"/>
                <w:spacing w:val="-1"/>
                <w:sz w:val="15"/>
              </w:rPr>
              <w:t>512,051,034.11</w:t>
            </w:r>
          </w:p>
        </w:tc>
      </w:tr>
      <w:tr>
        <w:trPr>
          <w:trHeight w:val="611"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1,723,998,824.02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1,433,625,174.25</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103" w:right="106"/>
              <w:jc w:val="left"/>
              <w:rPr>
                <w:rFonts w:ascii="宋体" w:hAnsi="宋体" w:cs="宋体" w:eastAsia="宋体" w:hint="default"/>
                <w:sz w:val="15"/>
                <w:szCs w:val="15"/>
              </w:rPr>
            </w:pPr>
            <w:r>
              <w:rPr>
                <w:rFonts w:ascii="宋体" w:hAnsi="宋体" w:cs="宋体" w:eastAsia="宋体" w:hint="default"/>
                <w:sz w:val="15"/>
                <w:szCs w:val="15"/>
              </w:rPr>
              <w:t>所有者权益（或股东</w:t>
            </w:r>
            <w:r>
              <w:rPr>
                <w:rFonts w:ascii="宋体" w:hAnsi="宋体" w:cs="宋体" w:eastAsia="宋体" w:hint="default"/>
                <w:w w:val="99"/>
                <w:sz w:val="15"/>
                <w:szCs w:val="15"/>
              </w:rPr>
              <w:t> </w:t>
            </w:r>
            <w:r>
              <w:rPr>
                <w:rFonts w:ascii="宋体" w:hAnsi="宋体" w:cs="宋体" w:eastAsia="宋体" w:hint="default"/>
                <w:sz w:val="15"/>
                <w:szCs w:val="15"/>
              </w:rPr>
              <w:t>权益）合计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2,549,759,366.59</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2,478,536,618.31</w:t>
            </w:r>
          </w:p>
        </w:tc>
      </w:tr>
      <w:tr>
        <w:trPr>
          <w:trHeight w:val="643" w:hRule="exact"/>
        </w:trPr>
        <w:tc>
          <w:tcPr>
            <w:tcW w:w="157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资产总计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4,062,141,350.83</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3,851,141,407.82</w:t>
            </w:r>
          </w:p>
        </w:tc>
        <w:tc>
          <w:tcPr>
            <w:tcW w:w="157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84"/>
              <w:ind w:left="103" w:right="0"/>
              <w:jc w:val="left"/>
              <w:rPr>
                <w:rFonts w:ascii="宋体" w:hAnsi="宋体" w:cs="宋体" w:eastAsia="宋体" w:hint="default"/>
                <w:sz w:val="15"/>
                <w:szCs w:val="15"/>
              </w:rPr>
            </w:pPr>
            <w:r>
              <w:rPr>
                <w:rFonts w:ascii="宋体" w:hAnsi="宋体" w:cs="宋体" w:eastAsia="宋体" w:hint="default"/>
                <w:sz w:val="15"/>
                <w:szCs w:val="15"/>
              </w:rPr>
              <w:t>负债和所有者权益</w:t>
            </w:r>
          </w:p>
          <w:p>
            <w:pPr>
              <w:pStyle w:val="TableParagraph"/>
              <w:spacing w:line="240" w:lineRule="auto" w:before="63"/>
              <w:ind w:left="103" w:right="0"/>
              <w:jc w:val="left"/>
              <w:rPr>
                <w:rFonts w:ascii="宋体" w:hAnsi="宋体" w:cs="宋体" w:eastAsia="宋体" w:hint="default"/>
                <w:sz w:val="15"/>
                <w:szCs w:val="15"/>
              </w:rPr>
            </w:pPr>
            <w:r>
              <w:rPr>
                <w:rFonts w:ascii="宋体" w:hAnsi="宋体" w:cs="宋体" w:eastAsia="宋体" w:hint="default"/>
                <w:sz w:val="15"/>
                <w:szCs w:val="15"/>
              </w:rPr>
              <w:t>（或股东权益）总计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4,062,141,350.83</w:t>
            </w:r>
          </w:p>
        </w:tc>
        <w:tc>
          <w:tcPr>
            <w:tcW w:w="15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3,851,141,407.82</w:t>
            </w:r>
          </w:p>
        </w:tc>
      </w:tr>
    </w:tbl>
    <w:p>
      <w:pPr>
        <w:spacing w:line="240" w:lineRule="auto" w:before="5"/>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852" w:footer="1012" w:top="1440" w:bottom="1200" w:left="1000" w:right="1020"/>
        </w:sectPr>
      </w:pPr>
    </w:p>
    <w:p>
      <w:pPr>
        <w:spacing w:line="240" w:lineRule="auto" w:before="5"/>
        <w:rPr>
          <w:rFonts w:ascii="宋体" w:hAnsi="宋体" w:cs="宋体" w:eastAsia="宋体" w:hint="default"/>
          <w:sz w:val="19"/>
          <w:szCs w:val="19"/>
        </w:rPr>
      </w:pPr>
    </w:p>
    <w:p>
      <w:pPr>
        <w:pStyle w:val="Heading2"/>
        <w:spacing w:line="240" w:lineRule="auto" w:before="26"/>
        <w:ind w:left="22" w:right="0"/>
        <w:jc w:val="center"/>
        <w:rPr>
          <w:b w:val="0"/>
          <w:bCs w:val="0"/>
        </w:rPr>
      </w:pPr>
      <w:r>
        <w:rPr/>
        <w:t>合并利润表</w:t>
      </w:r>
      <w:r>
        <w:rPr>
          <w:b w:val="0"/>
          <w:bCs w:val="0"/>
        </w:rPr>
      </w:r>
    </w:p>
    <w:p>
      <w:pPr>
        <w:spacing w:before="123"/>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683" w:val="left" w:leader="none"/>
        </w:tabs>
        <w:spacing w:before="6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997"/>
        <w:gridCol w:w="2702"/>
        <w:gridCol w:w="2701"/>
      </w:tblGrid>
      <w:tr>
        <w:trPr>
          <w:trHeight w:val="333" w:hRule="exact"/>
        </w:trPr>
        <w:tc>
          <w:tcPr>
            <w:tcW w:w="399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70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0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6,847,147,641.48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5,846,950,238.25</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45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6,847,147,641.48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5,846,950,238.25</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6,575,206,918.06</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5,623,449,628.79</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5,829,514,117.70</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4,988,653,779.38</w:t>
            </w:r>
          </w:p>
        </w:tc>
      </w:tr>
      <w:tr>
        <w:trPr>
          <w:trHeight w:val="402"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5"/>
              <w:ind w:left="99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2"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9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25,563,420.58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20,816,037.07</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9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337,416,760.76</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235,626,203.58</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9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330,298,333.10</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305,004,964.88</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99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38,209,167.15</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51,210,126.17</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9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14,205,118.77</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22,138,517.71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272"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-99,672.32</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-752,264.63</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27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3,047,663.70</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868,119.08</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-912,562.89</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527,096.61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274,888,714.80</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223,616,463.91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43,125,714.68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40,354,217.82</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64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5,745.32</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236,007.11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2,851,189.00</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1,920,366.23</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6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756,681.73</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286,956.86</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315,163,240.48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262,050,315.50</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38,972,715.07</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25,278,015.48</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9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276,190,525.41</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236,772,300.02</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271,891,782.76</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235,406,336.63</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4,298,742.65</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1,365,963.39</w:t>
            </w:r>
          </w:p>
        </w:tc>
      </w:tr>
      <w:tr>
        <w:trPr>
          <w:trHeight w:val="402"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5"/>
              <w:ind w:left="9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02"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276,190,525.41</w:t>
            </w:r>
          </w:p>
        </w:tc>
        <w:tc>
          <w:tcPr>
            <w:tcW w:w="2701"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236,772,300.02</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271,891,782.76</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235,406,336.63</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4,298,742.65</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1,365,963.39</w:t>
            </w:r>
          </w:p>
        </w:tc>
      </w:tr>
      <w:tr>
        <w:trPr>
          <w:trHeight w:val="402"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4"/>
              <w:ind w:left="9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02"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z w:val="18"/>
              </w:rPr>
              <w:t>0.29</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z w:val="18"/>
              </w:rPr>
              <w:t>0.25</w:t>
            </w:r>
          </w:p>
        </w:tc>
      </w:tr>
      <w:tr>
        <w:trPr>
          <w:trHeight w:val="356" w:hRule="exact"/>
        </w:trPr>
        <w:tc>
          <w:tcPr>
            <w:tcW w:w="399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38"/>
              <w:ind w:left="45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sz w:val="18"/>
              </w:rPr>
              <w:t>0.29</w:t>
            </w:r>
          </w:p>
        </w:tc>
        <w:tc>
          <w:tcPr>
            <w:tcW w:w="27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3"/>
              <w:ind w:right="90"/>
              <w:jc w:val="right"/>
              <w:rPr>
                <w:rFonts w:ascii="宋体" w:hAnsi="宋体" w:cs="宋体" w:eastAsia="宋体" w:hint="default"/>
                <w:sz w:val="18"/>
                <w:szCs w:val="18"/>
              </w:rPr>
            </w:pPr>
            <w:r>
              <w:rPr>
                <w:rFonts w:ascii="宋体"/>
                <w:sz w:val="18"/>
              </w:rPr>
              <w:t>0.25</w:t>
            </w:r>
          </w:p>
        </w:tc>
      </w:tr>
    </w:tbl>
    <w:p>
      <w:pPr>
        <w:spacing w:line="240" w:lineRule="auto" w:before="5"/>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852" w:footer="1012" w:top="1440" w:bottom="1200" w:left="1000" w:right="1020"/>
        </w:sectPr>
      </w:pPr>
    </w:p>
    <w:p>
      <w:pPr>
        <w:spacing w:line="240" w:lineRule="auto" w:before="5"/>
        <w:rPr>
          <w:rFonts w:ascii="宋体" w:hAnsi="宋体" w:cs="宋体" w:eastAsia="宋体" w:hint="default"/>
          <w:sz w:val="19"/>
          <w:szCs w:val="19"/>
        </w:rPr>
      </w:pPr>
    </w:p>
    <w:p>
      <w:pPr>
        <w:pStyle w:val="Heading2"/>
        <w:spacing w:line="240" w:lineRule="auto" w:before="26"/>
        <w:ind w:left="22" w:right="0"/>
        <w:jc w:val="center"/>
        <w:rPr>
          <w:b w:val="0"/>
          <w:bCs w:val="0"/>
        </w:rPr>
      </w:pPr>
      <w:r>
        <w:rPr/>
        <w:t>母公司利润表</w:t>
      </w:r>
      <w:r>
        <w:rPr>
          <w:b w:val="0"/>
          <w:bCs w:val="0"/>
        </w:rPr>
      </w:r>
    </w:p>
    <w:p>
      <w:pPr>
        <w:spacing w:before="123"/>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772" w:val="left" w:leader="none"/>
        </w:tabs>
        <w:spacing w:before="10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984"/>
        <w:gridCol w:w="2694"/>
        <w:gridCol w:w="2693"/>
      </w:tblGrid>
      <w:tr>
        <w:trPr>
          <w:trHeight w:val="332" w:hRule="exact"/>
        </w:trPr>
        <w:tc>
          <w:tcPr>
            <w:tcW w:w="398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9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3,296,175,785.83</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3,327,154,554.26</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2,762,116,738.11</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2,827,918,539.36</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13,223,241.93</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12,369,515.80</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8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209,680,535.18</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156,682,467.66</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174,480,250.48</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190,673,054.81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8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23,904,598.25</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2"/>
              <w:jc w:val="right"/>
              <w:rPr>
                <w:rFonts w:ascii="宋体" w:hAnsi="宋体" w:cs="宋体" w:eastAsia="宋体" w:hint="default"/>
                <w:sz w:val="18"/>
                <w:szCs w:val="18"/>
              </w:rPr>
            </w:pPr>
            <w:r>
              <w:rPr>
                <w:rFonts w:ascii="宋体"/>
                <w:spacing w:val="-1"/>
                <w:sz w:val="18"/>
              </w:rPr>
              <w:t>34,343,825.21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8,592,169.25</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17,793,278.52</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w:t>
            </w: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3,460,371.60</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527,096.61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-912,562.89</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527,096.61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107,638,624.23</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87,900,969.51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23,590,235.92</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2"/>
              <w:jc w:val="right"/>
              <w:rPr>
                <w:rFonts w:ascii="宋体" w:hAnsi="宋体" w:cs="宋体" w:eastAsia="宋体" w:hint="default"/>
                <w:sz w:val="18"/>
                <w:szCs w:val="18"/>
              </w:rPr>
            </w:pPr>
            <w:r>
              <w:rPr>
                <w:rFonts w:ascii="宋体"/>
                <w:spacing w:val="-1"/>
                <w:sz w:val="18"/>
              </w:rPr>
              <w:t>24,758,723.12</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6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8,125.00</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2,349,803.83</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1,375,321.91</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1,188,592.99</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215,898.62</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210,062.59</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129,853,538.24</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111,471,099.64</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14,521,336.56</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8,778,871.99</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115,332,201.68</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102,692,227.65</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left="9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115,332,201.68</w:t>
            </w:r>
          </w:p>
        </w:tc>
        <w:tc>
          <w:tcPr>
            <w:tcW w:w="2693"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3"/>
              <w:ind w:right="90"/>
              <w:jc w:val="right"/>
              <w:rPr>
                <w:rFonts w:ascii="宋体" w:hAnsi="宋体" w:cs="宋体" w:eastAsia="宋体" w:hint="default"/>
                <w:sz w:val="18"/>
                <w:szCs w:val="18"/>
              </w:rPr>
            </w:pPr>
            <w:r>
              <w:rPr>
                <w:rFonts w:ascii="宋体"/>
                <w:spacing w:val="-1"/>
                <w:sz w:val="18"/>
              </w:rPr>
              <w:t>102,692,227.65</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left="53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984"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94" w:type="dxa"/>
            <w:tcBorders>
              <w:top w:val="single" w:sz="4" w:space="0" w:color="000000"/>
              <w:left w:val="single" w:sz="4" w:space="0" w:color="000000"/>
              <w:bottom w:val="single" w:sz="12" w:space="0" w:color="000000"/>
              <w:right w:val="single" w:sz="4" w:space="0" w:color="000000"/>
            </w:tcBorders>
          </w:tcPr>
          <w:p>
            <w:pPr/>
          </w:p>
        </w:tc>
        <w:tc>
          <w:tcPr>
            <w:tcW w:w="269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852" w:footer="1012" w:top="1440" w:bottom="1200" w:left="1000" w:right="1020"/>
        </w:sectPr>
      </w:pPr>
    </w:p>
    <w:p>
      <w:pPr>
        <w:spacing w:line="240" w:lineRule="auto" w:before="4"/>
        <w:rPr>
          <w:rFonts w:ascii="宋体" w:hAnsi="宋体" w:cs="宋体" w:eastAsia="宋体" w:hint="default"/>
          <w:sz w:val="13"/>
          <w:szCs w:val="13"/>
        </w:rPr>
      </w:pPr>
    </w:p>
    <w:p>
      <w:pPr>
        <w:pStyle w:val="Heading2"/>
        <w:spacing w:line="240" w:lineRule="auto" w:before="26"/>
        <w:ind w:left="22" w:right="0"/>
        <w:jc w:val="center"/>
        <w:rPr>
          <w:b w:val="0"/>
          <w:bCs w:val="0"/>
        </w:rPr>
      </w:pPr>
      <w:r>
        <w:rPr/>
        <w:t>合并现金流量表</w:t>
      </w:r>
      <w:r>
        <w:rPr>
          <w:b w:val="0"/>
          <w:bCs w:val="0"/>
        </w:rPr>
      </w:r>
    </w:p>
    <w:p>
      <w:pPr>
        <w:spacing w:before="46"/>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412" w:val="left" w:leader="none"/>
        </w:tabs>
        <w:spacing w:before="6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971"/>
        <w:gridCol w:w="2164"/>
        <w:gridCol w:w="2238"/>
      </w:tblGrid>
      <w:tr>
        <w:trPr>
          <w:trHeight w:val="273" w:hRule="exact"/>
        </w:trPr>
        <w:tc>
          <w:tcPr>
            <w:tcW w:w="4971"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20" w:lineRule="exact"/>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16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71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3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20" w:lineRule="exact"/>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9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3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6,114,934,459.85</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5,007,501,455.69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67,567,826.96</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60,498,344.29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23,732,765.23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26,770,260.99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6,206,235,052.04</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5,094,770,060.97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5,219,159,542.52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4,215,956,604,46</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236,126,027.39</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178,577,016.82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183,807,591.52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160,665,737.78</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298,677,123.85</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291,634,494,95</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5,937,770,285.28</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4,846,833,854.01</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268,464,766.76</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247,936,206.96</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2,783,487.00</w:t>
            </w: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3,948,445.59</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368,072.47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54,282.10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483,789.28</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166,500,000.00</w:t>
            </w: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173,286,214.69</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851,861.75</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61,363,607.07</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117,637,608.38</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10,224,774.00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2,880,000.00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429,775,000.00</w:t>
            </w: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501,363,381.07</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120,517,608.38</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-328,077,166.38</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2"/>
              <w:jc w:val="right"/>
              <w:rPr>
                <w:rFonts w:ascii="宋体" w:hAnsi="宋体" w:cs="宋体" w:eastAsia="宋体" w:hint="default"/>
                <w:sz w:val="18"/>
                <w:szCs w:val="18"/>
              </w:rPr>
            </w:pPr>
            <w:r>
              <w:rPr>
                <w:rFonts w:ascii="宋体"/>
                <w:spacing w:val="-1"/>
                <w:sz w:val="18"/>
              </w:rPr>
              <w:t>-119,665,746.63</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9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106,000,000.00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9,771,100.00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45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106,000,000.00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6,500,000.00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1,218,662,695.71</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1,254,189,179.62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250,000,000.00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298,500,000.00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41,795,657.02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92,000.00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1,616,458,352.73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1,562,552,279.62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1,481,504,263.66</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1,470,062,030.97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92,303,191.93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2"/>
              <w:jc w:val="right"/>
              <w:rPr>
                <w:rFonts w:ascii="宋体" w:hAnsi="宋体" w:cs="宋体" w:eastAsia="宋体" w:hint="default"/>
                <w:sz w:val="18"/>
                <w:szCs w:val="18"/>
              </w:rPr>
            </w:pPr>
            <w:r>
              <w:rPr>
                <w:rFonts w:ascii="宋体"/>
                <w:spacing w:val="-1"/>
                <w:sz w:val="18"/>
              </w:rPr>
              <w:t>97,983,143.62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45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340,000.00</w:t>
            </w: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788,173.43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2"/>
              <w:jc w:val="right"/>
              <w:rPr>
                <w:rFonts w:ascii="宋体" w:hAnsi="宋体" w:cs="宋体" w:eastAsia="宋体" w:hint="default"/>
                <w:sz w:val="18"/>
                <w:szCs w:val="18"/>
              </w:rPr>
            </w:pPr>
            <w:r>
              <w:rPr>
                <w:rFonts w:ascii="宋体"/>
                <w:spacing w:val="-1"/>
                <w:sz w:val="18"/>
              </w:rPr>
              <w:t>58,752,335.33</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1,574,595,629.02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1,626,797,509.92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41,862,723.71</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-64,245,230.30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9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6,890,487.60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2"/>
              <w:jc w:val="right"/>
              <w:rPr>
                <w:rFonts w:ascii="宋体" w:hAnsi="宋体" w:cs="宋体" w:eastAsia="宋体" w:hint="default"/>
                <w:sz w:val="18"/>
                <w:szCs w:val="18"/>
              </w:rPr>
            </w:pPr>
            <w:r>
              <w:rPr>
                <w:rFonts w:ascii="宋体"/>
                <w:spacing w:val="-1"/>
                <w:sz w:val="18"/>
              </w:rPr>
              <w:t>-246,308.01</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-10,859,188.31</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63,778,922.02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45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697,559,427.25</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633,780,505.23</w:t>
            </w:r>
          </w:p>
        </w:tc>
      </w:tr>
      <w:tr>
        <w:trPr>
          <w:trHeight w:val="293" w:hRule="exact"/>
        </w:trPr>
        <w:tc>
          <w:tcPr>
            <w:tcW w:w="4971"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64"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686,700,238.94</w:t>
            </w:r>
          </w:p>
        </w:tc>
        <w:tc>
          <w:tcPr>
            <w:tcW w:w="2238" w:type="dxa"/>
            <w:tcBorders>
              <w:top w:val="single" w:sz="4" w:space="0" w:color="000000"/>
              <w:left w:val="single" w:sz="4" w:space="0" w:color="000000"/>
              <w:bottom w:val="single" w:sz="12"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697,559,427.25</w:t>
            </w:r>
          </w:p>
        </w:tc>
      </w:tr>
    </w:tbl>
    <w:p>
      <w:pPr>
        <w:tabs>
          <w:tab w:pos="3643" w:val="left" w:leader="none"/>
          <w:tab w:pos="7783" w:val="left" w:leader="none"/>
        </w:tabs>
        <w:spacing w:before="11"/>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852" w:footer="1012" w:top="1440" w:bottom="1200" w:left="1000" w:right="1020"/>
        </w:sectPr>
      </w:pPr>
    </w:p>
    <w:p>
      <w:pPr>
        <w:spacing w:line="240" w:lineRule="auto" w:before="8"/>
        <w:rPr>
          <w:rFonts w:ascii="宋体" w:hAnsi="宋体" w:cs="宋体" w:eastAsia="宋体" w:hint="default"/>
          <w:sz w:val="14"/>
          <w:szCs w:val="14"/>
        </w:rPr>
      </w:pPr>
    </w:p>
    <w:p>
      <w:pPr>
        <w:spacing w:before="34"/>
        <w:ind w:left="46" w:right="0"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before="60"/>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772" w:val="left" w:leader="none"/>
        </w:tabs>
        <w:spacing w:before="6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531"/>
        <w:gridCol w:w="2430"/>
        <w:gridCol w:w="2408"/>
      </w:tblGrid>
      <w:tr>
        <w:trPr>
          <w:trHeight w:val="290" w:hRule="exact"/>
        </w:trPr>
        <w:tc>
          <w:tcPr>
            <w:tcW w:w="4531"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6"/>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43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0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6"/>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3,288,245,325.77</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3,169,987,797.10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19,323,624.81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15,800,620.81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14,485,174.39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14,902,379,82</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3,322,054,124.97</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3,200,690,797,73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2,729,453,654.90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2,600,783,894,59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107,457,226.69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90,785,648.90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104,423,026.68</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100,739,424.35</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188,334,086.96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208,302,390,16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3,129,667,995.23</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3,000,611,358.00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192,386,129.74</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200,079,439.73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1,001,781.00</w:t>
            </w:r>
          </w:p>
        </w:tc>
        <w:tc>
          <w:tcPr>
            <w:tcW w:w="240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4,361,153.49</w:t>
            </w:r>
          </w:p>
        </w:tc>
        <w:tc>
          <w:tcPr>
            <w:tcW w:w="240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4"/>
              <w:ind w:left="2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4,240,674.59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20,214,531.38</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243,612,999.62</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24,432,482.33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253,216,608.70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44,647,013.71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购建固定、无形资产和其他长期资产支付的现金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31,648,514.19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98,051,553.16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317,367,172.00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123,986,250.76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252,175,000.00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20,500,000.00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601,190,666.19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242,537,803.92</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-347,974,077.49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-197,890,790.21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3,271,100.00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679,000,000.00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807,541,466.73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250,000,000.00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298,500,000.00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191,857,958.71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129,500,000.00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1,120,857,958.71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1,238,812,566.73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781,300,000.00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1,045,719,049.92</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82,627,468.25</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81,875,208.86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166,502,370.84</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166,316,352.26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1,030,429,839.09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1,293,910,611.04</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90,428,119.62</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-55,098,044.31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345,572.46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157,025.46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-64,814,255.67</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-52,752,369.33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9"/>
              <w:ind w:left="45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372,827,052.17</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425,579,421.50</w:t>
            </w:r>
          </w:p>
        </w:tc>
      </w:tr>
      <w:tr>
        <w:trPr>
          <w:trHeight w:val="310" w:hRule="exact"/>
        </w:trPr>
        <w:tc>
          <w:tcPr>
            <w:tcW w:w="4531"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308,012,796.50</w:t>
            </w:r>
          </w:p>
        </w:tc>
        <w:tc>
          <w:tcPr>
            <w:tcW w:w="24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372,827,052.17</w:t>
            </w:r>
          </w:p>
        </w:tc>
      </w:tr>
    </w:tbl>
    <w:p>
      <w:pPr>
        <w:spacing w:line="240" w:lineRule="auto" w:before="6"/>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852" w:footer="1012" w:top="1440" w:bottom="1200" w:left="1000" w:right="1020"/>
        </w:sectPr>
      </w:pPr>
    </w:p>
    <w:p>
      <w:pPr>
        <w:spacing w:line="240" w:lineRule="auto" w:before="7"/>
        <w:rPr>
          <w:rFonts w:ascii="宋体" w:hAnsi="宋体" w:cs="宋体" w:eastAsia="宋体" w:hint="default"/>
          <w:sz w:val="13"/>
          <w:szCs w:val="13"/>
        </w:rPr>
      </w:pPr>
    </w:p>
    <w:p>
      <w:pPr>
        <w:pStyle w:val="Heading2"/>
        <w:spacing w:line="240" w:lineRule="auto" w:before="26"/>
        <w:ind w:left="6495" w:right="5806"/>
        <w:jc w:val="center"/>
        <w:rPr>
          <w:b w:val="0"/>
          <w:bCs w:val="0"/>
        </w:rPr>
      </w:pPr>
      <w:r>
        <w:rPr/>
        <w:t>合并所有者权益变动表</w:t>
      </w:r>
      <w:r>
        <w:rPr>
          <w:b w:val="0"/>
          <w:bCs w:val="0"/>
        </w:rPr>
      </w:r>
    </w:p>
    <w:p>
      <w:pPr>
        <w:spacing w:before="46"/>
        <w:ind w:left="6483" w:right="5806"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4112" w:val="left" w:leader="none"/>
        </w:tabs>
        <w:spacing w:before="63"/>
        <w:ind w:left="792"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877"/>
        <w:gridCol w:w="1341"/>
        <w:gridCol w:w="1341"/>
        <w:gridCol w:w="1058"/>
        <w:gridCol w:w="939"/>
        <w:gridCol w:w="1365"/>
        <w:gridCol w:w="1428"/>
        <w:gridCol w:w="837"/>
        <w:gridCol w:w="1434"/>
        <w:gridCol w:w="1480"/>
      </w:tblGrid>
      <w:tr>
        <w:trPr>
          <w:trHeight w:val="332" w:hRule="exact"/>
        </w:trPr>
        <w:tc>
          <w:tcPr>
            <w:tcW w:w="3877"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1223" w:type="dxa"/>
            <w:gridSpan w:val="9"/>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3"/>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3877" w:type="dxa"/>
            <w:vMerge/>
            <w:tcBorders>
              <w:left w:val="single" w:sz="12" w:space="0" w:color="000000"/>
              <w:right w:val="single" w:sz="4" w:space="0" w:color="000000"/>
            </w:tcBorders>
            <w:shd w:val="clear" w:color="auto" w:fill="D3D3D3"/>
          </w:tcPr>
          <w:p>
            <w:pPr/>
          </w:p>
        </w:tc>
        <w:tc>
          <w:tcPr>
            <w:tcW w:w="830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80" w:type="dxa"/>
            <w:vMerge w:val="restart"/>
            <w:tcBorders>
              <w:top w:val="single" w:sz="4" w:space="0" w:color="000000"/>
              <w:left w:val="single" w:sz="4" w:space="0" w:color="000000"/>
              <w:right w:val="single" w:sz="12"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34" w:hRule="exact"/>
        </w:trPr>
        <w:tc>
          <w:tcPr>
            <w:tcW w:w="3877" w:type="dxa"/>
            <w:vMerge/>
            <w:tcBorders>
              <w:left w:val="single" w:sz="12" w:space="0" w:color="000000"/>
              <w:bottom w:val="single" w:sz="4" w:space="0" w:color="000000"/>
              <w:right w:val="single" w:sz="4" w:space="0" w:color="000000"/>
            </w:tcBorders>
            <w:shd w:val="clear" w:color="auto" w:fill="D3D3D3"/>
          </w:tcPr>
          <w:p>
            <w:pP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394" w:right="123" w:hanging="269"/>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4" w:type="dxa"/>
            <w:vMerge/>
            <w:tcBorders>
              <w:left w:val="single" w:sz="4" w:space="0" w:color="000000"/>
              <w:bottom w:val="single" w:sz="4" w:space="0" w:color="000000"/>
              <w:right w:val="single" w:sz="4" w:space="0" w:color="000000"/>
            </w:tcBorders>
            <w:shd w:val="clear" w:color="auto" w:fill="D3D3D3"/>
          </w:tcPr>
          <w:p>
            <w:pPr/>
          </w:p>
        </w:tc>
        <w:tc>
          <w:tcPr>
            <w:tcW w:w="1480"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939,635,488.00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786,790,058.18</w:t>
            </w: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133,228,009.23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857,886,642.34</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10,724,721.74</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3"/>
              <w:jc w:val="right"/>
              <w:rPr>
                <w:rFonts w:ascii="宋体" w:hAnsi="宋体" w:cs="宋体" w:eastAsia="宋体" w:hint="default"/>
                <w:sz w:val="15"/>
                <w:szCs w:val="15"/>
              </w:rPr>
            </w:pPr>
            <w:r>
              <w:rPr>
                <w:rFonts w:ascii="宋体"/>
                <w:spacing w:val="-1"/>
                <w:sz w:val="15"/>
              </w:rPr>
              <w:t>2,728,264,919.49</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939,635,488.00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786,790,058.18</w:t>
            </w: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133,228,009.23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857,886,642.34</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10,724,721.74</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宋体" w:hAnsi="宋体" w:cs="宋体" w:eastAsia="宋体" w:hint="default"/>
                <w:sz w:val="15"/>
                <w:szCs w:val="15"/>
              </w:rPr>
            </w:pPr>
            <w:r>
              <w:rPr>
                <w:rFonts w:ascii="宋体"/>
                <w:spacing w:val="-1"/>
                <w:sz w:val="15"/>
              </w:rPr>
              <w:t>2,728,264,919.49</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三、本期增减变动金额（减少以“－”号填列）</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-310,000.00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3,166,821.00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24,840,357.53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200,085,150.83</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111,038,742.65</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3"/>
              <w:jc w:val="right"/>
              <w:rPr>
                <w:rFonts w:ascii="宋体" w:hAnsi="宋体" w:cs="宋体" w:eastAsia="宋体" w:hint="default"/>
                <w:sz w:val="15"/>
                <w:szCs w:val="15"/>
              </w:rPr>
            </w:pPr>
            <w:r>
              <w:rPr>
                <w:rFonts w:ascii="宋体"/>
                <w:spacing w:val="-1"/>
                <w:sz w:val="15"/>
              </w:rPr>
              <w:t>338,821,072.01</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271,891,782.76</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4,298,742.65</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3"/>
              <w:jc w:val="right"/>
              <w:rPr>
                <w:rFonts w:ascii="宋体" w:hAnsi="宋体" w:cs="宋体" w:eastAsia="宋体" w:hint="default"/>
                <w:sz w:val="15"/>
                <w:szCs w:val="15"/>
              </w:rPr>
            </w:pPr>
            <w:r>
              <w:rPr>
                <w:rFonts w:ascii="宋体"/>
                <w:spacing w:val="-1"/>
                <w:sz w:val="15"/>
              </w:rPr>
              <w:t>276,190,525.41</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-310,000.00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-514,579.00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107,080,000.00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3"/>
              <w:jc w:val="right"/>
              <w:rPr>
                <w:rFonts w:ascii="宋体" w:hAnsi="宋体" w:cs="宋体" w:eastAsia="宋体" w:hint="default"/>
                <w:sz w:val="15"/>
                <w:szCs w:val="15"/>
              </w:rPr>
            </w:pPr>
            <w:r>
              <w:rPr>
                <w:rFonts w:ascii="宋体"/>
                <w:spacing w:val="-1"/>
                <w:sz w:val="15"/>
              </w:rPr>
              <w:t>106,255,421.00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106,000,000.00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3"/>
              <w:jc w:val="right"/>
              <w:rPr>
                <w:rFonts w:ascii="宋体" w:hAnsi="宋体" w:cs="宋体" w:eastAsia="宋体" w:hint="default"/>
                <w:sz w:val="15"/>
                <w:szCs w:val="15"/>
              </w:rPr>
            </w:pPr>
            <w:r>
              <w:rPr>
                <w:rFonts w:ascii="宋体"/>
                <w:spacing w:val="-1"/>
                <w:sz w:val="15"/>
              </w:rPr>
              <w:t>106,000,000.00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2.其他</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-310,000.00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-514,579.00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1,080,000.00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3"/>
              <w:jc w:val="right"/>
              <w:rPr>
                <w:rFonts w:ascii="宋体" w:hAnsi="宋体" w:cs="宋体" w:eastAsia="宋体" w:hint="default"/>
                <w:sz w:val="15"/>
                <w:szCs w:val="15"/>
              </w:rPr>
            </w:pPr>
            <w:r>
              <w:rPr>
                <w:rFonts w:ascii="宋体"/>
                <w:spacing w:val="-1"/>
                <w:sz w:val="15"/>
              </w:rPr>
              <w:t>255,421.00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24,840,357.53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-71,806,631.93</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-340,000.00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宋体" w:hAnsi="宋体" w:cs="宋体" w:eastAsia="宋体" w:hint="default"/>
                <w:sz w:val="15"/>
                <w:szCs w:val="15"/>
              </w:rPr>
            </w:pPr>
            <w:r>
              <w:rPr>
                <w:rFonts w:ascii="宋体"/>
                <w:spacing w:val="-1"/>
                <w:sz w:val="15"/>
              </w:rPr>
              <w:t>-47,306,274.40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24,840,357.53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-24,840,357.53</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-46,966,274.40</w:t>
            </w: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-340,000.00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3"/>
              <w:jc w:val="right"/>
              <w:rPr>
                <w:rFonts w:ascii="宋体" w:hAnsi="宋体" w:cs="宋体" w:eastAsia="宋体" w:hint="default"/>
                <w:sz w:val="15"/>
                <w:szCs w:val="15"/>
              </w:rPr>
            </w:pPr>
            <w:r>
              <w:rPr>
                <w:rFonts w:ascii="宋体"/>
                <w:spacing w:val="-1"/>
                <w:sz w:val="15"/>
              </w:rPr>
              <w:t>-47,306,274.40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3,681,400.00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3"/>
              <w:jc w:val="right"/>
              <w:rPr>
                <w:rFonts w:ascii="宋体" w:hAnsi="宋体" w:cs="宋体" w:eastAsia="宋体" w:hint="default"/>
                <w:sz w:val="15"/>
                <w:szCs w:val="15"/>
              </w:rPr>
            </w:pPr>
            <w:r>
              <w:rPr>
                <w:rFonts w:ascii="宋体"/>
                <w:spacing w:val="-1"/>
                <w:sz w:val="15"/>
              </w:rPr>
              <w:t>3,681,400.00</w:t>
            </w:r>
          </w:p>
        </w:tc>
      </w:tr>
      <w:tr>
        <w:trPr>
          <w:trHeight w:val="332" w:hRule="exact"/>
        </w:trPr>
        <w:tc>
          <w:tcPr>
            <w:tcW w:w="387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939,325,488.00</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789,956,879.18</w:t>
            </w:r>
          </w:p>
        </w:tc>
        <w:tc>
          <w:tcPr>
            <w:tcW w:w="1058" w:type="dxa"/>
            <w:tcBorders>
              <w:top w:val="single" w:sz="4" w:space="0" w:color="000000"/>
              <w:left w:val="single" w:sz="4" w:space="0" w:color="000000"/>
              <w:bottom w:val="single" w:sz="12" w:space="0" w:color="000000"/>
              <w:right w:val="single" w:sz="4" w:space="0" w:color="000000"/>
            </w:tcBorders>
          </w:tcPr>
          <w:p>
            <w:pPr/>
          </w:p>
        </w:tc>
        <w:tc>
          <w:tcPr>
            <w:tcW w:w="939" w:type="dxa"/>
            <w:tcBorders>
              <w:top w:val="single" w:sz="4" w:space="0" w:color="000000"/>
              <w:left w:val="single" w:sz="4" w:space="0" w:color="000000"/>
              <w:bottom w:val="single" w:sz="12" w:space="0" w:color="000000"/>
              <w:right w:val="single" w:sz="4" w:space="0" w:color="000000"/>
            </w:tcBorders>
          </w:tcPr>
          <w:p>
            <w:pPr/>
          </w:p>
        </w:tc>
        <w:tc>
          <w:tcPr>
            <w:tcW w:w="1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158,068,366.76</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1,057,971,793.17</w:t>
            </w:r>
          </w:p>
        </w:tc>
        <w:tc>
          <w:tcPr>
            <w:tcW w:w="837" w:type="dxa"/>
            <w:tcBorders>
              <w:top w:val="single" w:sz="4" w:space="0" w:color="000000"/>
              <w:left w:val="single" w:sz="4" w:space="0" w:color="000000"/>
              <w:bottom w:val="single" w:sz="12" w:space="0" w:color="000000"/>
              <w:right w:val="single" w:sz="4" w:space="0" w:color="000000"/>
            </w:tcBorders>
          </w:tcPr>
          <w:p>
            <w:pPr/>
          </w:p>
        </w:tc>
        <w:tc>
          <w:tcPr>
            <w:tcW w:w="1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121,763,464.39</w:t>
            </w:r>
          </w:p>
        </w:tc>
        <w:tc>
          <w:tcPr>
            <w:tcW w:w="14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93"/>
              <w:jc w:val="right"/>
              <w:rPr>
                <w:rFonts w:ascii="宋体" w:hAnsi="宋体" w:cs="宋体" w:eastAsia="宋体" w:hint="default"/>
                <w:sz w:val="15"/>
                <w:szCs w:val="15"/>
              </w:rPr>
            </w:pPr>
            <w:r>
              <w:rPr>
                <w:rFonts w:ascii="宋体"/>
                <w:spacing w:val="-1"/>
                <w:sz w:val="15"/>
              </w:rPr>
              <w:t>3,067,085,991.50</w:t>
            </w:r>
          </w:p>
        </w:tc>
      </w:tr>
    </w:tbl>
    <w:p>
      <w:pPr>
        <w:spacing w:line="240" w:lineRule="auto" w:before="5"/>
        <w:rPr>
          <w:rFonts w:ascii="宋体" w:hAnsi="宋体" w:cs="宋体" w:eastAsia="宋体" w:hint="default"/>
          <w:sz w:val="20"/>
          <w:szCs w:val="20"/>
        </w:rPr>
      </w:pPr>
    </w:p>
    <w:p>
      <w:pPr>
        <w:tabs>
          <w:tab w:pos="6372" w:val="left" w:leader="none"/>
          <w:tab w:pos="10512" w:val="left" w:leader="none"/>
        </w:tabs>
        <w:spacing w:before="44"/>
        <w:ind w:left="286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headerReference w:type="default" r:id="rId31"/>
          <w:footerReference w:type="default" r:id="rId32"/>
          <w:pgSz w:w="16840" w:h="11910" w:orient="landscape"/>
          <w:pgMar w:header="852" w:footer="1012" w:top="1440" w:bottom="1200" w:left="340" w:right="1020"/>
          <w:pgNumType w:start="96"/>
        </w:sectPr>
      </w:pPr>
    </w:p>
    <w:p>
      <w:pPr>
        <w:spacing w:line="240" w:lineRule="auto" w:before="4"/>
        <w:rPr>
          <w:rFonts w:ascii="宋体" w:hAnsi="宋体" w:cs="宋体" w:eastAsia="宋体" w:hint="default"/>
          <w:sz w:val="13"/>
          <w:szCs w:val="13"/>
        </w:rPr>
      </w:pPr>
    </w:p>
    <w:p>
      <w:pPr>
        <w:pStyle w:val="Heading2"/>
        <w:spacing w:line="240" w:lineRule="auto" w:before="26"/>
        <w:ind w:left="6498" w:right="5806"/>
        <w:jc w:val="center"/>
        <w:rPr>
          <w:b w:val="0"/>
          <w:bCs w:val="0"/>
        </w:rPr>
      </w:pPr>
      <w:r>
        <w:rPr/>
        <w:t>合并所有者权益变动表（续）</w:t>
      </w:r>
      <w:r>
        <w:rPr>
          <w:b w:val="0"/>
          <w:bCs w:val="0"/>
        </w:rPr>
      </w:r>
    </w:p>
    <w:p>
      <w:pPr>
        <w:spacing w:before="46"/>
        <w:ind w:left="6483" w:right="5806"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4023" w:val="left" w:leader="none"/>
        </w:tabs>
        <w:spacing w:before="63"/>
        <w:ind w:left="792"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937"/>
        <w:gridCol w:w="1341"/>
        <w:gridCol w:w="1401"/>
        <w:gridCol w:w="1085"/>
        <w:gridCol w:w="1417"/>
        <w:gridCol w:w="1560"/>
        <w:gridCol w:w="1658"/>
        <w:gridCol w:w="1221"/>
        <w:gridCol w:w="1480"/>
      </w:tblGrid>
      <w:tr>
        <w:trPr>
          <w:trHeight w:val="332" w:hRule="exact"/>
        </w:trPr>
        <w:tc>
          <w:tcPr>
            <w:tcW w:w="3937"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1163" w:type="dxa"/>
            <w:gridSpan w:val="8"/>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3"/>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2" w:hRule="exact"/>
        </w:trPr>
        <w:tc>
          <w:tcPr>
            <w:tcW w:w="3937" w:type="dxa"/>
            <w:vMerge/>
            <w:tcBorders>
              <w:left w:val="single" w:sz="12" w:space="0" w:color="000000"/>
              <w:right w:val="single" w:sz="4" w:space="0" w:color="000000"/>
            </w:tcBorders>
            <w:shd w:val="clear" w:color="auto" w:fill="D3D3D3"/>
          </w:tcPr>
          <w:p>
            <w:pPr/>
          </w:p>
        </w:tc>
        <w:tc>
          <w:tcPr>
            <w:tcW w:w="846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515" w:right="15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80" w:type="dxa"/>
            <w:vMerge w:val="restart"/>
            <w:tcBorders>
              <w:top w:val="single" w:sz="4" w:space="0" w:color="000000"/>
              <w:left w:val="single" w:sz="4" w:space="0" w:color="000000"/>
              <w:right w:val="single" w:sz="12"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34" w:hRule="exact"/>
        </w:trPr>
        <w:tc>
          <w:tcPr>
            <w:tcW w:w="3937" w:type="dxa"/>
            <w:vMerge/>
            <w:tcBorders>
              <w:left w:val="single" w:sz="12" w:space="0" w:color="000000"/>
              <w:bottom w:val="single" w:sz="4" w:space="0" w:color="000000"/>
              <w:right w:val="single" w:sz="4" w:space="0" w:color="000000"/>
            </w:tcBorders>
            <w:shd w:val="clear" w:color="auto" w:fill="D3D3D3"/>
          </w:tcPr>
          <w:p>
            <w:pP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395" w:right="125" w:hanging="272"/>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1" w:type="dxa"/>
            <w:vMerge/>
            <w:tcBorders>
              <w:left w:val="single" w:sz="4" w:space="0" w:color="000000"/>
              <w:bottom w:val="single" w:sz="4" w:space="0" w:color="000000"/>
              <w:right w:val="single" w:sz="4" w:space="0" w:color="000000"/>
            </w:tcBorders>
            <w:shd w:val="clear" w:color="auto" w:fill="D3D3D3"/>
          </w:tcPr>
          <w:p>
            <w:pPr/>
          </w:p>
        </w:tc>
        <w:tc>
          <w:tcPr>
            <w:tcW w:w="1480"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938,705,488.00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777,694,458.18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112,396,087.82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690,247,501.52</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宋体" w:hAnsi="宋体" w:cs="宋体" w:eastAsia="宋体" w:hint="default"/>
                <w:sz w:val="15"/>
                <w:szCs w:val="15"/>
              </w:rPr>
            </w:pPr>
            <w:r>
              <w:rPr>
                <w:rFonts w:ascii="宋体"/>
                <w:sz w:val="15"/>
              </w:rPr>
              <w:t>2,858,758.35</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2,521,902,293.87</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938,705,488.00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777,694,458.18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112,396,087.82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690,247,501.52</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center"/>
              <w:rPr>
                <w:rFonts w:ascii="宋体" w:hAnsi="宋体" w:cs="宋体" w:eastAsia="宋体" w:hint="default"/>
                <w:sz w:val="15"/>
                <w:szCs w:val="15"/>
              </w:rPr>
            </w:pPr>
            <w:r>
              <w:rPr>
                <w:rFonts w:ascii="宋体"/>
                <w:sz w:val="15"/>
              </w:rPr>
              <w:t>2,858,758.35</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宋体" w:hAnsi="宋体" w:cs="宋体" w:eastAsia="宋体" w:hint="default"/>
                <w:sz w:val="15"/>
                <w:szCs w:val="15"/>
              </w:rPr>
            </w:pPr>
            <w:r>
              <w:rPr>
                <w:rFonts w:ascii="宋体"/>
                <w:spacing w:val="-1"/>
                <w:sz w:val="15"/>
              </w:rPr>
              <w:t>2,521,902,293.87</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930,000.00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9,095,600.00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20,831,921,41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167,639,140,82</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15"/>
                <w:szCs w:val="15"/>
              </w:rPr>
            </w:pPr>
            <w:r>
              <w:rPr>
                <w:rFonts w:ascii="宋体"/>
                <w:sz w:val="15"/>
              </w:rPr>
              <w:t>7,865,963.39</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2"/>
              <w:jc w:val="right"/>
              <w:rPr>
                <w:rFonts w:ascii="宋体" w:hAnsi="宋体" w:cs="宋体" w:eastAsia="宋体" w:hint="default"/>
                <w:sz w:val="15"/>
                <w:szCs w:val="15"/>
              </w:rPr>
            </w:pPr>
            <w:r>
              <w:rPr>
                <w:rFonts w:ascii="宋体"/>
                <w:spacing w:val="-1"/>
                <w:sz w:val="15"/>
              </w:rPr>
              <w:t>206,362,625.62</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235,406,336.63</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15"/>
                <w:szCs w:val="15"/>
              </w:rPr>
            </w:pPr>
            <w:r>
              <w:rPr>
                <w:rFonts w:ascii="宋体"/>
                <w:sz w:val="15"/>
              </w:rPr>
              <w:t>1,365,963.39</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2"/>
              <w:jc w:val="right"/>
              <w:rPr>
                <w:rFonts w:ascii="宋体" w:hAnsi="宋体" w:cs="宋体" w:eastAsia="宋体" w:hint="default"/>
                <w:sz w:val="15"/>
                <w:szCs w:val="15"/>
              </w:rPr>
            </w:pPr>
            <w:r>
              <w:rPr>
                <w:rFonts w:ascii="宋体"/>
                <w:spacing w:val="-1"/>
                <w:sz w:val="15"/>
              </w:rPr>
              <w:t>236,772,300.02</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930,000.00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2,341,100.00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宋体" w:hAnsi="宋体" w:cs="宋体" w:eastAsia="宋体" w:hint="default"/>
                <w:sz w:val="15"/>
                <w:szCs w:val="15"/>
              </w:rPr>
            </w:pPr>
            <w:r>
              <w:rPr>
                <w:rFonts w:ascii="宋体"/>
                <w:sz w:val="15"/>
              </w:rPr>
              <w:t>6,500,000.00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9,771,100.00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1,000,000.00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2,430,000.00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宋体" w:hAnsi="宋体" w:cs="宋体" w:eastAsia="宋体" w:hint="default"/>
                <w:sz w:val="15"/>
                <w:szCs w:val="15"/>
              </w:rPr>
            </w:pPr>
            <w:r>
              <w:rPr>
                <w:rFonts w:ascii="宋体"/>
                <w:sz w:val="15"/>
              </w:rPr>
              <w:t>6,500,000.00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9,930,000.00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-70,000.00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-88,900.00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宋体" w:hAnsi="宋体" w:cs="宋体" w:eastAsia="宋体" w:hint="default"/>
                <w:sz w:val="15"/>
                <w:szCs w:val="15"/>
              </w:rPr>
            </w:pPr>
            <w:r>
              <w:rPr>
                <w:rFonts w:ascii="宋体"/>
                <w:spacing w:val="-1"/>
                <w:sz w:val="15"/>
              </w:rPr>
              <w:t>-158,900.00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20,831,921,41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-67,767,195,81</w:t>
            </w: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2"/>
              <w:jc w:val="right"/>
              <w:rPr>
                <w:rFonts w:ascii="宋体" w:hAnsi="宋体" w:cs="宋体" w:eastAsia="宋体" w:hint="default"/>
                <w:sz w:val="15"/>
                <w:szCs w:val="15"/>
              </w:rPr>
            </w:pPr>
            <w:r>
              <w:rPr>
                <w:rFonts w:ascii="宋体"/>
                <w:spacing w:val="-1"/>
                <w:sz w:val="15"/>
              </w:rPr>
              <w:t>-46,935,274.40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20,831,921,41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-20,831,921,41</w:t>
            </w: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-46,935,274.40</w:t>
            </w: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2"/>
              <w:jc w:val="right"/>
              <w:rPr>
                <w:rFonts w:ascii="宋体" w:hAnsi="宋体" w:cs="宋体" w:eastAsia="宋体" w:hint="default"/>
                <w:sz w:val="15"/>
                <w:szCs w:val="15"/>
              </w:rPr>
            </w:pPr>
            <w:r>
              <w:rPr>
                <w:rFonts w:ascii="宋体"/>
                <w:spacing w:val="-1"/>
                <w:sz w:val="15"/>
              </w:rPr>
              <w:t>-46,935,274.40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6,754,500.00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5"/>
              <w:jc w:val="right"/>
              <w:rPr>
                <w:rFonts w:ascii="宋体" w:hAnsi="宋体" w:cs="宋体" w:eastAsia="宋体" w:hint="default"/>
                <w:sz w:val="15"/>
                <w:szCs w:val="15"/>
              </w:rPr>
            </w:pPr>
            <w:r>
              <w:rPr>
                <w:rFonts w:ascii="宋体"/>
                <w:spacing w:val="-1"/>
                <w:sz w:val="15"/>
              </w:rPr>
              <w:t>6,754,500.00</w:t>
            </w:r>
          </w:p>
        </w:tc>
      </w:tr>
      <w:tr>
        <w:trPr>
          <w:trHeight w:val="332" w:hRule="exact"/>
        </w:trPr>
        <w:tc>
          <w:tcPr>
            <w:tcW w:w="393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939,635,488.00</w:t>
            </w:r>
          </w:p>
        </w:tc>
        <w:tc>
          <w:tcPr>
            <w:tcW w:w="14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786,790,058.18</w:t>
            </w:r>
          </w:p>
        </w:tc>
        <w:tc>
          <w:tcPr>
            <w:tcW w:w="1085"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133,228,009,23</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857,886,642,34</w:t>
            </w:r>
          </w:p>
        </w:tc>
        <w:tc>
          <w:tcPr>
            <w:tcW w:w="12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29" w:right="0"/>
              <w:jc w:val="center"/>
              <w:rPr>
                <w:rFonts w:ascii="宋体" w:hAnsi="宋体" w:cs="宋体" w:eastAsia="宋体" w:hint="default"/>
                <w:sz w:val="15"/>
                <w:szCs w:val="15"/>
              </w:rPr>
            </w:pPr>
            <w:r>
              <w:rPr>
                <w:rFonts w:ascii="宋体"/>
                <w:sz w:val="15"/>
              </w:rPr>
              <w:t>10,724,721.74</w:t>
            </w:r>
          </w:p>
        </w:tc>
        <w:tc>
          <w:tcPr>
            <w:tcW w:w="14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2,728,264,919.49</w:t>
            </w:r>
          </w:p>
        </w:tc>
      </w:tr>
    </w:tbl>
    <w:p>
      <w:pPr>
        <w:spacing w:line="240" w:lineRule="auto" w:before="8"/>
        <w:rPr>
          <w:rFonts w:ascii="宋体" w:hAnsi="宋体" w:cs="宋体" w:eastAsia="宋体" w:hint="default"/>
          <w:sz w:val="6"/>
          <w:szCs w:val="6"/>
        </w:rPr>
      </w:pPr>
    </w:p>
    <w:p>
      <w:pPr>
        <w:tabs>
          <w:tab w:pos="6372" w:val="left" w:leader="none"/>
          <w:tab w:pos="10512" w:val="left" w:leader="none"/>
        </w:tabs>
        <w:spacing w:before="44"/>
        <w:ind w:left="286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6840" w:h="11910" w:orient="landscape"/>
          <w:pgMar w:header="852" w:footer="1012" w:top="1440" w:bottom="1200" w:left="340" w:right="1020"/>
        </w:sectPr>
      </w:pPr>
    </w:p>
    <w:p>
      <w:pPr>
        <w:spacing w:line="240" w:lineRule="auto" w:before="12"/>
        <w:rPr>
          <w:rFonts w:ascii="宋体" w:hAnsi="宋体" w:cs="宋体" w:eastAsia="宋体" w:hint="default"/>
          <w:sz w:val="21"/>
          <w:szCs w:val="21"/>
        </w:rPr>
      </w:pPr>
    </w:p>
    <w:p>
      <w:pPr>
        <w:spacing w:before="34"/>
        <w:ind w:left="7000" w:right="6214"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before="122"/>
        <w:ind w:left="6991" w:right="6214"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4032" w:val="left" w:leader="none"/>
        </w:tabs>
        <w:spacing w:before="103"/>
        <w:ind w:left="892"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22"/>
        <w:gridCol w:w="1701"/>
        <w:gridCol w:w="1842"/>
        <w:gridCol w:w="1701"/>
        <w:gridCol w:w="1843"/>
        <w:gridCol w:w="1985"/>
        <w:gridCol w:w="2126"/>
      </w:tblGrid>
      <w:tr>
        <w:trPr>
          <w:trHeight w:val="254" w:hRule="exact"/>
        </w:trPr>
        <w:tc>
          <w:tcPr>
            <w:tcW w:w="4022"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9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8" w:type="dxa"/>
            <w:gridSpan w:val="6"/>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08" w:lineRule="exact"/>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3" w:hRule="exact"/>
        </w:trPr>
        <w:tc>
          <w:tcPr>
            <w:tcW w:w="4022" w:type="dxa"/>
            <w:vMerge/>
            <w:tcBorders>
              <w:left w:val="single" w:sz="12"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right="12"/>
              <w:jc w:val="righ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5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55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5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06" w:lineRule="exact"/>
              <w:ind w:left="4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8" w:right="0"/>
              <w:jc w:val="left"/>
              <w:rPr>
                <w:rFonts w:ascii="宋体" w:hAnsi="宋体" w:cs="宋体" w:eastAsia="宋体" w:hint="default"/>
                <w:sz w:val="18"/>
                <w:szCs w:val="18"/>
              </w:rPr>
            </w:pPr>
            <w:r>
              <w:rPr>
                <w:rFonts w:ascii="宋体"/>
                <w:sz w:val="18"/>
              </w:rPr>
              <w:t>939,635,488.00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949,316,859.28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1" w:right="0"/>
              <w:jc w:val="left"/>
              <w:rPr>
                <w:rFonts w:ascii="宋体" w:hAnsi="宋体" w:cs="宋体" w:eastAsia="宋体" w:hint="default"/>
                <w:sz w:val="18"/>
                <w:szCs w:val="18"/>
              </w:rPr>
            </w:pPr>
            <w:r>
              <w:rPr>
                <w:rFonts w:ascii="宋体"/>
                <w:sz w:val="18"/>
              </w:rPr>
              <w:t>77,533,236.92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512,051,034.11</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2,478,536,618.31</w:t>
            </w: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939,635,488.00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949,316,859.28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sz w:val="18"/>
              </w:rPr>
              <w:t>77,533,236.92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512,051,034.11</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2,478,536,618.31</w:t>
            </w: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pacing w:val="-1"/>
                <w:sz w:val="18"/>
              </w:rPr>
              <w:t>-310,000.00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3,166,821.00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11,533,220.17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56,832,707.11</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71,222,748.28</w:t>
            </w:r>
          </w:p>
        </w:tc>
      </w:tr>
      <w:tr>
        <w:trPr>
          <w:trHeight w:val="324"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115,332,201.68</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115,332,201.68</w:t>
            </w: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pacing w:val="-1"/>
                <w:sz w:val="18"/>
              </w:rPr>
              <w:t>-310,000.00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-514,579.00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-824,579.00</w:t>
            </w:r>
          </w:p>
        </w:tc>
      </w:tr>
      <w:tr>
        <w:trPr>
          <w:trHeight w:val="324"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-310,000.00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-514,579.00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-824,579.00</w:t>
            </w:r>
          </w:p>
        </w:tc>
      </w:tr>
      <w:tr>
        <w:trPr>
          <w:trHeight w:val="324"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11,533,220.17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-58,499,494.57</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-46,966,274.40</w:t>
            </w: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11,533,220.17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-11,533,220.17</w:t>
            </w: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-46,966,274.40</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-46,966,274.40</w:t>
            </w:r>
          </w:p>
        </w:tc>
      </w:tr>
      <w:tr>
        <w:trPr>
          <w:trHeight w:val="324"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4"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3,681,400.00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3,681,400.00</w:t>
            </w:r>
          </w:p>
        </w:tc>
      </w:tr>
      <w:tr>
        <w:trPr>
          <w:trHeight w:val="333" w:hRule="exact"/>
        </w:trPr>
        <w:tc>
          <w:tcPr>
            <w:tcW w:w="402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939,325,488.00</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952,483,680.28</w:t>
            </w:r>
          </w:p>
        </w:tc>
        <w:tc>
          <w:tcPr>
            <w:tcW w:w="1701" w:type="dxa"/>
            <w:tcBorders>
              <w:top w:val="single" w:sz="4" w:space="0" w:color="000000"/>
              <w:left w:val="single" w:sz="4" w:space="0" w:color="000000"/>
              <w:bottom w:val="single" w:sz="12" w:space="0" w:color="000000"/>
              <w:right w:val="single" w:sz="4" w:space="0" w:color="000000"/>
            </w:tcBorders>
          </w:tcPr>
          <w:p>
            <w:pP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sz w:val="18"/>
              </w:rPr>
              <w:t>89,066,457.09</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568,883,741.22</w:t>
            </w:r>
          </w:p>
        </w:tc>
        <w:tc>
          <w:tcPr>
            <w:tcW w:w="21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2,549,759,366.59</w:t>
            </w:r>
          </w:p>
        </w:tc>
      </w:tr>
    </w:tbl>
    <w:p>
      <w:pPr>
        <w:spacing w:line="240" w:lineRule="auto" w:before="6"/>
        <w:rPr>
          <w:rFonts w:ascii="宋体" w:hAnsi="宋体" w:cs="宋体" w:eastAsia="宋体" w:hint="default"/>
          <w:sz w:val="17"/>
          <w:szCs w:val="17"/>
        </w:rPr>
      </w:pPr>
    </w:p>
    <w:p>
      <w:pPr>
        <w:tabs>
          <w:tab w:pos="6472" w:val="left" w:leader="none"/>
          <w:tab w:pos="10612" w:val="left" w:leader="none"/>
        </w:tabs>
        <w:spacing w:before="44"/>
        <w:ind w:left="296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footerReference w:type="default" r:id="rId33"/>
          <w:pgSz w:w="16840" w:h="11910" w:orient="landscape"/>
          <w:pgMar w:footer="873" w:header="852" w:top="1440" w:bottom="1060" w:left="240" w:right="1020"/>
          <w:pgNumType w:start="98"/>
        </w:sectPr>
      </w:pPr>
    </w:p>
    <w:p>
      <w:pPr>
        <w:spacing w:line="240" w:lineRule="auto" w:before="2"/>
        <w:rPr>
          <w:rFonts w:ascii="宋体" w:hAnsi="宋体" w:cs="宋体" w:eastAsia="宋体" w:hint="default"/>
          <w:sz w:val="22"/>
          <w:szCs w:val="22"/>
        </w:rPr>
      </w:pPr>
    </w:p>
    <w:p>
      <w:pPr>
        <w:spacing w:before="34"/>
        <w:ind w:left="7080" w:right="6214"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before="122"/>
        <w:ind w:left="7071" w:right="6214"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4023" w:val="left" w:leader="none"/>
        </w:tabs>
        <w:spacing w:before="103"/>
        <w:ind w:left="972"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106"/>
        <w:gridCol w:w="1701"/>
        <w:gridCol w:w="1842"/>
        <w:gridCol w:w="1701"/>
        <w:gridCol w:w="1843"/>
        <w:gridCol w:w="1985"/>
        <w:gridCol w:w="2126"/>
      </w:tblGrid>
      <w:tr>
        <w:trPr>
          <w:trHeight w:val="254" w:hRule="exact"/>
        </w:trPr>
        <w:tc>
          <w:tcPr>
            <w:tcW w:w="4106"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94"/>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8" w:type="dxa"/>
            <w:gridSpan w:val="6"/>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08" w:lineRule="exact"/>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3" w:hRule="exact"/>
        </w:trPr>
        <w:tc>
          <w:tcPr>
            <w:tcW w:w="4106" w:type="dxa"/>
            <w:vMerge/>
            <w:tcBorders>
              <w:left w:val="single" w:sz="12"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right="12"/>
              <w:jc w:val="righ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5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55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5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06" w:lineRule="exact"/>
              <w:ind w:left="4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8" w:right="0"/>
              <w:jc w:val="left"/>
              <w:rPr>
                <w:rFonts w:ascii="宋体" w:hAnsi="宋体" w:cs="宋体" w:eastAsia="宋体" w:hint="default"/>
                <w:sz w:val="18"/>
                <w:szCs w:val="18"/>
              </w:rPr>
            </w:pPr>
            <w:r>
              <w:rPr>
                <w:rFonts w:ascii="宋体"/>
                <w:sz w:val="18"/>
              </w:rPr>
              <w:t>938,705,488.00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940,221,259.28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1" w:right="0"/>
              <w:jc w:val="left"/>
              <w:rPr>
                <w:rFonts w:ascii="宋体" w:hAnsi="宋体" w:cs="宋体" w:eastAsia="宋体" w:hint="default"/>
                <w:sz w:val="18"/>
                <w:szCs w:val="18"/>
              </w:rPr>
            </w:pPr>
            <w:r>
              <w:rPr>
                <w:rFonts w:ascii="宋体"/>
                <w:sz w:val="18"/>
              </w:rPr>
              <w:t>67,264,014.15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466,563,303.63</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2,412,754,065.06</w:t>
            </w:r>
          </w:p>
        </w:tc>
      </w:tr>
      <w:tr>
        <w:trPr>
          <w:trHeight w:val="32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938,705,488.00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940,221,259.28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sz w:val="18"/>
              </w:rPr>
              <w:t>67,264,014.15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466,563,303.63</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2,412,754,065.06</w:t>
            </w:r>
          </w:p>
        </w:tc>
      </w:tr>
      <w:tr>
        <w:trPr>
          <w:trHeight w:val="32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930,000.00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9,095,600.00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10,269,222.77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45,487,730.48</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65,782,553.25</w:t>
            </w:r>
          </w:p>
        </w:tc>
      </w:tr>
      <w:tr>
        <w:trPr>
          <w:trHeight w:val="324"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102,692,227.65</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102,692,227.65</w:t>
            </w:r>
          </w:p>
        </w:tc>
      </w:tr>
      <w:tr>
        <w:trPr>
          <w:trHeight w:val="32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930,000.00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2,341,100.00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3,271,100.00</w:t>
            </w:r>
          </w:p>
        </w:tc>
      </w:tr>
      <w:tr>
        <w:trPr>
          <w:trHeight w:val="324"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pacing w:val="-1"/>
                <w:sz w:val="18"/>
              </w:rPr>
              <w:t>1,000,000.00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2,430,000.00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3,430,000.00</w:t>
            </w:r>
          </w:p>
        </w:tc>
      </w:tr>
      <w:tr>
        <w:trPr>
          <w:trHeight w:val="32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-88,900.00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-158,900.00</w:t>
            </w:r>
          </w:p>
        </w:tc>
      </w:tr>
      <w:tr>
        <w:trPr>
          <w:trHeight w:val="324"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10,269,222.77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-57,204,497.17</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-46,935,274.40</w:t>
            </w:r>
          </w:p>
        </w:tc>
      </w:tr>
      <w:tr>
        <w:trPr>
          <w:trHeight w:val="32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10,269,222.77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-10,269,222.77</w:t>
            </w: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pacing w:val="-1"/>
                <w:sz w:val="18"/>
              </w:rPr>
              <w:t>-46,935,274.40</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-46,935,274.40</w:t>
            </w:r>
          </w:p>
        </w:tc>
      </w:tr>
      <w:tr>
        <w:trPr>
          <w:trHeight w:val="297"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3" w:lineRule="exact"/>
              <w:ind w:left="9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297"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3" w:lineRule="exact"/>
              <w:ind w:left="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4"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6,754,500.00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6,754,500.00</w:t>
            </w:r>
          </w:p>
        </w:tc>
      </w:tr>
      <w:tr>
        <w:trPr>
          <w:trHeight w:val="333" w:hRule="exact"/>
        </w:trPr>
        <w:tc>
          <w:tcPr>
            <w:tcW w:w="4106"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939,635,488.00</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949,316,859.28</w:t>
            </w:r>
          </w:p>
        </w:tc>
        <w:tc>
          <w:tcPr>
            <w:tcW w:w="1701" w:type="dxa"/>
            <w:tcBorders>
              <w:top w:val="single" w:sz="4" w:space="0" w:color="000000"/>
              <w:left w:val="single" w:sz="4" w:space="0" w:color="000000"/>
              <w:bottom w:val="single" w:sz="12" w:space="0" w:color="000000"/>
              <w:right w:val="single" w:sz="4" w:space="0" w:color="000000"/>
            </w:tcBorders>
          </w:tcPr>
          <w:p>
            <w:pP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sz w:val="18"/>
              </w:rPr>
              <w:t>77,533,236.92</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512,051,034.11</w:t>
            </w:r>
          </w:p>
        </w:tc>
        <w:tc>
          <w:tcPr>
            <w:tcW w:w="21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pacing w:val="-1"/>
                <w:sz w:val="18"/>
              </w:rPr>
              <w:t>2,478,536,618.31</w:t>
            </w:r>
          </w:p>
        </w:tc>
      </w:tr>
    </w:tbl>
    <w:p>
      <w:pPr>
        <w:spacing w:line="240" w:lineRule="auto" w:before="6"/>
        <w:rPr>
          <w:rFonts w:ascii="宋体" w:hAnsi="宋体" w:cs="宋体" w:eastAsia="宋体" w:hint="default"/>
          <w:sz w:val="17"/>
          <w:szCs w:val="17"/>
        </w:rPr>
      </w:pPr>
    </w:p>
    <w:p>
      <w:pPr>
        <w:tabs>
          <w:tab w:pos="6463" w:val="left" w:leader="none"/>
          <w:tab w:pos="10603" w:val="left" w:leader="none"/>
        </w:tabs>
        <w:spacing w:before="44"/>
        <w:ind w:left="304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6840" w:h="11910" w:orient="landscape"/>
          <w:pgMar w:header="852" w:footer="873" w:top="1440" w:bottom="1060" w:left="160" w:right="1020"/>
        </w:sectPr>
      </w:pPr>
    </w:p>
    <w:p>
      <w:pPr>
        <w:spacing w:line="240" w:lineRule="auto" w:before="4"/>
        <w:rPr>
          <w:rFonts w:ascii="宋体" w:hAnsi="宋体" w:cs="宋体" w:eastAsia="宋体" w:hint="default"/>
          <w:sz w:val="24"/>
          <w:szCs w:val="24"/>
        </w:rPr>
      </w:pPr>
    </w:p>
    <w:p>
      <w:pPr>
        <w:pStyle w:val="Heading4"/>
        <w:spacing w:line="240" w:lineRule="auto"/>
        <w:ind w:left="573" w:right="87"/>
        <w:jc w:val="left"/>
        <w:rPr>
          <w:b w:val="0"/>
          <w:bCs w:val="0"/>
        </w:rPr>
      </w:pPr>
      <w:r>
        <w:rPr/>
        <w:t>一</w:t>
      </w:r>
      <w:r>
        <w:rPr>
          <w:spacing w:val="-71"/>
        </w:rPr>
        <w:t> </w:t>
      </w:r>
      <w:r>
        <w:rPr/>
        <w:t>、</w:t>
      </w:r>
      <w:r>
        <w:rPr>
          <w:spacing w:val="81"/>
        </w:rPr>
        <w:t> </w:t>
      </w:r>
      <w:r>
        <w:rPr/>
        <w:t>公</w:t>
      </w:r>
      <w:r>
        <w:rPr>
          <w:spacing w:val="-71"/>
        </w:rPr>
        <w:t> </w:t>
      </w:r>
      <w:r>
        <w:rPr/>
        <w:t>司</w:t>
      </w:r>
      <w:r>
        <w:rPr>
          <w:spacing w:val="-73"/>
        </w:rPr>
        <w:t> </w:t>
      </w:r>
      <w:r>
        <w:rPr/>
        <w:t>的</w:t>
      </w:r>
      <w:r>
        <w:rPr>
          <w:spacing w:val="-71"/>
        </w:rPr>
        <w:t> </w:t>
      </w:r>
      <w:r>
        <w:rPr/>
        <w:t>基</w:t>
      </w:r>
      <w:r>
        <w:rPr>
          <w:spacing w:val="-71"/>
        </w:rPr>
        <w:t> </w:t>
      </w:r>
      <w:r>
        <w:rPr/>
        <w:t>本</w:t>
      </w:r>
      <w:r>
        <w:rPr>
          <w:spacing w:val="-73"/>
        </w:rPr>
        <w:t> </w:t>
      </w:r>
      <w:r>
        <w:rPr/>
        <w:t>情</w:t>
      </w:r>
      <w:r>
        <w:rPr>
          <w:spacing w:val="-71"/>
        </w:rPr>
        <w:t> </w:t>
      </w:r>
      <w:r>
        <w:rPr/>
        <w:t>况</w:t>
      </w:r>
      <w:r>
        <w:rPr>
          <w:b w:val="0"/>
          <w:bCs w:val="0"/>
        </w:rPr>
      </w:r>
    </w:p>
    <w:p>
      <w:pPr>
        <w:pStyle w:val="BodyText"/>
        <w:spacing w:line="300" w:lineRule="auto" w:before="192"/>
        <w:ind w:right="210" w:firstLine="441"/>
        <w:jc w:val="both"/>
      </w:pPr>
      <w:r>
        <w:rPr>
          <w:spacing w:val="-3"/>
        </w:rPr>
        <w:t>浙江万马股份有限公司（以下简称“本公司”，在包含子公司时统称“本集团”）是以浙江万马</w:t>
      </w:r>
      <w:r>
        <w:rPr>
          <w:w w:val="100"/>
        </w:rPr>
        <w:t> </w:t>
      </w:r>
      <w:r>
        <w:rPr/>
        <w:t>电气电缆集团有限公司（以下简称“电气电缆集团”）和张珊珊等 15</w:t>
      </w:r>
      <w:r>
        <w:rPr>
          <w:spacing w:val="-64"/>
        </w:rPr>
        <w:t> </w:t>
      </w:r>
      <w:r>
        <w:rPr/>
        <w:t>位自然人为发起人，由浙江万</w:t>
      </w:r>
    </w:p>
    <w:p>
      <w:pPr>
        <w:pStyle w:val="BodyText"/>
        <w:spacing w:line="240" w:lineRule="auto" w:before="17"/>
        <w:ind w:right="87"/>
        <w:jc w:val="left"/>
      </w:pPr>
      <w:r>
        <w:rPr>
          <w:spacing w:val="-9"/>
        </w:rPr>
        <w:t>马集团电缆有限公司（以下简称“电缆有限公司”）整体变更方式设立的股份有限公司。本公司于</w:t>
      </w:r>
      <w:r>
        <w:rPr>
          <w:spacing w:val="-8"/>
        </w:rPr>
        <w:t> </w:t>
      </w:r>
      <w:r>
        <w:rPr/>
        <w:t>2007</w:t>
      </w:r>
    </w:p>
    <w:p>
      <w:pPr>
        <w:pStyle w:val="BodyText"/>
        <w:spacing w:line="300" w:lineRule="auto" w:before="72"/>
        <w:ind w:right="87"/>
        <w:jc w:val="left"/>
      </w:pPr>
      <w:r>
        <w:rPr/>
        <w:t>年</w:t>
      </w:r>
      <w:r>
        <w:rPr>
          <w:spacing w:val="-14"/>
        </w:rPr>
        <w:t> </w:t>
      </w:r>
      <w:r>
        <w:rPr/>
        <w:t>2</w:t>
      </w:r>
      <w:r>
        <w:rPr>
          <w:spacing w:val="-14"/>
        </w:rPr>
        <w:t> </w:t>
      </w:r>
      <w:r>
        <w:rPr/>
        <w:t>月</w:t>
      </w:r>
      <w:r>
        <w:rPr>
          <w:spacing w:val="-14"/>
        </w:rPr>
        <w:t> </w:t>
      </w:r>
      <w:r>
        <w:rPr/>
        <w:t>6</w:t>
      </w:r>
      <w:r>
        <w:rPr>
          <w:spacing w:val="-14"/>
        </w:rPr>
        <w:t> </w:t>
      </w:r>
      <w:r>
        <w:rPr/>
        <w:t>日</w:t>
      </w:r>
      <w:r>
        <w:rPr>
          <w:spacing w:val="-70"/>
        </w:rPr>
        <w:t> </w:t>
      </w:r>
      <w:r>
        <w:rPr/>
        <w:t>在</w:t>
      </w:r>
      <w:r>
        <w:rPr>
          <w:spacing w:val="-70"/>
        </w:rPr>
        <w:t> </w:t>
      </w:r>
      <w:r>
        <w:rPr/>
        <w:t>浙</w:t>
      </w:r>
      <w:r>
        <w:rPr>
          <w:spacing w:val="-70"/>
        </w:rPr>
        <w:t> </w:t>
      </w:r>
      <w:r>
        <w:rPr/>
        <w:t>江</w:t>
      </w:r>
      <w:r>
        <w:rPr>
          <w:spacing w:val="-70"/>
        </w:rPr>
        <w:t> </w:t>
      </w:r>
      <w:r>
        <w:rPr/>
        <w:t>省</w:t>
      </w:r>
      <w:r>
        <w:rPr>
          <w:spacing w:val="-70"/>
        </w:rPr>
        <w:t> </w:t>
      </w:r>
      <w:r>
        <w:rPr/>
        <w:t>工</w:t>
      </w:r>
      <w:r>
        <w:rPr>
          <w:spacing w:val="-70"/>
        </w:rPr>
        <w:t> </w:t>
      </w:r>
      <w:r>
        <w:rPr/>
        <w:t>商</w:t>
      </w:r>
      <w:r>
        <w:rPr>
          <w:spacing w:val="-70"/>
        </w:rPr>
        <w:t> </w:t>
      </w:r>
      <w:r>
        <w:rPr/>
        <w:t>行</w:t>
      </w:r>
      <w:r>
        <w:rPr>
          <w:spacing w:val="-70"/>
        </w:rPr>
        <w:t> </w:t>
      </w:r>
      <w:r>
        <w:rPr/>
        <w:t>政</w:t>
      </w:r>
      <w:r>
        <w:rPr>
          <w:spacing w:val="-70"/>
        </w:rPr>
        <w:t> </w:t>
      </w:r>
      <w:r>
        <w:rPr/>
        <w:t>管</w:t>
      </w:r>
      <w:r>
        <w:rPr>
          <w:spacing w:val="-70"/>
        </w:rPr>
        <w:t> </w:t>
      </w:r>
      <w:r>
        <w:rPr/>
        <w:t>理</w:t>
      </w:r>
      <w:r>
        <w:rPr>
          <w:spacing w:val="-70"/>
        </w:rPr>
        <w:t> </w:t>
      </w:r>
      <w:r>
        <w:rPr/>
        <w:t>局</w:t>
      </w:r>
      <w:r>
        <w:rPr>
          <w:spacing w:val="-70"/>
        </w:rPr>
        <w:t> </w:t>
      </w:r>
      <w:r>
        <w:rPr/>
        <w:t>办</w:t>
      </w:r>
      <w:r>
        <w:rPr>
          <w:spacing w:val="-67"/>
        </w:rPr>
        <w:t> </w:t>
      </w:r>
      <w:r>
        <w:rPr/>
        <w:t>理</w:t>
      </w:r>
      <w:r>
        <w:rPr>
          <w:spacing w:val="-70"/>
        </w:rPr>
        <w:t> </w:t>
      </w:r>
      <w:r>
        <w:rPr/>
        <w:t>工</w:t>
      </w:r>
      <w:r>
        <w:rPr>
          <w:spacing w:val="-70"/>
        </w:rPr>
        <w:t> </w:t>
      </w:r>
      <w:r>
        <w:rPr/>
        <w:t>商</w:t>
      </w:r>
      <w:r>
        <w:rPr>
          <w:spacing w:val="-70"/>
        </w:rPr>
        <w:t> </w:t>
      </w:r>
      <w:r>
        <w:rPr/>
        <w:t>登</w:t>
      </w:r>
      <w:r>
        <w:rPr>
          <w:spacing w:val="-70"/>
        </w:rPr>
        <w:t> </w:t>
      </w:r>
      <w:r>
        <w:rPr/>
        <w:t>记</w:t>
      </w:r>
      <w:r>
        <w:rPr>
          <w:spacing w:val="-70"/>
        </w:rPr>
        <w:t> </w:t>
      </w:r>
      <w:r>
        <w:rPr/>
        <w:t>手</w:t>
      </w:r>
      <w:r>
        <w:rPr>
          <w:spacing w:val="-70"/>
        </w:rPr>
        <w:t> </w:t>
      </w:r>
      <w:r>
        <w:rPr/>
        <w:t>续</w:t>
      </w:r>
      <w:r>
        <w:rPr>
          <w:spacing w:val="-70"/>
        </w:rPr>
        <w:t> </w:t>
      </w:r>
      <w:r>
        <w:rPr/>
        <w:t>，</w:t>
      </w:r>
      <w:r>
        <w:rPr>
          <w:spacing w:val="-70"/>
        </w:rPr>
        <w:t> </w:t>
      </w:r>
      <w:r>
        <w:rPr/>
        <w:t>企</w:t>
      </w:r>
      <w:r>
        <w:rPr>
          <w:spacing w:val="-70"/>
        </w:rPr>
        <w:t> </w:t>
      </w:r>
      <w:r>
        <w:rPr/>
        <w:t>业</w:t>
      </w:r>
      <w:r>
        <w:rPr>
          <w:spacing w:val="-70"/>
        </w:rPr>
        <w:t> </w:t>
      </w:r>
      <w:r>
        <w:rPr/>
        <w:t>法</w:t>
      </w:r>
      <w:r>
        <w:rPr>
          <w:spacing w:val="-70"/>
        </w:rPr>
        <w:t> </w:t>
      </w:r>
      <w:r>
        <w:rPr/>
        <w:t>人</w:t>
      </w:r>
      <w:r>
        <w:rPr>
          <w:spacing w:val="-70"/>
        </w:rPr>
        <w:t> </w:t>
      </w:r>
      <w:r>
        <w:rPr/>
        <w:t>营</w:t>
      </w:r>
      <w:r>
        <w:rPr>
          <w:spacing w:val="-70"/>
        </w:rPr>
        <w:t> </w:t>
      </w:r>
      <w:r>
        <w:rPr/>
        <w:t>业</w:t>
      </w:r>
      <w:r>
        <w:rPr>
          <w:spacing w:val="-70"/>
        </w:rPr>
        <w:t> </w:t>
      </w:r>
      <w:r>
        <w:rPr/>
        <w:t>执</w:t>
      </w:r>
      <w:r>
        <w:rPr>
          <w:spacing w:val="-70"/>
        </w:rPr>
        <w:t> </w:t>
      </w:r>
      <w:r>
        <w:rPr/>
        <w:t>照</w:t>
      </w:r>
      <w:r>
        <w:rPr>
          <w:spacing w:val="-70"/>
        </w:rPr>
        <w:t> </w:t>
      </w:r>
      <w:r>
        <w:rPr/>
        <w:t>注</w:t>
      </w:r>
      <w:r>
        <w:rPr>
          <w:spacing w:val="-70"/>
        </w:rPr>
        <w:t> </w:t>
      </w:r>
      <w:r>
        <w:rPr/>
        <w:t>册</w:t>
      </w:r>
      <w:r>
        <w:rPr>
          <w:spacing w:val="-70"/>
        </w:rPr>
        <w:t> </w:t>
      </w:r>
      <w:r>
        <w:rPr/>
        <w:t>号</w:t>
      </w:r>
      <w:r>
        <w:rPr>
          <w:spacing w:val="-70"/>
        </w:rPr>
        <w:t> </w:t>
      </w:r>
      <w:r>
        <w:rPr/>
        <w:t>为</w:t>
      </w:r>
      <w:r>
        <w:rPr>
          <w:spacing w:val="-108"/>
        </w:rPr>
        <w:t> </w:t>
      </w:r>
      <w:r>
        <w:rPr>
          <w:spacing w:val="-108"/>
        </w:rPr>
      </w:r>
      <w:r>
        <w:rPr>
          <w:spacing w:val="-4"/>
        </w:rPr>
        <w:t>330000000002087。公司住所：浙江省临安经济开发区南环路</w:t>
      </w:r>
      <w:r>
        <w:rPr>
          <w:spacing w:val="-27"/>
        </w:rPr>
        <w:t> </w:t>
      </w:r>
      <w:r>
        <w:rPr/>
        <w:t>88</w:t>
      </w:r>
      <w:r>
        <w:rPr>
          <w:spacing w:val="-32"/>
        </w:rPr>
        <w:t> </w:t>
      </w:r>
      <w:r>
        <w:rPr>
          <w:spacing w:val="-7"/>
        </w:rPr>
        <w:t>号；法定代表人：何若虚；注册资本：</w:t>
      </w:r>
      <w:r>
        <w:rPr>
          <w:spacing w:val="-90"/>
        </w:rPr>
        <w:t> </w:t>
      </w:r>
      <w:r>
        <w:rPr>
          <w:spacing w:val="-90"/>
        </w:rPr>
      </w:r>
      <w:r>
        <w:rPr/>
        <w:t>人民币</w:t>
      </w:r>
      <w:r>
        <w:rPr>
          <w:spacing w:val="-60"/>
        </w:rPr>
        <w:t> </w:t>
      </w:r>
      <w:r>
        <w:rPr/>
        <w:t>939,325,488.00</w:t>
      </w:r>
      <w:r>
        <w:rPr>
          <w:spacing w:val="-60"/>
        </w:rPr>
        <w:t> </w:t>
      </w:r>
      <w:r>
        <w:rPr/>
        <w:t>元。</w:t>
      </w:r>
    </w:p>
    <w:p>
      <w:pPr>
        <w:pStyle w:val="BodyText"/>
        <w:spacing w:line="300" w:lineRule="auto" w:before="137"/>
        <w:ind w:right="210" w:firstLine="441"/>
        <w:jc w:val="both"/>
      </w:pPr>
      <w:r>
        <w:rPr>
          <w:spacing w:val="-3"/>
        </w:rPr>
        <w:t>本集团从事电线电缆、高分子材料、汽车充电设备等产品的研发、生产和销售，以及汽车充电设</w:t>
      </w:r>
      <w:r>
        <w:rPr>
          <w:w w:val="100"/>
        </w:rPr>
        <w:t> </w:t>
      </w:r>
      <w:r>
        <w:rPr>
          <w:spacing w:val="-3"/>
        </w:rPr>
        <w:t>备、光伏发电的投资与运营服务。产品类别主要包括</w:t>
      </w:r>
      <w:r>
        <w:rPr>
          <w:spacing w:val="-32"/>
        </w:rPr>
        <w:t> </w:t>
      </w:r>
      <w:r>
        <w:rPr/>
        <w:t>500kV</w:t>
      </w:r>
      <w:r>
        <w:rPr>
          <w:spacing w:val="-36"/>
        </w:rPr>
        <w:t> </w:t>
      </w:r>
      <w:r>
        <w:rPr>
          <w:spacing w:val="-3"/>
        </w:rPr>
        <w:t>及以下电力电缆，光缆、同轴与连接线等</w:t>
      </w:r>
      <w:r>
        <w:rPr>
          <w:spacing w:val="-96"/>
        </w:rPr>
        <w:t> </w:t>
      </w:r>
      <w:r>
        <w:rPr>
          <w:spacing w:val="-96"/>
        </w:rPr>
      </w:r>
      <w:r>
        <w:rPr/>
        <w:t>通信线缆，硅烷、交联、低烟无卤、弹性体等高分子材料以及交流与直流充电设备。</w:t>
      </w:r>
    </w:p>
    <w:p>
      <w:pPr>
        <w:spacing w:line="480" w:lineRule="exact" w:before="10"/>
        <w:ind w:left="554" w:right="87" w:firstLine="21"/>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7"/>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范</w:t>
      </w:r>
      <w:r>
        <w:rPr>
          <w:rFonts w:ascii="宋体" w:hAnsi="宋体" w:cs="宋体" w:eastAsia="宋体" w:hint="default"/>
          <w:b/>
          <w:bCs/>
          <w:spacing w:val="-71"/>
          <w:sz w:val="22"/>
          <w:szCs w:val="22"/>
        </w:rPr>
        <w:t> </w:t>
      </w:r>
      <w:r>
        <w:rPr>
          <w:rFonts w:ascii="宋体" w:hAnsi="宋体" w:cs="宋体" w:eastAsia="宋体" w:hint="default"/>
          <w:b/>
          <w:bCs/>
          <w:sz w:val="22"/>
          <w:szCs w:val="22"/>
        </w:rPr>
        <w:t>围</w:t>
      </w:r>
      <w:r>
        <w:rPr>
          <w:rFonts w:ascii="宋体" w:hAnsi="宋体" w:cs="宋体" w:eastAsia="宋体" w:hint="default"/>
          <w:b/>
          <w:bCs/>
          <w:w w:val="100"/>
          <w:sz w:val="22"/>
          <w:szCs w:val="22"/>
        </w:rPr>
        <w:t> </w:t>
      </w:r>
      <w:r>
        <w:rPr>
          <w:rFonts w:ascii="宋体" w:hAnsi="宋体" w:cs="宋体" w:eastAsia="宋体" w:hint="default"/>
          <w:spacing w:val="-3"/>
          <w:sz w:val="22"/>
          <w:szCs w:val="22"/>
        </w:rPr>
        <w:t>本集团合并财务报表范围包括浙江万马高分子材料有限公司（以下简称万马高分子公司）、浙江</w:t>
      </w:r>
    </w:p>
    <w:p>
      <w:pPr>
        <w:pStyle w:val="BodyText"/>
        <w:spacing w:line="300" w:lineRule="auto" w:before="7"/>
        <w:ind w:right="208"/>
        <w:jc w:val="both"/>
      </w:pPr>
      <w:r>
        <w:rPr>
          <w:spacing w:val="-3"/>
        </w:rPr>
        <w:t>万马天屹通信线缆有限公司（以下简称天屹通信公司）、浙江万马集团特种电子电缆有限公司（以下</w:t>
      </w:r>
      <w:r>
        <w:rPr>
          <w:spacing w:val="-42"/>
        </w:rPr>
        <w:t> </w:t>
      </w:r>
      <w:r>
        <w:rPr>
          <w:spacing w:val="-42"/>
        </w:rPr>
      </w:r>
      <w:r>
        <w:rPr>
          <w:spacing w:val="-3"/>
        </w:rPr>
        <w:t>简称万马特缆公司）、浙江万马新能源有限公司（以下简称万马新能源公司）、香港骐骥国际发展有</w:t>
      </w:r>
      <w:r>
        <w:rPr>
          <w:spacing w:val="-42"/>
        </w:rPr>
        <w:t> </w:t>
      </w:r>
      <w:r>
        <w:rPr>
          <w:spacing w:val="-42"/>
        </w:rPr>
      </w:r>
      <w:r>
        <w:rPr>
          <w:spacing w:val="-3"/>
        </w:rPr>
        <w:t>限公司（以下简称香港骐骥公司）、浙江万马专用线缆科技有限公司（以下简称万马专缆公司）、浙</w:t>
      </w:r>
      <w:r>
        <w:rPr>
          <w:spacing w:val="-40"/>
        </w:rPr>
        <w:t> </w:t>
      </w:r>
      <w:r>
        <w:rPr>
          <w:spacing w:val="-40"/>
        </w:rPr>
      </w:r>
      <w:r>
        <w:rPr>
          <w:spacing w:val="-3"/>
        </w:rPr>
        <w:t>江万马惠民线缆有限公司（2015</w:t>
      </w:r>
      <w:r>
        <w:rPr>
          <w:spacing w:val="-39"/>
        </w:rPr>
        <w:t> </w:t>
      </w:r>
      <w:r>
        <w:rPr/>
        <w:t>年</w:t>
      </w:r>
      <w:r>
        <w:rPr>
          <w:spacing w:val="-35"/>
        </w:rPr>
        <w:t> </w:t>
      </w:r>
      <w:r>
        <w:rPr/>
        <w:t>9</w:t>
      </w:r>
      <w:r>
        <w:rPr>
          <w:spacing w:val="-39"/>
        </w:rPr>
        <w:t> </w:t>
      </w:r>
      <w:r>
        <w:rPr>
          <w:spacing w:val="-5"/>
        </w:rPr>
        <w:t>月更名为浙江万马电缆有限公司，以下简称万马电缆公司）、浙</w:t>
      </w:r>
      <w:r>
        <w:rPr>
          <w:spacing w:val="-97"/>
        </w:rPr>
        <w:t> </w:t>
      </w:r>
      <w:r>
        <w:rPr>
          <w:spacing w:val="-97"/>
        </w:rPr>
      </w:r>
      <w:r>
        <w:rPr>
          <w:spacing w:val="-3"/>
        </w:rPr>
        <w:t>江万马光伏有限公司（以下简称万马光伏公司）、浙江爱充网络科技有限公司（以下简称爱充网络公</w:t>
      </w:r>
      <w:r>
        <w:rPr>
          <w:spacing w:val="-42"/>
        </w:rPr>
        <w:t> </w:t>
      </w:r>
      <w:r>
        <w:rPr>
          <w:spacing w:val="-42"/>
        </w:rPr>
      </w:r>
      <w:r>
        <w:rPr>
          <w:spacing w:val="-3"/>
        </w:rPr>
        <w:t>司）、万马联合新能源投资有限公司等</w:t>
      </w:r>
      <w:r>
        <w:rPr>
          <w:spacing w:val="-47"/>
        </w:rPr>
        <w:t> </w:t>
      </w:r>
      <w:r>
        <w:rPr/>
        <w:t>10</w:t>
      </w:r>
      <w:r>
        <w:rPr>
          <w:spacing w:val="-44"/>
        </w:rPr>
        <w:t> </w:t>
      </w:r>
      <w:r>
        <w:rPr>
          <w:spacing w:val="-3"/>
        </w:rPr>
        <w:t>家公司。与上年相比，本年因新设子公司增加</w:t>
      </w:r>
      <w:r>
        <w:rPr>
          <w:spacing w:val="20"/>
        </w:rPr>
        <w:t> </w:t>
      </w:r>
      <w:r>
        <w:rPr/>
        <w:t>万马联合新</w:t>
      </w:r>
      <w:r>
        <w:rPr>
          <w:spacing w:val="-103"/>
        </w:rPr>
        <w:t> </w:t>
      </w:r>
      <w:r>
        <w:rPr>
          <w:spacing w:val="-103"/>
        </w:rPr>
      </w:r>
      <w:r>
        <w:rPr/>
        <w:t>能源投资有限公司  ，共增加子公司 1</w:t>
      </w:r>
      <w:r>
        <w:rPr>
          <w:spacing w:val="-7"/>
        </w:rPr>
        <w:t> </w:t>
      </w:r>
      <w:r>
        <w:rPr/>
        <w:t>家。</w:t>
      </w:r>
    </w:p>
    <w:p>
      <w:pPr>
        <w:spacing w:line="400" w:lineRule="auto" w:before="137"/>
        <w:ind w:left="573" w:right="764" w:hanging="20"/>
        <w:jc w:val="left"/>
        <w:rPr>
          <w:rFonts w:ascii="宋体" w:hAnsi="宋体" w:cs="宋体" w:eastAsia="宋体" w:hint="default"/>
          <w:sz w:val="22"/>
          <w:szCs w:val="22"/>
        </w:rPr>
      </w:pPr>
      <w:r>
        <w:rPr>
          <w:rFonts w:ascii="宋体" w:hAnsi="宋体" w:cs="宋体" w:eastAsia="宋体" w:hint="default"/>
          <w:sz w:val="22"/>
          <w:szCs w:val="22"/>
        </w:rPr>
        <w:t>详见本附注“七、合并范围的变化”</w:t>
      </w:r>
      <w:r>
        <w:rPr>
          <w:rFonts w:ascii="宋体" w:hAnsi="宋体" w:cs="宋体" w:eastAsia="宋体" w:hint="default"/>
          <w:spacing w:val="-19"/>
          <w:sz w:val="22"/>
          <w:szCs w:val="22"/>
        </w:rPr>
        <w:t> </w:t>
      </w:r>
      <w:r>
        <w:rPr>
          <w:rFonts w:ascii="宋体" w:hAnsi="宋体" w:cs="宋体" w:eastAsia="宋体" w:hint="default"/>
          <w:sz w:val="22"/>
          <w:szCs w:val="22"/>
        </w:rPr>
        <w:t>及本附注“八、在其他主体中的权益”相关内容。</w:t>
      </w:r>
      <w:r>
        <w:rPr>
          <w:rFonts w:ascii="宋体" w:hAnsi="宋体" w:cs="宋体" w:eastAsia="宋体" w:hint="default"/>
          <w:w w:val="100"/>
          <w:sz w:val="22"/>
          <w:szCs w:val="22"/>
        </w:rPr>
        <w:t> </w:t>
      </w:r>
      <w:r>
        <w:rPr>
          <w:rFonts w:ascii="宋体" w:hAnsi="宋体" w:cs="宋体" w:eastAsia="宋体" w:hint="default"/>
          <w:b/>
          <w:bCs/>
          <w:sz w:val="22"/>
          <w:szCs w:val="22"/>
        </w:rPr>
        <w:t>三</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81"/>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编</w:t>
      </w:r>
      <w:r>
        <w:rPr>
          <w:rFonts w:ascii="宋体" w:hAnsi="宋体" w:cs="宋体" w:eastAsia="宋体" w:hint="default"/>
          <w:b/>
          <w:bCs/>
          <w:spacing w:val="-71"/>
          <w:sz w:val="22"/>
          <w:szCs w:val="22"/>
        </w:rPr>
        <w:t> </w:t>
      </w:r>
      <w:r>
        <w:rPr>
          <w:rFonts w:ascii="宋体" w:hAnsi="宋体" w:cs="宋体" w:eastAsia="宋体" w:hint="default"/>
          <w:b/>
          <w:bCs/>
          <w:sz w:val="22"/>
          <w:szCs w:val="22"/>
        </w:rPr>
        <w:t>制</w:t>
      </w:r>
      <w:r>
        <w:rPr>
          <w:rFonts w:ascii="宋体" w:hAnsi="宋体" w:cs="宋体" w:eastAsia="宋体" w:hint="default"/>
          <w:b/>
          <w:bCs/>
          <w:spacing w:val="-71"/>
          <w:sz w:val="22"/>
          <w:szCs w:val="22"/>
        </w:rPr>
        <w:t> </w:t>
      </w:r>
      <w:r>
        <w:rPr>
          <w:rFonts w:ascii="宋体" w:hAnsi="宋体" w:cs="宋体" w:eastAsia="宋体" w:hint="default"/>
          <w:b/>
          <w:bCs/>
          <w:sz w:val="22"/>
          <w:szCs w:val="22"/>
        </w:rPr>
        <w:t>基</w:t>
      </w:r>
      <w:r>
        <w:rPr>
          <w:rFonts w:ascii="宋体" w:hAnsi="宋体" w:cs="宋体" w:eastAsia="宋体" w:hint="default"/>
          <w:b/>
          <w:bCs/>
          <w:spacing w:val="-71"/>
          <w:sz w:val="22"/>
          <w:szCs w:val="22"/>
        </w:rPr>
        <w:t> </w:t>
      </w:r>
      <w:r>
        <w:rPr>
          <w:rFonts w:ascii="宋体" w:hAnsi="宋体" w:cs="宋体" w:eastAsia="宋体" w:hint="default"/>
          <w:b/>
          <w:bCs/>
          <w:sz w:val="22"/>
          <w:szCs w:val="22"/>
        </w:rPr>
        <w:t>础</w:t>
      </w:r>
      <w:r>
        <w:rPr>
          <w:rFonts w:ascii="宋体" w:hAnsi="宋体" w:cs="宋体" w:eastAsia="宋体" w:hint="default"/>
          <w:sz w:val="22"/>
          <w:szCs w:val="22"/>
        </w:rPr>
      </w:r>
    </w:p>
    <w:p>
      <w:pPr>
        <w:pStyle w:val="BodyText"/>
        <w:spacing w:line="240" w:lineRule="auto" w:before="44"/>
        <w:ind w:left="612" w:right="87"/>
        <w:jc w:val="left"/>
      </w:pPr>
      <w:r>
        <w:rPr/>
        <w:t>（1）</w:t>
      </w:r>
      <w:r>
        <w:rPr>
          <w:spacing w:val="78"/>
        </w:rPr>
        <w:t> </w:t>
      </w:r>
      <w:r>
        <w:rPr/>
        <w:t>编制基础</w:t>
      </w:r>
    </w:p>
    <w:p>
      <w:pPr>
        <w:pStyle w:val="BodyText"/>
        <w:spacing w:line="300" w:lineRule="auto" w:before="192"/>
        <w:ind w:right="172" w:firstLine="441"/>
        <w:jc w:val="both"/>
      </w:pPr>
      <w:r>
        <w:rPr>
          <w:spacing w:val="-3"/>
        </w:rPr>
        <w:t>本集团财务报表以持续经营为基础，根据实际发生的交易和事项，按照财政部颁布的《企业会计</w:t>
      </w:r>
      <w:r>
        <w:rPr>
          <w:w w:val="100"/>
        </w:rPr>
        <w:t> </w:t>
      </w:r>
      <w:r>
        <w:rPr>
          <w:spacing w:val="-2"/>
        </w:rPr>
        <w:t>准则》及相关规定，并基于本附注“四、重要会计政策及会计估计”所述会计政策和会计估计编制。</w:t>
      </w:r>
    </w:p>
    <w:p>
      <w:pPr>
        <w:pStyle w:val="BodyText"/>
        <w:spacing w:line="240" w:lineRule="auto" w:before="137"/>
        <w:ind w:left="612" w:right="87"/>
        <w:jc w:val="left"/>
      </w:pPr>
      <w:r>
        <w:rPr/>
        <w:t>（2）</w:t>
      </w:r>
      <w:r>
        <w:rPr>
          <w:spacing w:val="78"/>
        </w:rPr>
        <w:t> </w:t>
      </w:r>
      <w:r>
        <w:rPr/>
        <w:t>持续经营</w:t>
      </w:r>
    </w:p>
    <w:p>
      <w:pPr>
        <w:spacing w:line="400" w:lineRule="auto" w:before="192"/>
        <w:ind w:left="576" w:right="545" w:hanging="22"/>
        <w:jc w:val="left"/>
        <w:rPr>
          <w:rFonts w:ascii="宋体" w:hAnsi="宋体" w:cs="宋体" w:eastAsia="宋体" w:hint="default"/>
          <w:sz w:val="22"/>
          <w:szCs w:val="22"/>
        </w:rPr>
      </w:pPr>
      <w:r>
        <w:rPr>
          <w:rFonts w:ascii="宋体" w:hAnsi="宋体" w:cs="宋体" w:eastAsia="宋体" w:hint="default"/>
          <w:sz w:val="22"/>
          <w:szCs w:val="22"/>
        </w:rPr>
        <w:t>本集团自本报告期末至少</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4"/>
          <w:sz w:val="22"/>
          <w:szCs w:val="22"/>
        </w:rPr>
        <w:t> </w:t>
      </w:r>
      <w:r>
        <w:rPr>
          <w:rFonts w:ascii="宋体" w:hAnsi="宋体" w:cs="宋体" w:eastAsia="宋体" w:hint="default"/>
          <w:sz w:val="22"/>
          <w:szCs w:val="22"/>
        </w:rPr>
        <w:t>个月内具备持续经营能力，无影响持续经营能力的重大事项。</w:t>
      </w:r>
      <w:r>
        <w:rPr>
          <w:rFonts w:ascii="宋体" w:hAnsi="宋体" w:cs="宋体" w:eastAsia="宋体" w:hint="default"/>
          <w:w w:val="100"/>
          <w:sz w:val="22"/>
          <w:szCs w:val="22"/>
        </w:rPr>
        <w:t> </w:t>
      </w:r>
      <w:r>
        <w:rPr>
          <w:rFonts w:ascii="宋体" w:hAnsi="宋体" w:cs="宋体" w:eastAsia="宋体" w:hint="default"/>
          <w:b/>
          <w:bCs/>
          <w:sz w:val="22"/>
          <w:szCs w:val="22"/>
        </w:rPr>
        <w:t>四</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8"/>
          <w:sz w:val="22"/>
          <w:szCs w:val="22"/>
        </w:rPr>
        <w:t> </w:t>
      </w:r>
      <w:r>
        <w:rPr>
          <w:rFonts w:ascii="宋体" w:hAnsi="宋体" w:cs="宋体" w:eastAsia="宋体" w:hint="default"/>
          <w:b/>
          <w:bCs/>
          <w:sz w:val="22"/>
          <w:szCs w:val="22"/>
        </w:rPr>
        <w:t>重</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3"/>
          <w:sz w:val="22"/>
          <w:szCs w:val="22"/>
        </w:rPr>
        <w:t> </w:t>
      </w:r>
      <w:r>
        <w:rPr>
          <w:rFonts w:ascii="宋体" w:hAnsi="宋体" w:cs="宋体" w:eastAsia="宋体" w:hint="default"/>
          <w:b/>
          <w:bCs/>
          <w:sz w:val="22"/>
          <w:szCs w:val="22"/>
        </w:rPr>
        <w:t>会</w:t>
      </w:r>
      <w:r>
        <w:rPr>
          <w:rFonts w:ascii="宋体" w:hAnsi="宋体" w:cs="宋体" w:eastAsia="宋体" w:hint="default"/>
          <w:b/>
          <w:bCs/>
          <w:spacing w:val="-71"/>
          <w:sz w:val="22"/>
          <w:szCs w:val="22"/>
        </w:rPr>
        <w:t> </w:t>
      </w:r>
      <w:r>
        <w:rPr>
          <w:rFonts w:ascii="宋体" w:hAnsi="宋体" w:cs="宋体" w:eastAsia="宋体" w:hint="default"/>
          <w:b/>
          <w:bCs/>
          <w:sz w:val="22"/>
          <w:szCs w:val="22"/>
        </w:rPr>
        <w:t>计</w:t>
      </w:r>
      <w:r>
        <w:rPr>
          <w:rFonts w:ascii="宋体" w:hAnsi="宋体" w:cs="宋体" w:eastAsia="宋体" w:hint="default"/>
          <w:b/>
          <w:bCs/>
          <w:spacing w:val="-71"/>
          <w:sz w:val="22"/>
          <w:szCs w:val="22"/>
        </w:rPr>
        <w:t> </w:t>
      </w:r>
      <w:r>
        <w:rPr>
          <w:rFonts w:ascii="宋体" w:hAnsi="宋体" w:cs="宋体" w:eastAsia="宋体" w:hint="default"/>
          <w:b/>
          <w:bCs/>
          <w:sz w:val="22"/>
          <w:szCs w:val="22"/>
        </w:rPr>
        <w:t>政</w:t>
      </w:r>
      <w:r>
        <w:rPr>
          <w:rFonts w:ascii="宋体" w:hAnsi="宋体" w:cs="宋体" w:eastAsia="宋体" w:hint="default"/>
          <w:b/>
          <w:bCs/>
          <w:spacing w:val="-73"/>
          <w:sz w:val="22"/>
          <w:szCs w:val="22"/>
        </w:rPr>
        <w:t> </w:t>
      </w:r>
      <w:r>
        <w:rPr>
          <w:rFonts w:ascii="宋体" w:hAnsi="宋体" w:cs="宋体" w:eastAsia="宋体" w:hint="default"/>
          <w:b/>
          <w:bCs/>
          <w:sz w:val="22"/>
          <w:szCs w:val="22"/>
        </w:rPr>
        <w:t>策</w:t>
      </w:r>
      <w:r>
        <w:rPr>
          <w:rFonts w:ascii="宋体" w:hAnsi="宋体" w:cs="宋体" w:eastAsia="宋体" w:hint="default"/>
          <w:b/>
          <w:bCs/>
          <w:spacing w:val="-71"/>
          <w:sz w:val="22"/>
          <w:szCs w:val="22"/>
        </w:rPr>
        <w:t> </w:t>
      </w:r>
      <w:r>
        <w:rPr>
          <w:rFonts w:ascii="宋体" w:hAnsi="宋体" w:cs="宋体" w:eastAsia="宋体" w:hint="default"/>
          <w:b/>
          <w:bCs/>
          <w:sz w:val="22"/>
          <w:szCs w:val="22"/>
        </w:rPr>
        <w:t>及</w:t>
      </w:r>
      <w:r>
        <w:rPr>
          <w:rFonts w:ascii="宋体" w:hAnsi="宋体" w:cs="宋体" w:eastAsia="宋体" w:hint="default"/>
          <w:b/>
          <w:bCs/>
          <w:spacing w:val="-71"/>
          <w:sz w:val="22"/>
          <w:szCs w:val="22"/>
        </w:rPr>
        <w:t> </w:t>
      </w:r>
      <w:r>
        <w:rPr>
          <w:rFonts w:ascii="宋体" w:hAnsi="宋体" w:cs="宋体" w:eastAsia="宋体" w:hint="default"/>
          <w:b/>
          <w:bCs/>
          <w:sz w:val="22"/>
          <w:szCs w:val="22"/>
        </w:rPr>
        <w:t>会</w:t>
      </w:r>
      <w:r>
        <w:rPr>
          <w:rFonts w:ascii="宋体" w:hAnsi="宋体" w:cs="宋体" w:eastAsia="宋体" w:hint="default"/>
          <w:b/>
          <w:bCs/>
          <w:spacing w:val="-71"/>
          <w:sz w:val="22"/>
          <w:szCs w:val="22"/>
        </w:rPr>
        <w:t> </w:t>
      </w:r>
      <w:r>
        <w:rPr>
          <w:rFonts w:ascii="宋体" w:hAnsi="宋体" w:cs="宋体" w:eastAsia="宋体" w:hint="default"/>
          <w:b/>
          <w:bCs/>
          <w:sz w:val="22"/>
          <w:szCs w:val="22"/>
        </w:rPr>
        <w:t>计</w:t>
      </w:r>
      <w:r>
        <w:rPr>
          <w:rFonts w:ascii="宋体" w:hAnsi="宋体" w:cs="宋体" w:eastAsia="宋体" w:hint="default"/>
          <w:b/>
          <w:bCs/>
          <w:spacing w:val="-73"/>
          <w:sz w:val="22"/>
          <w:szCs w:val="22"/>
        </w:rPr>
        <w:t> </w:t>
      </w:r>
      <w:r>
        <w:rPr>
          <w:rFonts w:ascii="宋体" w:hAnsi="宋体" w:cs="宋体" w:eastAsia="宋体" w:hint="default"/>
          <w:b/>
          <w:bCs/>
          <w:sz w:val="22"/>
          <w:szCs w:val="22"/>
        </w:rPr>
        <w:t>估</w:t>
      </w:r>
      <w:r>
        <w:rPr>
          <w:rFonts w:ascii="宋体" w:hAnsi="宋体" w:cs="宋体" w:eastAsia="宋体" w:hint="default"/>
          <w:b/>
          <w:bCs/>
          <w:spacing w:val="-71"/>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p>
      <w:pPr>
        <w:pStyle w:val="BodyText"/>
        <w:spacing w:line="300" w:lineRule="auto" w:before="44"/>
        <w:ind w:right="210" w:firstLine="441"/>
        <w:jc w:val="both"/>
      </w:pPr>
      <w:r>
        <w:rPr>
          <w:spacing w:val="-3"/>
        </w:rPr>
        <w:t>具体会计政策和会计估计提示：本集团根据实际生产经营特点制定的具体会计政策和会计估计包</w:t>
      </w:r>
      <w:r>
        <w:rPr>
          <w:w w:val="100"/>
        </w:rPr>
        <w:t> </w:t>
      </w:r>
      <w:r>
        <w:rPr>
          <w:spacing w:val="-3"/>
        </w:rPr>
        <w:t>括外币业务、应收款项坏账准备的确认和计量、发出存货计量、固定资产分类及折旧方法、无形资产</w:t>
      </w:r>
      <w:r>
        <w:rPr>
          <w:spacing w:val="-43"/>
        </w:rPr>
        <w:t> </w:t>
      </w:r>
      <w:r>
        <w:rPr>
          <w:spacing w:val="-43"/>
        </w:rPr>
      </w:r>
      <w:r>
        <w:rPr/>
        <w:t>摊销、研发费用资本化条件、收入确认和计量等。</w:t>
      </w:r>
    </w:p>
    <w:p>
      <w:pPr>
        <w:pStyle w:val="BodyText"/>
        <w:tabs>
          <w:tab w:pos="981" w:val="left" w:leader="none"/>
        </w:tabs>
        <w:spacing w:line="480" w:lineRule="exact" w:before="10"/>
        <w:ind w:left="554" w:right="211"/>
        <w:jc w:val="left"/>
      </w:pPr>
      <w:r>
        <w:rPr>
          <w:spacing w:val="-1"/>
        </w:rPr>
        <w:t>1.</w:t>
        <w:tab/>
      </w:r>
      <w:r>
        <w:rPr>
          <w:spacing w:val="-2"/>
        </w:rPr>
        <w:t>遵循企业会计准则的声明</w:t>
      </w:r>
      <w:r>
        <w:rPr>
          <w:spacing w:val="-93"/>
        </w:rPr>
        <w:t> </w:t>
      </w:r>
      <w:r>
        <w:rPr>
          <w:spacing w:val="-93"/>
        </w:rPr>
      </w:r>
      <w:r>
        <w:rPr>
          <w:spacing w:val="-3"/>
        </w:rPr>
        <w:t>本公司编制的财务报表符合企业会计准则的要求，真实、完整地反映了本公司及本集团的财务状</w:t>
      </w:r>
    </w:p>
    <w:p>
      <w:pPr>
        <w:pStyle w:val="BodyText"/>
        <w:spacing w:line="240" w:lineRule="auto" w:before="7"/>
        <w:ind w:right="87"/>
        <w:jc w:val="left"/>
      </w:pPr>
      <w:r>
        <w:rPr/>
        <w:t>况、经营成果和现金流量等有关信息。</w:t>
      </w:r>
    </w:p>
    <w:p>
      <w:pPr>
        <w:spacing w:after="0" w:line="240" w:lineRule="auto"/>
        <w:jc w:val="left"/>
        <w:sectPr>
          <w:headerReference w:type="default" r:id="rId34"/>
          <w:footerReference w:type="default" r:id="rId35"/>
          <w:pgSz w:w="11910" w:h="16840"/>
          <w:pgMar w:header="852" w:footer="873" w:top="1440" w:bottom="1060" w:left="1020" w:right="920"/>
          <w:pgNumType w:start="100"/>
        </w:sectPr>
      </w:pPr>
    </w:p>
    <w:p>
      <w:pPr>
        <w:spacing w:line="240" w:lineRule="auto" w:before="1"/>
        <w:rPr>
          <w:rFonts w:ascii="宋体" w:hAnsi="宋体" w:cs="宋体" w:eastAsia="宋体" w:hint="default"/>
          <w:sz w:val="18"/>
          <w:szCs w:val="18"/>
        </w:rPr>
      </w:pPr>
    </w:p>
    <w:p>
      <w:pPr>
        <w:pStyle w:val="BodyText"/>
        <w:tabs>
          <w:tab w:pos="981" w:val="left" w:leader="none"/>
        </w:tabs>
        <w:spacing w:line="240" w:lineRule="auto"/>
        <w:ind w:left="554" w:right="4471"/>
        <w:jc w:val="left"/>
      </w:pPr>
      <w:r>
        <w:rPr>
          <w:spacing w:val="-1"/>
        </w:rPr>
        <w:t>2.</w:t>
        <w:tab/>
      </w:r>
      <w:r>
        <w:rPr>
          <w:spacing w:val="-2"/>
        </w:rPr>
        <w:t>会计期间</w:t>
      </w:r>
    </w:p>
    <w:p>
      <w:pPr>
        <w:pStyle w:val="BodyText"/>
        <w:tabs>
          <w:tab w:pos="981" w:val="left" w:leader="none"/>
        </w:tabs>
        <w:spacing w:line="400" w:lineRule="auto" w:before="192"/>
        <w:ind w:left="554" w:right="4471"/>
        <w:jc w:val="left"/>
      </w:pPr>
      <w:r>
        <w:rPr/>
        <w:t>本集团的会计期间为公历</w:t>
      </w:r>
      <w:r>
        <w:rPr>
          <w:spacing w:val="-58"/>
        </w:rPr>
        <w:t> </w:t>
      </w:r>
      <w:r>
        <w:rPr/>
        <w:t>1</w:t>
      </w:r>
      <w:r>
        <w:rPr>
          <w:spacing w:val="-55"/>
        </w:rPr>
        <w:t> </w:t>
      </w:r>
      <w:r>
        <w:rPr/>
        <w:t>月</w:t>
      </w:r>
      <w:r>
        <w:rPr>
          <w:spacing w:val="-58"/>
        </w:rPr>
        <w:t> </w:t>
      </w:r>
      <w:r>
        <w:rPr/>
        <w:t>1</w:t>
      </w:r>
      <w:r>
        <w:rPr>
          <w:spacing w:val="-55"/>
        </w:rPr>
        <w:t> </w:t>
      </w:r>
      <w:r>
        <w:rPr/>
        <w:t>日至</w:t>
      </w:r>
      <w:r>
        <w:rPr>
          <w:spacing w:val="-58"/>
        </w:rPr>
        <w:t> </w:t>
      </w:r>
      <w:r>
        <w:rPr/>
        <w:t>12</w:t>
      </w:r>
      <w:r>
        <w:rPr>
          <w:spacing w:val="-55"/>
        </w:rPr>
        <w:t> </w:t>
      </w:r>
      <w:r>
        <w:rPr/>
        <w:t>月</w:t>
      </w:r>
      <w:r>
        <w:rPr>
          <w:spacing w:val="-55"/>
        </w:rPr>
        <w:t> </w:t>
      </w:r>
      <w:r>
        <w:rPr/>
        <w:t>31</w:t>
      </w:r>
      <w:r>
        <w:rPr>
          <w:spacing w:val="-58"/>
        </w:rPr>
        <w:t> </w:t>
      </w:r>
      <w:r>
        <w:rPr/>
        <w:t>日。</w:t>
      </w:r>
      <w:r>
        <w:rPr>
          <w:w w:val="100"/>
        </w:rPr>
        <w:t> </w:t>
      </w:r>
      <w:r>
        <w:rPr>
          <w:spacing w:val="-1"/>
        </w:rPr>
        <w:t>3.</w:t>
        <w:tab/>
      </w:r>
      <w:r>
        <w:rPr>
          <w:spacing w:val="-2"/>
        </w:rPr>
        <w:t>记账本位币</w:t>
      </w:r>
    </w:p>
    <w:p>
      <w:pPr>
        <w:pStyle w:val="BodyText"/>
        <w:spacing w:line="240" w:lineRule="auto" w:before="44"/>
        <w:ind w:left="554" w:right="4471"/>
        <w:jc w:val="left"/>
      </w:pPr>
      <w:r>
        <w:rPr/>
        <w:t>本集团以人民币为记账本位币。</w:t>
      </w:r>
    </w:p>
    <w:p>
      <w:pPr>
        <w:pStyle w:val="BodyText"/>
        <w:tabs>
          <w:tab w:pos="981" w:val="left" w:leader="none"/>
        </w:tabs>
        <w:spacing w:line="480" w:lineRule="atLeast" w:before="0"/>
        <w:ind w:left="554" w:right="110"/>
        <w:jc w:val="left"/>
      </w:pPr>
      <w:r>
        <w:rPr>
          <w:spacing w:val="-1"/>
        </w:rPr>
        <w:t>4.</w:t>
        <w:tab/>
      </w:r>
      <w:r>
        <w:rPr>
          <w:spacing w:val="-2"/>
        </w:rPr>
        <w:t>同一控制下和非同一控制下企业合并的会计处理方法</w:t>
      </w:r>
      <w:r>
        <w:rPr>
          <w:spacing w:val="-77"/>
        </w:rPr>
        <w:t> </w:t>
      </w:r>
      <w:r>
        <w:rPr>
          <w:spacing w:val="-77"/>
        </w:rPr>
      </w:r>
      <w:r>
        <w:rPr>
          <w:spacing w:val="-3"/>
        </w:rPr>
        <w:t>本集团作为合并方，在同一控制下企业合并中取得的资产和负债，在合并日按被合并方在最终控</w:t>
      </w:r>
    </w:p>
    <w:p>
      <w:pPr>
        <w:pStyle w:val="BodyText"/>
        <w:spacing w:line="300" w:lineRule="auto" w:before="72"/>
        <w:ind w:right="110"/>
        <w:jc w:val="left"/>
      </w:pPr>
      <w:r>
        <w:rPr>
          <w:spacing w:val="-3"/>
        </w:rPr>
        <w:t>制方合并报表中的账面价值计量。取得的净资产账面价值与支付的合并对价账面价值的差额，调整资</w:t>
      </w:r>
      <w:r>
        <w:rPr>
          <w:spacing w:val="-43"/>
        </w:rPr>
        <w:t> </w:t>
      </w:r>
      <w:r>
        <w:rPr>
          <w:spacing w:val="-43"/>
        </w:rPr>
      </w:r>
      <w:r>
        <w:rPr/>
        <w:t>本公积；资本公积不足冲减的，调整留存收益。</w:t>
      </w:r>
    </w:p>
    <w:p>
      <w:pPr>
        <w:pStyle w:val="BodyText"/>
        <w:spacing w:line="300" w:lineRule="auto" w:before="137"/>
        <w:ind w:right="110" w:firstLine="441"/>
        <w:jc w:val="both"/>
      </w:pPr>
      <w:r>
        <w:rPr>
          <w:spacing w:val="-3"/>
        </w:rPr>
        <w:t>在非同一控制下企业合并中取得的被购买方可辨认资产、负债及或有负债在收购日以公允价值计</w:t>
      </w:r>
      <w:r>
        <w:rPr>
          <w:w w:val="100"/>
        </w:rPr>
        <w:t> </w:t>
      </w:r>
      <w:r>
        <w:rPr>
          <w:spacing w:val="-3"/>
        </w:rPr>
        <w:t>量。合并成本为本集团在购买日为取得对被购买方的控制权而支付的现金或非现金资产、发行或承担</w:t>
      </w:r>
      <w:r>
        <w:rPr>
          <w:spacing w:val="-43"/>
        </w:rPr>
        <w:t> </w:t>
      </w:r>
      <w:r>
        <w:rPr>
          <w:spacing w:val="-43"/>
        </w:rPr>
      </w:r>
      <w:r>
        <w:rPr>
          <w:spacing w:val="-3"/>
        </w:rPr>
        <w:t>的负债、发行的权益性证券等的公允价值以及在企业合并中发生的各项直接相关费用之和（通过多次</w:t>
      </w:r>
      <w:r>
        <w:rPr>
          <w:spacing w:val="-43"/>
        </w:rPr>
        <w:t> </w:t>
      </w:r>
      <w:r>
        <w:rPr>
          <w:spacing w:val="-43"/>
        </w:rPr>
      </w:r>
      <w:r>
        <w:rPr>
          <w:spacing w:val="-3"/>
        </w:rPr>
        <w:t>交易分步实现的企业合并，其合并成本为每一单项交易的成本之和）。合并成本大于合并中取得的被</w:t>
      </w:r>
      <w:r>
        <w:rPr>
          <w:spacing w:val="-43"/>
        </w:rPr>
        <w:t> </w:t>
      </w:r>
      <w:r>
        <w:rPr>
          <w:spacing w:val="-43"/>
        </w:rPr>
      </w:r>
      <w:r>
        <w:rPr>
          <w:spacing w:val="-3"/>
        </w:rPr>
        <w:t>购买方可辨认净资产公允价值份额的差额，确认为商誉；合并成本小于合并中取得的被购买方可辨认</w:t>
      </w:r>
      <w:r>
        <w:rPr>
          <w:spacing w:val="-43"/>
        </w:rPr>
        <w:t> </w:t>
      </w:r>
      <w:r>
        <w:rPr>
          <w:spacing w:val="-43"/>
        </w:rPr>
      </w:r>
      <w:r>
        <w:rPr>
          <w:spacing w:val="-3"/>
        </w:rPr>
        <w:t>净资产公允价值份额的，首先对合并中取得的各项可辨认资产、负债及或有负债的公允价值、以及合</w:t>
      </w:r>
      <w:r>
        <w:rPr>
          <w:spacing w:val="-43"/>
        </w:rPr>
        <w:t> </w:t>
      </w:r>
      <w:r>
        <w:rPr>
          <w:spacing w:val="-43"/>
        </w:rPr>
      </w:r>
      <w:r>
        <w:rPr>
          <w:spacing w:val="-3"/>
        </w:rPr>
        <w:t>并对价的非现金资产或发行的权益性证券等的公允价值进行复核，经复核后，合并成本仍小于合并中</w:t>
      </w:r>
      <w:r>
        <w:rPr>
          <w:spacing w:val="-43"/>
        </w:rPr>
        <w:t> </w:t>
      </w:r>
      <w:r>
        <w:rPr>
          <w:spacing w:val="-43"/>
        </w:rPr>
      </w:r>
      <w:r>
        <w:rPr/>
        <w:t>取得的被购买方可辨认净资产公允价值份额的，将其差额计入合并当期营业外收入。</w:t>
      </w:r>
    </w:p>
    <w:p>
      <w:pPr>
        <w:pStyle w:val="BodyText"/>
        <w:tabs>
          <w:tab w:pos="981" w:val="left" w:leader="none"/>
        </w:tabs>
        <w:spacing w:line="400" w:lineRule="auto" w:before="137"/>
        <w:ind w:left="554" w:right="4250"/>
        <w:jc w:val="left"/>
      </w:pPr>
      <w:r>
        <w:rPr>
          <w:spacing w:val="-1"/>
        </w:rPr>
        <w:t>5.</w:t>
        <w:tab/>
      </w:r>
      <w:r>
        <w:rPr>
          <w:spacing w:val="-2"/>
        </w:rPr>
        <w:t>合并财务报表的编制方法</w:t>
      </w:r>
      <w:r>
        <w:rPr>
          <w:spacing w:val="-93"/>
        </w:rPr>
        <w:t> </w:t>
      </w:r>
      <w:r>
        <w:rPr>
          <w:spacing w:val="-93"/>
        </w:rPr>
      </w:r>
      <w:r>
        <w:rPr>
          <w:spacing w:val="-2"/>
        </w:rPr>
        <w:t>本集团将所有控制的子公司纳入合并财务报表范围。</w:t>
      </w:r>
    </w:p>
    <w:p>
      <w:pPr>
        <w:pStyle w:val="BodyText"/>
        <w:spacing w:line="300" w:lineRule="auto" w:before="44"/>
        <w:ind w:right="110" w:firstLine="441"/>
        <w:jc w:val="both"/>
      </w:pPr>
      <w:r>
        <w:rPr>
          <w:spacing w:val="-3"/>
        </w:rPr>
        <w:t>在编制合并财务报表时，子公司与本公司采用的会计政策或会计期间不一致的，按照本公司的会</w:t>
      </w:r>
      <w:r>
        <w:rPr>
          <w:w w:val="100"/>
        </w:rPr>
        <w:t> </w:t>
      </w:r>
      <w:r>
        <w:rPr/>
        <w:t>计政策或会计期间对子公司财务报表进行必要的调整。</w:t>
      </w:r>
    </w:p>
    <w:p>
      <w:pPr>
        <w:pStyle w:val="BodyText"/>
        <w:spacing w:line="300" w:lineRule="auto" w:before="137"/>
        <w:ind w:right="110" w:firstLine="441"/>
        <w:jc w:val="both"/>
      </w:pPr>
      <w:r>
        <w:rPr>
          <w:spacing w:val="-3"/>
        </w:rPr>
        <w:t>合并范围内的所有重大内部交易、往来余额及未实现利润在合并报表编制时予以抵销。子公司的</w:t>
      </w:r>
      <w:r>
        <w:rPr>
          <w:w w:val="100"/>
        </w:rPr>
        <w:t> </w:t>
      </w:r>
      <w:r>
        <w:rPr>
          <w:spacing w:val="-3"/>
        </w:rPr>
        <w:t>所有者权益中不属于母公司的份额以及当期净损益、其他综合收益及综合收益总额中属于少数股东权</w:t>
      </w:r>
      <w:r>
        <w:rPr>
          <w:spacing w:val="-43"/>
        </w:rPr>
        <w:t> </w:t>
      </w:r>
      <w:r>
        <w:rPr>
          <w:spacing w:val="-43"/>
        </w:rPr>
      </w:r>
      <w:r>
        <w:rPr>
          <w:spacing w:val="-3"/>
        </w:rPr>
        <w:t>益的份额，分别在合并财务报表“少数股东权益、少数股东损益、归属于少数股东的其他综合收益及</w:t>
      </w:r>
      <w:r>
        <w:rPr>
          <w:spacing w:val="-41"/>
        </w:rPr>
        <w:t> </w:t>
      </w:r>
      <w:r>
        <w:rPr>
          <w:spacing w:val="-41"/>
        </w:rPr>
      </w:r>
      <w:r>
        <w:rPr/>
        <w:t>归属于少数股东的综合收益总额”项目列示。</w:t>
      </w:r>
    </w:p>
    <w:p>
      <w:pPr>
        <w:pStyle w:val="BodyText"/>
        <w:spacing w:line="300" w:lineRule="auto" w:before="137"/>
        <w:ind w:right="110" w:firstLine="441"/>
        <w:jc w:val="both"/>
      </w:pPr>
      <w:r>
        <w:rPr>
          <w:spacing w:val="-3"/>
        </w:rPr>
        <w:t>对于同一控制下企业合并取得的子公司，其经营成果和现金流量自合并当期期初纳入合并财务报</w:t>
      </w:r>
      <w:r>
        <w:rPr>
          <w:w w:val="100"/>
        </w:rPr>
        <w:t> </w:t>
      </w:r>
      <w:r>
        <w:rPr>
          <w:spacing w:val="-3"/>
        </w:rPr>
        <w:t>表。编制比较合并财务报表时，对上年财务报表的相关项目进行调整，视同合并后形成的报告主体自</w:t>
      </w:r>
      <w:r>
        <w:rPr>
          <w:spacing w:val="-43"/>
        </w:rPr>
        <w:t> </w:t>
      </w:r>
      <w:r>
        <w:rPr>
          <w:spacing w:val="-43"/>
        </w:rPr>
      </w:r>
      <w:r>
        <w:rPr/>
        <w:t>最终控制方开始控制时点起一直存在。</w:t>
      </w:r>
    </w:p>
    <w:p>
      <w:pPr>
        <w:pStyle w:val="BodyText"/>
        <w:spacing w:line="300" w:lineRule="auto" w:before="137"/>
        <w:ind w:right="110" w:firstLine="441"/>
        <w:jc w:val="both"/>
      </w:pPr>
      <w:r>
        <w:rPr>
          <w:spacing w:val="-3"/>
        </w:rPr>
        <w:t>对于非同一控制下企业合并取得子公司，经营成果和现金流量自本集团取得控制权之日起纳入合</w:t>
      </w:r>
      <w:r>
        <w:rPr>
          <w:w w:val="100"/>
        </w:rPr>
        <w:t> </w:t>
      </w:r>
      <w:r>
        <w:rPr>
          <w:spacing w:val="-3"/>
        </w:rPr>
        <w:t>并财务报表。在编制合并财务报表时，以购买日确定的各项可辨认资产、负债及或有负债的公允价值</w:t>
      </w:r>
      <w:r>
        <w:rPr>
          <w:spacing w:val="-43"/>
        </w:rPr>
        <w:t> </w:t>
      </w:r>
      <w:r>
        <w:rPr>
          <w:spacing w:val="-43"/>
        </w:rPr>
      </w:r>
      <w:r>
        <w:rPr/>
        <w:t>为基础对子公司的财务报表进行调整。</w:t>
      </w:r>
    </w:p>
    <w:p>
      <w:pPr>
        <w:pStyle w:val="BodyText"/>
        <w:tabs>
          <w:tab w:pos="981" w:val="left" w:leader="none"/>
        </w:tabs>
        <w:spacing w:line="480" w:lineRule="exact" w:before="10"/>
        <w:ind w:left="554" w:right="110"/>
        <w:jc w:val="left"/>
      </w:pPr>
      <w:r>
        <w:rPr>
          <w:spacing w:val="-1"/>
        </w:rPr>
        <w:t>6.</w:t>
        <w:tab/>
      </w:r>
      <w:r>
        <w:rPr>
          <w:spacing w:val="-2"/>
        </w:rPr>
        <w:t>现金及现金等价物</w:t>
      </w:r>
      <w:r>
        <w:rPr>
          <w:spacing w:val="-97"/>
        </w:rPr>
        <w:t> </w:t>
      </w:r>
      <w:r>
        <w:rPr>
          <w:spacing w:val="-97"/>
        </w:rPr>
      </w:r>
      <w:r>
        <w:rPr>
          <w:spacing w:val="-3"/>
        </w:rPr>
        <w:t>本集团现金流量表之现金指库存现金以及可以随时用于支付的存款。现金流量表之现金等价物指</w:t>
      </w:r>
    </w:p>
    <w:p>
      <w:pPr>
        <w:pStyle w:val="BodyText"/>
        <w:spacing w:line="240" w:lineRule="auto" w:before="7"/>
        <w:ind w:right="110"/>
        <w:jc w:val="left"/>
      </w:pPr>
      <w:r>
        <w:rPr/>
        <w:t>持有期限不超过</w:t>
      </w:r>
      <w:r>
        <w:rPr>
          <w:spacing w:val="-66"/>
        </w:rPr>
        <w:t> </w:t>
      </w:r>
      <w:r>
        <w:rPr/>
        <w:t>3</w:t>
      </w:r>
      <w:r>
        <w:rPr>
          <w:spacing w:val="-66"/>
        </w:rPr>
        <w:t> </w:t>
      </w:r>
      <w:r>
        <w:rPr/>
        <w:t>个月、流动性强、易于转换为已知金额现金且价值变动风险很小的投资。</w:t>
      </w:r>
    </w:p>
    <w:p>
      <w:pPr>
        <w:spacing w:after="0" w:line="240" w:lineRule="auto"/>
        <w:jc w:val="left"/>
        <w:sectPr>
          <w:pgSz w:w="11910" w:h="16840"/>
          <w:pgMar w:header="852" w:footer="873" w:top="1440" w:bottom="1060" w:left="1020" w:right="1020"/>
        </w:sectPr>
      </w:pPr>
    </w:p>
    <w:p>
      <w:pPr>
        <w:spacing w:line="240" w:lineRule="auto" w:before="1"/>
        <w:rPr>
          <w:rFonts w:ascii="宋体" w:hAnsi="宋体" w:cs="宋体" w:eastAsia="宋体" w:hint="default"/>
          <w:sz w:val="18"/>
          <w:szCs w:val="18"/>
        </w:rPr>
      </w:pPr>
    </w:p>
    <w:p>
      <w:pPr>
        <w:pStyle w:val="BodyText"/>
        <w:tabs>
          <w:tab w:pos="981" w:val="left" w:leader="none"/>
        </w:tabs>
        <w:spacing w:line="240" w:lineRule="auto"/>
        <w:ind w:left="554" w:right="87"/>
        <w:jc w:val="left"/>
      </w:pPr>
      <w:r>
        <w:rPr>
          <w:spacing w:val="-1"/>
        </w:rPr>
        <w:t>7.</w:t>
        <w:tab/>
      </w:r>
      <w:r>
        <w:rPr>
          <w:spacing w:val="-2"/>
        </w:rPr>
        <w:t>外币业务和外币财务报表折算</w:t>
      </w:r>
    </w:p>
    <w:p>
      <w:pPr>
        <w:pStyle w:val="BodyText"/>
        <w:spacing w:line="480" w:lineRule="atLeast" w:before="0"/>
        <w:ind w:left="554" w:right="87" w:hanging="39"/>
        <w:jc w:val="left"/>
      </w:pPr>
      <w:r>
        <w:rPr/>
        <w:t>（1）</w:t>
      </w:r>
      <w:r>
        <w:rPr>
          <w:spacing w:val="69"/>
        </w:rPr>
        <w:t> </w:t>
      </w:r>
      <w:r>
        <w:rPr/>
        <w:t>外币交易</w:t>
      </w:r>
      <w:r>
        <w:rPr>
          <w:w w:val="100"/>
        </w:rPr>
        <w:t> </w:t>
      </w:r>
      <w:r>
        <w:rPr>
          <w:spacing w:val="-3"/>
        </w:rPr>
        <w:t>本集团外币交易按交易发生日的即期汇率将外币金额折算为人民币金额。于资产负债表日，外币</w:t>
      </w:r>
    </w:p>
    <w:p>
      <w:pPr>
        <w:pStyle w:val="BodyText"/>
        <w:spacing w:line="300" w:lineRule="auto" w:before="72"/>
        <w:ind w:right="172"/>
        <w:jc w:val="both"/>
      </w:pPr>
      <w:r>
        <w:rPr>
          <w:spacing w:val="-3"/>
        </w:rPr>
        <w:t>货币性项目采用资产负债表日的即期汇率折算为人民币，所产生的折算差额除了为购建或生产符合资</w:t>
      </w:r>
      <w:r>
        <w:rPr>
          <w:spacing w:val="-43"/>
        </w:rPr>
        <w:t> </w:t>
      </w:r>
      <w:r>
        <w:rPr>
          <w:spacing w:val="-43"/>
        </w:rPr>
      </w:r>
      <w:r>
        <w:rPr>
          <w:spacing w:val="-2"/>
        </w:rPr>
        <w:t>本化条件的资产而借入的外币专门借款产生的汇兑差额按资本化的原则处理外，直接计入当期损益。</w:t>
      </w:r>
    </w:p>
    <w:p>
      <w:pPr>
        <w:pStyle w:val="BodyText"/>
        <w:spacing w:line="480" w:lineRule="exact" w:before="10"/>
        <w:ind w:left="554" w:right="87" w:hanging="39"/>
        <w:jc w:val="left"/>
      </w:pPr>
      <w:r>
        <w:rPr/>
        <w:t>（2）</w:t>
      </w:r>
      <w:r>
        <w:rPr>
          <w:spacing w:val="68"/>
        </w:rPr>
        <w:t> </w:t>
      </w:r>
      <w:r>
        <w:rPr/>
        <w:t>外币财务报表的折算</w:t>
      </w:r>
      <w:r>
        <w:rPr>
          <w:w w:val="100"/>
        </w:rPr>
        <w:t> </w:t>
      </w:r>
      <w:r>
        <w:rPr>
          <w:spacing w:val="-8"/>
          <w:w w:val="100"/>
        </w:rPr>
        <w:t>外币资产负债表中资产、负债类项目采用资产负债表日的即期汇率折算；所有者权益类项目除“未</w:t>
      </w:r>
    </w:p>
    <w:p>
      <w:pPr>
        <w:pStyle w:val="BodyText"/>
        <w:spacing w:line="300" w:lineRule="auto" w:before="7"/>
        <w:ind w:right="210"/>
        <w:jc w:val="both"/>
      </w:pPr>
      <w:r>
        <w:rPr>
          <w:spacing w:val="-3"/>
        </w:rPr>
        <w:t>分配利润”外，均按业务发生时的即期汇率折算；利润表中的收入与费用项目，采用交易发生日的即</w:t>
      </w:r>
      <w:r>
        <w:rPr>
          <w:spacing w:val="-41"/>
        </w:rPr>
        <w:t> </w:t>
      </w:r>
      <w:r>
        <w:rPr>
          <w:spacing w:val="-41"/>
        </w:rPr>
      </w:r>
      <w:r>
        <w:rPr>
          <w:spacing w:val="-3"/>
        </w:rPr>
        <w:t>期汇率折算。上述折算产生的外币报表折算差额，在其他综合收益项目中列示。外币现金流量采用现</w:t>
      </w:r>
      <w:r>
        <w:rPr>
          <w:spacing w:val="-43"/>
        </w:rPr>
        <w:t> </w:t>
      </w:r>
      <w:r>
        <w:rPr>
          <w:spacing w:val="-43"/>
        </w:rPr>
      </w:r>
      <w:r>
        <w:rPr/>
        <w:t>金流量发生日的即期汇率折算。汇率变动对现金的影响额，在现金流量表中单独列示。</w:t>
      </w:r>
    </w:p>
    <w:p>
      <w:pPr>
        <w:pStyle w:val="BodyText"/>
        <w:tabs>
          <w:tab w:pos="981" w:val="left" w:leader="none"/>
        </w:tabs>
        <w:spacing w:line="400" w:lineRule="auto" w:before="137"/>
        <w:ind w:left="554" w:right="3030" w:firstLine="2"/>
        <w:jc w:val="left"/>
      </w:pPr>
      <w:r>
        <w:rPr>
          <w:spacing w:val="-1"/>
        </w:rPr>
        <w:t>8.</w:t>
        <w:tab/>
      </w:r>
      <w:r>
        <w:rPr>
          <w:spacing w:val="-2"/>
        </w:rPr>
        <w:t>金融资产和金融负债</w:t>
      </w:r>
      <w:r>
        <w:rPr>
          <w:spacing w:val="-99"/>
        </w:rPr>
        <w:t> </w:t>
      </w:r>
      <w:r>
        <w:rPr>
          <w:spacing w:val="-99"/>
        </w:rPr>
      </w:r>
      <w:r>
        <w:rPr>
          <w:spacing w:val="-2"/>
        </w:rPr>
        <w:t>本集团成为金融工具合同的一方时确认一项金融资产或金融负债。</w:t>
      </w:r>
    </w:p>
    <w:p>
      <w:pPr>
        <w:pStyle w:val="BodyText"/>
        <w:spacing w:line="240" w:lineRule="auto" w:before="44"/>
        <w:ind w:left="554" w:right="87"/>
        <w:jc w:val="left"/>
      </w:pPr>
      <w:r>
        <w:rPr/>
        <w:t>（1）</w:t>
      </w:r>
      <w:r>
        <w:rPr>
          <w:spacing w:val="57"/>
        </w:rPr>
        <w:t> </w:t>
      </w:r>
      <w:r>
        <w:rPr/>
        <w:t>金融资产</w:t>
      </w:r>
    </w:p>
    <w:p>
      <w:pPr>
        <w:pStyle w:val="BodyText"/>
        <w:tabs>
          <w:tab w:pos="1312" w:val="left" w:leader="none"/>
        </w:tabs>
        <w:spacing w:line="480" w:lineRule="atLeast" w:before="0"/>
        <w:ind w:left="554" w:right="211" w:firstLine="158"/>
        <w:jc w:val="left"/>
      </w:pPr>
      <w:r>
        <w:rPr>
          <w:spacing w:val="-1"/>
        </w:rPr>
        <w:t>1）</w:t>
        <w:tab/>
      </w:r>
      <w:r>
        <w:rPr>
          <w:spacing w:val="-2"/>
        </w:rPr>
        <w:t>金融资产分类、确认依据和计量方法</w:t>
      </w:r>
      <w:r>
        <w:rPr>
          <w:w w:val="100"/>
        </w:rPr>
        <w:t> </w:t>
      </w:r>
      <w:r>
        <w:rPr>
          <w:spacing w:val="2"/>
        </w:rPr>
        <w:t>本集团按投资目的和经济实质对拥有的金融资产分类为以公允价值计量且其变动计入当期损益</w:t>
      </w:r>
    </w:p>
    <w:p>
      <w:pPr>
        <w:pStyle w:val="BodyText"/>
        <w:spacing w:line="240" w:lineRule="auto" w:before="72"/>
        <w:ind w:right="0"/>
        <w:jc w:val="both"/>
      </w:pPr>
      <w:r>
        <w:rPr/>
        <w:t>的金融资产、持有至到期投资、应收款项及可供出售金融资产。</w:t>
      </w:r>
    </w:p>
    <w:p>
      <w:pPr>
        <w:pStyle w:val="BodyText"/>
        <w:spacing w:line="300" w:lineRule="auto" w:before="192"/>
        <w:ind w:right="87" w:firstLine="441"/>
        <w:jc w:val="left"/>
      </w:pPr>
      <w:r>
        <w:rPr>
          <w:spacing w:val="-3"/>
        </w:rPr>
        <w:t>以公允价值计量且其变动计入当期损益的金融资产，包括交易性金融资产和在初始确认时指定为</w:t>
      </w:r>
      <w:r>
        <w:rPr>
          <w:w w:val="100"/>
        </w:rPr>
        <w:t> </w:t>
      </w:r>
      <w:r>
        <w:rPr>
          <w:spacing w:val="-3"/>
        </w:rPr>
        <w:t>以公允价值计量且其变动计入当期损益的金融资产。本集团将满足下列条件之一的金融资产归类为交</w:t>
      </w:r>
      <w:r>
        <w:rPr>
          <w:spacing w:val="-43"/>
        </w:rPr>
        <w:t> </w:t>
      </w:r>
      <w:r>
        <w:rPr>
          <w:spacing w:val="-43"/>
        </w:rPr>
      </w:r>
      <w:r>
        <w:rPr>
          <w:spacing w:val="-3"/>
        </w:rPr>
        <w:t>易性金融资产：取得该金融资产的目的是为了在短期内出售；属于进行集中管理的可辨认金融工具组</w:t>
      </w:r>
      <w:r>
        <w:rPr>
          <w:spacing w:val="-43"/>
        </w:rPr>
        <w:t> </w:t>
      </w:r>
      <w:r>
        <w:rPr>
          <w:spacing w:val="-43"/>
        </w:rPr>
      </w:r>
      <w:r>
        <w:rPr>
          <w:spacing w:val="-5"/>
        </w:rPr>
        <w:t>合的一部分，且有客观证据表明公司近期采用短期获利方式对该组合进行管理；属于衍生工具，但是，</w:t>
      </w:r>
      <w:r>
        <w:rPr>
          <w:spacing w:val="-60"/>
        </w:rPr>
        <w:t> </w:t>
      </w:r>
      <w:r>
        <w:rPr>
          <w:spacing w:val="-60"/>
        </w:rPr>
      </w:r>
      <w:r>
        <w:rPr>
          <w:spacing w:val="-3"/>
        </w:rPr>
        <w:t>被指定且为有效套期工具的衍生工具、属于财务担保合同的衍生工具、与在活跃市场中没有报价且其</w:t>
      </w:r>
      <w:r>
        <w:rPr>
          <w:spacing w:val="-42"/>
        </w:rPr>
        <w:t> </w:t>
      </w:r>
      <w:r>
        <w:rPr>
          <w:spacing w:val="-42"/>
        </w:rPr>
      </w:r>
      <w:r>
        <w:rPr>
          <w:spacing w:val="-3"/>
        </w:rPr>
        <w:t>公允价值不能可靠计量的权益工具投资挂钩并须通过交付该权益工具结算的衍生工具除外。本集团将</w:t>
      </w:r>
      <w:r>
        <w:rPr>
          <w:spacing w:val="-42"/>
        </w:rPr>
        <w:t> </w:t>
      </w:r>
      <w:r>
        <w:rPr>
          <w:spacing w:val="-42"/>
        </w:rPr>
      </w:r>
      <w:r>
        <w:rPr>
          <w:spacing w:val="-3"/>
        </w:rPr>
        <w:t>只有符合下列条件之一的金融工具，才可在初始确认时指定为以公允价值计量且其变动计入当期损益</w:t>
      </w:r>
      <w:r>
        <w:rPr>
          <w:spacing w:val="-43"/>
        </w:rPr>
        <w:t> </w:t>
      </w:r>
      <w:r>
        <w:rPr>
          <w:spacing w:val="-43"/>
        </w:rPr>
      </w:r>
      <w:r>
        <w:rPr>
          <w:spacing w:val="-3"/>
        </w:rPr>
        <w:t>的金融资产：该指定可以消除或明显减少由于该金融工具的计量基础不同所导致的相关利得或损失在</w:t>
      </w:r>
      <w:r>
        <w:rPr>
          <w:spacing w:val="-43"/>
        </w:rPr>
        <w:t> </w:t>
      </w:r>
      <w:r>
        <w:rPr>
          <w:spacing w:val="-43"/>
        </w:rPr>
      </w:r>
      <w:r>
        <w:rPr>
          <w:spacing w:val="-3"/>
        </w:rPr>
        <w:t>确认或计量方面不一致的情况；公司风险管理或投资策略的正式书面文件已载明，该金融工具组合以</w:t>
      </w:r>
      <w:r>
        <w:rPr>
          <w:spacing w:val="-43"/>
        </w:rPr>
        <w:t> </w:t>
      </w:r>
      <w:r>
        <w:rPr>
          <w:spacing w:val="-43"/>
        </w:rPr>
      </w:r>
      <w:r>
        <w:rPr>
          <w:spacing w:val="-2"/>
        </w:rPr>
        <w:t>公允价值为基础进行管理、评价并向关键管理人员报告；包含一项或多项嵌入衍生工具的混合工具，</w:t>
      </w:r>
      <w:r>
        <w:rPr>
          <w:spacing w:val="-48"/>
        </w:rPr>
        <w:t> </w:t>
      </w:r>
      <w:r>
        <w:rPr>
          <w:spacing w:val="-48"/>
        </w:rPr>
      </w:r>
      <w:r>
        <w:rPr>
          <w:spacing w:val="-3"/>
        </w:rPr>
        <w:t>除非嵌入衍生工具对混合工具的现金流量没有重大改变，或所嵌入的衍生工具明显不应当从相关混合</w:t>
      </w:r>
      <w:r>
        <w:rPr>
          <w:spacing w:val="-43"/>
        </w:rPr>
        <w:t> </w:t>
      </w:r>
      <w:r>
        <w:rPr>
          <w:spacing w:val="-43"/>
        </w:rPr>
      </w:r>
      <w:r>
        <w:rPr>
          <w:spacing w:val="-3"/>
        </w:rPr>
        <w:t>工具中分拆；包含需要分拆但无法在取得时或后续的资产负债表日对其进行单独计量的嵌入衍生工具</w:t>
      </w:r>
      <w:r>
        <w:rPr>
          <w:spacing w:val="-43"/>
        </w:rPr>
        <w:t> </w:t>
      </w:r>
      <w:r>
        <w:rPr>
          <w:spacing w:val="-43"/>
        </w:rPr>
      </w:r>
      <w:r>
        <w:rPr>
          <w:spacing w:val="-3"/>
        </w:rPr>
        <w:t>的混合工具。本集团目前无指定的该类金融资产。对此类金融资产，采用公允价值进行后续计量。公</w:t>
      </w:r>
      <w:r>
        <w:rPr>
          <w:spacing w:val="-43"/>
        </w:rPr>
        <w:t> </w:t>
      </w:r>
      <w:r>
        <w:rPr>
          <w:spacing w:val="-43"/>
        </w:rPr>
      </w:r>
      <w:r>
        <w:rPr>
          <w:spacing w:val="-3"/>
        </w:rPr>
        <w:t>允价值变动计入公允价值变动损益；在资产持有期间所取得的利息或现金股利，确认为投资收益；处</w:t>
      </w:r>
      <w:r>
        <w:rPr>
          <w:spacing w:val="-43"/>
        </w:rPr>
        <w:t> </w:t>
      </w:r>
      <w:r>
        <w:rPr>
          <w:spacing w:val="-43"/>
        </w:rPr>
      </w:r>
      <w:r>
        <w:rPr/>
        <w:t>置时，其公允价值与初始入账金额之间的差额确认为投资损益，同时调整公允价值变动损益。</w:t>
      </w:r>
    </w:p>
    <w:p>
      <w:pPr>
        <w:pStyle w:val="BodyText"/>
        <w:spacing w:line="300" w:lineRule="auto" w:before="137"/>
        <w:ind w:right="87" w:firstLine="441"/>
        <w:jc w:val="left"/>
      </w:pPr>
      <w:r>
        <w:rPr>
          <w:spacing w:val="-3"/>
        </w:rPr>
        <w:t>持有至到期投资，是指到期日固定、回收金额固定或可确定，且本集团有明确意图和能力持有至</w:t>
      </w:r>
      <w:r>
        <w:rPr>
          <w:w w:val="100"/>
        </w:rPr>
        <w:t> </w:t>
      </w:r>
      <w:r>
        <w:rPr/>
        <w:t>到期的非衍生金融资产。</w:t>
      </w:r>
    </w:p>
    <w:p>
      <w:pPr>
        <w:pStyle w:val="BodyText"/>
        <w:spacing w:line="240" w:lineRule="auto" w:before="137"/>
        <w:ind w:left="554" w:right="87"/>
        <w:jc w:val="left"/>
      </w:pPr>
      <w:r>
        <w:rPr/>
        <w:t>应收款项，是指在活跃市场中没有报价，回收金额固定或可确定的非衍生金融资产。</w:t>
      </w:r>
    </w:p>
    <w:p>
      <w:pPr>
        <w:spacing w:after="0" w:line="240" w:lineRule="auto"/>
        <w:jc w:val="left"/>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300" w:lineRule="auto"/>
        <w:ind w:right="100" w:firstLine="441"/>
        <w:jc w:val="both"/>
      </w:pPr>
      <w:r>
        <w:rPr>
          <w:spacing w:val="-3"/>
        </w:rPr>
        <w:t>可供出售金融资产，是指初始确认时即被指定为可供出售的非衍生金融资产，以及未被划分为其</w:t>
      </w:r>
      <w:r>
        <w:rPr>
          <w:w w:val="100"/>
        </w:rPr>
        <w:t> </w:t>
      </w:r>
      <w:r>
        <w:rPr>
          <w:spacing w:val="-3"/>
        </w:rPr>
        <w:t>他类的金融资产。这类资产中，在活跃市场中没有报价且其公允价值不能可靠计量的权益工具投资以</w:t>
      </w:r>
      <w:r>
        <w:rPr>
          <w:spacing w:val="-41"/>
        </w:rPr>
        <w:t> </w:t>
      </w:r>
      <w:r>
        <w:rPr>
          <w:spacing w:val="-41"/>
        </w:rPr>
      </w:r>
      <w:r>
        <w:rPr>
          <w:spacing w:val="-3"/>
        </w:rPr>
        <w:t>及与该权益工具挂钩并须通过交付该权益工具结算的衍生金融资产，按成本进行后续计量；其他存在</w:t>
      </w:r>
      <w:r>
        <w:rPr>
          <w:spacing w:val="-43"/>
        </w:rPr>
        <w:t> </w:t>
      </w:r>
      <w:r>
        <w:rPr>
          <w:spacing w:val="-43"/>
        </w:rPr>
      </w:r>
      <w:r>
        <w:rPr>
          <w:spacing w:val="-3"/>
        </w:rPr>
        <w:t>活跃市场报价或虽没有活跃市场报价但公允价值能够可靠计量的，按公允价值计量，公允价值变动计</w:t>
      </w:r>
      <w:r>
        <w:rPr>
          <w:spacing w:val="-43"/>
        </w:rPr>
        <w:t> </w:t>
      </w:r>
      <w:r>
        <w:rPr>
          <w:spacing w:val="-43"/>
        </w:rPr>
      </w:r>
      <w:r>
        <w:rPr>
          <w:spacing w:val="-3"/>
        </w:rPr>
        <w:t>入其他综合收益。对于此类金融资产采用公允价值进行后续计量，除减值损失及外币货币性金融资产</w:t>
      </w:r>
      <w:r>
        <w:rPr>
          <w:spacing w:val="-43"/>
        </w:rPr>
        <w:t> </w:t>
      </w:r>
      <w:r>
        <w:rPr>
          <w:spacing w:val="-43"/>
        </w:rPr>
      </w:r>
      <w:r>
        <w:rPr>
          <w:spacing w:val="-2"/>
        </w:rPr>
        <w:t>形成的汇兑损益外，可供出售金融资产公允价值变动直接计入股东权益，待该金融资产终止确认时，</w:t>
      </w:r>
      <w:r>
        <w:rPr>
          <w:spacing w:val="-48"/>
        </w:rPr>
        <w:t> </w:t>
      </w:r>
      <w:r>
        <w:rPr>
          <w:spacing w:val="-48"/>
        </w:rPr>
      </w:r>
      <w:r>
        <w:rPr>
          <w:spacing w:val="-3"/>
        </w:rPr>
        <w:t>原直接计入权益的公允价值变动累计额转入当期损益。可供出售债务工具投资在持有期间按实际利率</w:t>
      </w:r>
      <w:r>
        <w:rPr>
          <w:spacing w:val="-43"/>
        </w:rPr>
        <w:t> </w:t>
      </w:r>
      <w:r>
        <w:rPr>
          <w:spacing w:val="-43"/>
        </w:rPr>
      </w:r>
      <w:r>
        <w:rPr>
          <w:spacing w:val="-3"/>
        </w:rPr>
        <w:t>法计算的利息，以及被投资单位宣告发放的与可供出售权益工具投资相关的现金股利，作为投资收益</w:t>
      </w:r>
      <w:r>
        <w:rPr>
          <w:spacing w:val="-43"/>
        </w:rPr>
        <w:t> </w:t>
      </w:r>
      <w:r>
        <w:rPr>
          <w:spacing w:val="-43"/>
        </w:rPr>
      </w:r>
      <w:r>
        <w:rPr>
          <w:spacing w:val="-5"/>
        </w:rPr>
        <w:t>计入当期损益。对于在活跃市场中没有报价且其公允价值不能可靠计量的权益工具投资，按成本计量。</w:t>
      </w:r>
    </w:p>
    <w:p>
      <w:pPr>
        <w:pStyle w:val="BodyText"/>
        <w:tabs>
          <w:tab w:pos="1312" w:val="left" w:leader="none"/>
        </w:tabs>
        <w:spacing w:line="480" w:lineRule="exact" w:before="10"/>
        <w:ind w:left="554" w:right="211" w:firstLine="160"/>
        <w:jc w:val="left"/>
      </w:pPr>
      <w:r>
        <w:rPr>
          <w:spacing w:val="-1"/>
        </w:rPr>
        <w:t>2）</w:t>
        <w:tab/>
      </w:r>
      <w:r>
        <w:rPr>
          <w:spacing w:val="-2"/>
        </w:rPr>
        <w:t>金融资产转移的确认依据和计量方法</w:t>
      </w:r>
      <w:r>
        <w:rPr>
          <w:w w:val="100"/>
        </w:rPr>
        <w:t> </w:t>
      </w:r>
      <w:r>
        <w:rPr>
          <w:spacing w:val="-3"/>
        </w:rPr>
        <w:t>金融资产满足下列条件之一的，予以终止确认：①收取该金融资产现金流量的合同权利终止；②</w:t>
      </w:r>
    </w:p>
    <w:p>
      <w:pPr>
        <w:pStyle w:val="BodyText"/>
        <w:spacing w:line="300" w:lineRule="auto" w:before="7"/>
        <w:ind w:right="210"/>
        <w:jc w:val="both"/>
      </w:pPr>
      <w:r>
        <w:rPr/>
        <w:t>该金融资产已转移，且本集团将金融资产所有权上几乎所有的风险和报酬转移给转入方；</w:t>
      </w:r>
      <w:r>
        <w:rPr>
          <w:spacing w:val="40"/>
        </w:rPr>
        <w:t> </w:t>
      </w:r>
      <w:r>
        <w:rPr/>
        <w:t>③该金融</w:t>
      </w:r>
      <w:r>
        <w:rPr>
          <w:spacing w:val="-102"/>
        </w:rPr>
        <w:t> </w:t>
      </w:r>
      <w:r>
        <w:rPr>
          <w:spacing w:val="-102"/>
        </w:rPr>
      </w:r>
      <w:r>
        <w:rPr>
          <w:spacing w:val="-3"/>
        </w:rPr>
        <w:t>资产已转移，虽然本集团既没有转移也没有保留金融资产所有权上几乎所有的风险和报酬，但是放弃</w:t>
      </w:r>
      <w:r>
        <w:rPr>
          <w:spacing w:val="-43"/>
        </w:rPr>
        <w:t> </w:t>
      </w:r>
      <w:r>
        <w:rPr>
          <w:spacing w:val="-43"/>
        </w:rPr>
      </w:r>
      <w:r>
        <w:rPr/>
        <w:t>了对该金融资产控制。</w:t>
      </w:r>
    </w:p>
    <w:p>
      <w:pPr>
        <w:pStyle w:val="BodyText"/>
        <w:spacing w:line="300" w:lineRule="auto" w:before="137"/>
        <w:ind w:right="210" w:firstLine="441"/>
        <w:jc w:val="both"/>
      </w:pPr>
      <w:r>
        <w:rPr>
          <w:spacing w:val="-3"/>
        </w:rPr>
        <w:t>企业既没有转移也没有保留金融资产所有权上几乎所有的风险和报酬，且未放弃对该金融资产控</w:t>
      </w:r>
      <w:r>
        <w:rPr>
          <w:w w:val="100"/>
        </w:rPr>
        <w:t> </w:t>
      </w:r>
      <w:r>
        <w:rPr/>
        <w:t>制的，则按照其继续涉入所转移金融资产的程度确认有关金融资产，并相应确认有关负债。</w:t>
      </w:r>
    </w:p>
    <w:p>
      <w:pPr>
        <w:pStyle w:val="BodyText"/>
        <w:spacing w:line="300" w:lineRule="auto" w:before="137"/>
        <w:ind w:right="210" w:firstLine="441"/>
        <w:jc w:val="both"/>
      </w:pPr>
      <w:r>
        <w:rPr>
          <w:spacing w:val="-3"/>
        </w:rPr>
        <w:t>金融资产整体转移满足终止确认条件的，将所转移金融资产的账面价值，与因转移而收到的对价</w:t>
      </w:r>
      <w:r>
        <w:rPr>
          <w:w w:val="100"/>
        </w:rPr>
        <w:t> </w:t>
      </w:r>
      <w:r>
        <w:rPr/>
        <w:t>及原计入其他综合收益的公允价值变动累计额之和的差额计入当期损益。</w:t>
      </w:r>
    </w:p>
    <w:p>
      <w:pPr>
        <w:pStyle w:val="BodyText"/>
        <w:spacing w:line="300" w:lineRule="auto" w:before="137"/>
        <w:ind w:right="210" w:firstLine="441"/>
        <w:jc w:val="both"/>
      </w:pPr>
      <w:r>
        <w:rPr>
          <w:spacing w:val="-3"/>
        </w:rPr>
        <w:t>金融资产部分转移满足终止确认条件的，将所转移金融资产整体的账面价值，在终止确认部分和</w:t>
      </w:r>
      <w:r>
        <w:rPr>
          <w:w w:val="100"/>
        </w:rPr>
        <w:t> </w:t>
      </w:r>
      <w:r>
        <w:rPr>
          <w:spacing w:val="-3"/>
        </w:rPr>
        <w:t>未终止确认部分之间，按照各自的相对公允价值进行分摊，并将因转移而收到的对价及应分摊至终止</w:t>
      </w:r>
      <w:r>
        <w:rPr>
          <w:spacing w:val="-43"/>
        </w:rPr>
        <w:t> </w:t>
      </w:r>
      <w:r>
        <w:rPr>
          <w:spacing w:val="-43"/>
        </w:rPr>
      </w:r>
      <w:r>
        <w:rPr>
          <w:spacing w:val="-3"/>
        </w:rPr>
        <w:t>确认部分的原计入其他综合收益的公允价值变动累计额之和，与分摊的前述账面金额的差额计入当期</w:t>
      </w:r>
      <w:r>
        <w:rPr>
          <w:spacing w:val="-43"/>
        </w:rPr>
        <w:t> </w:t>
      </w:r>
      <w:r>
        <w:rPr>
          <w:spacing w:val="-43"/>
        </w:rPr>
      </w:r>
      <w:r>
        <w:rPr/>
        <w:t>损益。</w:t>
      </w:r>
    </w:p>
    <w:p>
      <w:pPr>
        <w:pStyle w:val="BodyText"/>
        <w:tabs>
          <w:tab w:pos="1312" w:val="left" w:leader="none"/>
        </w:tabs>
        <w:spacing w:line="480" w:lineRule="exact" w:before="10"/>
        <w:ind w:left="554" w:right="211" w:firstLine="160"/>
        <w:jc w:val="left"/>
      </w:pPr>
      <w:r>
        <w:rPr>
          <w:spacing w:val="-1"/>
        </w:rPr>
        <w:t>3）</w:t>
        <w:tab/>
      </w:r>
      <w:r>
        <w:rPr>
          <w:spacing w:val="-2"/>
        </w:rPr>
        <w:t>金融资产减值的测试方法及会计处理方法</w:t>
      </w:r>
      <w:r>
        <w:rPr>
          <w:w w:val="100"/>
        </w:rPr>
        <w:t> </w:t>
      </w:r>
      <w:r>
        <w:rPr>
          <w:spacing w:val="-3"/>
        </w:rPr>
        <w:t>除以公允价值计量且其变动计入当期损益的金融资产外，本集团于资产负债表日对其他金融资产</w:t>
      </w:r>
    </w:p>
    <w:p>
      <w:pPr>
        <w:pStyle w:val="BodyText"/>
        <w:spacing w:line="240" w:lineRule="auto" w:before="7"/>
        <w:ind w:right="0"/>
        <w:jc w:val="both"/>
      </w:pPr>
      <w:r>
        <w:rPr/>
        <w:t>的账面价值进行检查，如果有客观证据表明某项金融资产发生减值的，计提减值准备。</w:t>
      </w:r>
    </w:p>
    <w:p>
      <w:pPr>
        <w:pStyle w:val="BodyText"/>
        <w:spacing w:line="300" w:lineRule="auto" w:before="192"/>
        <w:ind w:right="210" w:firstLine="441"/>
        <w:jc w:val="both"/>
      </w:pPr>
      <w:r>
        <w:rPr>
          <w:spacing w:val="-3"/>
        </w:rPr>
        <w:t>以摊余成本计量的金融资产发生减值时，按预计未来现金流量(不包括尚未发生的未来信用损失)</w:t>
      </w:r>
      <w:r>
        <w:rPr>
          <w:w w:val="100"/>
        </w:rPr>
        <w:t> </w:t>
      </w:r>
      <w:r>
        <w:rPr>
          <w:spacing w:val="-3"/>
        </w:rPr>
        <w:t>现值低于账面价值的差额，计提减值准备。如果有客观证据表明该金融资产价值已恢复，且客观上与</w:t>
      </w:r>
      <w:r>
        <w:rPr>
          <w:spacing w:val="-43"/>
        </w:rPr>
        <w:t> </w:t>
      </w:r>
      <w:r>
        <w:rPr>
          <w:spacing w:val="-43"/>
        </w:rPr>
      </w:r>
      <w:r>
        <w:rPr/>
        <w:t>确认该损失后发生的事项有关，原确认的减值损失予以转回，计入当期损益。</w:t>
      </w:r>
    </w:p>
    <w:p>
      <w:pPr>
        <w:pStyle w:val="BodyText"/>
        <w:spacing w:line="300" w:lineRule="auto" w:before="137"/>
        <w:ind w:right="210" w:firstLine="441"/>
        <w:jc w:val="both"/>
      </w:pPr>
      <w:r>
        <w:rPr>
          <w:spacing w:val="-3"/>
        </w:rPr>
        <w:t>当可供出售金融资产发生减值，原直接计入所有者权益的因公允价值下降形成的累计损失予以转</w:t>
      </w:r>
      <w:r>
        <w:rPr>
          <w:w w:val="100"/>
        </w:rPr>
        <w:t> </w:t>
      </w:r>
      <w:r>
        <w:rPr>
          <w:spacing w:val="-3"/>
        </w:rPr>
        <w:t>出并计入减值损失。对已确认减值损失的可供出售债务工具投资，在期后公允价值上升且客观上与确</w:t>
      </w:r>
      <w:r>
        <w:rPr>
          <w:spacing w:val="-43"/>
        </w:rPr>
        <w:t> </w:t>
      </w:r>
      <w:r>
        <w:rPr>
          <w:spacing w:val="-43"/>
        </w:rPr>
      </w:r>
      <w:r>
        <w:rPr>
          <w:spacing w:val="-3"/>
        </w:rPr>
        <w:t>认原减值损失后发生的事项有关的，原确认的减值损失予以转回并计入当期损益。对已确认减值损失</w:t>
      </w:r>
      <w:r>
        <w:rPr>
          <w:spacing w:val="-43"/>
        </w:rPr>
        <w:t> </w:t>
      </w:r>
      <w:r>
        <w:rPr>
          <w:spacing w:val="-43"/>
        </w:rPr>
      </w:r>
      <w:r>
        <w:rPr/>
        <w:t>的可供出售权益工具投资，期后公允价值上升直接计入所有者权益。</w:t>
      </w:r>
    </w:p>
    <w:p>
      <w:pPr>
        <w:pStyle w:val="BodyText"/>
        <w:spacing w:line="240" w:lineRule="auto" w:before="137"/>
        <w:ind w:left="554" w:right="87"/>
        <w:jc w:val="left"/>
      </w:pPr>
      <w:r>
        <w:rPr/>
        <w:t>（2）</w:t>
      </w:r>
      <w:r>
        <w:rPr>
          <w:spacing w:val="57"/>
        </w:rPr>
        <w:t> </w:t>
      </w:r>
      <w:r>
        <w:rPr/>
        <w:t>金融负债</w:t>
      </w:r>
    </w:p>
    <w:p>
      <w:pPr>
        <w:pStyle w:val="BodyText"/>
        <w:spacing w:line="240" w:lineRule="auto" w:before="192"/>
        <w:ind w:left="681" w:right="87"/>
        <w:jc w:val="left"/>
      </w:pPr>
      <w:r>
        <w:rPr/>
        <w:t>1）</w:t>
      </w:r>
      <w:r>
        <w:rPr>
          <w:spacing w:val="-26"/>
        </w:rPr>
        <w:t> </w:t>
      </w:r>
      <w:r>
        <w:rPr/>
        <w:t>金融负债分类、确认依据和计量方法</w:t>
      </w:r>
    </w:p>
    <w:p>
      <w:pPr>
        <w:spacing w:after="0" w:line="240" w:lineRule="auto"/>
        <w:jc w:val="left"/>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300" w:lineRule="auto"/>
        <w:ind w:right="0" w:firstLine="441"/>
        <w:jc w:val="left"/>
      </w:pPr>
      <w:r>
        <w:rPr>
          <w:spacing w:val="2"/>
        </w:rPr>
        <w:t>本集团的金融负债于初始确认时分类为以公允价值计量且其变动计入当期损益的金融负债和其</w:t>
      </w:r>
      <w:r>
        <w:rPr>
          <w:w w:val="100"/>
        </w:rPr>
        <w:t> </w:t>
      </w:r>
      <w:r>
        <w:rPr/>
        <w:t>他金融负债。</w:t>
      </w:r>
    </w:p>
    <w:p>
      <w:pPr>
        <w:pStyle w:val="BodyText"/>
        <w:spacing w:line="300" w:lineRule="auto" w:before="137"/>
        <w:ind w:right="0" w:firstLine="441"/>
        <w:jc w:val="left"/>
      </w:pPr>
      <w:r>
        <w:rPr>
          <w:spacing w:val="-3"/>
        </w:rPr>
        <w:t>以公允价值计量且其变动计入当期损益的金融负债，包括交易性金融负债和初始确认时指定为以</w:t>
      </w:r>
      <w:r>
        <w:rPr>
          <w:w w:val="100"/>
        </w:rPr>
        <w:t> </w:t>
      </w:r>
      <w:r>
        <w:rPr>
          <w:spacing w:val="-5"/>
        </w:rPr>
        <w:t>公允价值计量且其变动计入当期损益的金融负债，（相关分类依据参照金融资产分类依据进行披露）。</w:t>
      </w:r>
      <w:r>
        <w:rPr>
          <w:spacing w:val="-22"/>
        </w:rPr>
        <w:t> </w:t>
      </w:r>
      <w:r>
        <w:rPr>
          <w:spacing w:val="-22"/>
        </w:rPr>
      </w:r>
      <w:r>
        <w:rPr>
          <w:spacing w:val="-3"/>
        </w:rPr>
        <w:t>按照公允价值进行后续计量，公允价值变动形成的利得或损失以及与该金融负债相关的股利和利息支</w:t>
      </w:r>
      <w:r>
        <w:rPr>
          <w:spacing w:val="-43"/>
        </w:rPr>
        <w:t> </w:t>
      </w:r>
      <w:r>
        <w:rPr>
          <w:spacing w:val="-43"/>
        </w:rPr>
      </w:r>
      <w:r>
        <w:rPr/>
        <w:t>出计入当期损益。</w:t>
      </w:r>
    </w:p>
    <w:p>
      <w:pPr>
        <w:pStyle w:val="BodyText"/>
        <w:spacing w:line="400" w:lineRule="auto" w:before="137"/>
        <w:ind w:left="681" w:right="3499" w:hanging="128"/>
        <w:jc w:val="left"/>
      </w:pPr>
      <w:r>
        <w:rPr>
          <w:spacing w:val="-2"/>
        </w:rPr>
        <w:t>其他金融负债采用实际利率法，按照摊余成本进行后续计量。</w:t>
      </w:r>
      <w:r>
        <w:rPr>
          <w:spacing w:val="-73"/>
        </w:rPr>
        <w:t> </w:t>
      </w:r>
      <w:r>
        <w:rPr>
          <w:spacing w:val="-73"/>
        </w:rPr>
      </w:r>
      <w:r>
        <w:rPr/>
        <w:t>2）</w:t>
      </w:r>
      <w:r>
        <w:rPr>
          <w:spacing w:val="-22"/>
        </w:rPr>
        <w:t> </w:t>
      </w:r>
      <w:r>
        <w:rPr/>
        <w:t>金融负债终止确认条件</w:t>
      </w:r>
    </w:p>
    <w:p>
      <w:pPr>
        <w:pStyle w:val="BodyText"/>
        <w:spacing w:line="300" w:lineRule="auto" w:before="44"/>
        <w:ind w:right="250" w:firstLine="441"/>
        <w:jc w:val="both"/>
      </w:pPr>
      <w:r>
        <w:rPr>
          <w:spacing w:val="-3"/>
        </w:rPr>
        <w:t>当金融负债的现时义务全部或部分已经解除时，终止确认该金融负债或义务已解除的部分。公司</w:t>
      </w:r>
      <w:r>
        <w:rPr>
          <w:w w:val="100"/>
        </w:rPr>
        <w:t> </w:t>
      </w:r>
      <w:r>
        <w:rPr>
          <w:spacing w:val="-3"/>
        </w:rPr>
        <w:t>与债权人之间签订协议，以承担新金融负债方式替换现存金融负债，且新金融负债与现存金融负债的</w:t>
      </w:r>
      <w:r>
        <w:rPr>
          <w:spacing w:val="-42"/>
        </w:rPr>
        <w:t> </w:t>
      </w:r>
      <w:r>
        <w:rPr>
          <w:spacing w:val="-42"/>
        </w:rPr>
      </w:r>
      <w:r>
        <w:rPr>
          <w:spacing w:val="-3"/>
        </w:rPr>
        <w:t>合同条款实质上不同的，终止确认现存金融负债，并同时确认新金融负债。公司对现存金融负债全部</w:t>
      </w:r>
      <w:r>
        <w:rPr>
          <w:spacing w:val="-43"/>
        </w:rPr>
        <w:t> </w:t>
      </w:r>
      <w:r>
        <w:rPr>
          <w:spacing w:val="-43"/>
        </w:rPr>
      </w:r>
      <w:r>
        <w:rPr>
          <w:spacing w:val="-3"/>
        </w:rPr>
        <w:t>或部分的合同条款作出实质性修改的，终止确认现存金融负债或其一部分，同时将修改条款后的金融</w:t>
      </w:r>
      <w:r>
        <w:rPr>
          <w:spacing w:val="-42"/>
        </w:rPr>
        <w:t> </w:t>
      </w:r>
      <w:r>
        <w:rPr>
          <w:spacing w:val="-42"/>
        </w:rPr>
      </w:r>
      <w:r>
        <w:rPr/>
        <w:t>负债确认为一项新金融负债。终止确认部分的账面价值与支付的对价之间的差额，计入当期损益。</w:t>
      </w:r>
    </w:p>
    <w:p>
      <w:pPr>
        <w:pStyle w:val="BodyText"/>
        <w:spacing w:line="480" w:lineRule="exact" w:before="10"/>
        <w:ind w:left="554" w:right="0"/>
        <w:jc w:val="left"/>
      </w:pPr>
      <w:r>
        <w:rPr/>
        <w:t>（3）</w:t>
      </w:r>
      <w:r>
        <w:rPr>
          <w:spacing w:val="59"/>
        </w:rPr>
        <w:t> </w:t>
      </w:r>
      <w:r>
        <w:rPr/>
        <w:t>金融资产和金融负债的公允价值确定方法</w:t>
      </w:r>
      <w:r>
        <w:rPr>
          <w:w w:val="100"/>
        </w:rPr>
        <w:t> </w:t>
      </w:r>
      <w:r>
        <w:rPr>
          <w:spacing w:val="-3"/>
        </w:rPr>
        <w:t>本集团以主要市场的价格计量金融资产和金融负债的公允价值，不存在主要市场的，以最有利市</w:t>
      </w:r>
    </w:p>
    <w:p>
      <w:pPr>
        <w:pStyle w:val="BodyText"/>
        <w:spacing w:line="300" w:lineRule="auto" w:before="7"/>
        <w:ind w:right="250"/>
        <w:jc w:val="both"/>
      </w:pPr>
      <w:r>
        <w:rPr>
          <w:spacing w:val="-3"/>
        </w:rPr>
        <w:t>场的价格计量金融资产和金融负债的公允价值，并且采用当时适用并且有足够可利用数据和其他信息</w:t>
      </w:r>
      <w:r>
        <w:rPr>
          <w:spacing w:val="-43"/>
        </w:rPr>
        <w:t> </w:t>
      </w:r>
      <w:r>
        <w:rPr>
          <w:spacing w:val="-43"/>
        </w:rPr>
      </w:r>
      <w:r>
        <w:rPr>
          <w:spacing w:val="-3"/>
        </w:rPr>
        <w:t>支持的估值技术。公允价值计量所使用的输入值分为三个层次，即第一层次输入值是计量日能够取得</w:t>
      </w:r>
      <w:r>
        <w:rPr>
          <w:spacing w:val="-42"/>
        </w:rPr>
        <w:t> </w:t>
      </w:r>
      <w:r>
        <w:rPr>
          <w:spacing w:val="-42"/>
        </w:rPr>
      </w:r>
      <w:r>
        <w:rPr>
          <w:spacing w:val="-3"/>
        </w:rPr>
        <w:t>的相同资产或负债在活跃市场上未经调整的报价；第二层次输入值是除第一层次输入值外相关资产或</w:t>
      </w:r>
      <w:r>
        <w:rPr>
          <w:spacing w:val="-43"/>
        </w:rPr>
        <w:t> </w:t>
      </w:r>
      <w:r>
        <w:rPr>
          <w:spacing w:val="-43"/>
        </w:rPr>
      </w:r>
      <w:r>
        <w:rPr>
          <w:spacing w:val="-3"/>
        </w:rPr>
        <w:t>负债直接或间接可观察的输入值；第三层次输入值是相关资产或负债的不可观察输入值。本集团优先</w:t>
      </w:r>
      <w:r>
        <w:rPr>
          <w:spacing w:val="-43"/>
        </w:rPr>
        <w:t> </w:t>
      </w:r>
      <w:r>
        <w:rPr>
          <w:spacing w:val="-43"/>
        </w:rPr>
      </w:r>
      <w:r>
        <w:rPr>
          <w:spacing w:val="-3"/>
        </w:rPr>
        <w:t>使用第一层次输入值，最后再使用第三层次输入值。公允价值计量结果所属的层次，由对公允价值计</w:t>
      </w:r>
      <w:r>
        <w:rPr>
          <w:spacing w:val="-43"/>
        </w:rPr>
        <w:t> </w:t>
      </w:r>
      <w:r>
        <w:rPr>
          <w:spacing w:val="-43"/>
        </w:rPr>
      </w:r>
      <w:r>
        <w:rPr/>
        <w:t>量整体而言具有重大意义的输入值所属的最低层次决定。</w:t>
      </w:r>
    </w:p>
    <w:p>
      <w:pPr>
        <w:pStyle w:val="BodyText"/>
        <w:tabs>
          <w:tab w:pos="981" w:val="left" w:leader="none"/>
        </w:tabs>
        <w:spacing w:line="480" w:lineRule="exact" w:before="10"/>
        <w:ind w:left="554" w:right="250" w:firstLine="2"/>
        <w:jc w:val="left"/>
      </w:pPr>
      <w:r>
        <w:rPr>
          <w:spacing w:val="-1"/>
        </w:rPr>
        <w:t>9.</w:t>
        <w:tab/>
      </w:r>
      <w:r>
        <w:rPr>
          <w:spacing w:val="-2"/>
        </w:rPr>
        <w:t>应收款项坏账准备</w:t>
      </w:r>
      <w:r>
        <w:rPr>
          <w:spacing w:val="-99"/>
        </w:rPr>
        <w:t> </w:t>
      </w:r>
      <w:r>
        <w:rPr>
          <w:spacing w:val="-99"/>
        </w:rPr>
      </w:r>
      <w:r>
        <w:rPr>
          <w:spacing w:val="-3"/>
        </w:rPr>
        <w:t>本集团将下列情形作为应收款项坏账损失确认标准：债务单位撤销、破产、资不抵债、现金流量</w:t>
      </w:r>
    </w:p>
    <w:p>
      <w:pPr>
        <w:pStyle w:val="BodyText"/>
        <w:spacing w:line="300" w:lineRule="auto" w:before="7"/>
        <w:ind w:right="250"/>
        <w:jc w:val="both"/>
      </w:pPr>
      <w:r>
        <w:rPr>
          <w:spacing w:val="-3"/>
        </w:rPr>
        <w:t>严重不足、发生严重自然灾害等导致停产而在可预见的时间内无法偿付债务等；债务单位逾期未履行</w:t>
      </w:r>
      <w:r>
        <w:rPr>
          <w:spacing w:val="-43"/>
        </w:rPr>
        <w:t> </w:t>
      </w:r>
      <w:r>
        <w:rPr>
          <w:spacing w:val="-43"/>
        </w:rPr>
      </w:r>
      <w:r>
        <w:rPr/>
        <w:t>偿债义务超过</w:t>
      </w:r>
      <w:r>
        <w:rPr>
          <w:spacing w:val="-64"/>
        </w:rPr>
        <w:t> </w:t>
      </w:r>
      <w:r>
        <w:rPr/>
        <w:t>3</w:t>
      </w:r>
      <w:r>
        <w:rPr>
          <w:spacing w:val="-64"/>
        </w:rPr>
        <w:t> </w:t>
      </w:r>
      <w:r>
        <w:rPr/>
        <w:t>年；其他确凿证据表明确实无法收回或收回的可能性不大。</w:t>
      </w:r>
    </w:p>
    <w:p>
      <w:pPr>
        <w:pStyle w:val="BodyText"/>
        <w:spacing w:line="300" w:lineRule="auto" w:before="137"/>
        <w:ind w:right="0" w:firstLine="441"/>
        <w:jc w:val="left"/>
      </w:pPr>
      <w:r>
        <w:rPr>
          <w:spacing w:val="-3"/>
        </w:rPr>
        <w:t>对可能发生的坏账损失采用备抵法核算，年末单独或按组合进行减值测试，计提坏账准备，计入</w:t>
      </w:r>
      <w:r>
        <w:rPr>
          <w:w w:val="100"/>
        </w:rPr>
        <w:t> </w:t>
      </w:r>
      <w:r>
        <w:rPr>
          <w:spacing w:val="-5"/>
        </w:rPr>
        <w:t>当期损益。对于有确凿证据表明确实无法收回的应收款项，经本集团按规定程序批准后作为坏账损失，</w:t>
      </w:r>
      <w:r>
        <w:rPr>
          <w:spacing w:val="-60"/>
        </w:rPr>
        <w:t> </w:t>
      </w:r>
      <w:r>
        <w:rPr>
          <w:spacing w:val="-60"/>
        </w:rPr>
      </w:r>
      <w:r>
        <w:rPr/>
        <w:t>冲销提取的坏账准备。</w:t>
      </w:r>
    </w:p>
    <w:p>
      <w:pPr>
        <w:pStyle w:val="BodyText"/>
        <w:spacing w:line="240" w:lineRule="auto" w:before="137"/>
        <w:ind w:left="556" w:right="0"/>
        <w:jc w:val="left"/>
      </w:pPr>
      <w:r>
        <w:rPr/>
        <w:t>（1）</w:t>
      </w:r>
      <w:r>
        <w:rPr>
          <w:spacing w:val="44"/>
        </w:rPr>
        <w:t> </w:t>
      </w:r>
      <w:r>
        <w:rPr/>
        <w:t>单项金额重大并单独计提坏账准备的应收款项</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4644"/>
        <w:gridCol w:w="4079"/>
      </w:tblGrid>
      <w:tr>
        <w:trPr>
          <w:trHeight w:val="669" w:hRule="exact"/>
        </w:trPr>
        <w:tc>
          <w:tcPr>
            <w:tcW w:w="46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72"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079"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6"/>
              <w:ind w:left="70" w:right="68"/>
              <w:jc w:val="left"/>
              <w:rPr>
                <w:rFonts w:ascii="宋体" w:hAnsi="宋体" w:cs="宋体" w:eastAsia="宋体" w:hint="default"/>
                <w:sz w:val="22"/>
                <w:szCs w:val="22"/>
              </w:rPr>
            </w:pPr>
            <w:r>
              <w:rPr>
                <w:rFonts w:ascii="宋体" w:hAnsi="宋体" w:cs="宋体" w:eastAsia="宋体" w:hint="default"/>
                <w:sz w:val="22"/>
                <w:szCs w:val="22"/>
              </w:rPr>
              <w:t>将单项金额超过</w:t>
            </w:r>
            <w:r>
              <w:rPr>
                <w:rFonts w:ascii="宋体" w:hAnsi="宋体" w:cs="宋体" w:eastAsia="宋体" w:hint="default"/>
                <w:spacing w:val="-73"/>
                <w:sz w:val="22"/>
                <w:szCs w:val="22"/>
              </w:rPr>
              <w:t> </w:t>
            </w:r>
            <w:r>
              <w:rPr>
                <w:rFonts w:ascii="宋体" w:hAnsi="宋体" w:cs="宋体" w:eastAsia="宋体" w:hint="default"/>
                <w:sz w:val="22"/>
                <w:szCs w:val="22"/>
              </w:rPr>
              <w:t>100</w:t>
            </w:r>
            <w:r>
              <w:rPr>
                <w:rFonts w:ascii="宋体" w:hAnsi="宋体" w:cs="宋体" w:eastAsia="宋体" w:hint="default"/>
                <w:spacing w:val="-73"/>
                <w:sz w:val="22"/>
                <w:szCs w:val="22"/>
              </w:rPr>
              <w:t> </w:t>
            </w:r>
            <w:r>
              <w:rPr>
                <w:rFonts w:ascii="宋体" w:hAnsi="宋体" w:cs="宋体" w:eastAsia="宋体" w:hint="default"/>
                <w:sz w:val="22"/>
                <w:szCs w:val="22"/>
              </w:rPr>
              <w:t>万元的应收款项视为</w:t>
            </w:r>
            <w:r>
              <w:rPr>
                <w:rFonts w:ascii="宋体" w:hAnsi="宋体" w:cs="宋体" w:eastAsia="宋体" w:hint="default"/>
                <w:w w:val="100"/>
                <w:sz w:val="22"/>
                <w:szCs w:val="22"/>
              </w:rPr>
              <w:t> </w:t>
            </w:r>
            <w:r>
              <w:rPr>
                <w:rFonts w:ascii="宋体" w:hAnsi="宋体" w:cs="宋体" w:eastAsia="宋体" w:hint="default"/>
                <w:sz w:val="22"/>
                <w:szCs w:val="22"/>
              </w:rPr>
              <w:t>重大应收款项</w:t>
            </w:r>
          </w:p>
        </w:tc>
      </w:tr>
      <w:tr>
        <w:trPr>
          <w:trHeight w:val="667" w:hRule="exact"/>
        </w:trPr>
        <w:tc>
          <w:tcPr>
            <w:tcW w:w="46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72" w:right="0"/>
              <w:jc w:val="left"/>
              <w:rPr>
                <w:rFonts w:ascii="宋体" w:hAnsi="宋体" w:cs="宋体" w:eastAsia="宋体" w:hint="default"/>
                <w:sz w:val="22"/>
                <w:szCs w:val="22"/>
              </w:rPr>
            </w:pPr>
            <w:r>
              <w:rPr>
                <w:rFonts w:ascii="宋体" w:hAnsi="宋体" w:cs="宋体" w:eastAsia="宋体" w:hint="default"/>
                <w:sz w:val="22"/>
                <w:szCs w:val="22"/>
              </w:rPr>
              <w:t>单项金额重大并单项计提坏账准备的计提方法</w:t>
            </w:r>
          </w:p>
        </w:tc>
        <w:tc>
          <w:tcPr>
            <w:tcW w:w="4079" w:type="dxa"/>
            <w:tcBorders>
              <w:top w:val="single" w:sz="2" w:space="0" w:color="000000"/>
              <w:left w:val="single" w:sz="2" w:space="0" w:color="000000"/>
              <w:bottom w:val="single" w:sz="12" w:space="0" w:color="000000"/>
              <w:right w:val="nil" w:sz="6" w:space="0" w:color="auto"/>
            </w:tcBorders>
          </w:tcPr>
          <w:p>
            <w:pPr>
              <w:pStyle w:val="TableParagraph"/>
              <w:spacing w:line="284" w:lineRule="exact" w:before="35"/>
              <w:ind w:left="70" w:right="68"/>
              <w:jc w:val="left"/>
              <w:rPr>
                <w:rFonts w:ascii="宋体" w:hAnsi="宋体" w:cs="宋体" w:eastAsia="宋体" w:hint="default"/>
                <w:sz w:val="22"/>
                <w:szCs w:val="22"/>
              </w:rPr>
            </w:pPr>
            <w:r>
              <w:rPr>
                <w:rFonts w:ascii="宋体" w:hAnsi="宋体" w:cs="宋体" w:eastAsia="宋体" w:hint="default"/>
                <w:spacing w:val="8"/>
                <w:sz w:val="22"/>
                <w:szCs w:val="22"/>
              </w:rPr>
              <w:t>根据其未来现金流量现值低于其账面价</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值的差额，计提坏账准备</w:t>
            </w:r>
          </w:p>
        </w:tc>
      </w:tr>
    </w:tbl>
    <w:p>
      <w:pPr>
        <w:spacing w:after="0" w:line="284" w:lineRule="exact"/>
        <w:jc w:val="left"/>
        <w:rPr>
          <w:rFonts w:ascii="宋体" w:hAnsi="宋体" w:cs="宋体" w:eastAsia="宋体" w:hint="default"/>
          <w:sz w:val="22"/>
          <w:szCs w:val="22"/>
        </w:rPr>
        <w:sectPr>
          <w:pgSz w:w="11910" w:h="16840"/>
          <w:pgMar w:header="852" w:footer="873" w:top="1440" w:bottom="1060" w:left="1020" w:right="880"/>
        </w:sectPr>
      </w:pPr>
    </w:p>
    <w:p>
      <w:pPr>
        <w:spacing w:line="240" w:lineRule="auto" w:before="1"/>
        <w:rPr>
          <w:rFonts w:ascii="宋体" w:hAnsi="宋体" w:cs="宋体" w:eastAsia="宋体" w:hint="default"/>
          <w:sz w:val="18"/>
          <w:szCs w:val="18"/>
        </w:rPr>
      </w:pPr>
    </w:p>
    <w:p>
      <w:pPr>
        <w:pStyle w:val="BodyText"/>
        <w:spacing w:line="415" w:lineRule="auto"/>
        <w:ind w:left="645" w:right="4188" w:hanging="89"/>
        <w:jc w:val="left"/>
      </w:pPr>
      <w:r>
        <w:rPr/>
        <w:pict>
          <v:group style="position:absolute;margin-left:79.410004pt;margin-top:24.097681pt;width:436.65pt;height:1.45pt;mso-position-horizontal-relative:page;mso-position-vertical-relative:paragraph;z-index:-801736" coordorigin="1588,482" coordsize="8733,29">
            <v:group style="position:absolute;left:1593;top:487;width:8723;height:2" coordorigin="1593,487" coordsize="8723,2">
              <v:shape style="position:absolute;left:1593;top:487;width:8723;height:2" coordorigin="1593,487" coordsize="8723,0" path="m1593,487l10316,487e" filled="false" stroked="true" strokeweight=".48pt" strokecolor="#000000">
                <v:path arrowok="t"/>
              </v:shape>
            </v:group>
            <v:group style="position:absolute;left:1593;top:506;width:8723;height:2" coordorigin="1593,506" coordsize="8723,2">
              <v:shape style="position:absolute;left:1593;top:506;width:8723;height:2" coordorigin="1593,506" coordsize="8723,0" path="m1593,506l10316,506e" filled="false" stroked="true" strokeweight=".48pt" strokecolor="#000000">
                <v:path arrowok="t"/>
              </v:shape>
            </v:group>
            <w10:wrap type="none"/>
          </v:group>
        </w:pict>
      </w:r>
      <w:r>
        <w:rPr/>
        <w:pict>
          <v:shape style="position:absolute;margin-left:78.930pt;margin-top:45.447681pt;width:438.35pt;height:41.6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8"/>
                    <w:gridCol w:w="4815"/>
                  </w:tblGrid>
                  <w:tr>
                    <w:trPr>
                      <w:trHeight w:val="402" w:hRule="exact"/>
                    </w:trPr>
                    <w:tc>
                      <w:tcPr>
                        <w:tcW w:w="3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48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69" w:right="0"/>
                          <w:jc w:val="left"/>
                          <w:rPr>
                            <w:rFonts w:ascii="宋体" w:hAnsi="宋体" w:cs="宋体" w:eastAsia="宋体" w:hint="default"/>
                            <w:sz w:val="22"/>
                            <w:szCs w:val="22"/>
                          </w:rPr>
                        </w:pPr>
                        <w:r>
                          <w:rPr>
                            <w:rFonts w:ascii="宋体" w:hAnsi="宋体" w:cs="宋体" w:eastAsia="宋体" w:hint="default"/>
                            <w:sz w:val="22"/>
                            <w:szCs w:val="22"/>
                          </w:rPr>
                          <w:t>按账龄分析法计提坏账准备</w:t>
                        </w:r>
                      </w:p>
                    </w:tc>
                  </w:tr>
                  <w:tr>
                    <w:trPr>
                      <w:trHeight w:val="414" w:hRule="exact"/>
                    </w:trPr>
                    <w:tc>
                      <w:tcPr>
                        <w:tcW w:w="39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69" w:right="0"/>
                          <w:jc w:val="left"/>
                          <w:rPr>
                            <w:rFonts w:ascii="宋体" w:hAnsi="宋体" w:cs="宋体" w:eastAsia="宋体" w:hint="default"/>
                            <w:sz w:val="22"/>
                            <w:szCs w:val="22"/>
                          </w:rPr>
                        </w:pPr>
                        <w:r>
                          <w:rPr>
                            <w:rFonts w:ascii="宋体" w:hAnsi="宋体" w:cs="宋体" w:eastAsia="宋体" w:hint="default"/>
                            <w:sz w:val="22"/>
                            <w:szCs w:val="22"/>
                          </w:rPr>
                          <w:t>不计提坏账准备</w:t>
                        </w:r>
                      </w:p>
                    </w:tc>
                  </w:tr>
                </w:tbl>
                <w:p>
                  <w:pPr/>
                </w:p>
              </w:txbxContent>
            </v:textbox>
            <w10:wrap type="none"/>
          </v:shape>
        </w:pict>
      </w:r>
      <w:r>
        <w:rPr/>
        <w:t>（2）</w:t>
      </w:r>
      <w:r>
        <w:rPr>
          <w:spacing w:val="45"/>
        </w:rPr>
        <w:t> </w:t>
      </w:r>
      <w:r>
        <w:rPr/>
        <w:t>按信用风险特征组合计提坏账准备的应收款项</w:t>
      </w:r>
      <w:r>
        <w:rPr>
          <w:w w:val="100"/>
        </w:rPr>
        <w:t> </w:t>
      </w:r>
      <w:r>
        <w:rPr/>
        <w:t>按组合计提坏账准备的计提方法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532" w:right="110"/>
        <w:jc w:val="left"/>
      </w:pPr>
      <w:r>
        <w:rPr/>
        <w:t>采用账龄分析法的应收款项坏账准备计提比例如下：</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2907"/>
        <w:gridCol w:w="2908"/>
        <w:gridCol w:w="2908"/>
      </w:tblGrid>
      <w:tr>
        <w:trPr>
          <w:trHeight w:val="415" w:hRule="exact"/>
        </w:trPr>
        <w:tc>
          <w:tcPr>
            <w:tcW w:w="29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05"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295"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sz w:val="22"/>
                <w:szCs w:val="22"/>
              </w:rPr>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1.00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1.00</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10.00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10.00</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30.00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30.00</w:t>
            </w:r>
          </w:p>
        </w:tc>
      </w:tr>
      <w:tr>
        <w:trPr>
          <w:trHeight w:val="414" w:hRule="exact"/>
        </w:trPr>
        <w:tc>
          <w:tcPr>
            <w:tcW w:w="29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100.00</w:t>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100.00</w:t>
            </w:r>
          </w:p>
        </w:tc>
      </w:tr>
    </w:tbl>
    <w:p>
      <w:pPr>
        <w:spacing w:line="240" w:lineRule="auto" w:before="2"/>
        <w:rPr>
          <w:rFonts w:ascii="宋体" w:hAnsi="宋体" w:cs="宋体" w:eastAsia="宋体" w:hint="default"/>
          <w:sz w:val="9"/>
          <w:szCs w:val="9"/>
        </w:rPr>
      </w:pPr>
    </w:p>
    <w:p>
      <w:pPr>
        <w:pStyle w:val="BodyText"/>
        <w:spacing w:line="240" w:lineRule="auto"/>
        <w:ind w:left="556" w:right="110"/>
        <w:jc w:val="left"/>
      </w:pPr>
      <w:r>
        <w:rPr/>
        <w:t>（3）</w:t>
      </w:r>
      <w:r>
        <w:rPr>
          <w:spacing w:val="42"/>
        </w:rPr>
        <w:t> </w:t>
      </w:r>
      <w:r>
        <w:rPr/>
        <w:t>单项金额不重大但单独计提坏账准备的应收款项</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3908"/>
        <w:gridCol w:w="4815"/>
      </w:tblGrid>
      <w:tr>
        <w:trPr>
          <w:trHeight w:val="669" w:hRule="exact"/>
        </w:trPr>
        <w:tc>
          <w:tcPr>
            <w:tcW w:w="39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72"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3"/>
              <w:ind w:left="69" w:right="68"/>
              <w:jc w:val="left"/>
              <w:rPr>
                <w:rFonts w:ascii="宋体" w:hAnsi="宋体" w:cs="宋体" w:eastAsia="宋体" w:hint="default"/>
                <w:sz w:val="22"/>
                <w:szCs w:val="22"/>
              </w:rPr>
            </w:pPr>
            <w:r>
              <w:rPr>
                <w:rFonts w:ascii="宋体" w:hAnsi="宋体" w:cs="宋体" w:eastAsia="宋体" w:hint="default"/>
                <w:sz w:val="22"/>
                <w:szCs w:val="22"/>
              </w:rPr>
              <w:t>单项金额不重大且按照组合计提坏账准备不能反</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映其风险特征的应收款项</w:t>
            </w:r>
          </w:p>
        </w:tc>
      </w:tr>
      <w:tr>
        <w:trPr>
          <w:trHeight w:val="667" w:hRule="exact"/>
        </w:trPr>
        <w:tc>
          <w:tcPr>
            <w:tcW w:w="39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72"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86" w:lineRule="exact" w:before="31"/>
              <w:ind w:left="69" w:right="68"/>
              <w:jc w:val="left"/>
              <w:rPr>
                <w:rFonts w:ascii="宋体" w:hAnsi="宋体" w:cs="宋体" w:eastAsia="宋体" w:hint="default"/>
                <w:sz w:val="22"/>
                <w:szCs w:val="22"/>
              </w:rPr>
            </w:pPr>
            <w:r>
              <w:rPr>
                <w:rFonts w:ascii="宋体" w:hAnsi="宋体" w:cs="宋体" w:eastAsia="宋体" w:hint="default"/>
                <w:spacing w:val="11"/>
                <w:sz w:val="22"/>
                <w:szCs w:val="22"/>
              </w:rPr>
              <w:t>根据其未来现金流量现值低于其账面价值的差</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额，计提坏账准备</w:t>
            </w:r>
          </w:p>
        </w:tc>
      </w:tr>
    </w:tbl>
    <w:p>
      <w:pPr>
        <w:spacing w:line="240" w:lineRule="auto" w:before="2"/>
        <w:rPr>
          <w:rFonts w:ascii="宋体" w:hAnsi="宋体" w:cs="宋体" w:eastAsia="宋体" w:hint="default"/>
          <w:sz w:val="9"/>
          <w:szCs w:val="9"/>
        </w:rPr>
      </w:pPr>
    </w:p>
    <w:p>
      <w:pPr>
        <w:pStyle w:val="BodyText"/>
        <w:spacing w:line="400" w:lineRule="auto"/>
        <w:ind w:left="554" w:right="3359"/>
        <w:jc w:val="left"/>
      </w:pPr>
      <w:r>
        <w:rPr/>
        <w:t>10.</w:t>
      </w:r>
      <w:r>
        <w:rPr>
          <w:spacing w:val="-15"/>
        </w:rPr>
        <w:t> </w:t>
      </w:r>
      <w:r>
        <w:rPr/>
        <w:t>存货</w:t>
      </w:r>
      <w:r>
        <w:rPr>
          <w:w w:val="100"/>
        </w:rPr>
        <w:t> </w:t>
      </w:r>
      <w:r>
        <w:rPr>
          <w:spacing w:val="-2"/>
        </w:rPr>
        <w:t>本集团存货主要包括原材料、周转材料、在产品和库存商品。</w:t>
      </w:r>
    </w:p>
    <w:p>
      <w:pPr>
        <w:pStyle w:val="BodyText"/>
        <w:spacing w:line="300" w:lineRule="auto" w:before="44"/>
        <w:ind w:right="110" w:firstLine="441"/>
        <w:jc w:val="both"/>
      </w:pPr>
      <w:r>
        <w:rPr>
          <w:spacing w:val="-3"/>
        </w:rPr>
        <w:t>存货实行永续盘存制，存货在取得时按实际成本计价；领用或发出存货，采用加权平均法确定其</w:t>
      </w:r>
      <w:r>
        <w:rPr>
          <w:w w:val="100"/>
        </w:rPr>
        <w:t> </w:t>
      </w:r>
      <w:r>
        <w:rPr/>
        <w:t>实际成本。</w:t>
      </w:r>
    </w:p>
    <w:p>
      <w:pPr>
        <w:pStyle w:val="BodyText"/>
        <w:spacing w:line="300" w:lineRule="auto" w:before="137"/>
        <w:ind w:right="110" w:firstLine="441"/>
        <w:jc w:val="both"/>
      </w:pPr>
      <w:r>
        <w:rPr>
          <w:spacing w:val="-3"/>
        </w:rPr>
        <w:t>低值易耗品中周转用铁质电缆盘采用分次摊销法，包装物及其他低值易耗品领用时一次摊销入成</w:t>
      </w:r>
      <w:r>
        <w:rPr>
          <w:w w:val="100"/>
        </w:rPr>
        <w:t> </w:t>
      </w:r>
      <w:r>
        <w:rPr/>
        <w:t>本。</w:t>
      </w:r>
    </w:p>
    <w:p>
      <w:pPr>
        <w:pStyle w:val="BodyText"/>
        <w:spacing w:line="300" w:lineRule="auto" w:before="137"/>
        <w:ind w:right="110" w:firstLine="441"/>
        <w:jc w:val="both"/>
      </w:pPr>
      <w:r>
        <w:rPr>
          <w:spacing w:val="-3"/>
        </w:rPr>
        <w:t>期末存货按成本与可变现净值孰低原则计价，对于存货因遭受毁损、全部或部分陈旧过时或销售</w:t>
      </w:r>
      <w:r>
        <w:rPr>
          <w:w w:val="100"/>
        </w:rPr>
        <w:t> </w:t>
      </w:r>
      <w:r>
        <w:rPr>
          <w:spacing w:val="-3"/>
        </w:rPr>
        <w:t>价格低于成本等原因，预计其成本不可收回的部分，提取存货跌价准备。库存商品及大宗原材料的存</w:t>
      </w:r>
      <w:r>
        <w:rPr>
          <w:spacing w:val="-43"/>
        </w:rPr>
        <w:t> </w:t>
      </w:r>
      <w:r>
        <w:rPr>
          <w:spacing w:val="-43"/>
        </w:rPr>
      </w:r>
      <w:r>
        <w:rPr>
          <w:spacing w:val="-3"/>
        </w:rPr>
        <w:t>货跌价准备按单个存货项目的成本高于其可变现净值的差额提取；其他数量繁多、单价较低的原辅材</w:t>
      </w:r>
      <w:r>
        <w:rPr>
          <w:spacing w:val="-43"/>
        </w:rPr>
        <w:t> </w:t>
      </w:r>
      <w:r>
        <w:rPr>
          <w:spacing w:val="-43"/>
        </w:rPr>
      </w:r>
      <w:r>
        <w:rPr/>
        <w:t>料按类别提取存货跌价准备。</w:t>
      </w:r>
    </w:p>
    <w:p>
      <w:pPr>
        <w:pStyle w:val="BodyText"/>
        <w:spacing w:line="300" w:lineRule="auto" w:before="137"/>
        <w:ind w:right="110" w:firstLine="441"/>
        <w:jc w:val="both"/>
      </w:pPr>
      <w:r>
        <w:rPr>
          <w:spacing w:val="-3"/>
        </w:rPr>
        <w:t>库存商品、在产品和用于出售的材料等直接用于出售的商品存货，其可变现净值按该存货的估计</w:t>
      </w:r>
      <w:r>
        <w:rPr>
          <w:w w:val="100"/>
        </w:rPr>
        <w:t> </w:t>
      </w:r>
      <w:r>
        <w:rPr>
          <w:spacing w:val="-3"/>
        </w:rPr>
        <w:t>售价减去估计的销售费用和相关税费后的金额确定；用于生产而持有的材料存货，其可变现净值按所</w:t>
      </w:r>
      <w:r>
        <w:rPr>
          <w:spacing w:val="-43"/>
        </w:rPr>
        <w:t> </w:t>
      </w:r>
      <w:r>
        <w:rPr>
          <w:spacing w:val="-43"/>
        </w:rPr>
      </w:r>
      <w:r>
        <w:rPr>
          <w:spacing w:val="-3"/>
        </w:rPr>
        <w:t>生产的产成品的估计售价减去至完工时估计将要发生的成本、估计的销售费用和相关税费后的金额确</w:t>
      </w:r>
      <w:r>
        <w:rPr>
          <w:spacing w:val="-43"/>
        </w:rPr>
        <w:t> </w:t>
      </w:r>
      <w:r>
        <w:rPr>
          <w:spacing w:val="-43"/>
        </w:rPr>
      </w:r>
      <w:r>
        <w:rPr/>
        <w:t>定。</w:t>
      </w:r>
    </w:p>
    <w:p>
      <w:pPr>
        <w:pStyle w:val="BodyText"/>
        <w:spacing w:line="400" w:lineRule="auto" w:before="137"/>
        <w:ind w:left="554" w:right="110"/>
        <w:jc w:val="left"/>
      </w:pPr>
      <w:r>
        <w:rPr/>
        <w:t>11.</w:t>
      </w:r>
      <w:r>
        <w:rPr>
          <w:spacing w:val="-16"/>
        </w:rPr>
        <w:t> </w:t>
      </w:r>
      <w:r>
        <w:rPr/>
        <w:t>长期股权投资</w:t>
      </w:r>
      <w:r>
        <w:rPr>
          <w:w w:val="100"/>
        </w:rPr>
        <w:t> </w:t>
      </w:r>
      <w:r>
        <w:rPr/>
        <w:t>本集团长期股权投资主要是对子公司的投资、对联营企业的投资和对合营企业的投资。</w:t>
      </w:r>
      <w:r>
        <w:rPr>
          <w:w w:val="100"/>
        </w:rPr>
        <w:t> </w:t>
      </w:r>
      <w:r>
        <w:rPr>
          <w:spacing w:val="-3"/>
        </w:rPr>
        <w:t>本集团对共同控制的判断依据是所有参与方或参与方组合集体控制该安排，并且该安排相关活动</w:t>
      </w:r>
    </w:p>
    <w:p>
      <w:pPr>
        <w:spacing w:after="0" w:line="400" w:lineRule="auto"/>
        <w:jc w:val="left"/>
        <w:sectPr>
          <w:pgSz w:w="11910" w:h="16840"/>
          <w:pgMar w:header="852" w:footer="873" w:top="1440" w:bottom="1060" w:left="1020" w:right="1020"/>
        </w:sectPr>
      </w:pPr>
    </w:p>
    <w:p>
      <w:pPr>
        <w:spacing w:line="240" w:lineRule="auto" w:before="1"/>
        <w:rPr>
          <w:rFonts w:ascii="宋体" w:hAnsi="宋体" w:cs="宋体" w:eastAsia="宋体" w:hint="default"/>
          <w:sz w:val="18"/>
          <w:szCs w:val="18"/>
        </w:rPr>
      </w:pPr>
    </w:p>
    <w:p>
      <w:pPr>
        <w:pStyle w:val="BodyText"/>
        <w:spacing w:line="240" w:lineRule="auto"/>
        <w:ind w:right="87"/>
        <w:jc w:val="left"/>
      </w:pPr>
      <w:r>
        <w:rPr/>
        <w:t>的政策必须经过这些集体控制该安排的参与方一致同意。</w:t>
      </w:r>
    </w:p>
    <w:p>
      <w:pPr>
        <w:pStyle w:val="BodyText"/>
        <w:spacing w:line="300" w:lineRule="auto" w:before="192"/>
        <w:ind w:right="210" w:firstLine="441"/>
        <w:jc w:val="both"/>
      </w:pPr>
      <w:r>
        <w:rPr/>
        <w:t>本集团直接或通过子公司间接拥有被投资单位 20％（含）以上但低于</w:t>
      </w:r>
      <w:r>
        <w:rPr>
          <w:spacing w:val="-72"/>
        </w:rPr>
        <w:t> </w:t>
      </w:r>
      <w:r>
        <w:rPr/>
        <w:t>50％的表决权时，通常认</w:t>
      </w:r>
      <w:r>
        <w:rPr>
          <w:w w:val="100"/>
        </w:rPr>
        <w:t> </w:t>
      </w:r>
      <w:r>
        <w:rPr/>
        <w:t>为对被投资单位具有重大影响。持有被投资单位</w:t>
      </w:r>
      <w:r>
        <w:rPr>
          <w:spacing w:val="-65"/>
        </w:rPr>
        <w:t> </w:t>
      </w:r>
      <w:r>
        <w:rPr/>
        <w:t>20%以下表决权的，还需要综合考虑在被投资单位的</w:t>
      </w:r>
      <w:r>
        <w:rPr>
          <w:w w:val="100"/>
        </w:rPr>
        <w:t> </w:t>
      </w:r>
      <w:r>
        <w:rPr>
          <w:spacing w:val="-3"/>
        </w:rPr>
        <w:t>董事会或类似权力机构中派有代表、或参与被投资单位财务和经营政策制定过程、或与被投资单位之</w:t>
      </w:r>
      <w:r>
        <w:rPr>
          <w:spacing w:val="-43"/>
        </w:rPr>
        <w:t> </w:t>
      </w:r>
      <w:r>
        <w:rPr>
          <w:spacing w:val="-43"/>
        </w:rPr>
      </w:r>
      <w:r>
        <w:rPr>
          <w:spacing w:val="-3"/>
        </w:rPr>
        <w:t>间发生重要交易、或向被投资单位派出管理人员、或向被投资单位提供关键技术资料等事实和情况判</w:t>
      </w:r>
      <w:r>
        <w:rPr>
          <w:spacing w:val="-43"/>
        </w:rPr>
        <w:t> </w:t>
      </w:r>
      <w:r>
        <w:rPr>
          <w:spacing w:val="-43"/>
        </w:rPr>
      </w:r>
      <w:r>
        <w:rPr/>
        <w:t>断对被投资单位具有重大影响。</w:t>
      </w:r>
    </w:p>
    <w:p>
      <w:pPr>
        <w:pStyle w:val="BodyText"/>
        <w:spacing w:line="300" w:lineRule="auto" w:before="137"/>
        <w:ind w:right="87" w:firstLine="441"/>
        <w:jc w:val="left"/>
      </w:pPr>
      <w:r>
        <w:rPr>
          <w:spacing w:val="-6"/>
        </w:rPr>
        <w:t>对被投资单位形成控制的，为本集团的子公司。通过同一控制下的企业合并取得的长期股权投资，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32"/>
        </w:rPr>
        <w:t> </w:t>
      </w:r>
      <w:r>
        <w:rPr>
          <w:spacing w:val="-32"/>
        </w:rPr>
      </w:r>
      <w:r>
        <w:rPr/>
        <w:t>初始投资成本。被合并方在合并日的净资产账面价值为负数的，长期股权投资成本按零确定。</w:t>
      </w:r>
    </w:p>
    <w:p>
      <w:pPr>
        <w:pStyle w:val="BodyText"/>
        <w:spacing w:line="300" w:lineRule="auto" w:before="137"/>
        <w:ind w:right="210" w:firstLine="441"/>
        <w:jc w:val="both"/>
      </w:pPr>
      <w:r>
        <w:rPr>
          <w:spacing w:val="-3"/>
        </w:rPr>
        <w:t>通过同一控制下的企业合并取得的长期股权投资，在合并日按照取得被合并方所有者权益账面价</w:t>
      </w:r>
      <w:r>
        <w:rPr>
          <w:w w:val="100"/>
        </w:rPr>
        <w:t> </w:t>
      </w:r>
      <w:r>
        <w:rPr>
          <w:spacing w:val="-3"/>
        </w:rPr>
        <w:t>值的份额作为长期股权投资的初始投资成本。通过非同一控制下的企业合并取得的长期股权投资，以</w:t>
      </w:r>
      <w:r>
        <w:rPr>
          <w:spacing w:val="-42"/>
        </w:rPr>
        <w:t> </w:t>
      </w:r>
      <w:r>
        <w:rPr>
          <w:spacing w:val="-42"/>
        </w:rPr>
      </w:r>
      <w:r>
        <w:rPr>
          <w:spacing w:val="-3"/>
        </w:rPr>
        <w:t>在合并（购买）日为取得对被合并（购买）方的控制权而付出的资产、发生或承担的负债以及发行的</w:t>
      </w:r>
      <w:r>
        <w:rPr>
          <w:spacing w:val="-41"/>
        </w:rPr>
        <w:t> </w:t>
      </w:r>
      <w:r>
        <w:rPr>
          <w:spacing w:val="-41"/>
        </w:rPr>
      </w:r>
      <w:r>
        <w:rPr/>
        <w:t>权益性证券的公允价值作为合并成本。</w:t>
      </w:r>
    </w:p>
    <w:p>
      <w:pPr>
        <w:pStyle w:val="BodyText"/>
        <w:spacing w:line="300" w:lineRule="auto" w:before="137"/>
        <w:ind w:right="210" w:firstLine="441"/>
        <w:jc w:val="both"/>
      </w:pPr>
      <w:r>
        <w:rPr>
          <w:spacing w:val="-3"/>
        </w:rPr>
        <w:t>除上述通过企业合并取得的长期股权投资外，以支付现金取得的长期股权投资，按照实际支付的</w:t>
      </w:r>
      <w:r>
        <w:rPr>
          <w:w w:val="100"/>
        </w:rPr>
        <w:t> </w:t>
      </w:r>
      <w:r>
        <w:rPr>
          <w:spacing w:val="-3"/>
        </w:rPr>
        <w:t>购买价款作为投资成本；以发行权益性证券取得的长期股权投资，按照发行权益性证券的公允价值作</w:t>
      </w:r>
      <w:r>
        <w:rPr>
          <w:spacing w:val="-43"/>
        </w:rPr>
        <w:t> </w:t>
      </w:r>
      <w:r>
        <w:rPr>
          <w:spacing w:val="-43"/>
        </w:rPr>
      </w:r>
      <w:r>
        <w:rPr>
          <w:spacing w:val="-3"/>
        </w:rPr>
        <w:t>为投资成本；投资者投入的长期股权投资，按照投资合同或协议约定的价值作为投资成本；以债务重</w:t>
      </w:r>
      <w:r>
        <w:rPr>
          <w:spacing w:val="-43"/>
        </w:rPr>
        <w:t> </w:t>
      </w:r>
      <w:r>
        <w:rPr>
          <w:spacing w:val="-43"/>
        </w:rPr>
      </w:r>
      <w:r>
        <w:rPr/>
        <w:t>组、非货币性资产交换等方式取得的长期股权投资，按相关会计准则的规定确定投资成本。</w:t>
      </w:r>
    </w:p>
    <w:p>
      <w:pPr>
        <w:pStyle w:val="BodyText"/>
        <w:spacing w:line="480" w:lineRule="exact" w:before="10"/>
        <w:ind w:left="554" w:right="87"/>
        <w:jc w:val="left"/>
      </w:pPr>
      <w:r>
        <w:rPr/>
        <w:t>本集团对子公司投资采用成本法核算，对合营企业及联营企业投资采用权益法核算。</w:t>
      </w:r>
      <w:r>
        <w:rPr>
          <w:w w:val="100"/>
        </w:rPr>
        <w:t> </w:t>
      </w:r>
      <w:r>
        <w:rPr>
          <w:spacing w:val="-3"/>
        </w:rPr>
        <w:t>后续计量采用成本法核算的长期股权投资，在追加投资时，按照追加投资支付的成本额公允价值</w:t>
      </w:r>
    </w:p>
    <w:p>
      <w:pPr>
        <w:pStyle w:val="BodyText"/>
        <w:spacing w:line="300" w:lineRule="auto" w:before="7"/>
        <w:ind w:right="87"/>
        <w:jc w:val="left"/>
      </w:pPr>
      <w:r>
        <w:rPr>
          <w:spacing w:val="-2"/>
        </w:rPr>
        <w:t>及发生的相关交易费用增加长期股权投资成本的账面价值。被投资单位宣告分派的现金股利或利润，</w:t>
      </w:r>
      <w:r>
        <w:rPr>
          <w:spacing w:val="-48"/>
        </w:rPr>
        <w:t> </w:t>
      </w:r>
      <w:r>
        <w:rPr>
          <w:spacing w:val="-48"/>
        </w:rPr>
      </w:r>
      <w:r>
        <w:rPr/>
        <w:t>按照应享有的金额确认为当期投资收益。</w:t>
      </w:r>
    </w:p>
    <w:p>
      <w:pPr>
        <w:pStyle w:val="BodyText"/>
        <w:spacing w:line="300" w:lineRule="auto" w:before="137"/>
        <w:ind w:right="210" w:firstLine="441"/>
        <w:jc w:val="both"/>
      </w:pPr>
      <w:r>
        <w:rPr>
          <w:spacing w:val="-3"/>
        </w:rPr>
        <w:t>后续计量采用权益法核算的长期股权投资，随着被他投资单位所有者权益的变动相应调整增加或</w:t>
      </w:r>
      <w:r>
        <w:rPr>
          <w:w w:val="100"/>
        </w:rPr>
        <w:t> </w:t>
      </w:r>
      <w:r>
        <w:rPr>
          <w:spacing w:val="-3"/>
        </w:rPr>
        <w:t>减少长期股权投资的账面价值。其中在确认应享有被投资单位净损益的份额时，以取得投资时被投资</w:t>
      </w:r>
      <w:r>
        <w:rPr>
          <w:spacing w:val="-43"/>
        </w:rPr>
        <w:t> </w:t>
      </w:r>
      <w:r>
        <w:rPr>
          <w:spacing w:val="-43"/>
        </w:rPr>
      </w:r>
      <w:r>
        <w:rPr>
          <w:spacing w:val="-3"/>
        </w:rPr>
        <w:t>单位各项可辨认资产等的公允价值为基础，按照本集团的会计政策及会计期间，并抵销与联营企业及</w:t>
      </w:r>
      <w:r>
        <w:rPr>
          <w:spacing w:val="-43"/>
        </w:rPr>
        <w:t> </w:t>
      </w:r>
      <w:r>
        <w:rPr>
          <w:spacing w:val="-43"/>
        </w:rPr>
      </w:r>
      <w:r>
        <w:rPr>
          <w:spacing w:val="-3"/>
        </w:rPr>
        <w:t>合营企业之间发生的内部交易损益按照持股比例计算归属于投资企业的部分，对被投资单位的净利润</w:t>
      </w:r>
      <w:r>
        <w:rPr>
          <w:spacing w:val="-43"/>
        </w:rPr>
        <w:t> </w:t>
      </w:r>
      <w:r>
        <w:rPr>
          <w:spacing w:val="-43"/>
        </w:rPr>
      </w:r>
      <w:r>
        <w:rPr/>
        <w:t>进行调整后确认。</w:t>
      </w:r>
    </w:p>
    <w:p>
      <w:pPr>
        <w:pStyle w:val="BodyText"/>
        <w:spacing w:line="300" w:lineRule="auto" w:before="137"/>
        <w:ind w:right="210" w:firstLine="441"/>
        <w:jc w:val="both"/>
      </w:pPr>
      <w:r>
        <w:rPr>
          <w:spacing w:val="-3"/>
        </w:rPr>
        <w:t>处置长期股权投资，其账面价值与实际取得价款的差额，计入当期投资收益。采用权益法核算的</w:t>
      </w:r>
      <w:r>
        <w:rPr>
          <w:w w:val="100"/>
        </w:rPr>
        <w:t> </w:t>
      </w:r>
      <w:r>
        <w:rPr>
          <w:spacing w:val="-3"/>
        </w:rPr>
        <w:t>长期股权投资，因被投资单位除净损益以外所有者权益的其他变动而计入所有者权益的，处置该项投</w:t>
      </w:r>
      <w:r>
        <w:rPr>
          <w:spacing w:val="-43"/>
        </w:rPr>
        <w:t> </w:t>
      </w:r>
      <w:r>
        <w:rPr>
          <w:spacing w:val="-43"/>
        </w:rPr>
      </w:r>
      <w:r>
        <w:rPr/>
        <w:t>资时将原计入所有者权益的部分按相应比例转入当期投资损益。</w:t>
      </w:r>
    </w:p>
    <w:p>
      <w:pPr>
        <w:pStyle w:val="BodyText"/>
        <w:spacing w:line="300" w:lineRule="auto" w:before="137"/>
        <w:ind w:right="210" w:firstLine="441"/>
        <w:jc w:val="both"/>
      </w:pPr>
      <w:r>
        <w:rPr>
          <w:spacing w:val="-3"/>
        </w:rPr>
        <w:t>因处置部分股权投资等原因丧失了对被投资单位的共同控制或重大影响的，处置后的剩余股权改</w:t>
      </w:r>
      <w:r>
        <w:rPr>
          <w:w w:val="100"/>
        </w:rPr>
        <w:t> </w:t>
      </w:r>
      <w:r>
        <w:rPr>
          <w:spacing w:val="-3"/>
        </w:rPr>
        <w:t>按可供出售金融资产核算，剩余股权在丧失共同控制或重大影响之日的公允价值与账面价值之间的差</w:t>
      </w:r>
      <w:r>
        <w:rPr>
          <w:spacing w:val="-43"/>
        </w:rPr>
        <w:t> </w:t>
      </w:r>
      <w:r>
        <w:rPr>
          <w:spacing w:val="-43"/>
        </w:rPr>
      </w:r>
      <w:r>
        <w:rPr>
          <w:spacing w:val="-3"/>
        </w:rPr>
        <w:t>额计入当期损益。原股权投资因采用权益法核算而确认的其他综合收益，在终止采用权益法核算时采</w:t>
      </w:r>
      <w:r>
        <w:rPr>
          <w:spacing w:val="-43"/>
        </w:rPr>
        <w:t> </w:t>
      </w:r>
      <w:r>
        <w:rPr>
          <w:spacing w:val="-43"/>
        </w:rPr>
      </w:r>
      <w:r>
        <w:rPr/>
        <w:t>用与被投资单位直接处置相关资产或负债相同的基础进行会计处理。</w:t>
      </w:r>
    </w:p>
    <w:p>
      <w:pPr>
        <w:pStyle w:val="BodyText"/>
        <w:spacing w:line="240" w:lineRule="auto" w:before="137"/>
        <w:ind w:left="554" w:right="87"/>
        <w:jc w:val="left"/>
      </w:pPr>
      <w:r>
        <w:rPr>
          <w:spacing w:val="-3"/>
        </w:rPr>
        <w:t>因处置部分长期股权投资丧失了对被投资单位控制的，处置后的剩余股权能够对被投资单位实施</w:t>
      </w:r>
    </w:p>
    <w:p>
      <w:pPr>
        <w:spacing w:after="0" w:line="240" w:lineRule="auto"/>
        <w:jc w:val="left"/>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300" w:lineRule="auto"/>
        <w:ind w:right="172"/>
        <w:jc w:val="both"/>
      </w:pPr>
      <w:r>
        <w:rPr>
          <w:spacing w:val="-2"/>
        </w:rPr>
        <w:t>共同控制或施加重大影响的，改按权益法核算，处置股权账面价值和处置对价的差额计入投资收益，</w:t>
      </w:r>
      <w:r>
        <w:rPr>
          <w:spacing w:val="-48"/>
        </w:rPr>
        <w:t> </w:t>
      </w:r>
      <w:r>
        <w:rPr>
          <w:spacing w:val="-48"/>
        </w:rPr>
      </w:r>
      <w:r>
        <w:rPr>
          <w:spacing w:val="-3"/>
        </w:rPr>
        <w:t>并对该剩余股权视同自取得时即采用权益法核算进行调整；处置后的剩余股权不能对被投资单位实施</w:t>
      </w:r>
      <w:r>
        <w:rPr>
          <w:spacing w:val="-43"/>
        </w:rPr>
        <w:t> </w:t>
      </w:r>
      <w:r>
        <w:rPr>
          <w:spacing w:val="-43"/>
        </w:rPr>
      </w:r>
      <w:r>
        <w:rPr>
          <w:spacing w:val="-3"/>
        </w:rPr>
        <w:t>共同控制或施加重大影响的，改按可供出售金融资产的有关规定进行会计处理，处置股权账面价值和</w:t>
      </w:r>
      <w:r>
        <w:rPr>
          <w:spacing w:val="-43"/>
        </w:rPr>
        <w:t> </w:t>
      </w:r>
      <w:r>
        <w:rPr>
          <w:spacing w:val="-43"/>
        </w:rPr>
      </w:r>
      <w:r>
        <w:rPr>
          <w:spacing w:val="-3"/>
        </w:rPr>
        <w:t>处置对价的差额计入投资收益，剩余股权在丧失控制之日的公允价值与账面价值间的差额计入当期投</w:t>
      </w:r>
      <w:r>
        <w:rPr>
          <w:spacing w:val="-43"/>
        </w:rPr>
        <w:t> </w:t>
      </w:r>
      <w:r>
        <w:rPr>
          <w:spacing w:val="-43"/>
        </w:rPr>
      </w:r>
      <w:r>
        <w:rPr/>
        <w:t>资损益。</w:t>
      </w:r>
    </w:p>
    <w:p>
      <w:pPr>
        <w:pStyle w:val="BodyText"/>
        <w:spacing w:line="480" w:lineRule="exact" w:before="10"/>
        <w:ind w:left="554" w:right="87"/>
        <w:jc w:val="left"/>
      </w:pPr>
      <w:r>
        <w:rPr/>
        <w:t>12.</w:t>
      </w:r>
      <w:r>
        <w:rPr>
          <w:spacing w:val="-15"/>
        </w:rPr>
        <w:t> </w:t>
      </w:r>
      <w:r>
        <w:rPr/>
        <w:t>固定资产</w:t>
      </w:r>
      <w:r>
        <w:rPr>
          <w:w w:val="100"/>
        </w:rPr>
        <w:t> </w:t>
      </w:r>
      <w:r>
        <w:rPr>
          <w:spacing w:val="-2"/>
        </w:rPr>
        <w:t>本集团固定资产是指同时具有以下特征，即为生产商品、提供劳务、出租或经营管理而持有的，</w:t>
      </w:r>
    </w:p>
    <w:p>
      <w:pPr>
        <w:pStyle w:val="BodyText"/>
        <w:spacing w:line="240" w:lineRule="auto" w:before="7"/>
        <w:ind w:right="0"/>
        <w:jc w:val="both"/>
      </w:pPr>
      <w:r>
        <w:rPr/>
        <w:t>使用年限超过一年的有形资产。</w:t>
      </w:r>
    </w:p>
    <w:p>
      <w:pPr>
        <w:pStyle w:val="BodyText"/>
        <w:spacing w:line="300" w:lineRule="auto" w:before="192"/>
        <w:ind w:right="87" w:firstLine="441"/>
        <w:jc w:val="left"/>
      </w:pPr>
      <w:r>
        <w:rPr>
          <w:spacing w:val="-3"/>
        </w:rPr>
        <w:t>固定资产在与其有关的经济利益很可能流入本集团、且其成本能够可靠计量时予以确认。本集团</w:t>
      </w:r>
      <w:r>
        <w:rPr>
          <w:w w:val="100"/>
        </w:rPr>
        <w:t> </w:t>
      </w:r>
      <w:r>
        <w:rPr/>
        <w:t>固定资产包括房屋建筑物、机器设备、运输设备、办公及其他设备。</w:t>
      </w:r>
    </w:p>
    <w:p>
      <w:pPr>
        <w:pStyle w:val="BodyText"/>
        <w:spacing w:line="300" w:lineRule="auto" w:before="137"/>
        <w:ind w:right="87" w:firstLine="441"/>
        <w:jc w:val="left"/>
      </w:pPr>
      <w:r>
        <w:rPr>
          <w:spacing w:val="2"/>
        </w:rPr>
        <w:t>除已提足折旧仍继续使用的固定资产和单独计价入账的土地外，本集团对所有固定资产计提折</w:t>
      </w:r>
      <w:r>
        <w:rPr>
          <w:w w:val="100"/>
        </w:rPr>
        <w:t> </w:t>
      </w:r>
      <w:r>
        <w:rPr/>
        <w:t>旧。计提折旧时采用平均年限法。本集团固定资产的分类折旧年限、预计净残值率、折旧率如下：</w:t>
      </w:r>
    </w:p>
    <w:p>
      <w:pPr>
        <w:spacing w:line="240" w:lineRule="auto" w:before="1"/>
        <w:rPr>
          <w:rFonts w:ascii="宋体" w:hAnsi="宋体" w:cs="宋体" w:eastAsia="宋体" w:hint="default"/>
          <w:sz w:val="8"/>
          <w:szCs w:val="8"/>
        </w:rPr>
      </w:pPr>
    </w:p>
    <w:tbl>
      <w:tblPr>
        <w:tblW w:w="0" w:type="auto"/>
        <w:jc w:val="left"/>
        <w:tblInd w:w="659" w:type="dxa"/>
        <w:tblLayout w:type="fixed"/>
        <w:tblCellMar>
          <w:top w:w="0" w:type="dxa"/>
          <w:left w:w="0" w:type="dxa"/>
          <w:bottom w:w="0" w:type="dxa"/>
          <w:right w:w="0" w:type="dxa"/>
        </w:tblCellMar>
        <w:tblLook w:val="01E0"/>
      </w:tblPr>
      <w:tblGrid>
        <w:gridCol w:w="1080"/>
        <w:gridCol w:w="1920"/>
        <w:gridCol w:w="1920"/>
        <w:gridCol w:w="1920"/>
        <w:gridCol w:w="1680"/>
      </w:tblGrid>
      <w:tr>
        <w:trPr>
          <w:trHeight w:val="415" w:hRule="exact"/>
        </w:trPr>
        <w:tc>
          <w:tcPr>
            <w:tcW w:w="1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3"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 w:right="0"/>
              <w:jc w:val="center"/>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225"/>
              <w:jc w:val="right"/>
              <w:rPr>
                <w:rFonts w:ascii="宋体" w:hAnsi="宋体" w:cs="宋体" w:eastAsia="宋体" w:hint="default"/>
                <w:sz w:val="22"/>
                <w:szCs w:val="22"/>
              </w:rPr>
            </w:pPr>
            <w:r>
              <w:rPr>
                <w:rFonts w:ascii="宋体" w:hAnsi="宋体" w:cs="宋体" w:eastAsia="宋体" w:hint="default"/>
                <w:b/>
                <w:bCs/>
                <w:spacing w:val="-1"/>
                <w:sz w:val="22"/>
                <w:szCs w:val="22"/>
              </w:rPr>
              <w:t>年折旧率(%)</w:t>
            </w:r>
            <w:r>
              <w:rPr>
                <w:rFonts w:ascii="宋体" w:hAnsi="宋体" w:cs="宋体" w:eastAsia="宋体" w:hint="default"/>
                <w:spacing w:val="-1"/>
                <w:sz w:val="22"/>
                <w:szCs w:val="22"/>
              </w:rPr>
            </w:r>
          </w:p>
        </w:tc>
      </w:tr>
      <w:tr>
        <w:trPr>
          <w:trHeight w:val="402"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w w:val="100"/>
                <w:sz w:val="22"/>
              </w:rPr>
              <w:t>1</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17"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8-20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w w:val="100"/>
                <w:sz w:val="22"/>
              </w:rPr>
              <w:t>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75"/>
              <w:jc w:val="right"/>
              <w:rPr>
                <w:rFonts w:ascii="宋体" w:hAnsi="宋体" w:cs="宋体" w:eastAsia="宋体" w:hint="default"/>
                <w:sz w:val="22"/>
                <w:szCs w:val="22"/>
              </w:rPr>
            </w:pPr>
            <w:r>
              <w:rPr>
                <w:rFonts w:ascii="宋体" w:hAnsi="宋体" w:cs="宋体" w:eastAsia="宋体" w:hint="default"/>
                <w:spacing w:val="-2"/>
                <w:sz w:val="22"/>
                <w:szCs w:val="22"/>
              </w:rPr>
              <w:t>4.75－11.875</w:t>
            </w:r>
          </w:p>
        </w:tc>
      </w:tr>
      <w:tr>
        <w:trPr>
          <w:trHeight w:val="402"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w w:val="100"/>
                <w:sz w:val="22"/>
              </w:rPr>
              <w:t>2</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1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sz w:val="22"/>
              </w:rPr>
              <w:t>5-10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88" w:right="0"/>
              <w:jc w:val="left"/>
              <w:rPr>
                <w:rFonts w:ascii="宋体" w:hAnsi="宋体" w:cs="宋体" w:eastAsia="宋体" w:hint="default"/>
                <w:sz w:val="22"/>
                <w:szCs w:val="22"/>
              </w:rPr>
            </w:pPr>
            <w:r>
              <w:rPr>
                <w:rFonts w:ascii="宋体"/>
                <w:sz w:val="22"/>
              </w:rPr>
              <w:t>9.50-19.40</w:t>
            </w:r>
          </w:p>
        </w:tc>
      </w:tr>
      <w:tr>
        <w:trPr>
          <w:trHeight w:val="402"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w w:val="100"/>
                <w:sz w:val="22"/>
              </w:rPr>
              <w:t>3</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1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w w:val="100"/>
                <w:sz w:val="22"/>
              </w:rPr>
              <w:t>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30"/>
              <w:jc w:val="right"/>
              <w:rPr>
                <w:rFonts w:ascii="宋体" w:hAnsi="宋体" w:cs="宋体" w:eastAsia="宋体" w:hint="default"/>
                <w:sz w:val="22"/>
                <w:szCs w:val="22"/>
              </w:rPr>
            </w:pPr>
            <w:r>
              <w:rPr>
                <w:rFonts w:ascii="宋体"/>
                <w:spacing w:val="-2"/>
                <w:sz w:val="22"/>
              </w:rPr>
              <w:t>19.00-19.40</w:t>
            </w:r>
          </w:p>
        </w:tc>
      </w:tr>
      <w:tr>
        <w:trPr>
          <w:trHeight w:val="414" w:hRule="exact"/>
        </w:trPr>
        <w:tc>
          <w:tcPr>
            <w:tcW w:w="1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w w:val="100"/>
                <w:sz w:val="22"/>
              </w:rPr>
              <w:t>4</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17" w:right="0"/>
              <w:jc w:val="left"/>
              <w:rPr>
                <w:rFonts w:ascii="宋体" w:hAnsi="宋体" w:cs="宋体" w:eastAsia="宋体" w:hint="default"/>
                <w:sz w:val="22"/>
                <w:szCs w:val="22"/>
              </w:rPr>
            </w:pPr>
            <w:r>
              <w:rPr>
                <w:rFonts w:ascii="宋体" w:hAnsi="宋体" w:cs="宋体" w:eastAsia="宋体" w:hint="default"/>
                <w:sz w:val="22"/>
                <w:szCs w:val="22"/>
              </w:rPr>
              <w:t>办公及其他设备</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w w:val="100"/>
                <w:sz w:val="22"/>
              </w:rPr>
              <w:t>5</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230"/>
              <w:jc w:val="right"/>
              <w:rPr>
                <w:rFonts w:ascii="宋体" w:hAnsi="宋体" w:cs="宋体" w:eastAsia="宋体" w:hint="default"/>
                <w:sz w:val="22"/>
                <w:szCs w:val="22"/>
              </w:rPr>
            </w:pPr>
            <w:r>
              <w:rPr>
                <w:rFonts w:ascii="宋体"/>
                <w:spacing w:val="-2"/>
                <w:sz w:val="22"/>
              </w:rPr>
              <w:t>19.00-19.40</w:t>
            </w:r>
          </w:p>
        </w:tc>
      </w:tr>
    </w:tbl>
    <w:p>
      <w:pPr>
        <w:spacing w:line="240" w:lineRule="auto" w:before="3"/>
        <w:rPr>
          <w:rFonts w:ascii="宋体" w:hAnsi="宋体" w:cs="宋体" w:eastAsia="宋体" w:hint="default"/>
          <w:sz w:val="9"/>
          <w:szCs w:val="9"/>
        </w:rPr>
      </w:pPr>
    </w:p>
    <w:p>
      <w:pPr>
        <w:pStyle w:val="BodyText"/>
        <w:spacing w:line="300" w:lineRule="auto"/>
        <w:ind w:right="87" w:firstLine="441"/>
        <w:jc w:val="left"/>
      </w:pPr>
      <w:r>
        <w:rPr>
          <w:spacing w:val="-3"/>
        </w:rPr>
        <w:t>本集团于每年年度终了，对固定资产的预计使用寿命、预计净残值和折旧方法进行复核，如发生</w:t>
      </w:r>
      <w:r>
        <w:rPr>
          <w:w w:val="100"/>
        </w:rPr>
        <w:t> </w:t>
      </w:r>
      <w:r>
        <w:rPr/>
        <w:t>改变，则作为会计估计变更处理。</w:t>
      </w:r>
    </w:p>
    <w:p>
      <w:pPr>
        <w:pStyle w:val="BodyText"/>
        <w:spacing w:line="480" w:lineRule="exact" w:before="10"/>
        <w:ind w:left="554" w:right="87"/>
        <w:jc w:val="left"/>
      </w:pPr>
      <w:r>
        <w:rPr/>
        <w:t>13.</w:t>
      </w:r>
      <w:r>
        <w:rPr>
          <w:spacing w:val="-15"/>
        </w:rPr>
        <w:t> </w:t>
      </w:r>
      <w:r>
        <w:rPr/>
        <w:t>在建工程</w:t>
      </w:r>
      <w:r>
        <w:rPr>
          <w:w w:val="100"/>
        </w:rPr>
        <w:t> </w:t>
      </w:r>
      <w:r>
        <w:rPr>
          <w:spacing w:val="-3"/>
        </w:rPr>
        <w:t>在建工程在达到预定可使用状态之日起，根据工程预算、造价或工程实际成本等，按估计的价值</w:t>
      </w:r>
    </w:p>
    <w:p>
      <w:pPr>
        <w:pStyle w:val="BodyText"/>
        <w:spacing w:line="400" w:lineRule="auto" w:before="7"/>
        <w:ind w:left="554" w:right="87" w:hanging="442"/>
        <w:jc w:val="left"/>
      </w:pPr>
      <w:r>
        <w:rPr/>
        <w:t>结转固定资产，次月起开始计提折旧，待办理了竣工决算手续后再对固定资产原值差异进行调整。</w:t>
      </w:r>
      <w:r>
        <w:rPr>
          <w:w w:val="100"/>
        </w:rPr>
        <w:t> </w:t>
      </w:r>
      <w:r>
        <w:rPr/>
        <w:t>14.</w:t>
      </w:r>
      <w:r>
        <w:rPr>
          <w:spacing w:val="-17"/>
        </w:rPr>
        <w:t> </w:t>
      </w:r>
      <w:r>
        <w:rPr/>
        <w:t>借款费用</w:t>
      </w:r>
    </w:p>
    <w:p>
      <w:pPr>
        <w:pStyle w:val="BodyText"/>
        <w:spacing w:line="300" w:lineRule="auto" w:before="44"/>
        <w:ind w:right="87" w:firstLine="441"/>
        <w:jc w:val="left"/>
      </w:pPr>
      <w:r>
        <w:rPr/>
        <w:t>发生的可直接归属于需要经过</w:t>
      </w:r>
      <w:r>
        <w:rPr>
          <w:spacing w:val="-81"/>
        </w:rPr>
        <w:t> </w:t>
      </w:r>
      <w:r>
        <w:rPr/>
        <w:t>1</w:t>
      </w:r>
      <w:r>
        <w:rPr>
          <w:spacing w:val="-79"/>
        </w:rPr>
        <w:t> </w:t>
      </w:r>
      <w:r>
        <w:rPr/>
        <w:t>年以上的购建或者生产活动才能达到预定可使用或者可销售状态</w:t>
      </w:r>
      <w:r>
        <w:rPr>
          <w:w w:val="100"/>
        </w:rPr>
        <w:t> </w:t>
      </w:r>
      <w:r>
        <w:rPr>
          <w:spacing w:val="-3"/>
        </w:rPr>
        <w:t>的固定资产、投资性房地产和存货等的借款费用，在资产支出已经发生、借款费用已经发生、为使资</w:t>
      </w:r>
      <w:r>
        <w:rPr>
          <w:spacing w:val="-42"/>
        </w:rPr>
        <w:t> </w:t>
      </w:r>
      <w:r>
        <w:rPr>
          <w:spacing w:val="-42"/>
        </w:rPr>
      </w:r>
      <w:r>
        <w:rPr>
          <w:spacing w:val="-3"/>
        </w:rPr>
        <w:t>产达到预定可使用或可销售状态所必要的购建或生产活动已经开始时，开始资本化；当购建或生产符</w:t>
      </w:r>
      <w:r>
        <w:rPr>
          <w:spacing w:val="-43"/>
        </w:rPr>
        <w:t> </w:t>
      </w:r>
      <w:r>
        <w:rPr>
          <w:spacing w:val="-43"/>
        </w:rPr>
      </w:r>
      <w:r>
        <w:rPr>
          <w:spacing w:val="-3"/>
        </w:rPr>
        <w:t>合资本化条件的资产达到预定可使用或可销售状态时，停止资本化，其后发生的借款费用计入当期损</w:t>
      </w:r>
      <w:r>
        <w:rPr>
          <w:spacing w:val="-43"/>
        </w:rPr>
        <w:t> </w:t>
      </w:r>
      <w:r>
        <w:rPr>
          <w:spacing w:val="-43"/>
        </w:rPr>
      </w:r>
      <w:r>
        <w:rPr>
          <w:spacing w:val="-6"/>
        </w:rPr>
        <w:t>益。如果符合资本化条件的资产在购建或者生产过程中发生非正常中断、且中断时间连续超过</w:t>
      </w:r>
      <w:r>
        <w:rPr>
          <w:spacing w:val="-26"/>
        </w:rPr>
        <w:t> </w:t>
      </w:r>
      <w:r>
        <w:rPr/>
        <w:t>3</w:t>
      </w:r>
      <w:r>
        <w:rPr>
          <w:spacing w:val="-31"/>
        </w:rPr>
        <w:t> </w:t>
      </w:r>
      <w:r>
        <w:rPr/>
        <w:t>个月，</w:t>
      </w:r>
      <w:r>
        <w:rPr>
          <w:spacing w:val="-93"/>
        </w:rPr>
        <w:t> </w:t>
      </w:r>
      <w:r>
        <w:rPr>
          <w:spacing w:val="-93"/>
        </w:rPr>
      </w:r>
      <w:r>
        <w:rPr/>
        <w:t>暂停借款费用的资本化，直至资产的购建或生产活动重新开始。</w:t>
      </w:r>
    </w:p>
    <w:p>
      <w:pPr>
        <w:pStyle w:val="BodyText"/>
        <w:spacing w:line="300" w:lineRule="auto" w:before="137"/>
        <w:ind w:right="210" w:firstLine="441"/>
        <w:jc w:val="both"/>
      </w:pPr>
      <w:r>
        <w:rPr>
          <w:spacing w:val="-3"/>
        </w:rPr>
        <w:t>专门借款当期实际发生的利息费用，扣除尚未动用的借款资金存入银行取得的利息收入或进行暂</w:t>
      </w:r>
      <w:r>
        <w:rPr>
          <w:w w:val="100"/>
        </w:rPr>
        <w:t> </w:t>
      </w:r>
      <w:r>
        <w:rPr>
          <w:spacing w:val="-3"/>
        </w:rPr>
        <w:t>时性投资取得的投资收益后的金额予以资本化；一般借款根据累计资产支出超过专门借款部分的资产</w:t>
      </w:r>
      <w:r>
        <w:rPr>
          <w:spacing w:val="-43"/>
        </w:rPr>
        <w:t> </w:t>
      </w:r>
      <w:r>
        <w:rPr>
          <w:spacing w:val="-43"/>
        </w:rPr>
      </w:r>
      <w:r>
        <w:rPr>
          <w:spacing w:val="-3"/>
        </w:rPr>
        <w:t>支出加权平均数乘以所占用一般借款的资本化率，确定资本化金额。资本化率根据一般借款加权平均</w:t>
      </w:r>
      <w:r>
        <w:rPr>
          <w:spacing w:val="-43"/>
        </w:rPr>
        <w:t> </w:t>
      </w:r>
      <w:r>
        <w:rPr>
          <w:spacing w:val="-43"/>
        </w:rPr>
      </w:r>
      <w:r>
        <w:rPr/>
        <w:t>利率计算确定。</w:t>
      </w:r>
    </w:p>
    <w:p>
      <w:pPr>
        <w:spacing w:after="0" w:line="300" w:lineRule="auto"/>
        <w:jc w:val="both"/>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240" w:lineRule="auto"/>
        <w:ind w:left="554" w:right="87"/>
        <w:jc w:val="left"/>
      </w:pPr>
      <w:r>
        <w:rPr/>
        <w:t>15.</w:t>
      </w:r>
      <w:r>
        <w:rPr>
          <w:spacing w:val="-17"/>
        </w:rPr>
        <w:t> </w:t>
      </w:r>
      <w:r>
        <w:rPr/>
        <w:t>无形资产</w:t>
      </w:r>
    </w:p>
    <w:p>
      <w:pPr>
        <w:pStyle w:val="BodyText"/>
        <w:spacing w:line="300" w:lineRule="auto" w:before="192"/>
        <w:ind w:right="172" w:firstLine="441"/>
        <w:jc w:val="both"/>
      </w:pPr>
      <w:r>
        <w:rPr>
          <w:spacing w:val="-3"/>
        </w:rPr>
        <w:t>本集团无形资产包括土地使用权、专利技术、办公软件等，按取得时的实际成本计量，其中，购</w:t>
      </w:r>
      <w:r>
        <w:rPr>
          <w:w w:val="100"/>
        </w:rPr>
        <w:t> </w:t>
      </w:r>
      <w:r>
        <w:rPr>
          <w:spacing w:val="-3"/>
        </w:rPr>
        <w:t>入的无形资产，按实际支付的价款和相关的其他支出作为实际成本；投资者投入的无形资产，按投资</w:t>
      </w:r>
      <w:r>
        <w:rPr>
          <w:spacing w:val="-43"/>
        </w:rPr>
        <w:t> </w:t>
      </w:r>
      <w:r>
        <w:rPr>
          <w:spacing w:val="-43"/>
        </w:rPr>
      </w:r>
      <w:r>
        <w:rPr>
          <w:spacing w:val="-2"/>
        </w:rPr>
        <w:t>合同或协议约定的价值确定实际成本，但合同或协议约定价值不公允的，按公允价值确定实际成本；</w:t>
      </w:r>
    </w:p>
    <w:p>
      <w:pPr>
        <w:pStyle w:val="BodyText"/>
        <w:spacing w:line="300" w:lineRule="auto" w:before="137"/>
        <w:ind w:right="87" w:firstLine="441"/>
        <w:jc w:val="left"/>
      </w:pPr>
      <w:r>
        <w:rPr>
          <w:spacing w:val="-6"/>
        </w:rPr>
        <w:t>土地使用权从出让起始日起，按其出让年限平均摊销；专利技术和其他无形资产按预计使用年限、</w:t>
      </w:r>
      <w:r>
        <w:rPr>
          <w:w w:val="100"/>
        </w:rPr>
        <w:t> </w:t>
      </w:r>
      <w:r>
        <w:rPr>
          <w:spacing w:val="-3"/>
        </w:rPr>
        <w:t>合同规定的受益年限和法律规定的有效年限三者中最短者分期平均摊销；摊销金额按其受益对象计入</w:t>
      </w:r>
      <w:r>
        <w:rPr>
          <w:spacing w:val="-43"/>
        </w:rPr>
        <w:t> </w:t>
      </w:r>
      <w:r>
        <w:rPr>
          <w:spacing w:val="-43"/>
        </w:rPr>
      </w:r>
      <w:r>
        <w:rPr>
          <w:spacing w:val="-3"/>
        </w:rPr>
        <w:t>相关资产成本和当期损益。对使用寿命有限的无形资产的预计使用寿命及摊销方法于每年年度终了进</w:t>
      </w:r>
      <w:r>
        <w:rPr>
          <w:spacing w:val="-43"/>
        </w:rPr>
        <w:t> </w:t>
      </w:r>
      <w:r>
        <w:rPr>
          <w:spacing w:val="-43"/>
        </w:rPr>
      </w:r>
      <w:r>
        <w:rPr/>
        <w:t>行复核，如发生改变，则作为会计估计变更处理。</w:t>
      </w:r>
    </w:p>
    <w:p>
      <w:pPr>
        <w:pStyle w:val="BodyText"/>
        <w:spacing w:line="300" w:lineRule="auto" w:before="137"/>
        <w:ind w:right="210" w:firstLine="441"/>
        <w:jc w:val="both"/>
      </w:pPr>
      <w:r>
        <w:rPr>
          <w:spacing w:val="-3"/>
        </w:rPr>
        <w:t>本集团的研究开发支出根据其性质以及研发活动最终形成无形资产是否具有较大不确定性，分为</w:t>
      </w:r>
      <w:r>
        <w:rPr>
          <w:w w:val="100"/>
        </w:rPr>
        <w:t> </w:t>
      </w:r>
      <w:r>
        <w:rPr>
          <w:spacing w:val="-3"/>
        </w:rPr>
        <w:t>研究阶段支出和开发阶段支出。研究阶段的支出，于发生时计入当期损益；开发阶段的支出，同时满</w:t>
      </w:r>
      <w:r>
        <w:rPr>
          <w:spacing w:val="-42"/>
        </w:rPr>
        <w:t> </w:t>
      </w:r>
      <w:r>
        <w:rPr>
          <w:spacing w:val="-42"/>
        </w:rPr>
      </w:r>
      <w:r>
        <w:rPr/>
        <w:t>足下列条件的，确认为无形资产：</w:t>
      </w:r>
    </w:p>
    <w:p>
      <w:pPr>
        <w:pStyle w:val="BodyText"/>
        <w:spacing w:line="240" w:lineRule="auto" w:before="137"/>
        <w:ind w:left="554" w:right="87"/>
        <w:jc w:val="left"/>
      </w:pPr>
      <w:r>
        <w:rPr/>
        <w:t>（1）完成该无形资产以使其能够使用或出售在技术上具有可行性；</w:t>
      </w:r>
    </w:p>
    <w:p>
      <w:pPr>
        <w:pStyle w:val="BodyText"/>
        <w:spacing w:line="240" w:lineRule="auto" w:before="192"/>
        <w:ind w:left="554" w:right="87"/>
        <w:jc w:val="left"/>
      </w:pPr>
      <w:r>
        <w:rPr/>
        <w:t>（2）具有完成该无形资产并使用或出售的意图；</w:t>
      </w:r>
    </w:p>
    <w:p>
      <w:pPr>
        <w:pStyle w:val="BodyText"/>
        <w:spacing w:line="240" w:lineRule="auto" w:before="192"/>
        <w:ind w:left="554" w:right="87"/>
        <w:jc w:val="left"/>
      </w:pPr>
      <w:r>
        <w:rPr/>
        <w:t>（3）运用该无形资产生产的产品存在市场或无形资产自身存在市场；</w:t>
      </w:r>
    </w:p>
    <w:p>
      <w:pPr>
        <w:pStyle w:val="BodyText"/>
        <w:spacing w:line="300" w:lineRule="auto" w:before="192"/>
        <w:ind w:right="87" w:firstLine="441"/>
        <w:jc w:val="left"/>
      </w:pPr>
      <w:r>
        <w:rPr/>
        <w:t>（4）有足够的技术、财务资源和其他资源支持，以完成该无形资产的开发，并有能力使用或出</w:t>
      </w:r>
      <w:r>
        <w:rPr>
          <w:w w:val="100"/>
        </w:rPr>
        <w:t> </w:t>
      </w:r>
      <w:r>
        <w:rPr/>
        <w:t>售该无形资产；</w:t>
      </w:r>
    </w:p>
    <w:p>
      <w:pPr>
        <w:pStyle w:val="BodyText"/>
        <w:spacing w:line="480" w:lineRule="exact" w:before="10"/>
        <w:ind w:left="554" w:right="87"/>
        <w:jc w:val="left"/>
      </w:pPr>
      <w:r>
        <w:rPr/>
        <w:t>（5）归属于该无形资产开发阶段的支出能够可靠地计量。</w:t>
      </w:r>
      <w:r>
        <w:rPr>
          <w:w w:val="100"/>
        </w:rPr>
        <w:t> </w:t>
      </w:r>
      <w:r>
        <w:rPr>
          <w:spacing w:val="-3"/>
        </w:rPr>
        <w:t>不满足上述条件的开发阶段的支出，于发生时计入当期损益。前期已计入损益的开发支出在以后</w:t>
      </w:r>
    </w:p>
    <w:p>
      <w:pPr>
        <w:pStyle w:val="BodyText"/>
        <w:spacing w:line="300" w:lineRule="auto" w:before="7"/>
        <w:ind w:right="210"/>
        <w:jc w:val="both"/>
      </w:pPr>
      <w:r>
        <w:rPr>
          <w:spacing w:val="-3"/>
        </w:rPr>
        <w:t>期间不再确认为资产。已资本化的开发阶段的支出在资产负债表上列示为开发支出，自该项目达到预</w:t>
      </w:r>
      <w:r>
        <w:rPr>
          <w:spacing w:val="-43"/>
        </w:rPr>
        <w:t> </w:t>
      </w:r>
      <w:r>
        <w:rPr>
          <w:spacing w:val="-43"/>
        </w:rPr>
      </w:r>
      <w:r>
        <w:rPr/>
        <w:t>定可使用状态之日起转为无形资产列报。</w:t>
      </w:r>
    </w:p>
    <w:p>
      <w:pPr>
        <w:pStyle w:val="BodyText"/>
        <w:spacing w:line="480" w:lineRule="exact" w:before="10"/>
        <w:ind w:left="554" w:right="87"/>
        <w:jc w:val="left"/>
      </w:pPr>
      <w:r>
        <w:rPr/>
        <w:t>16.</w:t>
      </w:r>
      <w:r>
        <w:rPr>
          <w:spacing w:val="-16"/>
        </w:rPr>
        <w:t> </w:t>
      </w:r>
      <w:r>
        <w:rPr/>
        <w:t>长期资产减值</w:t>
      </w:r>
      <w:r>
        <w:rPr>
          <w:w w:val="100"/>
        </w:rPr>
        <w:t> </w:t>
      </w:r>
      <w:r>
        <w:rPr>
          <w:spacing w:val="-3"/>
        </w:rPr>
        <w:t>本集团于每一资产负债表日对长期股权投资、固定资产、在建工程、使用寿命有限的无形资产等</w:t>
      </w:r>
    </w:p>
    <w:p>
      <w:pPr>
        <w:pStyle w:val="BodyText"/>
        <w:spacing w:line="300" w:lineRule="auto" w:before="7"/>
        <w:ind w:right="210"/>
        <w:jc w:val="both"/>
      </w:pPr>
      <w:r>
        <w:rPr>
          <w:spacing w:val="-3"/>
        </w:rPr>
        <w:t>项目进行检查，当存在减值迹象时，本集团进行减值测试。对商誉和使用寿命不确定的无形资产，无</w:t>
      </w:r>
      <w:r>
        <w:rPr>
          <w:spacing w:val="-41"/>
        </w:rPr>
        <w:t> </w:t>
      </w:r>
      <w:r>
        <w:rPr>
          <w:spacing w:val="-41"/>
        </w:rPr>
      </w:r>
      <w:r>
        <w:rPr>
          <w:spacing w:val="-3"/>
        </w:rPr>
        <w:t>论是否存在减值迹象，每年末均进行减值测试。难以对单项资产的可收回金额进行测试的，以该资产</w:t>
      </w:r>
      <w:r>
        <w:rPr>
          <w:spacing w:val="-43"/>
        </w:rPr>
        <w:t> </w:t>
      </w:r>
      <w:r>
        <w:rPr>
          <w:spacing w:val="-43"/>
        </w:rPr>
      </w:r>
      <w:r>
        <w:rPr/>
        <w:t>所属的资产组或资产组组合为基础测试。</w:t>
      </w:r>
    </w:p>
    <w:p>
      <w:pPr>
        <w:pStyle w:val="BodyText"/>
        <w:spacing w:line="300" w:lineRule="auto" w:before="137"/>
        <w:ind w:right="87" w:firstLine="441"/>
        <w:jc w:val="left"/>
      </w:pPr>
      <w:r>
        <w:rPr>
          <w:spacing w:val="2"/>
        </w:rPr>
        <w:t>资产的可收回金额是指资产的公允价值减去处置费用后的净额与资产预计未来现金流量的现值</w:t>
      </w:r>
      <w:r>
        <w:rPr>
          <w:w w:val="100"/>
        </w:rPr>
        <w:t> </w:t>
      </w:r>
      <w:r>
        <w:rPr/>
        <w:t>两者之间的较高者。</w:t>
      </w:r>
    </w:p>
    <w:p>
      <w:pPr>
        <w:pStyle w:val="BodyText"/>
        <w:spacing w:line="240" w:lineRule="auto" w:before="137"/>
        <w:ind w:left="554" w:right="87"/>
        <w:jc w:val="left"/>
      </w:pPr>
      <w:r>
        <w:rPr/>
        <w:t>出现减值的迹象如下：</w:t>
      </w:r>
    </w:p>
    <w:p>
      <w:pPr>
        <w:pStyle w:val="BodyText"/>
        <w:spacing w:line="240" w:lineRule="auto" w:before="192"/>
        <w:ind w:left="554" w:right="87"/>
        <w:jc w:val="left"/>
      </w:pPr>
      <w:r>
        <w:rPr/>
        <w:t>（1）资产的市价当期大幅度下跌，其跌幅明显高于因时间的推移或者正常使用而预计的下跌；</w:t>
      </w:r>
    </w:p>
    <w:p>
      <w:pPr>
        <w:pStyle w:val="BodyText"/>
        <w:spacing w:line="300" w:lineRule="auto" w:before="192"/>
        <w:ind w:right="87" w:firstLine="441"/>
        <w:jc w:val="left"/>
      </w:pPr>
      <w:r>
        <w:rPr/>
        <w:t>（2）企业经营所处的经济、技术或者法律等环境以及资产所处的市场在当期或者将在近期发生</w:t>
      </w:r>
      <w:r>
        <w:rPr>
          <w:w w:val="100"/>
        </w:rPr>
        <w:t> </w:t>
      </w:r>
      <w:r>
        <w:rPr/>
        <w:t>重大变化，从而对企业产生不利影响；</w:t>
      </w:r>
    </w:p>
    <w:p>
      <w:pPr>
        <w:pStyle w:val="BodyText"/>
        <w:spacing w:line="240" w:lineRule="auto" w:before="137"/>
        <w:ind w:left="554" w:right="87"/>
        <w:jc w:val="left"/>
      </w:pPr>
      <w:r>
        <w:rPr/>
        <w:t>（3）市场利率或者其他市场投资报酬率在当期已经提高，从而影响企业计算资产预计未来现金</w:t>
      </w:r>
    </w:p>
    <w:p>
      <w:pPr>
        <w:spacing w:after="0" w:line="240" w:lineRule="auto"/>
        <w:jc w:val="left"/>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240" w:lineRule="auto"/>
        <w:ind w:right="0"/>
        <w:jc w:val="left"/>
      </w:pPr>
      <w:r>
        <w:rPr/>
        <w:t>流量现值的折现率，导致资产可收回金额大幅度降低；</w:t>
      </w:r>
    </w:p>
    <w:p>
      <w:pPr>
        <w:pStyle w:val="BodyText"/>
        <w:spacing w:line="240" w:lineRule="auto" w:before="192"/>
        <w:ind w:left="554" w:right="0"/>
        <w:jc w:val="left"/>
      </w:pPr>
      <w:r>
        <w:rPr/>
        <w:t>（4）有证据表明资产已经陈旧过时或者其实体已经损坏；</w:t>
      </w:r>
    </w:p>
    <w:p>
      <w:pPr>
        <w:pStyle w:val="BodyText"/>
        <w:spacing w:line="240" w:lineRule="auto" w:before="192"/>
        <w:ind w:left="554" w:right="0"/>
        <w:jc w:val="left"/>
      </w:pPr>
      <w:r>
        <w:rPr/>
        <w:t>（5）资产已经或者将被闲置、终止使用或者计划提前处置；</w:t>
      </w:r>
    </w:p>
    <w:p>
      <w:pPr>
        <w:pStyle w:val="BodyText"/>
        <w:spacing w:line="300" w:lineRule="auto" w:before="192"/>
        <w:ind w:right="151" w:firstLine="441"/>
        <w:jc w:val="both"/>
      </w:pPr>
      <w:r>
        <w:rPr/>
        <w:t>（6）企业内部报告的证据表明资产的经济绩效已经低于或者将低于预期，如资产所创造的净现</w:t>
      </w:r>
      <w:r>
        <w:rPr>
          <w:w w:val="100"/>
        </w:rPr>
        <w:t> </w:t>
      </w:r>
      <w:r>
        <w:rPr/>
        <w:t>金流量或者实现的营业利润（或者亏损）远远低于（或者高于）预计金额等；</w:t>
      </w:r>
    </w:p>
    <w:p>
      <w:pPr>
        <w:pStyle w:val="BodyText"/>
        <w:spacing w:line="480" w:lineRule="exact" w:before="10"/>
        <w:ind w:left="554" w:right="0"/>
        <w:jc w:val="left"/>
      </w:pPr>
      <w:r>
        <w:rPr/>
        <w:t>（7）其他表明资产可能已经发生减值的迹象。</w:t>
      </w:r>
      <w:r>
        <w:rPr>
          <w:w w:val="100"/>
        </w:rPr>
        <w:t> </w:t>
      </w:r>
      <w:r>
        <w:rPr>
          <w:spacing w:val="-3"/>
        </w:rPr>
        <w:t>减值测试后，若该资产的账面价值超过其可收回金额，其差额确认为减值损失，上述资产的减值</w:t>
      </w:r>
    </w:p>
    <w:p>
      <w:pPr>
        <w:pStyle w:val="BodyText"/>
        <w:spacing w:line="400" w:lineRule="auto" w:before="7"/>
        <w:ind w:left="554" w:right="5345" w:hanging="442"/>
        <w:jc w:val="left"/>
      </w:pPr>
      <w:r>
        <w:rPr>
          <w:spacing w:val="-2"/>
        </w:rPr>
        <w:t>损失一经确认，在以后会计期间不予转回。</w:t>
      </w:r>
      <w:r>
        <w:rPr>
          <w:spacing w:val="-83"/>
        </w:rPr>
        <w:t> </w:t>
      </w:r>
      <w:r>
        <w:rPr>
          <w:spacing w:val="-83"/>
        </w:rPr>
      </w:r>
      <w:r>
        <w:rPr/>
        <w:t>17.</w:t>
      </w:r>
      <w:r>
        <w:rPr>
          <w:spacing w:val="-19"/>
        </w:rPr>
        <w:t> </w:t>
      </w:r>
      <w:r>
        <w:rPr/>
        <w:t>长期待摊费用</w:t>
      </w:r>
    </w:p>
    <w:p>
      <w:pPr>
        <w:pStyle w:val="BodyText"/>
        <w:spacing w:line="300" w:lineRule="auto" w:before="44"/>
        <w:ind w:right="112" w:firstLine="441"/>
        <w:jc w:val="both"/>
      </w:pPr>
      <w:r>
        <w:rPr>
          <w:spacing w:val="-2"/>
        </w:rPr>
        <w:t>本集团的长期待摊费用在受益期内平均摊销，如果长期待摊费用项目不能使以后会计期间受益，</w:t>
      </w:r>
      <w:r>
        <w:rPr>
          <w:w w:val="100"/>
        </w:rPr>
        <w:t> </w:t>
      </w:r>
      <w:r>
        <w:rPr/>
        <w:t>则将尚未摊销的该项目的摊余价值全部转入当期损益。</w:t>
      </w:r>
    </w:p>
    <w:p>
      <w:pPr>
        <w:pStyle w:val="BodyText"/>
        <w:spacing w:line="480" w:lineRule="exact" w:before="10"/>
        <w:ind w:left="554" w:right="0"/>
        <w:jc w:val="left"/>
      </w:pPr>
      <w:r>
        <w:rPr/>
        <w:t>18.</w:t>
      </w:r>
      <w:r>
        <w:rPr>
          <w:spacing w:val="-15"/>
        </w:rPr>
        <w:t> </w:t>
      </w:r>
      <w:r>
        <w:rPr/>
        <w:t>商誉</w:t>
      </w:r>
      <w:r>
        <w:rPr>
          <w:w w:val="100"/>
        </w:rPr>
        <w:t> </w:t>
      </w:r>
      <w:r>
        <w:rPr>
          <w:spacing w:val="2"/>
        </w:rPr>
        <w:t>商誉为股权投资成本或非同一控制下企业合并成本超过应享有的或企业合并中取得的被投资单</w:t>
      </w:r>
    </w:p>
    <w:p>
      <w:pPr>
        <w:pStyle w:val="BodyText"/>
        <w:spacing w:line="240" w:lineRule="auto" w:before="7"/>
        <w:ind w:right="0"/>
        <w:jc w:val="left"/>
      </w:pPr>
      <w:r>
        <w:rPr/>
        <w:t>位或被购买方可辨认净资产于取得日或购买日的公允价值份额的差额。</w:t>
      </w:r>
    </w:p>
    <w:p>
      <w:pPr>
        <w:pStyle w:val="BodyText"/>
        <w:spacing w:line="300" w:lineRule="auto" w:before="192"/>
        <w:ind w:right="150" w:firstLine="441"/>
        <w:jc w:val="both"/>
      </w:pPr>
      <w:r>
        <w:rPr>
          <w:spacing w:val="-3"/>
        </w:rPr>
        <w:t>与子公司有关的商誉在合并财务报表上单独列示，与联营企业和合营企业有关的商誉，包含在长</w:t>
      </w:r>
      <w:r>
        <w:rPr>
          <w:w w:val="100"/>
        </w:rPr>
        <w:t> </w:t>
      </w:r>
      <w:r>
        <w:rPr/>
        <w:t>期股权投资的账面价值中。</w:t>
      </w:r>
    </w:p>
    <w:p>
      <w:pPr>
        <w:pStyle w:val="BodyText"/>
        <w:spacing w:line="400" w:lineRule="auto" w:before="137"/>
        <w:ind w:left="554" w:right="3711"/>
        <w:jc w:val="left"/>
      </w:pPr>
      <w:r>
        <w:rPr/>
        <w:t>19.</w:t>
      </w:r>
      <w:r>
        <w:rPr>
          <w:spacing w:val="-16"/>
        </w:rPr>
        <w:t> </w:t>
      </w:r>
      <w:r>
        <w:rPr/>
        <w:t>职工薪酬</w:t>
      </w:r>
      <w:r>
        <w:rPr>
          <w:w w:val="100"/>
        </w:rPr>
        <w:t> </w:t>
      </w:r>
      <w:r>
        <w:rPr>
          <w:spacing w:val="-2"/>
        </w:rPr>
        <w:t>本集团职工薪酬包括短期薪酬、离职后福利。</w:t>
      </w:r>
    </w:p>
    <w:p>
      <w:pPr>
        <w:pStyle w:val="BodyText"/>
        <w:spacing w:line="300" w:lineRule="auto" w:before="44"/>
        <w:ind w:right="150" w:firstLine="441"/>
        <w:jc w:val="both"/>
      </w:pPr>
      <w:r>
        <w:rPr>
          <w:spacing w:val="-3"/>
        </w:rPr>
        <w:t>短期薪酬主要包括工资、奖金、津贴和补贴、职工福利费、社会保险费及住房公积金、工会经费</w:t>
      </w:r>
      <w:r>
        <w:rPr>
          <w:w w:val="100"/>
        </w:rPr>
        <w:t> </w:t>
      </w:r>
      <w:r>
        <w:rPr>
          <w:spacing w:val="-3"/>
        </w:rPr>
        <w:t>和职工教育经费等，在职工提供服务的会计期间，将实际发生的短期薪酬确认为负债，并按照受益对</w:t>
      </w:r>
      <w:r>
        <w:rPr>
          <w:spacing w:val="-43"/>
        </w:rPr>
        <w:t> </w:t>
      </w:r>
      <w:r>
        <w:rPr>
          <w:spacing w:val="-43"/>
        </w:rPr>
      </w:r>
      <w:r>
        <w:rPr/>
        <w:t>象计入当期损益或相关资产成本。</w:t>
      </w:r>
    </w:p>
    <w:p>
      <w:pPr>
        <w:pStyle w:val="BodyText"/>
        <w:spacing w:line="300" w:lineRule="auto" w:before="137"/>
        <w:ind w:right="150" w:firstLine="441"/>
        <w:jc w:val="both"/>
      </w:pPr>
      <w:r>
        <w:rPr>
          <w:spacing w:val="-3"/>
        </w:rPr>
        <w:t>离职后福利主要包括基本养老保险费、失业保险费等，按照公司承担的风险和义务，分类为设定</w:t>
      </w:r>
      <w:r>
        <w:rPr>
          <w:w w:val="100"/>
        </w:rPr>
        <w:t> </w:t>
      </w:r>
      <w:r>
        <w:rPr>
          <w:spacing w:val="-3"/>
        </w:rPr>
        <w:t>提存计划、设定受益计划。对于设定提存计划在根据在资产负债表日为换取职工在会计期间提供的服</w:t>
      </w:r>
      <w:r>
        <w:rPr>
          <w:spacing w:val="-43"/>
        </w:rPr>
        <w:t> </w:t>
      </w:r>
      <w:r>
        <w:rPr>
          <w:spacing w:val="-43"/>
        </w:rPr>
      </w:r>
      <w:r>
        <w:rPr>
          <w:spacing w:val="-3"/>
        </w:rPr>
        <w:t>务而向单独主体缴存的提存金确认为负债，并按照受益对象计入当期损益或相关资产成本。目前公司</w:t>
      </w:r>
      <w:r>
        <w:rPr>
          <w:spacing w:val="-43"/>
        </w:rPr>
        <w:t> </w:t>
      </w:r>
      <w:r>
        <w:rPr>
          <w:spacing w:val="-43"/>
        </w:rPr>
      </w:r>
      <w:r>
        <w:rPr/>
        <w:t>不存在设定受益计划。</w:t>
      </w:r>
    </w:p>
    <w:p>
      <w:pPr>
        <w:pStyle w:val="BodyText"/>
        <w:spacing w:line="480" w:lineRule="exact" w:before="10"/>
        <w:ind w:left="554" w:right="0"/>
        <w:jc w:val="left"/>
      </w:pPr>
      <w:r>
        <w:rPr/>
        <w:t>20.</w:t>
      </w:r>
      <w:r>
        <w:rPr>
          <w:spacing w:val="-15"/>
        </w:rPr>
        <w:t> </w:t>
      </w:r>
      <w:r>
        <w:rPr/>
        <w:t>预计负债</w:t>
      </w:r>
      <w:r>
        <w:rPr>
          <w:w w:val="100"/>
        </w:rPr>
        <w:t> </w:t>
      </w:r>
      <w:r>
        <w:rPr>
          <w:spacing w:val="-3"/>
        </w:rPr>
        <w:t>当与对外担保、商业承兑汇票贴现、未决诉讼或仲裁、产品质量保证等或有事项相关的业务同时</w:t>
      </w:r>
    </w:p>
    <w:p>
      <w:pPr>
        <w:pStyle w:val="BodyText"/>
        <w:spacing w:line="300" w:lineRule="auto" w:before="7"/>
        <w:ind w:right="0"/>
        <w:jc w:val="left"/>
      </w:pPr>
      <w:r>
        <w:rPr>
          <w:spacing w:val="-3"/>
        </w:rPr>
        <w:t>符合以下条件时，本集团将其确认为负债：该义务是本集团承担的现时义务；该义务的履行很可能导</w:t>
      </w:r>
      <w:r>
        <w:rPr>
          <w:spacing w:val="-43"/>
        </w:rPr>
        <w:t> </w:t>
      </w:r>
      <w:r>
        <w:rPr>
          <w:spacing w:val="-43"/>
        </w:rPr>
      </w:r>
      <w:r>
        <w:rPr/>
        <w:t>致经济利益流出企业；该义务的金额能够可靠地计量。</w:t>
      </w:r>
    </w:p>
    <w:p>
      <w:pPr>
        <w:pStyle w:val="BodyText"/>
        <w:spacing w:line="300" w:lineRule="auto" w:before="137"/>
        <w:ind w:right="150" w:firstLine="441"/>
        <w:jc w:val="both"/>
      </w:pPr>
      <w:r>
        <w:rPr>
          <w:spacing w:val="-3"/>
        </w:rPr>
        <w:t>预计负债按照履行相关现时义务所需支出的最佳估计数进行初始计量，并综合考虑与或有事项有</w:t>
      </w:r>
      <w:r>
        <w:rPr>
          <w:w w:val="100"/>
        </w:rPr>
        <w:t> </w:t>
      </w:r>
      <w:r>
        <w:rPr>
          <w:spacing w:val="-3"/>
        </w:rPr>
        <w:t>关的风险、不确定性和货币时间价值等因素。货币时间价值影响重大的，通过对相关未来现金流出进</w:t>
      </w:r>
      <w:r>
        <w:rPr>
          <w:spacing w:val="-43"/>
        </w:rPr>
        <w:t> </w:t>
      </w:r>
      <w:r>
        <w:rPr>
          <w:spacing w:val="-43"/>
        </w:rPr>
      </w:r>
      <w:r>
        <w:rPr>
          <w:spacing w:val="-3"/>
        </w:rPr>
        <w:t>行折现后确定最佳估计数。每个资产负债表日对预计负债的账面价值进行复核，如有改变则对账面价</w:t>
      </w:r>
    </w:p>
    <w:p>
      <w:pPr>
        <w:spacing w:after="0" w:line="300" w:lineRule="auto"/>
        <w:jc w:val="both"/>
        <w:sectPr>
          <w:pgSz w:w="11910" w:h="16840"/>
          <w:pgMar w:header="852" w:footer="873" w:top="1440" w:bottom="1060" w:left="1020" w:right="980"/>
        </w:sectPr>
      </w:pPr>
    </w:p>
    <w:p>
      <w:pPr>
        <w:spacing w:line="240" w:lineRule="auto" w:before="1"/>
        <w:rPr>
          <w:rFonts w:ascii="宋体" w:hAnsi="宋体" w:cs="宋体" w:eastAsia="宋体" w:hint="default"/>
          <w:sz w:val="18"/>
          <w:szCs w:val="18"/>
        </w:rPr>
      </w:pPr>
    </w:p>
    <w:p>
      <w:pPr>
        <w:pStyle w:val="BodyText"/>
        <w:spacing w:line="400" w:lineRule="auto"/>
        <w:ind w:left="554" w:right="5959" w:hanging="442"/>
        <w:jc w:val="left"/>
      </w:pPr>
      <w:r>
        <w:rPr>
          <w:spacing w:val="-2"/>
        </w:rPr>
        <w:t>值进行调整以反映当前最佳估计数。</w:t>
      </w:r>
      <w:r>
        <w:rPr>
          <w:spacing w:val="-87"/>
        </w:rPr>
        <w:t> </w:t>
      </w:r>
      <w:r>
        <w:rPr>
          <w:spacing w:val="-87"/>
        </w:rPr>
      </w:r>
      <w:r>
        <w:rPr/>
        <w:t>21.</w:t>
      </w:r>
      <w:r>
        <w:rPr>
          <w:spacing w:val="-17"/>
        </w:rPr>
        <w:t> </w:t>
      </w:r>
      <w:r>
        <w:rPr/>
        <w:t>股份支付</w:t>
      </w:r>
    </w:p>
    <w:p>
      <w:pPr>
        <w:pStyle w:val="BodyText"/>
        <w:spacing w:line="300" w:lineRule="auto" w:before="44"/>
        <w:ind w:right="110" w:firstLine="441"/>
        <w:jc w:val="both"/>
      </w:pPr>
      <w:r>
        <w:rPr/>
        <w:t>根据《企业会计准则第</w:t>
      </w:r>
      <w:r>
        <w:rPr>
          <w:spacing w:val="-45"/>
        </w:rPr>
        <w:t> </w:t>
      </w:r>
      <w:r>
        <w:rPr/>
        <w:t>11</w:t>
      </w:r>
      <w:r>
        <w:rPr>
          <w:spacing w:val="-45"/>
        </w:rPr>
        <w:t> </w:t>
      </w:r>
      <w:r>
        <w:rPr/>
        <w:t>号－股份支付》和《股权激励有关事项备忘录</w:t>
      </w:r>
      <w:r>
        <w:rPr>
          <w:spacing w:val="-43"/>
        </w:rPr>
        <w:t> </w:t>
      </w:r>
      <w:r>
        <w:rPr/>
        <w:t>1-3</w:t>
      </w:r>
      <w:r>
        <w:rPr>
          <w:spacing w:val="-45"/>
        </w:rPr>
        <w:t> </w:t>
      </w:r>
      <w:r>
        <w:rPr/>
        <w:t>号》的规定，公司</w:t>
      </w:r>
      <w:r>
        <w:rPr>
          <w:w w:val="100"/>
        </w:rPr>
        <w:t> </w:t>
      </w:r>
      <w:r>
        <w:rPr/>
        <w:t>将按照下列方法对公司股权激励计划进行会计处理：</w:t>
      </w:r>
    </w:p>
    <w:p>
      <w:pPr>
        <w:pStyle w:val="BodyText"/>
        <w:spacing w:line="240" w:lineRule="auto" w:before="137"/>
        <w:ind w:left="554" w:right="110"/>
        <w:jc w:val="left"/>
      </w:pPr>
      <w:r>
        <w:rPr/>
        <w:t>（1）授予日会计处理：根据授予数量和授予价格，确认股本和资本公积。</w:t>
      </w:r>
    </w:p>
    <w:p>
      <w:pPr>
        <w:pStyle w:val="BodyText"/>
        <w:spacing w:line="300" w:lineRule="auto" w:before="192"/>
        <w:ind w:right="110" w:firstLine="441"/>
        <w:jc w:val="both"/>
      </w:pPr>
      <w:r>
        <w:rPr/>
        <w:t>（2）限制性股票全部解锁前的每个资产负债表日：根据会计准则规定，在全部限制性股票解锁</w:t>
      </w:r>
      <w:r>
        <w:rPr>
          <w:w w:val="100"/>
        </w:rPr>
        <w:t> </w:t>
      </w:r>
      <w:r>
        <w:rPr>
          <w:spacing w:val="-3"/>
        </w:rPr>
        <w:t>前的每个资产负债表日，按照授予日限制性股票的公允价值、限制性股票当期的解锁比例以及预计可</w:t>
      </w:r>
      <w:r>
        <w:rPr>
          <w:spacing w:val="-42"/>
        </w:rPr>
        <w:t> </w:t>
      </w:r>
      <w:r>
        <w:rPr>
          <w:spacing w:val="-42"/>
        </w:rPr>
      </w:r>
      <w:r>
        <w:rPr>
          <w:spacing w:val="2"/>
        </w:rPr>
        <w:t>解锁的限制性股票数量的最佳估计数将取得职工提供的服务计入成本费用和资本公积（其他资本公</w:t>
      </w:r>
      <w:r>
        <w:rPr>
          <w:spacing w:val="-32"/>
        </w:rPr>
        <w:t> </w:t>
      </w:r>
      <w:r>
        <w:rPr>
          <w:spacing w:val="-32"/>
        </w:rPr>
      </w:r>
      <w:r>
        <w:rPr/>
        <w:t>积），不确认授予日后限制性股票的公允价值变动。</w:t>
      </w:r>
    </w:p>
    <w:p>
      <w:pPr>
        <w:pStyle w:val="BodyText"/>
        <w:spacing w:line="300" w:lineRule="auto" w:before="137"/>
        <w:ind w:right="111" w:firstLine="441"/>
        <w:jc w:val="both"/>
      </w:pPr>
      <w:r>
        <w:rPr/>
        <w:t>（3）解锁日：在解锁日，如果达到解锁条件，可以解锁；如果全部或部分股票未被解锁而失效</w:t>
      </w:r>
      <w:r>
        <w:rPr>
          <w:w w:val="100"/>
        </w:rPr>
        <w:t> </w:t>
      </w:r>
      <w:r>
        <w:rPr/>
        <w:t>或作废，则由公司以授予价格回购后注销，并按照会计准则及相关规定处理。</w:t>
      </w:r>
    </w:p>
    <w:p>
      <w:pPr>
        <w:pStyle w:val="BodyText"/>
        <w:spacing w:line="480" w:lineRule="exact" w:before="10"/>
        <w:ind w:left="554" w:right="110"/>
        <w:jc w:val="left"/>
      </w:pPr>
      <w:r>
        <w:rPr/>
        <w:t>22.</w:t>
      </w:r>
      <w:r>
        <w:rPr>
          <w:spacing w:val="-16"/>
        </w:rPr>
        <w:t> </w:t>
      </w:r>
      <w:r>
        <w:rPr/>
        <w:t>收入确认原则和计量方法</w:t>
      </w:r>
      <w:r>
        <w:rPr>
          <w:w w:val="100"/>
        </w:rPr>
        <w:t> </w:t>
      </w:r>
      <w:r>
        <w:rPr>
          <w:spacing w:val="-3"/>
        </w:rPr>
        <w:t>本公司的营业收入主要是电缆线、高分子材料销售收入。销售收入的确认原则：本公司已将电缆</w:t>
      </w:r>
    </w:p>
    <w:p>
      <w:pPr>
        <w:pStyle w:val="BodyText"/>
        <w:spacing w:line="300" w:lineRule="auto" w:before="7"/>
        <w:ind w:right="110"/>
        <w:jc w:val="both"/>
      </w:pPr>
      <w:r>
        <w:rPr>
          <w:spacing w:val="-3"/>
        </w:rPr>
        <w:t>线、高分子材料所有权上的主要风险和报酬转移给购货方；本公司既没有保留通常与所有权相联系的</w:t>
      </w:r>
      <w:r>
        <w:rPr>
          <w:spacing w:val="-43"/>
        </w:rPr>
        <w:t> </w:t>
      </w:r>
      <w:r>
        <w:rPr>
          <w:spacing w:val="-43"/>
        </w:rPr>
      </w:r>
      <w:r>
        <w:rPr>
          <w:spacing w:val="-3"/>
        </w:rPr>
        <w:t>继续管理权，也没有对已售出的电缆线、高分子材料实施有效控制；收入的金额能够可靠地计量；相</w:t>
      </w:r>
      <w:r>
        <w:rPr>
          <w:spacing w:val="-44"/>
        </w:rPr>
        <w:t> </w:t>
      </w:r>
      <w:r>
        <w:rPr>
          <w:spacing w:val="-44"/>
        </w:rPr>
      </w:r>
      <w:r>
        <w:rPr/>
        <w:t>关的经济利益很可能流入企业；相关的已发生或将发生的成本能够可靠的计量。</w:t>
      </w:r>
    </w:p>
    <w:p>
      <w:pPr>
        <w:pStyle w:val="BodyText"/>
        <w:spacing w:line="240" w:lineRule="auto" w:before="137"/>
        <w:ind w:left="554" w:right="110"/>
        <w:jc w:val="left"/>
      </w:pPr>
      <w:r>
        <w:rPr/>
        <w:t>公司对国内销售和出口销售收入确认的原则分别如下：</w:t>
      </w:r>
    </w:p>
    <w:p>
      <w:pPr>
        <w:pStyle w:val="BodyText"/>
        <w:spacing w:line="480" w:lineRule="atLeast" w:before="0"/>
        <w:ind w:left="554" w:right="110"/>
        <w:jc w:val="left"/>
      </w:pPr>
      <w:r>
        <w:rPr/>
        <w:t>（1）</w:t>
      </w:r>
      <w:r>
        <w:rPr>
          <w:spacing w:val="32"/>
        </w:rPr>
        <w:t> </w:t>
      </w:r>
      <w:r>
        <w:rPr/>
        <w:t>国内销售收入确认方法</w:t>
      </w:r>
      <w:r>
        <w:rPr>
          <w:w w:val="100"/>
        </w:rPr>
        <w:t> </w:t>
      </w:r>
      <w:r>
        <w:rPr>
          <w:spacing w:val="-3"/>
        </w:rPr>
        <w:t>同时满足下列条件：按购货方要求将电缆线、高分子材料产品交付购货方，同时经与购货方对电</w:t>
      </w:r>
    </w:p>
    <w:p>
      <w:pPr>
        <w:pStyle w:val="BodyText"/>
        <w:spacing w:line="300" w:lineRule="auto" w:before="72"/>
        <w:ind w:right="110"/>
        <w:jc w:val="both"/>
      </w:pPr>
      <w:r>
        <w:rPr>
          <w:spacing w:val="-3"/>
        </w:rPr>
        <w:t>缆线、高分子材料产品数量及外包装无异议进行确认，并取得销售回执；销售收入金额已确定，并已</w:t>
      </w:r>
      <w:r>
        <w:rPr>
          <w:spacing w:val="-43"/>
        </w:rPr>
        <w:t> </w:t>
      </w:r>
      <w:r>
        <w:rPr>
          <w:spacing w:val="-43"/>
        </w:rPr>
      </w:r>
      <w:r>
        <w:rPr/>
        <w:t>收讫货款或预计可以收回货款；销售商品的成本能够可靠地计量。</w:t>
      </w:r>
    </w:p>
    <w:p>
      <w:pPr>
        <w:pStyle w:val="BodyText"/>
        <w:spacing w:line="480" w:lineRule="exact" w:before="10"/>
        <w:ind w:left="554" w:right="110"/>
        <w:jc w:val="left"/>
      </w:pPr>
      <w:r>
        <w:rPr/>
        <w:t>（2）</w:t>
      </w:r>
      <w:r>
        <w:rPr>
          <w:spacing w:val="32"/>
        </w:rPr>
        <w:t> </w:t>
      </w:r>
      <w:r>
        <w:rPr/>
        <w:t>出口销售收入确认方法</w:t>
      </w:r>
      <w:r>
        <w:rPr>
          <w:w w:val="100"/>
        </w:rPr>
        <w:t> </w:t>
      </w:r>
      <w:r>
        <w:rPr>
          <w:spacing w:val="-3"/>
        </w:rPr>
        <w:t>同时满足下列条件：根据与购货方达成出口销售合同规定的要求生产电缆线、高分子材料，经检</w:t>
      </w:r>
    </w:p>
    <w:p>
      <w:pPr>
        <w:pStyle w:val="BodyText"/>
        <w:spacing w:line="300" w:lineRule="auto" w:before="7"/>
        <w:ind w:right="110"/>
        <w:jc w:val="both"/>
      </w:pPr>
      <w:r>
        <w:rPr>
          <w:spacing w:val="-3"/>
        </w:rPr>
        <w:t>验合格后货物送达指定港口，并办完报关出口手续；销售收入金额已经确定，并已收讫货款或预计可</w:t>
      </w:r>
      <w:r>
        <w:rPr>
          <w:spacing w:val="-43"/>
        </w:rPr>
        <w:t> </w:t>
      </w:r>
      <w:r>
        <w:rPr>
          <w:spacing w:val="-43"/>
        </w:rPr>
      </w:r>
      <w:r>
        <w:rPr/>
        <w:t>以收回货款；销售商品的成本能够可靠地计量。</w:t>
      </w:r>
    </w:p>
    <w:p>
      <w:pPr>
        <w:pStyle w:val="BodyText"/>
        <w:spacing w:line="480" w:lineRule="exact" w:before="10"/>
        <w:ind w:left="554" w:right="110"/>
        <w:jc w:val="left"/>
      </w:pPr>
      <w:r>
        <w:rPr/>
        <w:t>23.</w:t>
      </w:r>
      <w:r>
        <w:rPr>
          <w:spacing w:val="-15"/>
        </w:rPr>
        <w:t> </w:t>
      </w:r>
      <w:r>
        <w:rPr/>
        <w:t>政府补助</w:t>
      </w:r>
      <w:r>
        <w:rPr>
          <w:w w:val="100"/>
        </w:rPr>
        <w:t> </w:t>
      </w:r>
      <w:r>
        <w:rPr>
          <w:spacing w:val="-3"/>
        </w:rPr>
        <w:t>政府补助是指本集团从政府无偿取得货币性资产或非货币性资产。政府补助在本集团能够满足其</w:t>
      </w:r>
    </w:p>
    <w:p>
      <w:pPr>
        <w:pStyle w:val="BodyText"/>
        <w:spacing w:line="240" w:lineRule="auto" w:before="7"/>
        <w:ind w:right="0"/>
        <w:jc w:val="both"/>
      </w:pPr>
      <w:r>
        <w:rPr/>
        <w:t>所附的条件以及能够收到时予以确认。</w:t>
      </w:r>
    </w:p>
    <w:p>
      <w:pPr>
        <w:pStyle w:val="BodyText"/>
        <w:spacing w:line="300" w:lineRule="auto" w:before="192"/>
        <w:ind w:right="110" w:firstLine="441"/>
        <w:jc w:val="both"/>
      </w:pPr>
      <w:r>
        <w:rPr>
          <w:spacing w:val="-3"/>
        </w:rPr>
        <w:t>政府补助为货币性资产的，按照实际收到的金额计量，对于按照固定的定额标准拨付的补助，或</w:t>
      </w:r>
      <w:r>
        <w:rPr>
          <w:w w:val="100"/>
        </w:rPr>
        <w:t> </w:t>
      </w:r>
      <w:r>
        <w:rPr>
          <w:spacing w:val="-3"/>
        </w:rPr>
        <w:t>对期末有确凿证据表明能够符合财政扶持政策规定的相关条件且预计能够收到财政扶持资金时，按照</w:t>
      </w:r>
      <w:r>
        <w:rPr>
          <w:spacing w:val="-42"/>
        </w:rPr>
        <w:t> </w:t>
      </w:r>
      <w:r>
        <w:rPr>
          <w:spacing w:val="-42"/>
        </w:rPr>
      </w:r>
      <w:r>
        <w:rPr>
          <w:spacing w:val="-3"/>
        </w:rPr>
        <w:t>应收的金额计量；政府补助为非货币性资产的，按照公允价值计量，公允价值不能可靠取得的，按照</w:t>
      </w:r>
      <w:r>
        <w:rPr>
          <w:spacing w:val="-44"/>
        </w:rPr>
        <w:t> </w:t>
      </w:r>
      <w:r>
        <w:rPr>
          <w:spacing w:val="-44"/>
        </w:rPr>
      </w:r>
      <w:r>
        <w:rPr/>
        <w:t>名义金额(1</w:t>
      </w:r>
      <w:r>
        <w:rPr>
          <w:spacing w:val="-61"/>
        </w:rPr>
        <w:t> </w:t>
      </w:r>
      <w:r>
        <w:rPr/>
        <w:t>元)计量。</w:t>
      </w:r>
    </w:p>
    <w:p>
      <w:pPr>
        <w:spacing w:after="0" w:line="300" w:lineRule="auto"/>
        <w:jc w:val="both"/>
        <w:sectPr>
          <w:footerReference w:type="default" r:id="rId36"/>
          <w:pgSz w:w="11910" w:h="16840"/>
          <w:pgMar w:footer="873" w:header="852" w:top="1440" w:bottom="1060" w:left="1020" w:right="1020"/>
          <w:pgNumType w:start="110"/>
        </w:sectPr>
      </w:pPr>
    </w:p>
    <w:p>
      <w:pPr>
        <w:spacing w:line="240" w:lineRule="auto" w:before="1"/>
        <w:rPr>
          <w:rFonts w:ascii="宋体" w:hAnsi="宋体" w:cs="宋体" w:eastAsia="宋体" w:hint="default"/>
          <w:sz w:val="18"/>
          <w:szCs w:val="18"/>
        </w:rPr>
      </w:pPr>
    </w:p>
    <w:p>
      <w:pPr>
        <w:pStyle w:val="BodyText"/>
        <w:spacing w:line="300" w:lineRule="auto"/>
        <w:ind w:right="112" w:firstLine="441"/>
        <w:jc w:val="both"/>
      </w:pPr>
      <w:r>
        <w:rPr>
          <w:spacing w:val="2"/>
        </w:rPr>
        <w:t>本集团的政府补助分为与资产相关的政府补助和与收益相关的政府补助。与资产相关的政府补</w:t>
      </w:r>
      <w:r>
        <w:rPr>
          <w:w w:val="100"/>
        </w:rPr>
        <w:t> </w:t>
      </w:r>
      <w:r>
        <w:rPr>
          <w:spacing w:val="-2"/>
        </w:rPr>
        <w:t>助，是指本集团取得的、用于购建或以其他方式形成长期资产的政府补助；与收益相关的政府补助，</w:t>
      </w:r>
      <w:r>
        <w:rPr>
          <w:spacing w:val="-48"/>
        </w:rPr>
        <w:t> </w:t>
      </w:r>
      <w:r>
        <w:rPr>
          <w:spacing w:val="-48"/>
        </w:rPr>
      </w:r>
      <w:r>
        <w:rPr>
          <w:spacing w:val="-3"/>
        </w:rPr>
        <w:t>是指除与资产相关的政府补助之外的政府补助。如果政府文件中未明确规定补助对象，本集团按照上</w:t>
      </w:r>
      <w:r>
        <w:rPr>
          <w:spacing w:val="-43"/>
        </w:rPr>
        <w:t> </w:t>
      </w:r>
      <w:r>
        <w:rPr>
          <w:spacing w:val="-43"/>
        </w:rPr>
      </w:r>
      <w:r>
        <w:rPr/>
        <w:t>述原则进行判断。</w:t>
      </w:r>
    </w:p>
    <w:p>
      <w:pPr>
        <w:pStyle w:val="BodyText"/>
        <w:spacing w:line="300" w:lineRule="auto" w:before="137"/>
        <w:ind w:right="150" w:firstLine="441"/>
        <w:jc w:val="both"/>
      </w:pPr>
      <w:r>
        <w:rPr>
          <w:spacing w:val="-3"/>
        </w:rPr>
        <w:t>与资产相关的政府补助确认为递延收益，并在相关资产使用寿命内平均分配计入当期损益。与收</w:t>
      </w:r>
      <w:r>
        <w:rPr>
          <w:w w:val="100"/>
        </w:rPr>
        <w:t> </w:t>
      </w:r>
      <w:r>
        <w:rPr>
          <w:spacing w:val="-3"/>
        </w:rPr>
        <w:t>益相关的政府补助，用于补偿以后期间的相关费用或损失的，确认为递延收益，并在确认相关费用的</w:t>
      </w:r>
      <w:r>
        <w:rPr>
          <w:spacing w:val="-43"/>
        </w:rPr>
        <w:t> </w:t>
      </w:r>
      <w:r>
        <w:rPr>
          <w:spacing w:val="-43"/>
        </w:rPr>
      </w:r>
      <w:r>
        <w:rPr/>
        <w:t>期间计入当期损益；用于补偿已发生的相关费用或损失的，直接计入当期损益。</w:t>
      </w:r>
    </w:p>
    <w:p>
      <w:pPr>
        <w:pStyle w:val="BodyText"/>
        <w:spacing w:line="480" w:lineRule="exact" w:before="10"/>
        <w:ind w:left="554" w:right="0"/>
        <w:jc w:val="left"/>
      </w:pPr>
      <w:r>
        <w:rPr/>
        <w:t>24.</w:t>
      </w:r>
      <w:r>
        <w:rPr>
          <w:spacing w:val="-16"/>
        </w:rPr>
        <w:t> </w:t>
      </w:r>
      <w:r>
        <w:rPr/>
        <w:t>递延所得税资产和递延所得税负债</w:t>
      </w:r>
      <w:r>
        <w:rPr>
          <w:w w:val="100"/>
        </w:rPr>
        <w:t> </w:t>
      </w:r>
      <w:r>
        <w:rPr/>
        <w:t>本集团递延所得税资产和递延所得税负债根据资产和负债的计税基础与其账面价值的差额(暂时</w:t>
      </w:r>
    </w:p>
    <w:p>
      <w:pPr>
        <w:pStyle w:val="BodyText"/>
        <w:spacing w:line="300" w:lineRule="auto" w:before="7"/>
        <w:ind w:right="150"/>
        <w:jc w:val="both"/>
      </w:pPr>
      <w:r>
        <w:rPr/>
        <w:t>性差异)计算确认。对于按照税法规定能够于以后年度抵减应纳税所得额的可抵扣亏损，确认相应的</w:t>
      </w:r>
      <w:r>
        <w:rPr>
          <w:spacing w:val="-65"/>
        </w:rPr>
        <w:t> </w:t>
      </w:r>
      <w:r>
        <w:rPr>
          <w:spacing w:val="-65"/>
        </w:rPr>
      </w:r>
      <w:r>
        <w:rPr>
          <w:spacing w:val="-3"/>
        </w:rPr>
        <w:t>递延所得税资产。对于商誉的初始确认产生的暂时性差异，不确认相应的递延所得税负债。对于既不</w:t>
      </w:r>
      <w:r>
        <w:rPr>
          <w:spacing w:val="-43"/>
        </w:rPr>
        <w:t> </w:t>
      </w:r>
      <w:r>
        <w:rPr>
          <w:spacing w:val="-43"/>
        </w:rPr>
      </w:r>
      <w:r>
        <w:rPr>
          <w:spacing w:val="2"/>
        </w:rPr>
        <w:t>影响会计利润也不影响应纳税所得额(或可抵扣亏损)的非企业合并的交易中产生的资产或负债的初</w:t>
      </w:r>
      <w:r>
        <w:rPr>
          <w:spacing w:val="-32"/>
        </w:rPr>
        <w:t> </w:t>
      </w:r>
      <w:r>
        <w:rPr>
          <w:spacing w:val="-32"/>
        </w:rPr>
      </w:r>
      <w:r>
        <w:rPr>
          <w:spacing w:val="-3"/>
        </w:rPr>
        <w:t>始确认形成的暂时性差异，不确认相应的递延所得税资产和递延所得税负债。于资产负债表日，递延</w:t>
      </w:r>
      <w:r>
        <w:rPr>
          <w:spacing w:val="-43"/>
        </w:rPr>
        <w:t> </w:t>
      </w:r>
      <w:r>
        <w:rPr>
          <w:spacing w:val="-43"/>
        </w:rPr>
      </w:r>
      <w:r>
        <w:rPr/>
        <w:t>所得税资产和递延所得税负债，按照预期收回该资产或清偿该负债期间的适用税率计量。</w:t>
      </w:r>
    </w:p>
    <w:p>
      <w:pPr>
        <w:pStyle w:val="BodyText"/>
        <w:spacing w:line="300" w:lineRule="auto" w:before="137"/>
        <w:ind w:right="150" w:firstLine="441"/>
        <w:jc w:val="both"/>
      </w:pPr>
      <w:r>
        <w:rPr>
          <w:spacing w:val="-3"/>
        </w:rPr>
        <w:t>本集团以很可能取得用来抵扣可抵扣暂时性差异、可抵扣亏损和税款抵减的未来应纳税所得额为</w:t>
      </w:r>
      <w:r>
        <w:rPr>
          <w:w w:val="100"/>
        </w:rPr>
        <w:t> </w:t>
      </w:r>
      <w:r>
        <w:rPr/>
        <w:t>限，确认递延所得税资产。</w:t>
      </w:r>
    </w:p>
    <w:p>
      <w:pPr>
        <w:pStyle w:val="BodyText"/>
        <w:spacing w:line="480" w:lineRule="exact" w:before="10"/>
        <w:ind w:left="554" w:right="0"/>
        <w:jc w:val="left"/>
      </w:pPr>
      <w:r>
        <w:rPr/>
        <w:t>25.</w:t>
      </w:r>
      <w:r>
        <w:rPr>
          <w:spacing w:val="-16"/>
        </w:rPr>
        <w:t> </w:t>
      </w:r>
      <w:r>
        <w:rPr/>
        <w:t>所得税的会计核算</w:t>
      </w:r>
      <w:r>
        <w:rPr>
          <w:w w:val="100"/>
        </w:rPr>
        <w:t> </w:t>
      </w:r>
      <w:r>
        <w:rPr>
          <w:spacing w:val="-3"/>
        </w:rPr>
        <w:t>所得税的会计核算采用资产负债表债务法。所得税费用包括当年所得税和递延所得税。除将与直</w:t>
      </w:r>
    </w:p>
    <w:p>
      <w:pPr>
        <w:pStyle w:val="BodyText"/>
        <w:spacing w:line="300" w:lineRule="auto" w:before="7"/>
        <w:ind w:right="150"/>
        <w:jc w:val="both"/>
      </w:pPr>
      <w:r>
        <w:rPr>
          <w:spacing w:val="-3"/>
        </w:rPr>
        <w:t>接计入股东权益的交易和事项相关的当年所得税和递延所得税计入股东权益，以及企业合并产生的递</w:t>
      </w:r>
      <w:r>
        <w:rPr>
          <w:spacing w:val="-43"/>
        </w:rPr>
        <w:t> </w:t>
      </w:r>
      <w:r>
        <w:rPr>
          <w:spacing w:val="-43"/>
        </w:rPr>
      </w:r>
      <w:r>
        <w:rPr/>
        <w:t>延所得税调整商誉的账面价值外，其余的当年所得税和递延所得税费用或收益计入当期损益。</w:t>
      </w:r>
    </w:p>
    <w:p>
      <w:pPr>
        <w:pStyle w:val="BodyText"/>
        <w:spacing w:line="300" w:lineRule="auto" w:before="137"/>
        <w:ind w:right="150" w:firstLine="441"/>
        <w:jc w:val="both"/>
      </w:pPr>
      <w:r>
        <w:rPr>
          <w:spacing w:val="-3"/>
        </w:rPr>
        <w:t>当年所得税是指企业按照税务规定计算确定的针对当年发生的交易和事项，应纳给税务部门的金</w:t>
      </w:r>
      <w:r>
        <w:rPr>
          <w:w w:val="100"/>
        </w:rPr>
        <w:t> </w:t>
      </w:r>
      <w:r>
        <w:rPr>
          <w:spacing w:val="-3"/>
        </w:rPr>
        <w:t>额，即应交所得税；递延所得税是指按照资产负债表债务法应予确认的递延所得税资产和递延所得税</w:t>
      </w:r>
      <w:r>
        <w:rPr>
          <w:spacing w:val="-43"/>
        </w:rPr>
        <w:t> </w:t>
      </w:r>
      <w:r>
        <w:rPr>
          <w:spacing w:val="-43"/>
        </w:rPr>
      </w:r>
      <w:r>
        <w:rPr/>
        <w:t>负债在年末应有的金额相对于原已确认金额之间的差额。</w:t>
      </w:r>
    </w:p>
    <w:p>
      <w:pPr>
        <w:pStyle w:val="BodyText"/>
        <w:spacing w:line="240" w:lineRule="auto" w:before="137"/>
        <w:ind w:left="554" w:right="0"/>
        <w:jc w:val="left"/>
      </w:pPr>
      <w:r>
        <w:rPr/>
        <w:t>26.</w:t>
      </w:r>
      <w:r>
        <w:rPr>
          <w:spacing w:val="-23"/>
        </w:rPr>
        <w:t> </w:t>
      </w:r>
      <w:r>
        <w:rPr/>
        <w:t>重要会计政策和会计估计变更</w:t>
      </w:r>
    </w:p>
    <w:p>
      <w:pPr>
        <w:pStyle w:val="BodyText"/>
        <w:spacing w:line="400" w:lineRule="auto" w:before="192"/>
        <w:ind w:left="554" w:right="7037" w:hanging="12"/>
        <w:jc w:val="left"/>
      </w:pPr>
      <w:r>
        <w:rPr/>
        <w:t>（1）重要会计政策变更</w:t>
      </w:r>
      <w:r>
        <w:rPr>
          <w:spacing w:val="-101"/>
        </w:rPr>
        <w:t> </w:t>
      </w:r>
      <w:r>
        <w:rPr>
          <w:spacing w:val="-101"/>
        </w:rPr>
      </w:r>
      <w:r>
        <w:rPr/>
        <w:t>无。</w:t>
      </w:r>
    </w:p>
    <w:p>
      <w:pPr>
        <w:pStyle w:val="BodyText"/>
        <w:spacing w:line="400" w:lineRule="auto" w:before="44"/>
        <w:ind w:left="554" w:right="7037" w:hanging="12"/>
        <w:jc w:val="left"/>
      </w:pPr>
      <w:r>
        <w:rPr/>
        <w:t>（2）重要会计估计变更</w:t>
      </w:r>
      <w:r>
        <w:rPr>
          <w:spacing w:val="-101"/>
        </w:rPr>
        <w:t> </w:t>
      </w:r>
      <w:r>
        <w:rPr>
          <w:spacing w:val="-101"/>
        </w:rPr>
      </w:r>
      <w:r>
        <w:rPr/>
        <w:t>无。</w:t>
      </w:r>
    </w:p>
    <w:p>
      <w:pPr>
        <w:spacing w:after="0" w:line="400" w:lineRule="auto"/>
        <w:jc w:val="left"/>
        <w:sectPr>
          <w:pgSz w:w="11910" w:h="16840"/>
          <w:pgMar w:header="852" w:footer="873" w:top="1440" w:bottom="1060" w:left="1020" w:right="980"/>
        </w:sectPr>
      </w:pPr>
    </w:p>
    <w:p>
      <w:pPr>
        <w:spacing w:line="240" w:lineRule="auto" w:before="1"/>
        <w:rPr>
          <w:rFonts w:ascii="宋体" w:hAnsi="宋体" w:cs="宋体" w:eastAsia="宋体" w:hint="default"/>
          <w:sz w:val="18"/>
          <w:szCs w:val="18"/>
        </w:rPr>
      </w:pPr>
    </w:p>
    <w:p>
      <w:pPr>
        <w:pStyle w:val="Heading4"/>
        <w:spacing w:line="240" w:lineRule="auto"/>
        <w:ind w:left="576" w:right="87"/>
        <w:jc w:val="left"/>
        <w:rPr>
          <w:b w:val="0"/>
          <w:bCs w:val="0"/>
        </w:rPr>
      </w:pPr>
      <w:r>
        <w:rPr/>
        <w:t>五 、 税</w:t>
      </w:r>
      <w:r>
        <w:rPr>
          <w:spacing w:val="-64"/>
        </w:rPr>
        <w:t> </w:t>
      </w:r>
      <w:r>
        <w:rPr/>
        <w:t>项</w:t>
      </w:r>
      <w:r>
        <w:rPr>
          <w:b w:val="0"/>
          <w:bCs w:val="0"/>
        </w:rPr>
      </w:r>
    </w:p>
    <w:p>
      <w:pPr>
        <w:pStyle w:val="BodyText"/>
        <w:spacing w:line="240" w:lineRule="auto" w:before="192"/>
        <w:ind w:left="516" w:right="87"/>
        <w:jc w:val="left"/>
      </w:pPr>
      <w:r>
        <w:rPr/>
        <w:t>1.</w:t>
      </w:r>
      <w:r>
        <w:rPr>
          <w:spacing w:val="64"/>
        </w:rPr>
        <w:t> </w:t>
      </w:r>
      <w:r>
        <w:rPr/>
        <w:t>主要税种及税率</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3214"/>
        <w:gridCol w:w="2601"/>
        <w:gridCol w:w="2908"/>
      </w:tblGrid>
      <w:tr>
        <w:trPr>
          <w:trHeight w:val="415" w:hRule="exact"/>
        </w:trPr>
        <w:tc>
          <w:tcPr>
            <w:tcW w:w="32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26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402"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17%</w:t>
            </w:r>
          </w:p>
        </w:tc>
      </w:tr>
      <w:tr>
        <w:trPr>
          <w:trHeight w:val="402"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sz w:val="22"/>
                <w:szCs w:val="22"/>
              </w:rPr>
              <w:t>应交流转税额</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7%、5%</w:t>
            </w:r>
          </w:p>
        </w:tc>
      </w:tr>
      <w:tr>
        <w:trPr>
          <w:trHeight w:val="402"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应交流转税额</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5%</w:t>
            </w:r>
          </w:p>
        </w:tc>
      </w:tr>
      <w:tr>
        <w:trPr>
          <w:trHeight w:val="414" w:hRule="exact"/>
        </w:trPr>
        <w:tc>
          <w:tcPr>
            <w:tcW w:w="32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sz w:val="22"/>
                <w:szCs w:val="22"/>
              </w:rPr>
              <w:t>应纳税所得额</w:t>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15%、16.5%、25%</w:t>
            </w:r>
          </w:p>
        </w:tc>
      </w:tr>
    </w:tbl>
    <w:p>
      <w:pPr>
        <w:spacing w:line="240" w:lineRule="auto" w:before="3"/>
        <w:rPr>
          <w:rFonts w:ascii="宋体" w:hAnsi="宋体" w:cs="宋体" w:eastAsia="宋体" w:hint="default"/>
          <w:sz w:val="9"/>
          <w:szCs w:val="9"/>
        </w:rPr>
      </w:pPr>
    </w:p>
    <w:p>
      <w:pPr>
        <w:pStyle w:val="BodyText"/>
        <w:spacing w:line="240" w:lineRule="auto"/>
        <w:ind w:left="554" w:right="87"/>
        <w:jc w:val="left"/>
      </w:pPr>
      <w:r>
        <w:rPr/>
        <w:t>各公司实际适用的企业所得税税率：</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4578"/>
        <w:gridCol w:w="4145"/>
      </w:tblGrid>
      <w:tr>
        <w:trPr>
          <w:trHeight w:val="415" w:hRule="exact"/>
        </w:trPr>
        <w:tc>
          <w:tcPr>
            <w:tcW w:w="4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纳税主体名称</w:t>
            </w:r>
            <w:r>
              <w:rPr>
                <w:rFonts w:ascii="宋体" w:hAnsi="宋体" w:cs="宋体" w:eastAsia="宋体" w:hint="default"/>
                <w:sz w:val="22"/>
                <w:szCs w:val="22"/>
              </w:rPr>
            </w:r>
          </w:p>
        </w:tc>
        <w:tc>
          <w:tcPr>
            <w:tcW w:w="41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b/>
                <w:bCs/>
                <w:sz w:val="22"/>
                <w:szCs w:val="22"/>
              </w:rPr>
              <w:t>所得税税率</w:t>
            </w:r>
            <w:r>
              <w:rPr>
                <w:rFonts w:ascii="宋体" w:hAnsi="宋体" w:cs="宋体" w:eastAsia="宋体" w:hint="default"/>
                <w:sz w:val="22"/>
                <w:szCs w:val="22"/>
              </w:rPr>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浙江万马股份有限公司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15%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浙江万马高分子材料有限公司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浙江万马天屹通信线缆有限公司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15%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浙江万马集团特种电子电缆有限公司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浙江万马新能源有限公司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25%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香港骐骥国际发展有限公司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16.5%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浙江万马专用线缆科技有限公司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25%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浙江万马光伏有限公司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25%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浙江万马电缆有限公司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25%</w:t>
            </w:r>
          </w:p>
        </w:tc>
      </w:tr>
      <w:tr>
        <w:trPr>
          <w:trHeight w:val="402"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浙江爱充网络科技有限公司</w:t>
            </w:r>
          </w:p>
        </w:tc>
        <w:tc>
          <w:tcPr>
            <w:tcW w:w="41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25%</w:t>
            </w:r>
          </w:p>
        </w:tc>
      </w:tr>
      <w:tr>
        <w:trPr>
          <w:trHeight w:val="414" w:hRule="exact"/>
        </w:trPr>
        <w:tc>
          <w:tcPr>
            <w:tcW w:w="4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万马联合新能源投资有限公司</w:t>
            </w:r>
          </w:p>
        </w:tc>
        <w:tc>
          <w:tcPr>
            <w:tcW w:w="41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25%</w:t>
            </w:r>
          </w:p>
        </w:tc>
      </w:tr>
    </w:tbl>
    <w:p>
      <w:pPr>
        <w:spacing w:line="240" w:lineRule="auto" w:before="3"/>
        <w:rPr>
          <w:rFonts w:ascii="宋体" w:hAnsi="宋体" w:cs="宋体" w:eastAsia="宋体" w:hint="default"/>
          <w:sz w:val="9"/>
          <w:szCs w:val="9"/>
        </w:rPr>
      </w:pPr>
    </w:p>
    <w:p>
      <w:pPr>
        <w:pStyle w:val="BodyText"/>
        <w:spacing w:line="240" w:lineRule="auto"/>
        <w:ind w:left="516" w:right="87"/>
        <w:jc w:val="left"/>
      </w:pPr>
      <w:r>
        <w:rPr/>
        <w:t>2.</w:t>
      </w:r>
      <w:r>
        <w:rPr>
          <w:spacing w:val="66"/>
        </w:rPr>
        <w:t> </w:t>
      </w:r>
      <w:r>
        <w:rPr/>
        <w:t>税收优惠</w:t>
      </w:r>
    </w:p>
    <w:p>
      <w:pPr>
        <w:pStyle w:val="BodyText"/>
        <w:spacing w:line="240" w:lineRule="auto" w:before="192"/>
        <w:ind w:left="554" w:right="87"/>
        <w:jc w:val="left"/>
      </w:pPr>
      <w:r>
        <w:rPr/>
        <w:t>（1）企业所得税</w:t>
      </w:r>
    </w:p>
    <w:p>
      <w:pPr>
        <w:pStyle w:val="BodyText"/>
        <w:spacing w:line="300" w:lineRule="auto" w:before="192"/>
        <w:ind w:right="87" w:firstLine="441"/>
        <w:jc w:val="left"/>
      </w:pPr>
      <w:r>
        <w:rPr/>
        <w:t>本公司：于</w:t>
      </w:r>
      <w:r>
        <w:rPr>
          <w:spacing w:val="-56"/>
        </w:rPr>
        <w:t> </w:t>
      </w:r>
      <w:r>
        <w:rPr/>
        <w:t>2012</w:t>
      </w:r>
      <w:r>
        <w:rPr>
          <w:spacing w:val="-59"/>
        </w:rPr>
        <w:t> </w:t>
      </w:r>
      <w:r>
        <w:rPr/>
        <w:t>年</w:t>
      </w:r>
      <w:r>
        <w:rPr>
          <w:spacing w:val="-56"/>
        </w:rPr>
        <w:t> </w:t>
      </w:r>
      <w:r>
        <w:rPr/>
        <w:t>10</w:t>
      </w:r>
      <w:r>
        <w:rPr>
          <w:spacing w:val="-56"/>
        </w:rPr>
        <w:t> </w:t>
      </w:r>
      <w:r>
        <w:rPr/>
        <w:t>月</w:t>
      </w:r>
      <w:r>
        <w:rPr>
          <w:spacing w:val="-59"/>
        </w:rPr>
        <w:t> </w:t>
      </w:r>
      <w:r>
        <w:rPr/>
        <w:t>29</w:t>
      </w:r>
      <w:r>
        <w:rPr>
          <w:spacing w:val="-56"/>
        </w:rPr>
        <w:t> </w:t>
      </w:r>
      <w:r>
        <w:rPr/>
        <w:t>日取得高新技术企业证书，有效期三年。2014</w:t>
      </w:r>
      <w:r>
        <w:rPr>
          <w:spacing w:val="-59"/>
        </w:rPr>
        <w:t> </w:t>
      </w:r>
      <w:r>
        <w:rPr/>
        <w:t>年到期后再次获得重</w:t>
      </w:r>
      <w:r>
        <w:rPr>
          <w:w w:val="100"/>
        </w:rPr>
        <w:t> </w:t>
      </w:r>
      <w:r>
        <w:rPr>
          <w:spacing w:val="-3"/>
        </w:rPr>
        <w:t>新认定，于</w:t>
      </w:r>
      <w:r>
        <w:rPr>
          <w:spacing w:val="-50"/>
        </w:rPr>
        <w:t> </w:t>
      </w:r>
      <w:r>
        <w:rPr/>
        <w:t>2015</w:t>
      </w:r>
      <w:r>
        <w:rPr>
          <w:spacing w:val="-53"/>
        </w:rPr>
        <w:t> </w:t>
      </w:r>
      <w:r>
        <w:rPr/>
        <w:t>年</w:t>
      </w:r>
      <w:r>
        <w:rPr>
          <w:spacing w:val="-53"/>
        </w:rPr>
        <w:t> </w:t>
      </w:r>
      <w:r>
        <w:rPr/>
        <w:t>9</w:t>
      </w:r>
      <w:r>
        <w:rPr>
          <w:spacing w:val="-50"/>
        </w:rPr>
        <w:t> </w:t>
      </w:r>
      <w:r>
        <w:rPr/>
        <w:t>月</w:t>
      </w:r>
      <w:r>
        <w:rPr>
          <w:spacing w:val="-50"/>
        </w:rPr>
        <w:t> </w:t>
      </w:r>
      <w:r>
        <w:rPr/>
        <w:t>17</w:t>
      </w:r>
      <w:r>
        <w:rPr>
          <w:spacing w:val="-53"/>
        </w:rPr>
        <w:t> </w:t>
      </w:r>
      <w:r>
        <w:rPr>
          <w:spacing w:val="-3"/>
        </w:rPr>
        <w:t>日取得高新技术企业证书，有效期三年。根据税法规定，本公司</w:t>
      </w:r>
      <w:r>
        <w:rPr>
          <w:spacing w:val="-50"/>
        </w:rPr>
        <w:t> </w:t>
      </w:r>
      <w:r>
        <w:rPr/>
        <w:t>2014</w:t>
      </w:r>
      <w:r>
        <w:rPr>
          <w:spacing w:val="-53"/>
        </w:rPr>
        <w:t> </w:t>
      </w:r>
      <w:r>
        <w:rPr/>
        <w:t>年、</w:t>
      </w:r>
      <w:r>
        <w:rPr>
          <w:spacing w:val="-107"/>
        </w:rPr>
        <w:t> </w:t>
      </w:r>
      <w:r>
        <w:rPr>
          <w:spacing w:val="-107"/>
        </w:rPr>
      </w:r>
      <w:r>
        <w:rPr/>
        <w:t>2015</w:t>
      </w:r>
      <w:r>
        <w:rPr>
          <w:spacing w:val="-61"/>
        </w:rPr>
        <w:t> </w:t>
      </w:r>
      <w:r>
        <w:rPr/>
        <w:t>年适用</w:t>
      </w:r>
      <w:r>
        <w:rPr>
          <w:spacing w:val="-61"/>
        </w:rPr>
        <w:t> </w:t>
      </w:r>
      <w:r>
        <w:rPr/>
        <w:t>15%的企业所得税税率。</w:t>
      </w:r>
    </w:p>
    <w:p>
      <w:pPr>
        <w:pStyle w:val="BodyText"/>
        <w:spacing w:line="300" w:lineRule="auto" w:before="137"/>
        <w:ind w:right="87" w:firstLine="441"/>
        <w:jc w:val="left"/>
      </w:pPr>
      <w:r>
        <w:rPr>
          <w:spacing w:val="-3"/>
        </w:rPr>
        <w:t>万马高分子公司：于</w:t>
      </w:r>
      <w:r>
        <w:rPr>
          <w:spacing w:val="-48"/>
        </w:rPr>
        <w:t> </w:t>
      </w:r>
      <w:r>
        <w:rPr/>
        <w:t>2014</w:t>
      </w:r>
      <w:r>
        <w:rPr>
          <w:spacing w:val="-51"/>
        </w:rPr>
        <w:t> </w:t>
      </w:r>
      <w:r>
        <w:rPr/>
        <w:t>年</w:t>
      </w:r>
      <w:r>
        <w:rPr>
          <w:spacing w:val="-51"/>
        </w:rPr>
        <w:t> </w:t>
      </w:r>
      <w:r>
        <w:rPr/>
        <w:t>9</w:t>
      </w:r>
      <w:r>
        <w:rPr>
          <w:spacing w:val="-48"/>
        </w:rPr>
        <w:t> </w:t>
      </w:r>
      <w:r>
        <w:rPr/>
        <w:t>月</w:t>
      </w:r>
      <w:r>
        <w:rPr>
          <w:spacing w:val="-48"/>
        </w:rPr>
        <w:t> </w:t>
      </w:r>
      <w:r>
        <w:rPr/>
        <w:t>29</w:t>
      </w:r>
      <w:r>
        <w:rPr>
          <w:spacing w:val="-51"/>
        </w:rPr>
        <w:t> </w:t>
      </w:r>
      <w:r>
        <w:rPr>
          <w:spacing w:val="-3"/>
        </w:rPr>
        <w:t>日取得高新技术企业证书，有效期三年。根据税法规定，该</w:t>
      </w:r>
      <w:r>
        <w:rPr>
          <w:w w:val="100"/>
        </w:rPr>
        <w:t> </w:t>
      </w:r>
      <w:r>
        <w:rPr/>
        <w:t>子公司</w:t>
      </w:r>
      <w:r>
        <w:rPr>
          <w:spacing w:val="-59"/>
        </w:rPr>
        <w:t> </w:t>
      </w:r>
      <w:r>
        <w:rPr/>
        <w:t>2014</w:t>
      </w:r>
      <w:r>
        <w:rPr>
          <w:spacing w:val="-59"/>
        </w:rPr>
        <w:t> </w:t>
      </w:r>
      <w:r>
        <w:rPr/>
        <w:t>年、2015</w:t>
      </w:r>
      <w:r>
        <w:rPr>
          <w:spacing w:val="-61"/>
        </w:rPr>
        <w:t> </w:t>
      </w:r>
      <w:r>
        <w:rPr/>
        <w:t>年适用</w:t>
      </w:r>
      <w:r>
        <w:rPr>
          <w:spacing w:val="-59"/>
        </w:rPr>
        <w:t> </w:t>
      </w:r>
      <w:r>
        <w:rPr/>
        <w:t>15%的企业所得税税率。</w:t>
      </w:r>
    </w:p>
    <w:p>
      <w:pPr>
        <w:pStyle w:val="BodyText"/>
        <w:spacing w:line="300" w:lineRule="auto" w:before="137"/>
        <w:ind w:right="208" w:firstLine="441"/>
        <w:jc w:val="both"/>
      </w:pPr>
      <w:r>
        <w:rPr>
          <w:spacing w:val="-6"/>
        </w:rPr>
        <w:t>天屹通信公司：取得高新技术企业证书，有效期三年，2014 </w:t>
      </w:r>
      <w:r>
        <w:rPr>
          <w:spacing w:val="-5"/>
        </w:rPr>
        <w:t>年到期后再次获得重新认定，于</w:t>
      </w:r>
      <w:r>
        <w:rPr>
          <w:spacing w:val="-58"/>
        </w:rPr>
        <w:t> </w:t>
      </w:r>
      <w:r>
        <w:rPr/>
        <w:t>2015</w:t>
      </w:r>
      <w:r>
        <w:rPr>
          <w:w w:val="100"/>
        </w:rPr>
        <w:t> </w:t>
      </w:r>
      <w:r>
        <w:rPr/>
        <w:t>年</w:t>
      </w:r>
      <w:r>
        <w:rPr>
          <w:spacing w:val="-40"/>
        </w:rPr>
        <w:t> </w:t>
      </w:r>
      <w:r>
        <w:rPr/>
        <w:t>9</w:t>
      </w:r>
      <w:r>
        <w:rPr>
          <w:spacing w:val="-40"/>
        </w:rPr>
        <w:t> </w:t>
      </w:r>
      <w:r>
        <w:rPr/>
        <w:t>月</w:t>
      </w:r>
      <w:r>
        <w:rPr>
          <w:spacing w:val="-40"/>
        </w:rPr>
        <w:t> </w:t>
      </w:r>
      <w:r>
        <w:rPr/>
        <w:t>17</w:t>
      </w:r>
      <w:r>
        <w:rPr>
          <w:spacing w:val="-40"/>
        </w:rPr>
        <w:t> </w:t>
      </w:r>
      <w:r>
        <w:rPr/>
        <w:t>日取得高新技术企业证书，有效期三年。根据税法规定，该子公司</w:t>
      </w:r>
      <w:r>
        <w:rPr>
          <w:spacing w:val="-40"/>
        </w:rPr>
        <w:t> </w:t>
      </w:r>
      <w:r>
        <w:rPr/>
        <w:t>2014</w:t>
      </w:r>
      <w:r>
        <w:rPr>
          <w:spacing w:val="-40"/>
        </w:rPr>
        <w:t> </w:t>
      </w:r>
      <w:r>
        <w:rPr/>
        <w:t>年、2015</w:t>
      </w:r>
      <w:r>
        <w:rPr>
          <w:spacing w:val="-40"/>
        </w:rPr>
        <w:t> </w:t>
      </w:r>
      <w:r>
        <w:rPr/>
        <w:t>年适用</w:t>
      </w:r>
      <w:r>
        <w:rPr>
          <w:spacing w:val="-105"/>
        </w:rPr>
        <w:t> </w:t>
      </w:r>
      <w:r>
        <w:rPr>
          <w:spacing w:val="-105"/>
        </w:rPr>
      </w:r>
      <w:r>
        <w:rPr/>
        <w:t>15%的企业所得税税率。</w:t>
      </w:r>
    </w:p>
    <w:p>
      <w:pPr>
        <w:pStyle w:val="BodyText"/>
        <w:spacing w:line="300" w:lineRule="auto" w:before="137"/>
        <w:ind w:right="87" w:firstLine="441"/>
        <w:jc w:val="left"/>
      </w:pPr>
      <w:r>
        <w:rPr>
          <w:spacing w:val="-3"/>
        </w:rPr>
        <w:t>万马特缆公司：于</w:t>
      </w:r>
      <w:r>
        <w:rPr>
          <w:spacing w:val="-48"/>
        </w:rPr>
        <w:t> </w:t>
      </w:r>
      <w:r>
        <w:rPr/>
        <w:t>2014</w:t>
      </w:r>
      <w:r>
        <w:rPr>
          <w:spacing w:val="-52"/>
        </w:rPr>
        <w:t> </w:t>
      </w:r>
      <w:r>
        <w:rPr/>
        <w:t>年</w:t>
      </w:r>
      <w:r>
        <w:rPr>
          <w:spacing w:val="-48"/>
        </w:rPr>
        <w:t> </w:t>
      </w:r>
      <w:r>
        <w:rPr/>
        <w:t>9</w:t>
      </w:r>
      <w:r>
        <w:rPr>
          <w:spacing w:val="-52"/>
        </w:rPr>
        <w:t> </w:t>
      </w:r>
      <w:r>
        <w:rPr/>
        <w:t>月</w:t>
      </w:r>
      <w:r>
        <w:rPr>
          <w:spacing w:val="-48"/>
        </w:rPr>
        <w:t> </w:t>
      </w:r>
      <w:r>
        <w:rPr/>
        <w:t>29</w:t>
      </w:r>
      <w:r>
        <w:rPr>
          <w:spacing w:val="-48"/>
        </w:rPr>
        <w:t> </w:t>
      </w:r>
      <w:r>
        <w:rPr>
          <w:spacing w:val="-3"/>
        </w:rPr>
        <w:t>日取得高新技术企业证书，有效期三年。根据税法规定，该子</w:t>
      </w:r>
      <w:r>
        <w:rPr>
          <w:w w:val="100"/>
        </w:rPr>
        <w:t> </w:t>
      </w:r>
      <w:r>
        <w:rPr/>
        <w:t>公司</w:t>
      </w:r>
      <w:r>
        <w:rPr>
          <w:spacing w:val="-58"/>
        </w:rPr>
        <w:t> </w:t>
      </w:r>
      <w:r>
        <w:rPr/>
        <w:t>2014</w:t>
      </w:r>
      <w:r>
        <w:rPr>
          <w:spacing w:val="-61"/>
        </w:rPr>
        <w:t> </w:t>
      </w:r>
      <w:r>
        <w:rPr/>
        <w:t>年、2015</w:t>
      </w:r>
      <w:r>
        <w:rPr>
          <w:spacing w:val="-58"/>
        </w:rPr>
        <w:t> </w:t>
      </w:r>
      <w:r>
        <w:rPr/>
        <w:t>年适用</w:t>
      </w:r>
      <w:r>
        <w:rPr>
          <w:spacing w:val="-61"/>
        </w:rPr>
        <w:t> </w:t>
      </w:r>
      <w:r>
        <w:rPr/>
        <w:t>15%的企业所得税税率。</w:t>
      </w:r>
    </w:p>
    <w:p>
      <w:pPr>
        <w:spacing w:after="0" w:line="300" w:lineRule="auto"/>
        <w:jc w:val="left"/>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300" w:lineRule="auto"/>
        <w:ind w:right="210" w:firstLine="441"/>
        <w:jc w:val="both"/>
      </w:pPr>
      <w:r>
        <w:rPr>
          <w:spacing w:val="-3"/>
        </w:rPr>
        <w:t>本公司、万马高分子公司、天屹通信公司为社会福利企业，根据财政部、国家税务总局《关于调</w:t>
      </w:r>
      <w:r>
        <w:rPr>
          <w:w w:val="100"/>
        </w:rPr>
        <w:t> </w:t>
      </w:r>
      <w:r>
        <w:rPr/>
        <w:t>整完善现行福利企业税收优惠政策试点工作的通知》（财税[2006]111</w:t>
      </w:r>
      <w:r>
        <w:rPr>
          <w:spacing w:val="-65"/>
        </w:rPr>
        <w:t> </w:t>
      </w:r>
      <w:r>
        <w:rPr/>
        <w:t>号）、《关于进一步做好调整</w:t>
      </w:r>
      <w:r>
        <w:rPr>
          <w:w w:val="100"/>
        </w:rPr>
        <w:t> </w:t>
      </w:r>
      <w:r>
        <w:rPr/>
        <w:t>现行福利企业税收优惠政策试点工作的通知》（财税[2006]135</w:t>
      </w:r>
      <w:r>
        <w:rPr>
          <w:spacing w:val="-66"/>
        </w:rPr>
        <w:t> </w:t>
      </w:r>
      <w:r>
        <w:rPr/>
        <w:t>号）的规定，企业所得税实施成本加</w:t>
      </w:r>
      <w:r>
        <w:rPr>
          <w:w w:val="100"/>
        </w:rPr>
        <w:t> </w:t>
      </w:r>
      <w:r>
        <w:rPr/>
        <w:t>成加计扣除办法，即可以按照企业支付给残疾职工实际工资的</w:t>
      </w:r>
      <w:r>
        <w:rPr>
          <w:spacing w:val="-65"/>
        </w:rPr>
        <w:t> </w:t>
      </w:r>
      <w:r>
        <w:rPr/>
        <w:t>2</w:t>
      </w:r>
      <w:r>
        <w:rPr>
          <w:spacing w:val="-65"/>
        </w:rPr>
        <w:t> </w:t>
      </w:r>
      <w:r>
        <w:rPr/>
        <w:t>倍在税前扣除。</w:t>
      </w:r>
    </w:p>
    <w:p>
      <w:pPr>
        <w:pStyle w:val="BodyText"/>
        <w:spacing w:line="300" w:lineRule="auto" w:before="137"/>
        <w:ind w:right="210" w:firstLine="441"/>
        <w:jc w:val="both"/>
      </w:pPr>
      <w:r>
        <w:rPr>
          <w:spacing w:val="-4"/>
        </w:rPr>
        <w:t>根据财政部、国家税务总局《关于促进残疾人就业税收优惠政策的通知》（财税[2007]92</w:t>
      </w:r>
      <w:r>
        <w:rPr>
          <w:spacing w:val="-16"/>
        </w:rPr>
        <w:t> </w:t>
      </w:r>
      <w:r>
        <w:rPr>
          <w:spacing w:val="-7"/>
        </w:rPr>
        <w:t>号）的</w:t>
      </w:r>
      <w:r>
        <w:rPr>
          <w:w w:val="100"/>
        </w:rPr>
        <w:t> </w:t>
      </w:r>
      <w:r>
        <w:rPr/>
        <w:t>规定，符合规定的社会福利企业取得的增值税退税免征企业所得税。</w:t>
      </w:r>
    </w:p>
    <w:p>
      <w:pPr>
        <w:pStyle w:val="BodyText"/>
        <w:spacing w:line="480" w:lineRule="exact" w:before="10"/>
        <w:ind w:left="554" w:right="87"/>
        <w:jc w:val="left"/>
      </w:pPr>
      <w:r>
        <w:rPr/>
        <w:t>（2）增值税</w:t>
      </w:r>
      <w:r>
        <w:rPr>
          <w:w w:val="100"/>
        </w:rPr>
        <w:t> </w:t>
      </w:r>
      <w:r>
        <w:rPr>
          <w:spacing w:val="-3"/>
        </w:rPr>
        <w:t>本公司及本公司的子公司万马高分子公司、天屹通信公司为社会福利企业，根据财政部、国家税</w:t>
      </w:r>
    </w:p>
    <w:p>
      <w:pPr>
        <w:pStyle w:val="BodyText"/>
        <w:spacing w:line="300" w:lineRule="auto" w:before="7"/>
        <w:ind w:right="210"/>
        <w:jc w:val="both"/>
      </w:pPr>
      <w:r>
        <w:rPr/>
        <w:t>务总局《关于调整完善现行福利企业税收优惠政策试点工作的通知》（财税[2006]111</w:t>
      </w:r>
      <w:r>
        <w:rPr>
          <w:spacing w:val="-67"/>
        </w:rPr>
        <w:t> </w:t>
      </w:r>
      <w:r>
        <w:rPr/>
        <w:t>号）、《关于</w:t>
      </w:r>
      <w:r>
        <w:rPr>
          <w:w w:val="100"/>
        </w:rPr>
        <w:t> </w:t>
      </w:r>
      <w:r>
        <w:rPr/>
        <w:t>进一步做好调整现行福利企业税收优惠政策试点工作的通知》（财税[2006]135</w:t>
      </w:r>
      <w:r>
        <w:rPr>
          <w:spacing w:val="-65"/>
        </w:rPr>
        <w:t> </w:t>
      </w:r>
      <w:r>
        <w:rPr/>
        <w:t>号）的规定，增值税</w:t>
      </w:r>
      <w:r>
        <w:rPr>
          <w:w w:val="100"/>
        </w:rPr>
        <w:t> </w:t>
      </w:r>
      <w:r>
        <w:rPr>
          <w:spacing w:val="-3"/>
        </w:rPr>
        <w:t>实行按实际安置残疾人员人数限额即征即退的办法；根据浙江省国家税务局《调整完善现行福利企业</w:t>
      </w:r>
      <w:r>
        <w:rPr>
          <w:spacing w:val="-43"/>
        </w:rPr>
        <w:t> </w:t>
      </w:r>
      <w:r>
        <w:rPr>
          <w:spacing w:val="-43"/>
        </w:rPr>
      </w:r>
      <w:r>
        <w:rPr>
          <w:spacing w:val="-4"/>
        </w:rPr>
        <w:t>税收优惠政策试点实施办法的通知》（浙国税流[2006]48 </w:t>
      </w:r>
      <w:r>
        <w:rPr>
          <w:spacing w:val="-5"/>
        </w:rPr>
        <w:t>号）的规定，每位残疾人员可退还增值税最</w:t>
      </w:r>
      <w:r>
        <w:rPr>
          <w:spacing w:val="-73"/>
        </w:rPr>
        <w:t> </w:t>
      </w:r>
      <w:r>
        <w:rPr>
          <w:spacing w:val="-73"/>
        </w:rPr>
      </w:r>
      <w:r>
        <w:rPr/>
        <w:t>高限额为</w:t>
      </w:r>
      <w:r>
        <w:rPr>
          <w:spacing w:val="-57"/>
        </w:rPr>
        <w:t> </w:t>
      </w:r>
      <w:r>
        <w:rPr/>
        <w:t>3.5</w:t>
      </w:r>
      <w:r>
        <w:rPr>
          <w:spacing w:val="-60"/>
        </w:rPr>
        <w:t> </w:t>
      </w:r>
      <w:r>
        <w:rPr/>
        <w:t>万元。</w:t>
      </w:r>
    </w:p>
    <w:p>
      <w:pPr>
        <w:pStyle w:val="BodyText"/>
        <w:spacing w:line="480" w:lineRule="exact" w:before="10"/>
        <w:ind w:left="554" w:right="87" w:hanging="39"/>
        <w:jc w:val="left"/>
      </w:pPr>
      <w:r>
        <w:rPr/>
        <w:t>3.</w:t>
      </w:r>
      <w:r>
        <w:rPr>
          <w:spacing w:val="67"/>
        </w:rPr>
        <w:t> </w:t>
      </w:r>
      <w:r>
        <w:rPr/>
        <w:t>其他</w:t>
      </w:r>
      <w:r>
        <w:rPr>
          <w:w w:val="100"/>
        </w:rPr>
        <w:t> </w:t>
      </w:r>
      <w:r>
        <w:rPr>
          <w:spacing w:val="-3"/>
        </w:rPr>
        <w:t>本公司之子公司香港骐骥国际发展有限公司（以下简称“香港骐骥”）系本公司注册在香港的全</w:t>
      </w:r>
    </w:p>
    <w:p>
      <w:pPr>
        <w:spacing w:line="400" w:lineRule="auto" w:before="7"/>
        <w:ind w:left="576" w:right="5619" w:hanging="464"/>
        <w:jc w:val="left"/>
        <w:rPr>
          <w:rFonts w:ascii="宋体" w:hAnsi="宋体" w:cs="宋体" w:eastAsia="宋体" w:hint="default"/>
          <w:sz w:val="22"/>
          <w:szCs w:val="22"/>
        </w:rPr>
      </w:pPr>
      <w:r>
        <w:rPr>
          <w:rFonts w:ascii="宋体" w:hAnsi="宋体" w:cs="宋体" w:eastAsia="宋体" w:hint="default"/>
          <w:sz w:val="22"/>
          <w:szCs w:val="22"/>
        </w:rPr>
        <w:t>资子公司，其纳税事宜遵循香港当地法律。</w:t>
      </w:r>
      <w:r>
        <w:rPr>
          <w:rFonts w:ascii="宋体" w:hAnsi="宋体" w:cs="宋体" w:eastAsia="宋体" w:hint="default"/>
          <w:w w:val="100"/>
          <w:sz w:val="22"/>
          <w:szCs w:val="22"/>
        </w:rPr>
        <w:t> </w:t>
      </w:r>
      <w:r>
        <w:rPr>
          <w:rFonts w:ascii="宋体" w:hAnsi="宋体" w:cs="宋体" w:eastAsia="宋体" w:hint="default"/>
          <w:b/>
          <w:bCs/>
          <w:sz w:val="22"/>
          <w:szCs w:val="22"/>
        </w:rPr>
        <w:t>六</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8"/>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主</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b/>
          <w:bCs/>
          <w:spacing w:val="-73"/>
          <w:sz w:val="22"/>
          <w:szCs w:val="22"/>
        </w:rPr>
        <w:t> </w:t>
      </w:r>
      <w:r>
        <w:rPr>
          <w:rFonts w:ascii="宋体" w:hAnsi="宋体" w:cs="宋体" w:eastAsia="宋体" w:hint="default"/>
          <w:b/>
          <w:bCs/>
          <w:sz w:val="22"/>
          <w:szCs w:val="22"/>
        </w:rPr>
        <w:t>目</w:t>
      </w:r>
      <w:r>
        <w:rPr>
          <w:rFonts w:ascii="宋体" w:hAnsi="宋体" w:cs="宋体" w:eastAsia="宋体" w:hint="default"/>
          <w:b/>
          <w:bCs/>
          <w:spacing w:val="-71"/>
          <w:sz w:val="22"/>
          <w:szCs w:val="22"/>
        </w:rPr>
        <w:t> </w:t>
      </w:r>
      <w:r>
        <w:rPr>
          <w:rFonts w:ascii="宋体" w:hAnsi="宋体" w:cs="宋体" w:eastAsia="宋体" w:hint="default"/>
          <w:b/>
          <w:bCs/>
          <w:sz w:val="22"/>
          <w:szCs w:val="22"/>
        </w:rPr>
        <w:t>注</w:t>
      </w:r>
      <w:r>
        <w:rPr>
          <w:rFonts w:ascii="宋体" w:hAnsi="宋体" w:cs="宋体" w:eastAsia="宋体" w:hint="default"/>
          <w:b/>
          <w:bCs/>
          <w:spacing w:val="-71"/>
          <w:sz w:val="22"/>
          <w:szCs w:val="22"/>
        </w:rPr>
        <w:t> </w:t>
      </w:r>
      <w:r>
        <w:rPr>
          <w:rFonts w:ascii="宋体" w:hAnsi="宋体" w:cs="宋体" w:eastAsia="宋体" w:hint="default"/>
          <w:b/>
          <w:bCs/>
          <w:sz w:val="22"/>
          <w:szCs w:val="22"/>
        </w:rPr>
        <w:t>释</w:t>
      </w:r>
      <w:r>
        <w:rPr>
          <w:rFonts w:ascii="宋体" w:hAnsi="宋体" w:cs="宋体" w:eastAsia="宋体" w:hint="default"/>
          <w:sz w:val="22"/>
          <w:szCs w:val="22"/>
        </w:rPr>
      </w:r>
    </w:p>
    <w:p>
      <w:pPr>
        <w:pStyle w:val="BodyText"/>
        <w:spacing w:line="300" w:lineRule="auto" w:before="44"/>
        <w:ind w:right="210" w:firstLine="441"/>
        <w:jc w:val="both"/>
      </w:pPr>
      <w:r>
        <w:rPr/>
        <w:t>下列所披露的财务报表数据，除特别注明之外，“年初”系指</w:t>
      </w:r>
      <w:r>
        <w:rPr>
          <w:spacing w:val="-47"/>
        </w:rPr>
        <w:t> </w:t>
      </w:r>
      <w:r>
        <w:rPr/>
        <w:t>2015</w:t>
      </w:r>
      <w:r>
        <w:rPr>
          <w:spacing w:val="-49"/>
        </w:rPr>
        <w:t> </w:t>
      </w:r>
      <w:r>
        <w:rPr/>
        <w:t>年</w:t>
      </w:r>
      <w:r>
        <w:rPr>
          <w:spacing w:val="-49"/>
        </w:rPr>
        <w:t> </w:t>
      </w:r>
      <w:r>
        <w:rPr/>
        <w:t>1</w:t>
      </w:r>
      <w:r>
        <w:rPr>
          <w:spacing w:val="-47"/>
        </w:rPr>
        <w:t> </w:t>
      </w:r>
      <w:r>
        <w:rPr/>
        <w:t>月</w:t>
      </w:r>
      <w:r>
        <w:rPr>
          <w:spacing w:val="-49"/>
        </w:rPr>
        <w:t> </w:t>
      </w:r>
      <w:r>
        <w:rPr/>
        <w:t>1</w:t>
      </w:r>
      <w:r>
        <w:rPr>
          <w:spacing w:val="-47"/>
        </w:rPr>
        <w:t> </w:t>
      </w:r>
      <w:r>
        <w:rPr/>
        <w:t>日，“年末”系指</w:t>
      </w:r>
      <w:r>
        <w:rPr>
          <w:w w:val="100"/>
        </w:rPr>
        <w:t> </w:t>
      </w:r>
      <w:r>
        <w:rPr/>
        <w:t>2015</w:t>
      </w:r>
      <w:r>
        <w:rPr>
          <w:spacing w:val="-55"/>
        </w:rPr>
        <w:t> </w:t>
      </w:r>
      <w:r>
        <w:rPr/>
        <w:t>年</w:t>
      </w:r>
      <w:r>
        <w:rPr>
          <w:spacing w:val="-58"/>
        </w:rPr>
        <w:t> </w:t>
      </w:r>
      <w:r>
        <w:rPr/>
        <w:t>12</w:t>
      </w:r>
      <w:r>
        <w:rPr>
          <w:spacing w:val="-55"/>
        </w:rPr>
        <w:t> </w:t>
      </w:r>
      <w:r>
        <w:rPr/>
        <w:t>月</w:t>
      </w:r>
      <w:r>
        <w:rPr>
          <w:spacing w:val="-55"/>
        </w:rPr>
        <w:t> </w:t>
      </w:r>
      <w:r>
        <w:rPr/>
        <w:t>31</w:t>
      </w:r>
      <w:r>
        <w:rPr>
          <w:spacing w:val="-55"/>
        </w:rPr>
        <w:t> </w:t>
      </w:r>
      <w:r>
        <w:rPr/>
        <w:t>日，“本年”系指</w:t>
      </w:r>
      <w:r>
        <w:rPr>
          <w:spacing w:val="-58"/>
        </w:rPr>
        <w:t> </w:t>
      </w:r>
      <w:r>
        <w:rPr/>
        <w:t>2015</w:t>
      </w:r>
      <w:r>
        <w:rPr>
          <w:spacing w:val="-55"/>
        </w:rPr>
        <w:t> </w:t>
      </w:r>
      <w:r>
        <w:rPr/>
        <w:t>年</w:t>
      </w:r>
      <w:r>
        <w:rPr>
          <w:spacing w:val="-55"/>
        </w:rPr>
        <w:t> </w:t>
      </w:r>
      <w:r>
        <w:rPr/>
        <w:t>1</w:t>
      </w:r>
      <w:r>
        <w:rPr>
          <w:spacing w:val="-58"/>
        </w:rPr>
        <w:t> </w:t>
      </w:r>
      <w:r>
        <w:rPr/>
        <w:t>月</w:t>
      </w:r>
      <w:r>
        <w:rPr>
          <w:spacing w:val="-55"/>
        </w:rPr>
        <w:t> </w:t>
      </w:r>
      <w:r>
        <w:rPr/>
        <w:t>1</w:t>
      </w:r>
      <w:r>
        <w:rPr>
          <w:spacing w:val="-55"/>
        </w:rPr>
        <w:t> </w:t>
      </w:r>
      <w:r>
        <w:rPr/>
        <w:t>日至</w:t>
      </w:r>
      <w:r>
        <w:rPr>
          <w:spacing w:val="-55"/>
        </w:rPr>
        <w:t> </w:t>
      </w:r>
      <w:r>
        <w:rPr/>
        <w:t>12</w:t>
      </w:r>
      <w:r>
        <w:rPr>
          <w:spacing w:val="-55"/>
        </w:rPr>
        <w:t> </w:t>
      </w:r>
      <w:r>
        <w:rPr/>
        <w:t>月</w:t>
      </w:r>
      <w:r>
        <w:rPr>
          <w:spacing w:val="-58"/>
        </w:rPr>
        <w:t> </w:t>
      </w:r>
      <w:r>
        <w:rPr/>
        <w:t>31</w:t>
      </w:r>
      <w:r>
        <w:rPr>
          <w:spacing w:val="-55"/>
        </w:rPr>
        <w:t> </w:t>
      </w:r>
      <w:r>
        <w:rPr/>
        <w:t>日，“上年”</w:t>
      </w:r>
      <w:r>
        <w:rPr>
          <w:spacing w:val="-3"/>
        </w:rPr>
        <w:t> </w:t>
      </w:r>
      <w:r>
        <w:rPr/>
        <w:t>系指</w:t>
      </w:r>
      <w:r>
        <w:rPr>
          <w:spacing w:val="-55"/>
        </w:rPr>
        <w:t> </w:t>
      </w:r>
      <w:r>
        <w:rPr/>
        <w:t>2014</w:t>
      </w:r>
      <w:r>
        <w:rPr>
          <w:spacing w:val="-58"/>
        </w:rPr>
        <w:t> </w:t>
      </w:r>
      <w:r>
        <w:rPr/>
        <w:t>年</w:t>
      </w:r>
      <w:r>
        <w:rPr>
          <w:spacing w:val="-55"/>
        </w:rPr>
        <w:t> </w:t>
      </w:r>
      <w:r>
        <w:rPr/>
        <w:t>1</w:t>
      </w:r>
      <w:r>
        <w:rPr>
          <w:spacing w:val="-55"/>
        </w:rPr>
        <w:t> </w:t>
      </w:r>
      <w:r>
        <w:rPr/>
        <w:t>月</w:t>
      </w:r>
      <w:r>
        <w:rPr>
          <w:spacing w:val="-55"/>
        </w:rPr>
        <w:t> </w:t>
      </w:r>
      <w:r>
        <w:rPr/>
        <w:t>1</w:t>
      </w:r>
      <w:r>
        <w:rPr>
          <w:spacing w:val="-55"/>
        </w:rPr>
        <w:t> </w:t>
      </w:r>
      <w:r>
        <w:rPr/>
        <w:t>日</w:t>
      </w:r>
      <w:r>
        <w:rPr>
          <w:w w:val="100"/>
        </w:rPr>
        <w:t> </w:t>
      </w:r>
      <w:r>
        <w:rPr/>
        <w:t>至</w:t>
      </w:r>
      <w:r>
        <w:rPr>
          <w:spacing w:val="-57"/>
        </w:rPr>
        <w:t> </w:t>
      </w:r>
      <w:r>
        <w:rPr/>
        <w:t>12</w:t>
      </w:r>
      <w:r>
        <w:rPr>
          <w:spacing w:val="-57"/>
        </w:rPr>
        <w:t> </w:t>
      </w:r>
      <w:r>
        <w:rPr/>
        <w:t>月</w:t>
      </w:r>
      <w:r>
        <w:rPr>
          <w:spacing w:val="-60"/>
        </w:rPr>
        <w:t> </w:t>
      </w:r>
      <w:r>
        <w:rPr/>
        <w:t>31</w:t>
      </w:r>
      <w:r>
        <w:rPr>
          <w:spacing w:val="-57"/>
        </w:rPr>
        <w:t> </w:t>
      </w:r>
      <w:r>
        <w:rPr/>
        <w:t>日，货币单位为人民币元。</w:t>
      </w:r>
    </w:p>
    <w:p>
      <w:pPr>
        <w:pStyle w:val="BodyText"/>
        <w:spacing w:line="240" w:lineRule="auto" w:before="137"/>
        <w:ind w:left="516" w:right="87"/>
        <w:jc w:val="left"/>
      </w:pPr>
      <w:r>
        <w:rPr/>
        <w:t>1.</w:t>
      </w:r>
      <w:r>
        <w:rPr>
          <w:spacing w:val="66"/>
        </w:rPr>
        <w:t> </w:t>
      </w:r>
      <w:r>
        <w:rPr/>
        <w:t>货币资金</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3635"/>
        <w:gridCol w:w="2544"/>
        <w:gridCol w:w="2544"/>
      </w:tblGrid>
      <w:tr>
        <w:trPr>
          <w:trHeight w:val="415" w:hRule="exact"/>
        </w:trPr>
        <w:tc>
          <w:tcPr>
            <w:tcW w:w="36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29"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82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65,199.64</w:t>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81,814.17</w:t>
            </w:r>
          </w:p>
        </w:tc>
      </w:tr>
      <w:tr>
        <w:trPr>
          <w:trHeight w:val="402" w:hRule="exact"/>
        </w:trPr>
        <w:tc>
          <w:tcPr>
            <w:tcW w:w="3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629,374,213.41</w:t>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450,657,970.30</w:t>
            </w:r>
          </w:p>
        </w:tc>
      </w:tr>
      <w:tr>
        <w:trPr>
          <w:trHeight w:val="402" w:hRule="exact"/>
        </w:trPr>
        <w:tc>
          <w:tcPr>
            <w:tcW w:w="3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108,341,047.91</w:t>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339,695,521.81</w:t>
            </w:r>
          </w:p>
        </w:tc>
      </w:tr>
      <w:tr>
        <w:trPr>
          <w:trHeight w:val="402" w:hRule="exact"/>
        </w:trPr>
        <w:tc>
          <w:tcPr>
            <w:tcW w:w="3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737,780,460.96</w:t>
            </w:r>
            <w:r>
              <w:rPr>
                <w:rFonts w:ascii="宋体"/>
                <w:spacing w:val="-1"/>
                <w:sz w:val="22"/>
              </w:rPr>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790,435,306.28</w:t>
            </w:r>
            <w:r>
              <w:rPr>
                <w:rFonts w:ascii="宋体"/>
                <w:spacing w:val="-1"/>
                <w:sz w:val="22"/>
              </w:rPr>
            </w:r>
          </w:p>
        </w:tc>
      </w:tr>
      <w:tr>
        <w:trPr>
          <w:trHeight w:val="414" w:hRule="exact"/>
        </w:trPr>
        <w:tc>
          <w:tcPr>
            <w:tcW w:w="36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其中：存放在境外的款项总额</w:t>
            </w:r>
          </w:p>
        </w:tc>
        <w:tc>
          <w:tcPr>
            <w:tcW w:w="2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41,337,885.74</w:t>
            </w:r>
          </w:p>
        </w:tc>
        <w:tc>
          <w:tcPr>
            <w:tcW w:w="25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35,851,371.79</w:t>
            </w:r>
          </w:p>
        </w:tc>
      </w:tr>
    </w:tbl>
    <w:p>
      <w:pPr>
        <w:spacing w:line="240" w:lineRule="auto" w:before="2"/>
        <w:rPr>
          <w:rFonts w:ascii="宋体" w:hAnsi="宋体" w:cs="宋体" w:eastAsia="宋体" w:hint="default"/>
          <w:sz w:val="9"/>
          <w:szCs w:val="9"/>
        </w:rPr>
      </w:pPr>
    </w:p>
    <w:p>
      <w:pPr>
        <w:pStyle w:val="BodyText"/>
        <w:spacing w:line="240" w:lineRule="auto"/>
        <w:ind w:left="554" w:right="87"/>
        <w:jc w:val="left"/>
      </w:pPr>
      <w:r>
        <w:rPr>
          <w:spacing w:val="-3"/>
        </w:rPr>
        <w:t>注：（1）其他货币资金主要系存入银行的银行承兑汇票保证金、保函保证金以及信用证保证金。</w:t>
      </w:r>
    </w:p>
    <w:p>
      <w:pPr>
        <w:pStyle w:val="BodyText"/>
        <w:spacing w:line="300" w:lineRule="auto" w:before="192"/>
        <w:ind w:right="98" w:firstLine="441"/>
        <w:jc w:val="both"/>
      </w:pPr>
      <w:r>
        <w:rPr>
          <w:spacing w:val="-4"/>
        </w:rPr>
        <w:t>（2）截止</w:t>
      </w:r>
      <w:r>
        <w:rPr>
          <w:spacing w:val="-55"/>
        </w:rPr>
        <w:t> </w:t>
      </w:r>
      <w:r>
        <w:rPr/>
        <w:t>2015</w:t>
      </w:r>
      <w:r>
        <w:rPr>
          <w:spacing w:val="-55"/>
        </w:rPr>
        <w:t> </w:t>
      </w:r>
      <w:r>
        <w:rPr/>
        <w:t>年</w:t>
      </w:r>
      <w:r>
        <w:rPr>
          <w:spacing w:val="-52"/>
        </w:rPr>
        <w:t> </w:t>
      </w:r>
      <w:r>
        <w:rPr/>
        <w:t>12</w:t>
      </w:r>
      <w:r>
        <w:rPr>
          <w:spacing w:val="-55"/>
        </w:rPr>
        <w:t> </w:t>
      </w:r>
      <w:r>
        <w:rPr/>
        <w:t>月</w:t>
      </w:r>
      <w:r>
        <w:rPr>
          <w:spacing w:val="-52"/>
        </w:rPr>
        <w:t> </w:t>
      </w:r>
      <w:r>
        <w:rPr/>
        <w:t>31</w:t>
      </w:r>
      <w:r>
        <w:rPr>
          <w:spacing w:val="-55"/>
        </w:rPr>
        <w:t> </w:t>
      </w:r>
      <w:r>
        <w:rPr>
          <w:spacing w:val="-3"/>
        </w:rPr>
        <w:t>日，本集团使用受限资金共计</w:t>
      </w:r>
      <w:r>
        <w:rPr>
          <w:spacing w:val="-52"/>
        </w:rPr>
        <w:t> </w:t>
      </w:r>
      <w:r>
        <w:rPr/>
        <w:t>108,340,501.39</w:t>
      </w:r>
      <w:r>
        <w:rPr>
          <w:spacing w:val="-55"/>
        </w:rPr>
        <w:t> </w:t>
      </w:r>
      <w:r>
        <w:rPr>
          <w:spacing w:val="-3"/>
        </w:rPr>
        <w:t>元，包括保函保证金、</w:t>
      </w:r>
      <w:r>
        <w:rPr>
          <w:w w:val="100"/>
        </w:rPr>
        <w:t> </w:t>
      </w:r>
      <w:r>
        <w:rPr>
          <w:spacing w:val="-5"/>
        </w:rPr>
        <w:t>信用证保证金、银行承兑汇票保证金、远期结购汇保证金及期货保证金。其中：保证期限超过三个月，</w:t>
      </w:r>
      <w:r>
        <w:rPr>
          <w:spacing w:val="-58"/>
        </w:rPr>
        <w:t> </w:t>
      </w:r>
      <w:r>
        <w:rPr>
          <w:spacing w:val="-58"/>
        </w:rPr>
      </w:r>
      <w:r>
        <w:rPr/>
        <w:t>在现金流量表中不作为“现金及现金等价物”列示的货币资金共计</w:t>
      </w:r>
      <w:r>
        <w:rPr>
          <w:spacing w:val="-68"/>
        </w:rPr>
        <w:t> </w:t>
      </w:r>
      <w:r>
        <w:rPr/>
        <w:t>51,080,222.02</w:t>
      </w:r>
      <w:r>
        <w:rPr>
          <w:spacing w:val="-71"/>
        </w:rPr>
        <w:t> </w:t>
      </w:r>
      <w:r>
        <w:rPr/>
        <w:t>元。</w:t>
      </w:r>
    </w:p>
    <w:p>
      <w:pPr>
        <w:pStyle w:val="BodyText"/>
        <w:spacing w:line="300" w:lineRule="auto" w:before="137"/>
        <w:ind w:right="87" w:firstLine="441"/>
        <w:jc w:val="left"/>
      </w:pPr>
      <w:r>
        <w:rPr/>
        <w:t>（3）存放在境外的货币资金为人民币</w:t>
      </w:r>
      <w:r>
        <w:rPr>
          <w:spacing w:val="-61"/>
        </w:rPr>
        <w:t> </w:t>
      </w:r>
      <w:r>
        <w:rPr/>
        <w:t>416,358.14</w:t>
      </w:r>
      <w:r>
        <w:rPr>
          <w:spacing w:val="-64"/>
        </w:rPr>
        <w:t> </w:t>
      </w:r>
      <w:r>
        <w:rPr/>
        <w:t>元，港币</w:t>
      </w:r>
      <w:r>
        <w:rPr>
          <w:spacing w:val="-61"/>
        </w:rPr>
        <w:t> </w:t>
      </w:r>
      <w:r>
        <w:rPr/>
        <w:t>781,591.06</w:t>
      </w:r>
      <w:r>
        <w:rPr>
          <w:spacing w:val="-64"/>
        </w:rPr>
        <w:t> </w:t>
      </w:r>
      <w:r>
        <w:rPr/>
        <w:t>元，美元</w:t>
      </w:r>
      <w:r>
        <w:rPr>
          <w:spacing w:val="-61"/>
        </w:rPr>
        <w:t> </w:t>
      </w:r>
      <w:r>
        <w:rPr/>
        <w:t>6,200,984.14</w:t>
      </w:r>
      <w:r>
        <w:rPr>
          <w:w w:val="100"/>
        </w:rPr>
        <w:t> </w:t>
      </w:r>
      <w:r>
        <w:rPr/>
        <w:t>元，共计折合人民币</w:t>
      </w:r>
      <w:r>
        <w:rPr>
          <w:spacing w:val="-58"/>
        </w:rPr>
        <w:t> </w:t>
      </w:r>
      <w:r>
        <w:rPr/>
        <w:t>41,337,885.74</w:t>
      </w:r>
      <w:r>
        <w:rPr>
          <w:spacing w:val="-58"/>
        </w:rPr>
        <w:t> </w:t>
      </w:r>
      <w:r>
        <w:rPr/>
        <w:t>元；（2014</w:t>
      </w:r>
      <w:r>
        <w:rPr>
          <w:spacing w:val="-61"/>
        </w:rPr>
        <w:t> </w:t>
      </w:r>
      <w:r>
        <w:rPr/>
        <w:t>年</w:t>
      </w:r>
      <w:r>
        <w:rPr>
          <w:spacing w:val="-58"/>
        </w:rPr>
        <w:t> </w:t>
      </w:r>
      <w:r>
        <w:rPr/>
        <w:t>12</w:t>
      </w:r>
      <w:r>
        <w:rPr>
          <w:spacing w:val="-9"/>
        </w:rPr>
        <w:t> </w:t>
      </w:r>
      <w:r>
        <w:rPr/>
        <w:t>月</w:t>
      </w:r>
      <w:r>
        <w:rPr>
          <w:spacing w:val="-58"/>
        </w:rPr>
        <w:t> </w:t>
      </w:r>
      <w:r>
        <w:rPr/>
        <w:t>31</w:t>
      </w:r>
      <w:r>
        <w:rPr>
          <w:spacing w:val="-6"/>
        </w:rPr>
        <w:t> </w:t>
      </w:r>
      <w:r>
        <w:rPr/>
        <w:t>日：折合人民币</w:t>
      </w:r>
      <w:r>
        <w:rPr>
          <w:spacing w:val="-61"/>
        </w:rPr>
        <w:t> </w:t>
      </w:r>
      <w:r>
        <w:rPr/>
        <w:t>35,851,371.79</w:t>
      </w:r>
      <w:r>
        <w:rPr>
          <w:spacing w:val="-58"/>
        </w:rPr>
        <w:t> </w:t>
      </w:r>
      <w:r>
        <w:rPr/>
        <w:t>元）。</w:t>
      </w:r>
    </w:p>
    <w:p>
      <w:pPr>
        <w:spacing w:after="0" w:line="300" w:lineRule="auto"/>
        <w:jc w:val="left"/>
        <w:sectPr>
          <w:pgSz w:w="11910" w:h="16840"/>
          <w:pgMar w:header="852" w:footer="873" w:top="1440" w:bottom="1060" w:left="1020" w:right="920"/>
        </w:sectPr>
      </w:pPr>
    </w:p>
    <w:p>
      <w:pPr>
        <w:spacing w:line="240" w:lineRule="auto" w:before="1"/>
        <w:rPr>
          <w:rFonts w:ascii="宋体" w:hAnsi="宋体" w:cs="宋体" w:eastAsia="宋体" w:hint="default"/>
          <w:sz w:val="18"/>
          <w:szCs w:val="18"/>
        </w:rPr>
      </w:pPr>
    </w:p>
    <w:p>
      <w:pPr>
        <w:pStyle w:val="BodyText"/>
        <w:spacing w:line="240" w:lineRule="auto"/>
        <w:ind w:left="516" w:right="4471"/>
        <w:jc w:val="left"/>
      </w:pPr>
      <w:r>
        <w:rPr/>
        <w:t>2.</w:t>
      </w:r>
      <w:r>
        <w:rPr>
          <w:spacing w:val="66"/>
        </w:rPr>
        <w:t> </w:t>
      </w:r>
      <w:r>
        <w:rPr/>
        <w:t>应收票据</w:t>
      </w:r>
    </w:p>
    <w:p>
      <w:pPr>
        <w:pStyle w:val="BodyText"/>
        <w:spacing w:line="240" w:lineRule="auto" w:before="192"/>
        <w:ind w:left="540" w:right="4471"/>
        <w:jc w:val="left"/>
      </w:pPr>
      <w:r>
        <w:rPr/>
        <w:t>（1）</w:t>
      </w:r>
      <w:r>
        <w:rPr>
          <w:spacing w:val="-92"/>
        </w:rPr>
        <w:t> </w:t>
      </w:r>
      <w:r>
        <w:rPr/>
        <w:t>应收票据种类</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3641"/>
        <w:gridCol w:w="2542"/>
        <w:gridCol w:w="2540"/>
      </w:tblGrid>
      <w:tr>
        <w:trPr>
          <w:trHeight w:val="415" w:hRule="exact"/>
        </w:trPr>
        <w:tc>
          <w:tcPr>
            <w:tcW w:w="36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2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82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228,552,377.98</w:t>
            </w:r>
          </w:p>
        </w:tc>
        <w:tc>
          <w:tcPr>
            <w:tcW w:w="2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238,984,844.05</w:t>
            </w:r>
          </w:p>
        </w:tc>
      </w:tr>
      <w:tr>
        <w:trPr>
          <w:trHeight w:val="402"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1,297,350.00</w:t>
            </w:r>
          </w:p>
        </w:tc>
        <w:tc>
          <w:tcPr>
            <w:tcW w:w="2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1,377,100.00</w:t>
            </w:r>
          </w:p>
        </w:tc>
      </w:tr>
      <w:tr>
        <w:trPr>
          <w:trHeight w:val="414" w:hRule="exact"/>
        </w:trPr>
        <w:tc>
          <w:tcPr>
            <w:tcW w:w="36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229,849,727.98</w:t>
            </w:r>
            <w:r>
              <w:rPr>
                <w:rFonts w:ascii="宋体"/>
                <w:spacing w:val="-1"/>
                <w:sz w:val="22"/>
              </w:rPr>
            </w:r>
          </w:p>
        </w:tc>
        <w:tc>
          <w:tcPr>
            <w:tcW w:w="25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240,361,944.05</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516" w:right="4471"/>
        <w:jc w:val="left"/>
      </w:pPr>
      <w:r>
        <w:rPr/>
        <w:t>（2）</w:t>
      </w:r>
      <w:r>
        <w:rPr>
          <w:spacing w:val="-72"/>
        </w:rPr>
        <w:t> </w:t>
      </w:r>
      <w:r>
        <w:rPr/>
        <w:t>年末已用于质押的应收票据</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6204"/>
        <w:gridCol w:w="2519"/>
      </w:tblGrid>
      <w:tr>
        <w:trPr>
          <w:trHeight w:val="415" w:hRule="exact"/>
        </w:trPr>
        <w:tc>
          <w:tcPr>
            <w:tcW w:w="62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85" w:right="0"/>
              <w:jc w:val="left"/>
              <w:rPr>
                <w:rFonts w:ascii="宋体" w:hAnsi="宋体" w:cs="宋体" w:eastAsia="宋体" w:hint="default"/>
                <w:sz w:val="22"/>
                <w:szCs w:val="22"/>
              </w:rPr>
            </w:pPr>
            <w:r>
              <w:rPr>
                <w:rFonts w:ascii="宋体" w:hAnsi="宋体" w:cs="宋体" w:eastAsia="宋体" w:hint="default"/>
                <w:b/>
                <w:bCs/>
                <w:sz w:val="22"/>
                <w:szCs w:val="22"/>
              </w:rPr>
              <w:t>年末已质押金额</w:t>
            </w:r>
            <w:r>
              <w:rPr>
                <w:rFonts w:ascii="宋体" w:hAnsi="宋体" w:cs="宋体" w:eastAsia="宋体" w:hint="default"/>
                <w:sz w:val="22"/>
                <w:szCs w:val="22"/>
              </w:rPr>
            </w:r>
          </w:p>
        </w:tc>
      </w:tr>
      <w:tr>
        <w:trPr>
          <w:trHeight w:val="402" w:hRule="exact"/>
        </w:trPr>
        <w:tc>
          <w:tcPr>
            <w:tcW w:w="62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24,353,757.54</w:t>
            </w:r>
          </w:p>
        </w:tc>
      </w:tr>
      <w:tr>
        <w:trPr>
          <w:trHeight w:val="414" w:hRule="exact"/>
        </w:trPr>
        <w:tc>
          <w:tcPr>
            <w:tcW w:w="62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24,353,757.54</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516" w:right="110"/>
        <w:jc w:val="left"/>
      </w:pPr>
      <w:r>
        <w:rPr>
          <w:spacing w:val="-1"/>
        </w:rPr>
        <w:t>（3）</w:t>
      </w:r>
      <w:r>
        <w:rPr>
          <w:spacing w:val="-25"/>
        </w:rPr>
        <w:t> </w:t>
      </w:r>
      <w:r>
        <w:rPr>
          <w:spacing w:val="-2"/>
        </w:rPr>
        <w:t>年末已经背书或贴现且在资产负债表日尚未到期的应收票据</w:t>
      </w:r>
    </w:p>
    <w:p>
      <w:pPr>
        <w:spacing w:line="240" w:lineRule="auto" w:before="2"/>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3651"/>
        <w:gridCol w:w="2537"/>
        <w:gridCol w:w="2535"/>
      </w:tblGrid>
      <w:tr>
        <w:trPr>
          <w:trHeight w:val="415" w:hRule="exact"/>
        </w:trPr>
        <w:tc>
          <w:tcPr>
            <w:tcW w:w="3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386" w:right="0"/>
              <w:jc w:val="left"/>
              <w:rPr>
                <w:rFonts w:ascii="宋体" w:hAnsi="宋体" w:cs="宋体" w:eastAsia="宋体" w:hint="default"/>
                <w:sz w:val="22"/>
                <w:szCs w:val="22"/>
              </w:rPr>
            </w:pPr>
            <w:r>
              <w:rPr>
                <w:rFonts w:ascii="宋体" w:hAnsi="宋体" w:cs="宋体" w:eastAsia="宋体" w:hint="default"/>
                <w:b/>
                <w:bCs/>
                <w:sz w:val="22"/>
                <w:szCs w:val="22"/>
              </w:rPr>
              <w:t>年末终止确认金额</w:t>
            </w:r>
            <w:r>
              <w:rPr>
                <w:rFonts w:ascii="宋体" w:hAnsi="宋体" w:cs="宋体" w:eastAsia="宋体" w:hint="default"/>
                <w:sz w:val="22"/>
                <w:szCs w:val="22"/>
              </w:rPr>
            </w:r>
          </w:p>
        </w:tc>
        <w:tc>
          <w:tcPr>
            <w:tcW w:w="25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273" w:right="0"/>
              <w:jc w:val="left"/>
              <w:rPr>
                <w:rFonts w:ascii="宋体" w:hAnsi="宋体" w:cs="宋体" w:eastAsia="宋体" w:hint="default"/>
                <w:sz w:val="22"/>
                <w:szCs w:val="22"/>
              </w:rPr>
            </w:pPr>
            <w:r>
              <w:rPr>
                <w:rFonts w:ascii="宋体" w:hAnsi="宋体" w:cs="宋体" w:eastAsia="宋体" w:hint="default"/>
                <w:b/>
                <w:bCs/>
                <w:sz w:val="22"/>
                <w:szCs w:val="22"/>
              </w:rPr>
              <w:t>年末未终止确认金额</w:t>
            </w:r>
            <w:r>
              <w:rPr>
                <w:rFonts w:ascii="宋体" w:hAnsi="宋体" w:cs="宋体" w:eastAsia="宋体" w:hint="default"/>
                <w:sz w:val="22"/>
                <w:szCs w:val="22"/>
              </w:rPr>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814,862,242.31</w:t>
            </w:r>
          </w:p>
        </w:tc>
        <w:tc>
          <w:tcPr>
            <w:tcW w:w="2535"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814,862,242.31</w:t>
            </w:r>
            <w:r>
              <w:rPr>
                <w:rFonts w:ascii="宋体"/>
                <w:spacing w:val="-1"/>
                <w:sz w:val="22"/>
              </w:rPr>
            </w:r>
          </w:p>
        </w:tc>
        <w:tc>
          <w:tcPr>
            <w:tcW w:w="253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516" w:right="110"/>
        <w:jc w:val="left"/>
      </w:pPr>
      <w:r>
        <w:rPr>
          <w:spacing w:val="-1"/>
        </w:rPr>
        <w:t>（4）</w:t>
      </w:r>
      <w:r>
        <w:rPr>
          <w:spacing w:val="-31"/>
        </w:rPr>
        <w:t> </w:t>
      </w:r>
      <w:r>
        <w:rPr>
          <w:spacing w:val="-2"/>
        </w:rPr>
        <w:t>期末公司因出票人未履约而将其转应收账款的票据</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3651"/>
        <w:gridCol w:w="2537"/>
        <w:gridCol w:w="2535"/>
      </w:tblGrid>
      <w:tr>
        <w:trPr>
          <w:trHeight w:val="415" w:hRule="exact"/>
        </w:trPr>
        <w:tc>
          <w:tcPr>
            <w:tcW w:w="3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386" w:right="0"/>
              <w:jc w:val="left"/>
              <w:rPr>
                <w:rFonts w:ascii="宋体" w:hAnsi="宋体" w:cs="宋体" w:eastAsia="宋体" w:hint="default"/>
                <w:sz w:val="22"/>
                <w:szCs w:val="22"/>
              </w:rPr>
            </w:pPr>
            <w:r>
              <w:rPr>
                <w:rFonts w:ascii="宋体" w:hAnsi="宋体" w:cs="宋体" w:eastAsia="宋体" w:hint="default"/>
                <w:b/>
                <w:bCs/>
                <w:sz w:val="22"/>
                <w:szCs w:val="22"/>
              </w:rPr>
              <w:t>年末终止确认金额</w:t>
            </w:r>
            <w:r>
              <w:rPr>
                <w:rFonts w:ascii="宋体" w:hAnsi="宋体" w:cs="宋体" w:eastAsia="宋体" w:hint="default"/>
                <w:sz w:val="22"/>
                <w:szCs w:val="22"/>
              </w:rPr>
            </w:r>
          </w:p>
        </w:tc>
        <w:tc>
          <w:tcPr>
            <w:tcW w:w="25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273" w:right="0"/>
              <w:jc w:val="left"/>
              <w:rPr>
                <w:rFonts w:ascii="宋体" w:hAnsi="宋体" w:cs="宋体" w:eastAsia="宋体" w:hint="default"/>
                <w:sz w:val="22"/>
                <w:szCs w:val="22"/>
              </w:rPr>
            </w:pPr>
            <w:r>
              <w:rPr>
                <w:rFonts w:ascii="宋体" w:hAnsi="宋体" w:cs="宋体" w:eastAsia="宋体" w:hint="default"/>
                <w:b/>
                <w:bCs/>
                <w:sz w:val="22"/>
                <w:szCs w:val="22"/>
              </w:rPr>
              <w:t>年末未终止确认金额</w:t>
            </w:r>
            <w:r>
              <w:rPr>
                <w:rFonts w:ascii="宋体" w:hAnsi="宋体" w:cs="宋体" w:eastAsia="宋体" w:hint="default"/>
                <w:sz w:val="22"/>
                <w:szCs w:val="22"/>
              </w:rPr>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商业承兑票据</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269,542.75</w:t>
            </w:r>
          </w:p>
        </w:tc>
        <w:tc>
          <w:tcPr>
            <w:tcW w:w="2535"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269,542.75</w:t>
            </w:r>
            <w:r>
              <w:rPr>
                <w:rFonts w:ascii="宋体"/>
                <w:spacing w:val="-1"/>
                <w:sz w:val="22"/>
              </w:rPr>
            </w:r>
          </w:p>
        </w:tc>
        <w:tc>
          <w:tcPr>
            <w:tcW w:w="253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9"/>
          <w:szCs w:val="9"/>
        </w:rPr>
      </w:pPr>
    </w:p>
    <w:p>
      <w:pPr>
        <w:pStyle w:val="BodyText"/>
        <w:spacing w:line="240" w:lineRule="auto"/>
        <w:ind w:left="516" w:right="4471"/>
        <w:jc w:val="left"/>
      </w:pPr>
      <w:r>
        <w:rPr/>
        <w:t>3.</w:t>
      </w:r>
      <w:r>
        <w:rPr>
          <w:spacing w:val="66"/>
        </w:rPr>
        <w:t> </w:t>
      </w:r>
      <w:r>
        <w:rPr/>
        <w:t>应收账款</w:t>
      </w:r>
    </w:p>
    <w:p>
      <w:pPr>
        <w:pStyle w:val="BodyText"/>
        <w:spacing w:line="240" w:lineRule="auto" w:before="192"/>
        <w:ind w:left="540" w:right="4471"/>
        <w:jc w:val="left"/>
      </w:pPr>
      <w:r>
        <w:rPr/>
        <w:t>（1）</w:t>
      </w:r>
      <w:r>
        <w:rPr>
          <w:spacing w:val="-92"/>
        </w:rPr>
        <w:t> </w:t>
      </w:r>
      <w:r>
        <w:rPr/>
        <w:t>应收账款分类</w:t>
      </w:r>
    </w:p>
    <w:p>
      <w:pPr>
        <w:spacing w:line="240" w:lineRule="auto" w:before="2"/>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2379"/>
        <w:gridCol w:w="1644"/>
        <w:gridCol w:w="808"/>
        <w:gridCol w:w="1364"/>
        <w:gridCol w:w="865"/>
        <w:gridCol w:w="1663"/>
      </w:tblGrid>
      <w:tr>
        <w:trPr>
          <w:trHeight w:val="425" w:hRule="exact"/>
        </w:trPr>
        <w:tc>
          <w:tcPr>
            <w:tcW w:w="2379"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44"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379" w:type="dxa"/>
            <w:vMerge/>
            <w:tcBorders>
              <w:left w:val="nil" w:sz="6" w:space="0" w:color="auto"/>
              <w:right w:val="single" w:sz="4" w:space="0" w:color="000000"/>
            </w:tcBorders>
          </w:tcPr>
          <w:p>
            <w:pPr/>
          </w:p>
        </w:tc>
        <w:tc>
          <w:tcPr>
            <w:tcW w:w="2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63"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379" w:type="dxa"/>
            <w:vMerge/>
            <w:tcBorders>
              <w:left w:val="nil" w:sz="6" w:space="0" w:color="auto"/>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8"/>
              <w:ind w:left="263" w:right="218"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8"/>
              <w:ind w:left="201" w:right="155" w:hanging="46"/>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663" w:type="dxa"/>
            <w:vMerge/>
            <w:tcBorders>
              <w:left w:val="single" w:sz="4" w:space="0" w:color="000000"/>
              <w:bottom w:val="single" w:sz="4" w:space="0" w:color="000000"/>
              <w:right w:val="nil" w:sz="6" w:space="0" w:color="auto"/>
            </w:tcBorders>
          </w:tcPr>
          <w:p>
            <w:pPr/>
          </w:p>
        </w:tc>
      </w:tr>
      <w:tr>
        <w:trPr>
          <w:trHeight w:val="557"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5"/>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账准备的应收账款</w:t>
            </w:r>
          </w:p>
        </w:tc>
        <w:tc>
          <w:tcPr>
            <w:tcW w:w="164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5"/>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账准备的应收账款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1" w:right="0"/>
              <w:jc w:val="center"/>
              <w:rPr>
                <w:rFonts w:ascii="宋体" w:hAnsi="宋体" w:cs="宋体" w:eastAsia="宋体" w:hint="default"/>
                <w:sz w:val="18"/>
                <w:szCs w:val="18"/>
              </w:rPr>
            </w:pPr>
            <w:r>
              <w:rPr>
                <w:rFonts w:ascii="宋体"/>
                <w:sz w:val="18"/>
              </w:rPr>
              <w:t>2,119,705,914.45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3"/>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 w:right="0"/>
              <w:jc w:val="center"/>
              <w:rPr>
                <w:rFonts w:ascii="宋体" w:hAnsi="宋体" w:cs="宋体" w:eastAsia="宋体" w:hint="default"/>
                <w:sz w:val="18"/>
                <w:szCs w:val="18"/>
              </w:rPr>
            </w:pPr>
            <w:r>
              <w:rPr>
                <w:rFonts w:ascii="宋体"/>
                <w:sz w:val="18"/>
              </w:rPr>
              <w:t>82,013,090.19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5"/>
              <w:jc w:val="right"/>
              <w:rPr>
                <w:rFonts w:ascii="宋体" w:hAnsi="宋体" w:cs="宋体" w:eastAsia="宋体" w:hint="default"/>
                <w:sz w:val="18"/>
                <w:szCs w:val="18"/>
              </w:rPr>
            </w:pPr>
            <w:r>
              <w:rPr>
                <w:rFonts w:ascii="宋体"/>
                <w:sz w:val="18"/>
              </w:rPr>
              <w:t>3.87</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9"/>
              <w:jc w:val="right"/>
              <w:rPr>
                <w:rFonts w:ascii="宋体" w:hAnsi="宋体" w:cs="宋体" w:eastAsia="宋体" w:hint="default"/>
                <w:sz w:val="18"/>
                <w:szCs w:val="18"/>
              </w:rPr>
            </w:pPr>
            <w:r>
              <w:rPr>
                <w:rFonts w:ascii="宋体"/>
                <w:spacing w:val="-1"/>
                <w:sz w:val="18"/>
              </w:rPr>
              <w:t>2,037,692,824.26</w:t>
            </w:r>
          </w:p>
        </w:tc>
      </w:tr>
      <w:tr>
        <w:trPr>
          <w:trHeight w:val="557"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4"/>
              <w:ind w:left="72" w:right="65"/>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提坏账准备的应收账款</w:t>
            </w:r>
          </w:p>
        </w:tc>
        <w:tc>
          <w:tcPr>
            <w:tcW w:w="164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237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73" w:right="0"/>
              <w:jc w:val="center"/>
              <w:rPr>
                <w:rFonts w:ascii="宋体" w:hAnsi="宋体" w:cs="宋体" w:eastAsia="宋体" w:hint="default"/>
                <w:sz w:val="18"/>
                <w:szCs w:val="18"/>
              </w:rPr>
            </w:pPr>
            <w:r>
              <w:rPr>
                <w:rFonts w:ascii="宋体"/>
                <w:b/>
                <w:sz w:val="18"/>
              </w:rPr>
              <w:t>2,119,705,914.45</w:t>
            </w:r>
            <w:r>
              <w:rPr>
                <w:rFonts w:ascii="宋体"/>
                <w:sz w:val="18"/>
              </w:rPr>
            </w:r>
          </w:p>
        </w:tc>
        <w:tc>
          <w:tcPr>
            <w:tcW w:w="8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58"/>
              <w:jc w:val="right"/>
              <w:rPr>
                <w:rFonts w:ascii="宋体" w:hAnsi="宋体" w:cs="宋体" w:eastAsia="宋体" w:hint="default"/>
                <w:sz w:val="18"/>
                <w:szCs w:val="18"/>
              </w:rPr>
            </w:pPr>
            <w:r>
              <w:rPr>
                <w:rFonts w:ascii="宋体"/>
                <w:b/>
                <w:sz w:val="18"/>
              </w:rPr>
              <w:t>100.00</w:t>
            </w:r>
            <w:r>
              <w:rPr>
                <w:rFonts w:ascii="宋体"/>
                <w:sz w:val="18"/>
              </w:rPr>
            </w:r>
          </w:p>
        </w:tc>
        <w:tc>
          <w:tcPr>
            <w:tcW w:w="13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59" w:right="0"/>
              <w:jc w:val="center"/>
              <w:rPr>
                <w:rFonts w:ascii="宋体" w:hAnsi="宋体" w:cs="宋体" w:eastAsia="宋体" w:hint="default"/>
                <w:sz w:val="18"/>
                <w:szCs w:val="18"/>
              </w:rPr>
            </w:pPr>
            <w:r>
              <w:rPr>
                <w:rFonts w:ascii="宋体"/>
                <w:b/>
                <w:sz w:val="18"/>
              </w:rPr>
              <w:t>82,013,090.19</w:t>
            </w:r>
            <w:r>
              <w:rPr>
                <w:rFonts w:ascii="宋体"/>
                <w:sz w:val="18"/>
              </w:rPr>
            </w:r>
          </w:p>
        </w:tc>
        <w:tc>
          <w:tcPr>
            <w:tcW w:w="8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62"/>
              <w:jc w:val="right"/>
              <w:rPr>
                <w:rFonts w:ascii="宋体" w:hAnsi="宋体" w:cs="宋体" w:eastAsia="宋体" w:hint="default"/>
                <w:sz w:val="18"/>
                <w:szCs w:val="18"/>
              </w:rPr>
            </w:pPr>
            <w:r>
              <w:rPr>
                <w:rFonts w:ascii="宋体"/>
                <w:b/>
                <w:sz w:val="18"/>
              </w:rPr>
              <w:t>3.87</w:t>
            </w:r>
            <w:r>
              <w:rPr>
                <w:rFonts w:ascii="宋体"/>
                <w:sz w:val="18"/>
              </w:rPr>
            </w:r>
          </w:p>
        </w:tc>
        <w:tc>
          <w:tcPr>
            <w:tcW w:w="166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b/>
                <w:w w:val="95"/>
                <w:sz w:val="18"/>
              </w:rPr>
              <w:t>2,037,692,824.26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52" w:footer="873" w:top="1440" w:bottom="1060" w:left="1020" w:right="1020"/>
        </w:sectPr>
      </w:pPr>
    </w:p>
    <w:p>
      <w:pPr>
        <w:spacing w:line="240" w:lineRule="auto" w:before="1"/>
        <w:rPr>
          <w:rFonts w:ascii="宋体" w:hAnsi="宋体" w:cs="宋体" w:eastAsia="宋体" w:hint="default"/>
          <w:sz w:val="18"/>
          <w:szCs w:val="18"/>
        </w:rPr>
      </w:pPr>
    </w:p>
    <w:p>
      <w:pPr>
        <w:pStyle w:val="BodyText"/>
        <w:spacing w:line="240" w:lineRule="auto"/>
        <w:ind w:left="554" w:right="4471"/>
        <w:jc w:val="left"/>
      </w:pPr>
      <w:r>
        <w:rPr/>
        <w:t>(续表)</w:t>
      </w:r>
    </w:p>
    <w:p>
      <w:pPr>
        <w:spacing w:line="240" w:lineRule="auto" w:before="4"/>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2393"/>
        <w:gridCol w:w="1634"/>
        <w:gridCol w:w="808"/>
        <w:gridCol w:w="1361"/>
        <w:gridCol w:w="849"/>
        <w:gridCol w:w="1678"/>
      </w:tblGrid>
      <w:tr>
        <w:trPr>
          <w:trHeight w:val="425" w:hRule="exact"/>
        </w:trPr>
        <w:tc>
          <w:tcPr>
            <w:tcW w:w="2393"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3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393" w:type="dxa"/>
            <w:vMerge/>
            <w:tcBorders>
              <w:left w:val="nil" w:sz="6" w:space="0" w:color="auto"/>
              <w:right w:val="single" w:sz="4" w:space="0" w:color="000000"/>
            </w:tcBorders>
          </w:tcPr>
          <w:p>
            <w:pP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78"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393" w:type="dxa"/>
            <w:vMerge/>
            <w:tcBorders>
              <w:left w:val="nil" w:sz="6" w:space="0" w:color="auto"/>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64" w:right="21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93" w:right="144" w:hanging="44"/>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678" w:type="dxa"/>
            <w:vMerge/>
            <w:tcBorders>
              <w:left w:val="single" w:sz="4" w:space="0" w:color="000000"/>
              <w:bottom w:val="single" w:sz="4" w:space="0" w:color="000000"/>
              <w:right w:val="nil" w:sz="6" w:space="0" w:color="auto"/>
            </w:tcBorders>
          </w:tcPr>
          <w:p>
            <w:pPr/>
          </w:p>
        </w:tc>
      </w:tr>
      <w:tr>
        <w:trPr>
          <w:trHeight w:val="557"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4"/>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w:t>
            </w:r>
            <w:r>
              <w:rPr>
                <w:rFonts w:ascii="宋体" w:hAnsi="宋体" w:cs="宋体" w:eastAsia="宋体" w:hint="default"/>
                <w:sz w:val="18"/>
                <w:szCs w:val="18"/>
              </w:rPr>
              <w:t> 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4"/>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按信用风险特征组合计提坏</w:t>
            </w:r>
            <w:r>
              <w:rPr>
                <w:rFonts w:ascii="宋体" w:hAnsi="宋体" w:cs="宋体" w:eastAsia="宋体" w:hint="default"/>
                <w:sz w:val="18"/>
                <w:szCs w:val="18"/>
              </w:rPr>
              <w:t> 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 w:right="0"/>
              <w:jc w:val="center"/>
              <w:rPr>
                <w:rFonts w:ascii="宋体" w:hAnsi="宋体" w:cs="宋体" w:eastAsia="宋体" w:hint="default"/>
                <w:sz w:val="18"/>
                <w:szCs w:val="18"/>
              </w:rPr>
            </w:pPr>
            <w:r>
              <w:rPr>
                <w:rFonts w:ascii="宋体"/>
                <w:sz w:val="18"/>
              </w:rPr>
              <w:t>2,036,444,328.84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4"/>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7" w:right="0"/>
              <w:jc w:val="center"/>
              <w:rPr>
                <w:rFonts w:ascii="宋体" w:hAnsi="宋体" w:cs="宋体" w:eastAsia="宋体" w:hint="default"/>
                <w:sz w:val="18"/>
                <w:szCs w:val="18"/>
              </w:rPr>
            </w:pPr>
            <w:r>
              <w:rPr>
                <w:rFonts w:ascii="宋体"/>
                <w:sz w:val="18"/>
              </w:rPr>
              <w:t>77,996,018.37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4"/>
              <w:jc w:val="right"/>
              <w:rPr>
                <w:rFonts w:ascii="宋体" w:hAnsi="宋体" w:cs="宋体" w:eastAsia="宋体" w:hint="default"/>
                <w:sz w:val="18"/>
                <w:szCs w:val="18"/>
              </w:rPr>
            </w:pPr>
            <w:r>
              <w:rPr>
                <w:rFonts w:ascii="宋体"/>
                <w:sz w:val="18"/>
              </w:rPr>
              <w:t>3.83</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69"/>
              <w:jc w:val="right"/>
              <w:rPr>
                <w:rFonts w:ascii="宋体" w:hAnsi="宋体" w:cs="宋体" w:eastAsia="宋体" w:hint="default"/>
                <w:sz w:val="18"/>
                <w:szCs w:val="18"/>
              </w:rPr>
            </w:pPr>
            <w:r>
              <w:rPr>
                <w:rFonts w:ascii="宋体"/>
                <w:spacing w:val="-1"/>
                <w:sz w:val="18"/>
              </w:rPr>
              <w:t>1,958,448,310.47</w:t>
            </w:r>
          </w:p>
        </w:tc>
      </w:tr>
      <w:tr>
        <w:trPr>
          <w:trHeight w:val="557"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4"/>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w:t>
            </w:r>
            <w:r>
              <w:rPr>
                <w:rFonts w:ascii="宋体" w:hAnsi="宋体" w:cs="宋体" w:eastAsia="宋体" w:hint="default"/>
                <w:sz w:val="18"/>
                <w:szCs w:val="18"/>
              </w:rPr>
              <w:t> 提坏账准备的应收账款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239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b/>
                <w:sz w:val="18"/>
              </w:rPr>
              <w:t>2,036,444,328.84</w:t>
            </w:r>
            <w:r>
              <w:rPr>
                <w:rFonts w:ascii="宋体"/>
                <w:sz w:val="18"/>
              </w:rPr>
            </w:r>
          </w:p>
        </w:tc>
        <w:tc>
          <w:tcPr>
            <w:tcW w:w="8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60"/>
              <w:jc w:val="right"/>
              <w:rPr>
                <w:rFonts w:ascii="宋体" w:hAnsi="宋体" w:cs="宋体" w:eastAsia="宋体" w:hint="default"/>
                <w:sz w:val="18"/>
                <w:szCs w:val="18"/>
              </w:rPr>
            </w:pPr>
            <w:r>
              <w:rPr>
                <w:rFonts w:ascii="宋体"/>
                <w:b/>
                <w:sz w:val="18"/>
              </w:rPr>
              <w:t>100.00</w:t>
            </w:r>
            <w:r>
              <w:rPr>
                <w:rFonts w:ascii="宋体"/>
                <w:sz w:val="18"/>
              </w:rPr>
            </w:r>
          </w:p>
        </w:tc>
        <w:tc>
          <w:tcPr>
            <w:tcW w:w="13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b/>
                <w:sz w:val="18"/>
              </w:rPr>
              <w:t>77,996,018.37</w:t>
            </w:r>
            <w:r>
              <w:rPr>
                <w:rFonts w:ascii="宋体"/>
                <w:sz w:val="18"/>
              </w:rPr>
            </w:r>
          </w:p>
        </w:tc>
        <w:tc>
          <w:tcPr>
            <w:tcW w:w="8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62"/>
              <w:jc w:val="right"/>
              <w:rPr>
                <w:rFonts w:ascii="宋体" w:hAnsi="宋体" w:cs="宋体" w:eastAsia="宋体" w:hint="default"/>
                <w:sz w:val="18"/>
                <w:szCs w:val="18"/>
              </w:rPr>
            </w:pPr>
            <w:r>
              <w:rPr>
                <w:rFonts w:ascii="宋体"/>
                <w:b/>
                <w:sz w:val="18"/>
              </w:rPr>
              <w:t>3.83</w:t>
            </w:r>
            <w:r>
              <w:rPr>
                <w:rFonts w:ascii="宋体"/>
                <w:sz w:val="18"/>
              </w:rPr>
            </w:r>
          </w:p>
        </w:tc>
        <w:tc>
          <w:tcPr>
            <w:tcW w:w="167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57"/>
              <w:jc w:val="right"/>
              <w:rPr>
                <w:rFonts w:ascii="宋体" w:hAnsi="宋体" w:cs="宋体" w:eastAsia="宋体" w:hint="default"/>
                <w:sz w:val="18"/>
                <w:szCs w:val="18"/>
              </w:rPr>
            </w:pPr>
            <w:r>
              <w:rPr>
                <w:rFonts w:ascii="宋体"/>
                <w:b/>
                <w:w w:val="95"/>
                <w:sz w:val="18"/>
              </w:rPr>
              <w:t>1,958,448,310.47</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ind w:left="532" w:right="110"/>
        <w:jc w:val="left"/>
      </w:pPr>
      <w:r>
        <w:rPr/>
        <w:t>1）</w:t>
      </w:r>
      <w:r>
        <w:rPr>
          <w:spacing w:val="-35"/>
        </w:rPr>
        <w:t> </w:t>
      </w:r>
      <w:r>
        <w:rPr/>
        <w:t>组合中，按账龄分析法计提坏账准备的应收账款</w:t>
      </w:r>
    </w:p>
    <w:p>
      <w:pPr>
        <w:spacing w:line="240" w:lineRule="auto" w:before="5"/>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2380"/>
        <w:gridCol w:w="2264"/>
        <w:gridCol w:w="2123"/>
        <w:gridCol w:w="1956"/>
      </w:tblGrid>
      <w:tr>
        <w:trPr>
          <w:trHeight w:val="417" w:hRule="exact"/>
        </w:trPr>
        <w:tc>
          <w:tcPr>
            <w:tcW w:w="2380"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34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380" w:type="dxa"/>
            <w:vMerge/>
            <w:tcBorders>
              <w:left w:val="nil" w:sz="6" w:space="0" w:color="auto"/>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87"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1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368"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1,807,933,136.21</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78" w:right="0"/>
              <w:jc w:val="left"/>
              <w:rPr>
                <w:rFonts w:ascii="宋体" w:hAnsi="宋体" w:cs="宋体" w:eastAsia="宋体" w:hint="default"/>
                <w:sz w:val="22"/>
                <w:szCs w:val="22"/>
              </w:rPr>
            </w:pPr>
            <w:r>
              <w:rPr>
                <w:rFonts w:ascii="宋体"/>
                <w:sz w:val="22"/>
              </w:rPr>
              <w:t>18,079,331.35</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1.00</w:t>
            </w:r>
          </w:p>
        </w:tc>
      </w:tr>
      <w:tr>
        <w:trPr>
          <w:trHeight w:val="407"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238,796,347.14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8" w:right="0"/>
              <w:jc w:val="left"/>
              <w:rPr>
                <w:rFonts w:ascii="宋体" w:hAnsi="宋体" w:cs="宋体" w:eastAsia="宋体" w:hint="default"/>
                <w:sz w:val="22"/>
                <w:szCs w:val="22"/>
              </w:rPr>
            </w:pPr>
            <w:r>
              <w:rPr>
                <w:rFonts w:ascii="宋体"/>
                <w:sz w:val="22"/>
              </w:rPr>
              <w:t>23,879,634.71</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10.00</w:t>
            </w:r>
          </w:p>
        </w:tc>
      </w:tr>
      <w:tr>
        <w:trPr>
          <w:trHeight w:val="407"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45,690,689.73</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78" w:right="0"/>
              <w:jc w:val="left"/>
              <w:rPr>
                <w:rFonts w:ascii="宋体" w:hAnsi="宋体" w:cs="宋体" w:eastAsia="宋体" w:hint="default"/>
                <w:sz w:val="22"/>
                <w:szCs w:val="22"/>
              </w:rPr>
            </w:pPr>
            <w:r>
              <w:rPr>
                <w:rFonts w:ascii="宋体"/>
                <w:sz w:val="22"/>
              </w:rPr>
              <w:t>13,707,206.92</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30.00</w:t>
            </w:r>
          </w:p>
        </w:tc>
      </w:tr>
      <w:tr>
        <w:trPr>
          <w:trHeight w:val="407"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26,346,917.20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8" w:right="0"/>
              <w:jc w:val="left"/>
              <w:rPr>
                <w:rFonts w:ascii="宋体" w:hAnsi="宋体" w:cs="宋体" w:eastAsia="宋体" w:hint="default"/>
                <w:sz w:val="22"/>
                <w:szCs w:val="22"/>
              </w:rPr>
            </w:pPr>
            <w:r>
              <w:rPr>
                <w:rFonts w:ascii="宋体"/>
                <w:sz w:val="22"/>
              </w:rPr>
              <w:t>26,346,917.21</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100.00</w:t>
            </w:r>
          </w:p>
        </w:tc>
      </w:tr>
      <w:tr>
        <w:trPr>
          <w:trHeight w:val="417" w:hRule="exact"/>
        </w:trPr>
        <w:tc>
          <w:tcPr>
            <w:tcW w:w="23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52"/>
              <w:jc w:val="right"/>
              <w:rPr>
                <w:rFonts w:ascii="宋体" w:hAnsi="宋体" w:cs="宋体" w:eastAsia="宋体" w:hint="default"/>
                <w:sz w:val="22"/>
                <w:szCs w:val="22"/>
              </w:rPr>
            </w:pPr>
            <w:r>
              <w:rPr>
                <w:rFonts w:ascii="宋体"/>
                <w:b/>
                <w:spacing w:val="-1"/>
                <w:sz w:val="22"/>
              </w:rPr>
              <w:t>2,118,767,090.28</w:t>
            </w:r>
            <w:r>
              <w:rPr>
                <w:rFonts w:ascii="宋体"/>
                <w:spacing w:val="-1"/>
                <w:sz w:val="22"/>
              </w:rPr>
            </w:r>
          </w:p>
        </w:tc>
        <w:tc>
          <w:tcPr>
            <w:tcW w:w="2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615" w:right="0"/>
              <w:jc w:val="left"/>
              <w:rPr>
                <w:rFonts w:ascii="宋体" w:hAnsi="宋体" w:cs="宋体" w:eastAsia="宋体" w:hint="default"/>
                <w:sz w:val="22"/>
                <w:szCs w:val="22"/>
              </w:rPr>
            </w:pPr>
            <w:r>
              <w:rPr>
                <w:rFonts w:ascii="宋体"/>
                <w:b/>
                <w:sz w:val="22"/>
              </w:rPr>
              <w:t>82,013,090.19</w:t>
            </w:r>
            <w:r>
              <w:rPr>
                <w:rFonts w:ascii="宋体"/>
                <w:sz w:val="22"/>
              </w:rPr>
            </w:r>
          </w:p>
        </w:tc>
        <w:tc>
          <w:tcPr>
            <w:tcW w:w="19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68"/>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400" w:lineRule="auto"/>
        <w:ind w:left="532" w:right="3359"/>
        <w:jc w:val="left"/>
      </w:pPr>
      <w:r>
        <w:rPr>
          <w:spacing w:val="-2"/>
        </w:rPr>
        <w:t>注：该组合系以应收款项的账龄为信用风险特征划分组合。</w:t>
      </w:r>
      <w:r>
        <w:rPr>
          <w:spacing w:val="-73"/>
        </w:rPr>
        <w:t> </w:t>
      </w:r>
      <w:r>
        <w:rPr>
          <w:spacing w:val="-73"/>
        </w:rPr>
      </w:r>
      <w:r>
        <w:rPr/>
        <w:t>2）</w:t>
      </w:r>
      <w:r>
        <w:rPr>
          <w:spacing w:val="-35"/>
        </w:rPr>
        <w:t> </w:t>
      </w:r>
      <w:r>
        <w:rPr/>
        <w:t>组合中，采用其他方法计提坏账准备的应收账款</w:t>
      </w:r>
    </w:p>
    <w:tbl>
      <w:tblPr>
        <w:tblW w:w="0" w:type="auto"/>
        <w:jc w:val="left"/>
        <w:tblInd w:w="558" w:type="dxa"/>
        <w:tblLayout w:type="fixed"/>
        <w:tblCellMar>
          <w:top w:w="0" w:type="dxa"/>
          <w:left w:w="0" w:type="dxa"/>
          <w:bottom w:w="0" w:type="dxa"/>
          <w:right w:w="0" w:type="dxa"/>
        </w:tblCellMar>
        <w:tblLook w:val="01E0"/>
      </w:tblPr>
      <w:tblGrid>
        <w:gridCol w:w="2912"/>
        <w:gridCol w:w="2029"/>
        <w:gridCol w:w="1884"/>
        <w:gridCol w:w="1898"/>
      </w:tblGrid>
      <w:tr>
        <w:trPr>
          <w:trHeight w:val="417" w:hRule="exact"/>
        </w:trPr>
        <w:tc>
          <w:tcPr>
            <w:tcW w:w="291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12" w:type="dxa"/>
            <w:vMerge/>
            <w:tcBorders>
              <w:left w:val="nil" w:sz="6" w:space="0" w:color="auto"/>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68"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938,824.17</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0.00</w:t>
            </w:r>
          </w:p>
        </w:tc>
      </w:tr>
      <w:tr>
        <w:trPr>
          <w:trHeight w:val="417" w:hRule="exact"/>
        </w:trPr>
        <w:tc>
          <w:tcPr>
            <w:tcW w:w="29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938,824.17</w:t>
            </w:r>
          </w:p>
        </w:tc>
        <w:tc>
          <w:tcPr>
            <w:tcW w:w="1884"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2"/>
        <w:rPr>
          <w:rFonts w:ascii="宋体" w:hAnsi="宋体" w:cs="宋体" w:eastAsia="宋体" w:hint="default"/>
          <w:sz w:val="10"/>
          <w:szCs w:val="10"/>
        </w:rPr>
      </w:pPr>
    </w:p>
    <w:p>
      <w:pPr>
        <w:pStyle w:val="BodyText"/>
        <w:spacing w:line="300" w:lineRule="auto"/>
        <w:ind w:right="110" w:firstLine="420"/>
        <w:jc w:val="left"/>
      </w:pPr>
      <w:r>
        <w:rPr>
          <w:spacing w:val="-3"/>
        </w:rPr>
        <w:t>注：关联方组合系以应收款项交易对象为信用风险特征划分组合。本公司应收关联方账款列入本</w:t>
      </w:r>
      <w:r>
        <w:rPr>
          <w:w w:val="100"/>
        </w:rPr>
        <w:t> </w:t>
      </w:r>
      <w:r>
        <w:rPr/>
        <w:t>组合。</w:t>
      </w:r>
    </w:p>
    <w:p>
      <w:pPr>
        <w:pStyle w:val="BodyText"/>
        <w:spacing w:line="240" w:lineRule="auto" w:before="137"/>
        <w:ind w:left="540" w:right="110"/>
        <w:jc w:val="left"/>
      </w:pPr>
      <w:r>
        <w:rPr>
          <w:spacing w:val="-2"/>
        </w:rPr>
        <w:t>（2）</w:t>
      </w:r>
      <w:r>
        <w:rPr>
          <w:spacing w:val="-54"/>
        </w:rPr>
        <w:t> </w:t>
      </w:r>
      <w:r>
        <w:rPr>
          <w:spacing w:val="-2"/>
        </w:rPr>
        <w:t>本年度计提、转回（或收回）的坏账准备情况</w:t>
      </w:r>
    </w:p>
    <w:p>
      <w:pPr>
        <w:pStyle w:val="BodyText"/>
        <w:spacing w:line="240" w:lineRule="auto" w:before="192"/>
        <w:ind w:left="554" w:right="110"/>
        <w:jc w:val="left"/>
      </w:pPr>
      <w:r>
        <w:rPr/>
        <w:t>本年计提坏账准备金额</w:t>
      </w:r>
      <w:r>
        <w:rPr>
          <w:spacing w:val="-65"/>
        </w:rPr>
        <w:t> </w:t>
      </w:r>
      <w:r>
        <w:rPr/>
        <w:t>6,284,580.66</w:t>
      </w:r>
      <w:r>
        <w:rPr>
          <w:spacing w:val="-65"/>
        </w:rPr>
        <w:t> </w:t>
      </w:r>
      <w:r>
        <w:rPr/>
        <w:t>元；本年收回或转回坏账准备金额</w:t>
      </w:r>
      <w:r>
        <w:rPr>
          <w:spacing w:val="-62"/>
        </w:rPr>
        <w:t> </w:t>
      </w:r>
      <w:r>
        <w:rPr/>
        <w:t>2,267,508.84</w:t>
      </w:r>
      <w:r>
        <w:rPr>
          <w:spacing w:val="-65"/>
        </w:rPr>
        <w:t> </w:t>
      </w:r>
      <w:r>
        <w:rPr/>
        <w:t>元。</w:t>
      </w:r>
    </w:p>
    <w:p>
      <w:pPr>
        <w:pStyle w:val="BodyText"/>
        <w:spacing w:line="240" w:lineRule="auto" w:before="192"/>
        <w:ind w:left="540" w:right="4471"/>
        <w:jc w:val="left"/>
      </w:pPr>
      <w:r>
        <w:rPr>
          <w:spacing w:val="-2"/>
        </w:rPr>
        <w:t>（3）</w:t>
      </w:r>
      <w:r>
        <w:rPr>
          <w:spacing w:val="-66"/>
        </w:rPr>
        <w:t> </w:t>
      </w:r>
      <w:r>
        <w:rPr>
          <w:spacing w:val="-2"/>
        </w:rPr>
        <w:t>本年度实际核销的应收账款</w:t>
      </w:r>
    </w:p>
    <w:p>
      <w:pPr>
        <w:spacing w:line="240" w:lineRule="auto" w:before="5"/>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4536"/>
        <w:gridCol w:w="4187"/>
      </w:tblGrid>
      <w:tr>
        <w:trPr>
          <w:trHeight w:val="478" w:hRule="exact"/>
        </w:trPr>
        <w:tc>
          <w:tcPr>
            <w:tcW w:w="45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4" w:hRule="exact"/>
        </w:trPr>
        <w:tc>
          <w:tcPr>
            <w:tcW w:w="45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4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2755" w:right="0"/>
              <w:jc w:val="left"/>
              <w:rPr>
                <w:rFonts w:ascii="宋体" w:hAnsi="宋体" w:cs="宋体" w:eastAsia="宋体" w:hint="default"/>
                <w:sz w:val="22"/>
                <w:szCs w:val="22"/>
              </w:rPr>
            </w:pPr>
            <w:r>
              <w:rPr>
                <w:rFonts w:ascii="宋体"/>
                <w:sz w:val="22"/>
              </w:rPr>
              <w:t>2,267,508.84</w:t>
            </w:r>
          </w:p>
        </w:tc>
      </w:tr>
    </w:tbl>
    <w:p>
      <w:pPr>
        <w:spacing w:after="0" w:line="240" w:lineRule="auto"/>
        <w:jc w:val="left"/>
        <w:rPr>
          <w:rFonts w:ascii="宋体" w:hAnsi="宋体" w:cs="宋体" w:eastAsia="宋体" w:hint="default"/>
          <w:sz w:val="22"/>
          <w:szCs w:val="22"/>
        </w:rPr>
        <w:sectPr>
          <w:pgSz w:w="11910" w:h="16840"/>
          <w:pgMar w:header="852" w:footer="873" w:top="1440" w:bottom="1060" w:left="1020" w:right="1020"/>
        </w:sectPr>
      </w:pPr>
    </w:p>
    <w:p>
      <w:pPr>
        <w:spacing w:line="240" w:lineRule="auto" w:before="1"/>
        <w:rPr>
          <w:rFonts w:ascii="宋体" w:hAnsi="宋体" w:cs="宋体" w:eastAsia="宋体" w:hint="default"/>
          <w:sz w:val="18"/>
          <w:szCs w:val="18"/>
        </w:rPr>
      </w:pPr>
    </w:p>
    <w:p>
      <w:pPr>
        <w:pStyle w:val="BodyText"/>
        <w:spacing w:line="240" w:lineRule="auto"/>
        <w:ind w:left="554" w:right="4471"/>
        <w:jc w:val="left"/>
      </w:pPr>
      <w:r>
        <w:rPr/>
        <w:t>其中重要的应收账款核销情况：</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526"/>
        <w:gridCol w:w="850"/>
        <w:gridCol w:w="1419"/>
        <w:gridCol w:w="2125"/>
        <w:gridCol w:w="1276"/>
        <w:gridCol w:w="1527"/>
      </w:tblGrid>
      <w:tr>
        <w:trPr>
          <w:trHeight w:val="565" w:hRule="exact"/>
        </w:trPr>
        <w:tc>
          <w:tcPr>
            <w:tcW w:w="1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152" w:right="148"/>
              <w:jc w:val="left"/>
              <w:rPr>
                <w:rFonts w:ascii="宋体" w:hAnsi="宋体" w:cs="宋体" w:eastAsia="宋体" w:hint="default"/>
                <w:sz w:val="18"/>
                <w:szCs w:val="18"/>
              </w:rPr>
            </w:pPr>
            <w:r>
              <w:rPr>
                <w:rFonts w:ascii="宋体" w:hAnsi="宋体" w:cs="宋体" w:eastAsia="宋体" w:hint="default"/>
                <w:b/>
                <w:bCs/>
                <w:sz w:val="18"/>
                <w:szCs w:val="18"/>
              </w:rPr>
              <w:t>应收账</w:t>
            </w:r>
            <w:r>
              <w:rPr>
                <w:rFonts w:ascii="宋体" w:hAnsi="宋体" w:cs="宋体" w:eastAsia="宋体" w:hint="default"/>
                <w:b/>
                <w:bCs/>
                <w:w w:val="99"/>
                <w:sz w:val="18"/>
                <w:szCs w:val="18"/>
              </w:rPr>
              <w:t> </w:t>
            </w:r>
            <w:r>
              <w:rPr>
                <w:rFonts w:ascii="宋体" w:hAnsi="宋体" w:cs="宋体" w:eastAsia="宋体" w:hint="default"/>
                <w:b/>
                <w:bCs/>
                <w:sz w:val="18"/>
                <w:szCs w:val="18"/>
              </w:rPr>
              <w:t>款性质</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46"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21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698"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454" w:right="180" w:hanging="269"/>
              <w:jc w:val="left"/>
              <w:rPr>
                <w:rFonts w:ascii="宋体" w:hAnsi="宋体" w:cs="宋体" w:eastAsia="宋体" w:hint="default"/>
                <w:sz w:val="18"/>
                <w:szCs w:val="18"/>
              </w:rPr>
            </w:pPr>
            <w:r>
              <w:rPr>
                <w:rFonts w:ascii="宋体" w:hAnsi="宋体" w:cs="宋体" w:eastAsia="宋体" w:hint="default"/>
                <w:b/>
                <w:bCs/>
                <w:sz w:val="18"/>
                <w:szCs w:val="18"/>
              </w:rPr>
              <w:t>履行的核销</w:t>
            </w:r>
            <w:r>
              <w:rPr>
                <w:rFonts w:ascii="宋体" w:hAnsi="宋体" w:cs="宋体" w:eastAsia="宋体" w:hint="default"/>
                <w:b/>
                <w:bCs/>
                <w:w w:val="99"/>
                <w:sz w:val="18"/>
                <w:szCs w:val="18"/>
              </w:rPr>
              <w:t> </w:t>
            </w:r>
            <w:r>
              <w:rPr>
                <w:rFonts w:ascii="宋体" w:hAnsi="宋体" w:cs="宋体" w:eastAsia="宋体" w:hint="default"/>
                <w:b/>
                <w:bCs/>
                <w:sz w:val="18"/>
                <w:szCs w:val="18"/>
              </w:rPr>
              <w:t>程序</w:t>
            </w:r>
            <w:r>
              <w:rPr>
                <w:rFonts w:ascii="宋体" w:hAnsi="宋体" w:cs="宋体" w:eastAsia="宋体" w:hint="default"/>
                <w:sz w:val="18"/>
                <w:szCs w:val="18"/>
              </w:rPr>
            </w:r>
          </w:p>
        </w:tc>
        <w:tc>
          <w:tcPr>
            <w:tcW w:w="1527"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400" w:right="128" w:hanging="272"/>
              <w:jc w:val="left"/>
              <w:rPr>
                <w:rFonts w:ascii="宋体" w:hAnsi="宋体" w:cs="宋体" w:eastAsia="宋体" w:hint="default"/>
                <w:sz w:val="18"/>
                <w:szCs w:val="18"/>
              </w:rPr>
            </w:pPr>
            <w:r>
              <w:rPr>
                <w:rFonts w:ascii="宋体" w:hAnsi="宋体" w:cs="宋体" w:eastAsia="宋体" w:hint="default"/>
                <w:b/>
                <w:bCs/>
                <w:sz w:val="18"/>
                <w:szCs w:val="18"/>
              </w:rPr>
              <w:t>款项是否由关联</w:t>
            </w:r>
            <w:r>
              <w:rPr>
                <w:rFonts w:ascii="宋体" w:hAnsi="宋体" w:cs="宋体" w:eastAsia="宋体" w:hint="default"/>
                <w:b/>
                <w:bCs/>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55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108" w:right="102"/>
              <w:jc w:val="left"/>
              <w:rPr>
                <w:rFonts w:ascii="宋体" w:hAnsi="宋体" w:cs="宋体" w:eastAsia="宋体" w:hint="default"/>
                <w:sz w:val="18"/>
                <w:szCs w:val="18"/>
              </w:rPr>
            </w:pPr>
            <w:r>
              <w:rPr>
                <w:rFonts w:ascii="宋体" w:hAnsi="宋体" w:cs="宋体" w:eastAsia="宋体" w:hint="default"/>
                <w:spacing w:val="6"/>
                <w:sz w:val="18"/>
                <w:szCs w:val="18"/>
              </w:rPr>
              <w:t>淄博长城电缆制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1,150,410.00</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05" w:right="0"/>
              <w:jc w:val="left"/>
              <w:rPr>
                <w:rFonts w:ascii="宋体" w:hAnsi="宋体" w:cs="宋体" w:eastAsia="宋体" w:hint="default"/>
                <w:sz w:val="18"/>
                <w:szCs w:val="18"/>
              </w:rPr>
            </w:pPr>
            <w:r>
              <w:rPr>
                <w:rFonts w:ascii="宋体" w:hAnsi="宋体" w:cs="宋体" w:eastAsia="宋体" w:hint="default"/>
                <w:sz w:val="18"/>
                <w:szCs w:val="18"/>
              </w:rPr>
              <w:t>客户破产无力偿还</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8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152"/>
              <w:ind w:left="108" w:right="102"/>
              <w:jc w:val="left"/>
              <w:rPr>
                <w:rFonts w:ascii="宋体" w:hAnsi="宋体" w:cs="宋体" w:eastAsia="宋体" w:hint="default"/>
                <w:sz w:val="18"/>
                <w:szCs w:val="18"/>
              </w:rPr>
            </w:pPr>
            <w:r>
              <w:rPr>
                <w:rFonts w:ascii="宋体" w:hAnsi="宋体" w:cs="宋体" w:eastAsia="宋体" w:hint="default"/>
                <w:spacing w:val="6"/>
                <w:sz w:val="18"/>
                <w:szCs w:val="18"/>
              </w:rPr>
              <w:t>广西柳州银通电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缆有限公司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503,500.00</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105" w:right="104"/>
              <w:jc w:val="both"/>
              <w:rPr>
                <w:rFonts w:ascii="宋体" w:hAnsi="宋体" w:cs="宋体" w:eastAsia="宋体" w:hint="default"/>
                <w:sz w:val="18"/>
                <w:szCs w:val="18"/>
              </w:rPr>
            </w:pPr>
            <w:r>
              <w:rPr>
                <w:rFonts w:ascii="宋体" w:hAnsi="宋体" w:cs="宋体" w:eastAsia="宋体" w:hint="default"/>
                <w:spacing w:val="10"/>
                <w:sz w:val="18"/>
                <w:szCs w:val="18"/>
              </w:rPr>
              <w:t>已生效的人民法院判决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书因客户失信无法执行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被裁定终止执行</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4"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50"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b/>
                <w:w w:val="95"/>
                <w:sz w:val="18"/>
              </w:rPr>
              <w:t>1,653,910.00</w:t>
            </w:r>
            <w:r>
              <w:rPr>
                <w:rFonts w:ascii="宋体"/>
                <w:sz w:val="18"/>
              </w:rPr>
            </w:r>
          </w:p>
        </w:tc>
        <w:tc>
          <w:tcPr>
            <w:tcW w:w="2125"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52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9"/>
          <w:szCs w:val="9"/>
        </w:rPr>
      </w:pPr>
    </w:p>
    <w:p>
      <w:pPr>
        <w:pStyle w:val="BodyText"/>
        <w:spacing w:line="240" w:lineRule="auto"/>
        <w:ind w:left="540" w:right="110"/>
        <w:jc w:val="left"/>
      </w:pPr>
      <w:r>
        <w:rPr>
          <w:spacing w:val="-2"/>
        </w:rPr>
        <w:t>（4）</w:t>
      </w:r>
      <w:r>
        <w:rPr>
          <w:spacing w:val="-54"/>
        </w:rPr>
        <w:t> </w:t>
      </w:r>
      <w:r>
        <w:rPr>
          <w:spacing w:val="-2"/>
        </w:rPr>
        <w:t>按欠款方归集的年末余额前五名的应收账款情况</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526"/>
        <w:gridCol w:w="2015"/>
        <w:gridCol w:w="1502"/>
        <w:gridCol w:w="1586"/>
        <w:gridCol w:w="2094"/>
      </w:tblGrid>
      <w:tr>
        <w:trPr>
          <w:trHeight w:val="339" w:hRule="exact"/>
        </w:trPr>
        <w:tc>
          <w:tcPr>
            <w:tcW w:w="1526" w:type="dxa"/>
            <w:tcBorders>
              <w:top w:val="single" w:sz="12" w:space="0" w:color="000000"/>
              <w:left w:val="nil" w:sz="6" w:space="0" w:color="auto"/>
              <w:bottom w:val="nil" w:sz="6" w:space="0" w:color="auto"/>
              <w:right w:val="single" w:sz="2" w:space="0" w:color="000000"/>
            </w:tcBorders>
          </w:tcPr>
          <w:p>
            <w:pPr/>
          </w:p>
        </w:tc>
        <w:tc>
          <w:tcPr>
            <w:tcW w:w="2015" w:type="dxa"/>
            <w:tcBorders>
              <w:top w:val="single" w:sz="12" w:space="0" w:color="000000"/>
              <w:left w:val="single" w:sz="2" w:space="0" w:color="000000"/>
              <w:bottom w:val="nil" w:sz="6" w:space="0" w:color="auto"/>
              <w:right w:val="single" w:sz="2" w:space="0" w:color="000000"/>
            </w:tcBorders>
          </w:tcPr>
          <w:p>
            <w:pPr/>
          </w:p>
        </w:tc>
        <w:tc>
          <w:tcPr>
            <w:tcW w:w="1502" w:type="dxa"/>
            <w:tcBorders>
              <w:top w:val="single" w:sz="12" w:space="0" w:color="000000"/>
              <w:left w:val="single" w:sz="2" w:space="0" w:color="000000"/>
              <w:bottom w:val="nil" w:sz="6" w:space="0" w:color="auto"/>
              <w:right w:val="single" w:sz="2" w:space="0" w:color="000000"/>
            </w:tcBorders>
          </w:tcPr>
          <w:p>
            <w:pPr/>
          </w:p>
        </w:tc>
        <w:tc>
          <w:tcPr>
            <w:tcW w:w="1586"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6"/>
              <w:ind w:right="124"/>
              <w:jc w:val="right"/>
              <w:rPr>
                <w:rFonts w:ascii="宋体" w:hAnsi="宋体" w:cs="宋体" w:eastAsia="宋体" w:hint="default"/>
                <w:sz w:val="22"/>
                <w:szCs w:val="22"/>
              </w:rPr>
            </w:pPr>
            <w:r>
              <w:rPr>
                <w:rFonts w:ascii="宋体" w:hAnsi="宋体" w:cs="宋体" w:eastAsia="宋体" w:hint="default"/>
                <w:b/>
                <w:bCs/>
                <w:spacing w:val="-1"/>
                <w:sz w:val="22"/>
                <w:szCs w:val="22"/>
              </w:rPr>
              <w:t>占应收账款年</w:t>
            </w:r>
            <w:r>
              <w:rPr>
                <w:rFonts w:ascii="宋体" w:hAnsi="宋体" w:cs="宋体" w:eastAsia="宋体" w:hint="default"/>
                <w:spacing w:val="-1"/>
                <w:sz w:val="22"/>
                <w:szCs w:val="22"/>
              </w:rPr>
            </w:r>
          </w:p>
        </w:tc>
        <w:tc>
          <w:tcPr>
            <w:tcW w:w="2094" w:type="dxa"/>
            <w:tcBorders>
              <w:top w:val="single" w:sz="12" w:space="0" w:color="000000"/>
              <w:left w:val="single" w:sz="2" w:space="0" w:color="000000"/>
              <w:bottom w:val="nil" w:sz="6" w:space="0" w:color="auto"/>
              <w:right w:val="nil" w:sz="6" w:space="0" w:color="auto"/>
            </w:tcBorders>
          </w:tcPr>
          <w:p>
            <w:pPr/>
          </w:p>
        </w:tc>
      </w:tr>
      <w:tr>
        <w:trPr>
          <w:trHeight w:val="287" w:hRule="exact"/>
        </w:trPr>
        <w:tc>
          <w:tcPr>
            <w:tcW w:w="1526" w:type="dxa"/>
            <w:tcBorders>
              <w:top w:val="nil" w:sz="6" w:space="0" w:color="auto"/>
              <w:left w:val="nil" w:sz="6" w:space="0" w:color="auto"/>
              <w:bottom w:val="nil" w:sz="6" w:space="0" w:color="auto"/>
              <w:right w:val="single" w:sz="2" w:space="0" w:color="000000"/>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15" w:type="dxa"/>
            <w:tcBorders>
              <w:top w:val="nil" w:sz="6" w:space="0" w:color="auto"/>
              <w:left w:val="single" w:sz="2" w:space="0" w:color="000000"/>
              <w:bottom w:val="nil" w:sz="6" w:space="0" w:color="auto"/>
              <w:right w:val="single" w:sz="2" w:space="0" w:color="000000"/>
            </w:tcBorders>
          </w:tcPr>
          <w:p>
            <w:pPr>
              <w:pStyle w:val="TableParagraph"/>
              <w:spacing w:line="252" w:lineRule="exact"/>
              <w:ind w:left="5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02" w:type="dxa"/>
            <w:tcBorders>
              <w:top w:val="nil" w:sz="6" w:space="0" w:color="auto"/>
              <w:left w:val="single" w:sz="2" w:space="0" w:color="000000"/>
              <w:bottom w:val="nil" w:sz="6" w:space="0" w:color="auto"/>
              <w:right w:val="single" w:sz="2"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86" w:type="dxa"/>
            <w:tcBorders>
              <w:top w:val="nil" w:sz="6" w:space="0" w:color="auto"/>
              <w:left w:val="single" w:sz="2" w:space="0" w:color="000000"/>
              <w:bottom w:val="nil" w:sz="6" w:space="0" w:color="auto"/>
              <w:right w:val="single" w:sz="2" w:space="0" w:color="000000"/>
            </w:tcBorders>
          </w:tcPr>
          <w:p>
            <w:pPr>
              <w:pStyle w:val="TableParagraph"/>
              <w:spacing w:line="254" w:lineRule="exact"/>
              <w:ind w:right="124"/>
              <w:jc w:val="right"/>
              <w:rPr>
                <w:rFonts w:ascii="宋体" w:hAnsi="宋体" w:cs="宋体" w:eastAsia="宋体" w:hint="default"/>
                <w:sz w:val="22"/>
                <w:szCs w:val="22"/>
              </w:rPr>
            </w:pPr>
            <w:r>
              <w:rPr>
                <w:rFonts w:ascii="宋体" w:hAnsi="宋体" w:cs="宋体" w:eastAsia="宋体" w:hint="default"/>
                <w:b/>
                <w:bCs/>
                <w:spacing w:val="-1"/>
                <w:sz w:val="22"/>
                <w:szCs w:val="22"/>
              </w:rPr>
              <w:t>末余额合计数</w:t>
            </w:r>
            <w:r>
              <w:rPr>
                <w:rFonts w:ascii="宋体" w:hAnsi="宋体" w:cs="宋体" w:eastAsia="宋体" w:hint="default"/>
                <w:spacing w:val="-1"/>
                <w:sz w:val="22"/>
                <w:szCs w:val="22"/>
              </w:rPr>
            </w:r>
          </w:p>
        </w:tc>
        <w:tc>
          <w:tcPr>
            <w:tcW w:w="2094" w:type="dxa"/>
            <w:tcBorders>
              <w:top w:val="nil" w:sz="6" w:space="0" w:color="auto"/>
              <w:left w:val="single" w:sz="2" w:space="0" w:color="000000"/>
              <w:bottom w:val="nil" w:sz="6" w:space="0" w:color="auto"/>
              <w:right w:val="nil" w:sz="6" w:space="0" w:color="auto"/>
            </w:tcBorders>
          </w:tcPr>
          <w:p>
            <w:pPr>
              <w:pStyle w:val="TableParagraph"/>
              <w:spacing w:line="252" w:lineRule="exact"/>
              <w:ind w:left="163" w:right="0"/>
              <w:jc w:val="left"/>
              <w:rPr>
                <w:rFonts w:ascii="宋体" w:hAnsi="宋体" w:cs="宋体" w:eastAsia="宋体" w:hint="default"/>
                <w:sz w:val="22"/>
                <w:szCs w:val="22"/>
              </w:rPr>
            </w:pPr>
            <w:r>
              <w:rPr>
                <w:rFonts w:ascii="宋体" w:hAnsi="宋体" w:cs="宋体" w:eastAsia="宋体" w:hint="default"/>
                <w:b/>
                <w:bCs/>
                <w:sz w:val="22"/>
                <w:szCs w:val="22"/>
              </w:rPr>
              <w:t>坏账准备年末余额</w:t>
            </w:r>
            <w:r>
              <w:rPr>
                <w:rFonts w:ascii="宋体" w:hAnsi="宋体" w:cs="宋体" w:eastAsia="宋体" w:hint="default"/>
                <w:sz w:val="22"/>
                <w:szCs w:val="22"/>
              </w:rPr>
            </w:r>
          </w:p>
        </w:tc>
      </w:tr>
      <w:tr>
        <w:trPr>
          <w:trHeight w:val="328" w:hRule="exact"/>
        </w:trPr>
        <w:tc>
          <w:tcPr>
            <w:tcW w:w="1526" w:type="dxa"/>
            <w:tcBorders>
              <w:top w:val="nil" w:sz="6" w:space="0" w:color="auto"/>
              <w:left w:val="nil" w:sz="6" w:space="0" w:color="auto"/>
              <w:bottom w:val="single" w:sz="2" w:space="0" w:color="000000"/>
              <w:right w:val="single" w:sz="2" w:space="0" w:color="000000"/>
            </w:tcBorders>
          </w:tcPr>
          <w:p>
            <w:pPr/>
          </w:p>
        </w:tc>
        <w:tc>
          <w:tcPr>
            <w:tcW w:w="2015" w:type="dxa"/>
            <w:tcBorders>
              <w:top w:val="nil" w:sz="6" w:space="0" w:color="auto"/>
              <w:left w:val="single" w:sz="2" w:space="0" w:color="000000"/>
              <w:bottom w:val="single" w:sz="2" w:space="0" w:color="000000"/>
              <w:right w:val="single" w:sz="2" w:space="0" w:color="000000"/>
            </w:tcBorders>
          </w:tcPr>
          <w:p>
            <w:pPr/>
          </w:p>
        </w:tc>
        <w:tc>
          <w:tcPr>
            <w:tcW w:w="1502" w:type="dxa"/>
            <w:tcBorders>
              <w:top w:val="nil" w:sz="6" w:space="0" w:color="auto"/>
              <w:left w:val="single" w:sz="2" w:space="0" w:color="000000"/>
              <w:bottom w:val="single" w:sz="2" w:space="0" w:color="000000"/>
              <w:right w:val="single" w:sz="2" w:space="0" w:color="000000"/>
            </w:tcBorders>
          </w:tcPr>
          <w:p>
            <w:pPr/>
          </w:p>
        </w:tc>
        <w:tc>
          <w:tcPr>
            <w:tcW w:w="1586" w:type="dxa"/>
            <w:tcBorders>
              <w:top w:val="nil" w:sz="6" w:space="0" w:color="auto"/>
              <w:left w:val="single" w:sz="2" w:space="0" w:color="000000"/>
              <w:bottom w:val="single" w:sz="2" w:space="0" w:color="000000"/>
              <w:right w:val="single" w:sz="2" w:space="0" w:color="000000"/>
            </w:tcBorders>
          </w:tcPr>
          <w:p>
            <w:pPr>
              <w:pStyle w:val="TableParagraph"/>
              <w:spacing w:line="253"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的比例(%)</w:t>
            </w:r>
            <w:r>
              <w:rPr>
                <w:rFonts w:ascii="宋体" w:hAnsi="宋体" w:cs="宋体" w:eastAsia="宋体" w:hint="default"/>
                <w:sz w:val="22"/>
                <w:szCs w:val="22"/>
              </w:rPr>
            </w:r>
          </w:p>
        </w:tc>
        <w:tc>
          <w:tcPr>
            <w:tcW w:w="2094" w:type="dxa"/>
            <w:tcBorders>
              <w:top w:val="nil" w:sz="6" w:space="0" w:color="auto"/>
              <w:left w:val="single" w:sz="2" w:space="0" w:color="000000"/>
              <w:bottom w:val="single" w:sz="2" w:space="0" w:color="000000"/>
              <w:right w:val="nil" w:sz="6" w:space="0" w:color="auto"/>
            </w:tcBorders>
          </w:tcPr>
          <w:p>
            <w:pPr/>
          </w:p>
        </w:tc>
      </w:tr>
      <w:tr>
        <w:trPr>
          <w:trHeight w:val="374"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spacing w:val="-2"/>
                <w:sz w:val="22"/>
              </w:rPr>
              <w:t>34,908,446.25</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2"/>
                <w:szCs w:val="22"/>
              </w:rPr>
            </w:pPr>
            <w:r>
              <w:rPr>
                <w:rFonts w:ascii="宋体"/>
                <w:spacing w:val="-1"/>
                <w:sz w:val="22"/>
              </w:rPr>
              <w:t>1.65</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4"/>
              <w:jc w:val="right"/>
              <w:rPr>
                <w:rFonts w:ascii="宋体" w:hAnsi="宋体" w:cs="宋体" w:eastAsia="宋体" w:hint="default"/>
                <w:sz w:val="22"/>
                <w:szCs w:val="22"/>
              </w:rPr>
            </w:pPr>
            <w:r>
              <w:rPr>
                <w:rFonts w:ascii="宋体"/>
                <w:spacing w:val="-2"/>
                <w:sz w:val="22"/>
              </w:rPr>
              <w:t>349,084.46</w:t>
            </w:r>
          </w:p>
        </w:tc>
      </w:tr>
      <w:tr>
        <w:trPr>
          <w:trHeight w:val="374"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22"/>
                <w:szCs w:val="22"/>
              </w:rPr>
            </w:pPr>
            <w:r>
              <w:rPr>
                <w:rFonts w:ascii="宋体"/>
                <w:spacing w:val="-2"/>
                <w:sz w:val="22"/>
              </w:rPr>
              <w:t>30,602,496.15</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22"/>
                <w:szCs w:val="22"/>
              </w:rPr>
            </w:pPr>
            <w:r>
              <w:rPr>
                <w:rFonts w:ascii="宋体"/>
                <w:spacing w:val="-1"/>
                <w:sz w:val="22"/>
              </w:rPr>
              <w:t>1.44</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4"/>
              <w:jc w:val="right"/>
              <w:rPr>
                <w:rFonts w:ascii="宋体" w:hAnsi="宋体" w:cs="宋体" w:eastAsia="宋体" w:hint="default"/>
                <w:sz w:val="22"/>
                <w:szCs w:val="22"/>
              </w:rPr>
            </w:pPr>
            <w:r>
              <w:rPr>
                <w:rFonts w:ascii="宋体"/>
                <w:spacing w:val="-2"/>
                <w:sz w:val="22"/>
              </w:rPr>
              <w:t>1,650,465.54</w:t>
            </w:r>
          </w:p>
        </w:tc>
      </w:tr>
      <w:tr>
        <w:trPr>
          <w:trHeight w:val="374"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22"/>
                <w:szCs w:val="22"/>
              </w:rPr>
            </w:pPr>
            <w:r>
              <w:rPr>
                <w:rFonts w:ascii="宋体"/>
                <w:spacing w:val="-2"/>
                <w:sz w:val="22"/>
              </w:rPr>
              <w:t>29,180,440.12</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22"/>
                <w:szCs w:val="22"/>
              </w:rPr>
            </w:pPr>
            <w:r>
              <w:rPr>
                <w:rFonts w:ascii="宋体"/>
                <w:spacing w:val="-1"/>
                <w:sz w:val="22"/>
              </w:rPr>
              <w:t>1.38</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4"/>
              <w:jc w:val="right"/>
              <w:rPr>
                <w:rFonts w:ascii="宋体" w:hAnsi="宋体" w:cs="宋体" w:eastAsia="宋体" w:hint="default"/>
                <w:sz w:val="22"/>
                <w:szCs w:val="22"/>
              </w:rPr>
            </w:pPr>
            <w:r>
              <w:rPr>
                <w:rFonts w:ascii="宋体"/>
                <w:spacing w:val="-2"/>
                <w:sz w:val="22"/>
              </w:rPr>
              <w:t>2,288,116.50</w:t>
            </w:r>
          </w:p>
        </w:tc>
      </w:tr>
      <w:tr>
        <w:trPr>
          <w:trHeight w:val="374"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4"/>
              <w:jc w:val="right"/>
              <w:rPr>
                <w:rFonts w:ascii="宋体" w:hAnsi="宋体" w:cs="宋体" w:eastAsia="宋体" w:hint="default"/>
                <w:sz w:val="22"/>
                <w:szCs w:val="22"/>
              </w:rPr>
            </w:pPr>
            <w:r>
              <w:rPr>
                <w:rFonts w:ascii="宋体"/>
                <w:spacing w:val="-2"/>
                <w:sz w:val="22"/>
              </w:rPr>
              <w:t>26,045,838.00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3"/>
              <w:jc w:val="right"/>
              <w:rPr>
                <w:rFonts w:ascii="宋体" w:hAnsi="宋体" w:cs="宋体" w:eastAsia="宋体" w:hint="default"/>
                <w:sz w:val="22"/>
                <w:szCs w:val="22"/>
              </w:rPr>
            </w:pPr>
            <w:r>
              <w:rPr>
                <w:rFonts w:ascii="宋体"/>
                <w:spacing w:val="-1"/>
                <w:sz w:val="22"/>
              </w:rPr>
              <w:t>1.23</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4"/>
              <w:jc w:val="right"/>
              <w:rPr>
                <w:rFonts w:ascii="宋体" w:hAnsi="宋体" w:cs="宋体" w:eastAsia="宋体" w:hint="default"/>
                <w:sz w:val="22"/>
                <w:szCs w:val="22"/>
              </w:rPr>
            </w:pPr>
            <w:r>
              <w:rPr>
                <w:rFonts w:ascii="宋体"/>
                <w:spacing w:val="-2"/>
                <w:sz w:val="22"/>
              </w:rPr>
              <w:t>260,458.38</w:t>
            </w:r>
          </w:p>
        </w:tc>
      </w:tr>
      <w:tr>
        <w:trPr>
          <w:trHeight w:val="374"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4"/>
              <w:jc w:val="right"/>
              <w:rPr>
                <w:rFonts w:ascii="宋体" w:hAnsi="宋体" w:cs="宋体" w:eastAsia="宋体" w:hint="default"/>
                <w:sz w:val="22"/>
                <w:szCs w:val="22"/>
              </w:rPr>
            </w:pPr>
            <w:r>
              <w:rPr>
                <w:rFonts w:ascii="宋体"/>
                <w:spacing w:val="-2"/>
                <w:sz w:val="22"/>
              </w:rPr>
              <w:t>25,981,825.98</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3"/>
              <w:jc w:val="right"/>
              <w:rPr>
                <w:rFonts w:ascii="宋体" w:hAnsi="宋体" w:cs="宋体" w:eastAsia="宋体" w:hint="default"/>
                <w:sz w:val="22"/>
                <w:szCs w:val="22"/>
              </w:rPr>
            </w:pPr>
            <w:r>
              <w:rPr>
                <w:rFonts w:ascii="宋体"/>
                <w:spacing w:val="-1"/>
                <w:sz w:val="22"/>
              </w:rPr>
              <w:t>1.23</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4"/>
              <w:jc w:val="right"/>
              <w:rPr>
                <w:rFonts w:ascii="宋体" w:hAnsi="宋体" w:cs="宋体" w:eastAsia="宋体" w:hint="default"/>
                <w:sz w:val="22"/>
                <w:szCs w:val="22"/>
              </w:rPr>
            </w:pPr>
            <w:r>
              <w:rPr>
                <w:rFonts w:ascii="宋体"/>
                <w:spacing w:val="-2"/>
                <w:sz w:val="22"/>
              </w:rPr>
              <w:t>259,818.26</w:t>
            </w:r>
          </w:p>
        </w:tc>
      </w:tr>
      <w:tr>
        <w:trPr>
          <w:trHeight w:val="386"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4"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56"/>
              <w:jc w:val="right"/>
              <w:rPr>
                <w:rFonts w:ascii="宋体" w:hAnsi="宋体" w:cs="宋体" w:eastAsia="宋体" w:hint="default"/>
                <w:sz w:val="22"/>
                <w:szCs w:val="22"/>
              </w:rPr>
            </w:pPr>
            <w:r>
              <w:rPr>
                <w:rFonts w:ascii="宋体"/>
                <w:b/>
                <w:spacing w:val="-1"/>
                <w:sz w:val="22"/>
              </w:rPr>
              <w:t>146,719,046.50</w:t>
            </w:r>
            <w:r>
              <w:rPr>
                <w:rFonts w:ascii="宋体"/>
                <w:spacing w:val="-1"/>
                <w:sz w:val="22"/>
              </w:rPr>
            </w:r>
          </w:p>
        </w:tc>
        <w:tc>
          <w:tcPr>
            <w:tcW w:w="1502"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64"/>
              <w:jc w:val="right"/>
              <w:rPr>
                <w:rFonts w:ascii="宋体" w:hAnsi="宋体" w:cs="宋体" w:eastAsia="宋体" w:hint="default"/>
                <w:sz w:val="22"/>
                <w:szCs w:val="22"/>
              </w:rPr>
            </w:pPr>
            <w:r>
              <w:rPr>
                <w:rFonts w:ascii="宋体"/>
                <w:b/>
                <w:w w:val="95"/>
                <w:sz w:val="22"/>
              </w:rPr>
              <w:t>6.93</w:t>
            </w:r>
            <w:r>
              <w:rPr>
                <w:rFonts w:ascii="宋体"/>
                <w:sz w:val="22"/>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58"/>
              <w:jc w:val="right"/>
              <w:rPr>
                <w:rFonts w:ascii="宋体" w:hAnsi="宋体" w:cs="宋体" w:eastAsia="宋体" w:hint="default"/>
                <w:sz w:val="22"/>
                <w:szCs w:val="22"/>
              </w:rPr>
            </w:pPr>
            <w:r>
              <w:rPr>
                <w:rFonts w:ascii="宋体"/>
                <w:b/>
                <w:spacing w:val="-1"/>
                <w:sz w:val="22"/>
              </w:rPr>
              <w:t>4,807,943.14</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516" w:right="4471"/>
        <w:jc w:val="left"/>
      </w:pPr>
      <w:r>
        <w:rPr/>
        <w:t>4.</w:t>
      </w:r>
      <w:r>
        <w:rPr>
          <w:spacing w:val="66"/>
        </w:rPr>
        <w:t> </w:t>
      </w:r>
      <w:r>
        <w:rPr/>
        <w:t>预付款项</w:t>
      </w:r>
    </w:p>
    <w:p>
      <w:pPr>
        <w:pStyle w:val="BodyText"/>
        <w:spacing w:line="240" w:lineRule="auto" w:before="192"/>
        <w:ind w:left="516" w:right="4471"/>
        <w:jc w:val="left"/>
      </w:pPr>
      <w:r>
        <w:rPr/>
        <w:t>（1）</w:t>
      </w:r>
      <w:r>
        <w:rPr>
          <w:spacing w:val="-68"/>
        </w:rPr>
        <w:t> </w:t>
      </w:r>
      <w:r>
        <w:rPr/>
        <w:t>预付款项账龄</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969"/>
        <w:gridCol w:w="1870"/>
        <w:gridCol w:w="1567"/>
        <w:gridCol w:w="1785"/>
        <w:gridCol w:w="1532"/>
      </w:tblGrid>
      <w:tr>
        <w:trPr>
          <w:trHeight w:val="415" w:hRule="exact"/>
        </w:trPr>
        <w:tc>
          <w:tcPr>
            <w:tcW w:w="1969"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3"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1969" w:type="dxa"/>
            <w:vMerge/>
            <w:tcBorders>
              <w:left w:val="nil" w:sz="6" w:space="0" w:color="auto"/>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39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37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r>
      <w:tr>
        <w:trPr>
          <w:trHeight w:val="402" w:hRule="exact"/>
        </w:trPr>
        <w:tc>
          <w:tcPr>
            <w:tcW w:w="19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58,494,659.84</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1"/>
                <w:sz w:val="22"/>
              </w:rPr>
              <w:t>92.11</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44" w:right="0"/>
              <w:jc w:val="left"/>
              <w:rPr>
                <w:rFonts w:ascii="宋体" w:hAnsi="宋体" w:cs="宋体" w:eastAsia="宋体" w:hint="default"/>
                <w:sz w:val="22"/>
                <w:szCs w:val="22"/>
              </w:rPr>
            </w:pPr>
            <w:r>
              <w:rPr>
                <w:rFonts w:ascii="宋体"/>
                <w:sz w:val="22"/>
              </w:rPr>
              <w:t>75,636,277.86</w:t>
            </w:r>
          </w:p>
        </w:tc>
        <w:tc>
          <w:tcPr>
            <w:tcW w:w="1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97.45</w:t>
            </w:r>
          </w:p>
        </w:tc>
      </w:tr>
      <w:tr>
        <w:trPr>
          <w:trHeight w:val="402" w:hRule="exact"/>
        </w:trPr>
        <w:tc>
          <w:tcPr>
            <w:tcW w:w="19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3,365,291.88</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1"/>
                <w:sz w:val="22"/>
              </w:rPr>
              <w:t>5.30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505,625.87</w:t>
            </w:r>
          </w:p>
        </w:tc>
        <w:tc>
          <w:tcPr>
            <w:tcW w:w="1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0.65</w:t>
            </w:r>
          </w:p>
        </w:tc>
      </w:tr>
      <w:tr>
        <w:trPr>
          <w:trHeight w:val="402" w:hRule="exact"/>
        </w:trPr>
        <w:tc>
          <w:tcPr>
            <w:tcW w:w="19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297,408.16</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1"/>
                <w:sz w:val="22"/>
              </w:rPr>
              <w:t>0.47</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807,373.24</w:t>
            </w:r>
          </w:p>
        </w:tc>
        <w:tc>
          <w:tcPr>
            <w:tcW w:w="1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1.04</w:t>
            </w:r>
          </w:p>
        </w:tc>
      </w:tr>
      <w:tr>
        <w:trPr>
          <w:trHeight w:val="402" w:hRule="exact"/>
        </w:trPr>
        <w:tc>
          <w:tcPr>
            <w:tcW w:w="19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1,348,572.30</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1"/>
                <w:sz w:val="22"/>
              </w:rPr>
              <w:t>2.12</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669,966.58</w:t>
            </w:r>
          </w:p>
        </w:tc>
        <w:tc>
          <w:tcPr>
            <w:tcW w:w="1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0.86</w:t>
            </w:r>
          </w:p>
        </w:tc>
      </w:tr>
      <w:tr>
        <w:trPr>
          <w:trHeight w:val="414" w:hRule="exact"/>
        </w:trPr>
        <w:tc>
          <w:tcPr>
            <w:tcW w:w="19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63,505,932.18</w:t>
            </w:r>
            <w:r>
              <w:rPr>
                <w:rFonts w:ascii="宋体"/>
                <w:spacing w:val="-1"/>
                <w:sz w:val="22"/>
              </w:rPr>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b/>
                <w:spacing w:val="-1"/>
                <w:sz w:val="22"/>
              </w:rPr>
              <w:t>100.00</w:t>
            </w:r>
            <w:r>
              <w:rPr>
                <w:rFonts w:ascii="宋体"/>
                <w:spacing w:val="-1"/>
                <w:sz w:val="22"/>
              </w:rPr>
            </w:r>
          </w:p>
        </w:tc>
        <w:tc>
          <w:tcPr>
            <w:tcW w:w="1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55"/>
              <w:jc w:val="right"/>
              <w:rPr>
                <w:rFonts w:ascii="宋体" w:hAnsi="宋体" w:cs="宋体" w:eastAsia="宋体" w:hint="default"/>
                <w:sz w:val="22"/>
                <w:szCs w:val="22"/>
              </w:rPr>
            </w:pPr>
            <w:r>
              <w:rPr>
                <w:rFonts w:ascii="宋体"/>
                <w:b/>
                <w:spacing w:val="-1"/>
                <w:sz w:val="22"/>
              </w:rPr>
              <w:t>77,619,243.55</w:t>
            </w:r>
            <w:r>
              <w:rPr>
                <w:rFonts w:ascii="宋体"/>
                <w:spacing w:val="-1"/>
                <w:sz w:val="22"/>
              </w:rPr>
            </w:r>
          </w:p>
        </w:tc>
        <w:tc>
          <w:tcPr>
            <w:tcW w:w="15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65"/>
              <w:jc w:val="right"/>
              <w:rPr>
                <w:rFonts w:ascii="宋体" w:hAnsi="宋体" w:cs="宋体" w:eastAsia="宋体" w:hint="default"/>
                <w:sz w:val="22"/>
                <w:szCs w:val="22"/>
              </w:rPr>
            </w:pPr>
            <w:r>
              <w:rPr>
                <w:rFonts w:ascii="宋体"/>
                <w:b/>
                <w:spacing w:val="-1"/>
                <w:sz w:val="22"/>
              </w:rPr>
              <w:t>100.00</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516" w:right="110"/>
        <w:jc w:val="left"/>
      </w:pPr>
      <w:r>
        <w:rPr>
          <w:spacing w:val="-1"/>
        </w:rPr>
        <w:t>（2）</w:t>
      </w:r>
      <w:r>
        <w:rPr>
          <w:spacing w:val="-33"/>
        </w:rPr>
        <w:t> </w:t>
      </w:r>
      <w:r>
        <w:rPr>
          <w:spacing w:val="-2"/>
        </w:rPr>
        <w:t>按预付对象归集的年末余额前五名的预付款情况</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2522"/>
        <w:gridCol w:w="2221"/>
        <w:gridCol w:w="1841"/>
        <w:gridCol w:w="2139"/>
      </w:tblGrid>
      <w:tr>
        <w:trPr>
          <w:trHeight w:val="669" w:hRule="exact"/>
        </w:trPr>
        <w:tc>
          <w:tcPr>
            <w:tcW w:w="25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2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6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39"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7"/>
              <w:ind w:left="131" w:right="123" w:firstLine="55"/>
              <w:jc w:val="left"/>
              <w:rPr>
                <w:rFonts w:ascii="宋体" w:hAnsi="宋体" w:cs="宋体" w:eastAsia="宋体" w:hint="default"/>
                <w:sz w:val="22"/>
                <w:szCs w:val="22"/>
              </w:rPr>
            </w:pPr>
            <w:r>
              <w:rPr>
                <w:rFonts w:ascii="宋体" w:hAnsi="宋体" w:cs="宋体" w:eastAsia="宋体" w:hint="default"/>
                <w:b/>
                <w:bCs/>
                <w:sz w:val="22"/>
                <w:szCs w:val="22"/>
              </w:rPr>
              <w:t>占预付款项年末余</w:t>
            </w:r>
            <w:r>
              <w:rPr>
                <w:rFonts w:ascii="宋体" w:hAnsi="宋体" w:cs="宋体" w:eastAsia="宋体" w:hint="default"/>
                <w:b/>
                <w:bCs/>
                <w:w w:val="100"/>
                <w:sz w:val="22"/>
                <w:szCs w:val="22"/>
              </w:rPr>
              <w:t> </w:t>
            </w:r>
            <w:r>
              <w:rPr>
                <w:rFonts w:ascii="宋体" w:hAnsi="宋体" w:cs="宋体" w:eastAsia="宋体" w:hint="default"/>
                <w:b/>
                <w:bCs/>
                <w:sz w:val="22"/>
                <w:szCs w:val="22"/>
              </w:rPr>
              <w:t>额合计数的比例(%)</w:t>
            </w:r>
            <w:r>
              <w:rPr>
                <w:rFonts w:ascii="宋体" w:hAnsi="宋体" w:cs="宋体" w:eastAsia="宋体" w:hint="default"/>
                <w:sz w:val="22"/>
                <w:szCs w:val="22"/>
              </w:rPr>
            </w:r>
          </w:p>
        </w:tc>
      </w:tr>
      <w:tr>
        <w:trPr>
          <w:trHeight w:val="402" w:hRule="exact"/>
        </w:trPr>
        <w:tc>
          <w:tcPr>
            <w:tcW w:w="2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10,092,047.42</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15.89</w:t>
            </w:r>
          </w:p>
        </w:tc>
      </w:tr>
      <w:tr>
        <w:trPr>
          <w:trHeight w:val="402" w:hRule="exact"/>
        </w:trPr>
        <w:tc>
          <w:tcPr>
            <w:tcW w:w="2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8,211,944.83</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1"/>
                <w:sz w:val="22"/>
              </w:rPr>
              <w:t>12.93</w:t>
            </w:r>
          </w:p>
        </w:tc>
      </w:tr>
      <w:tr>
        <w:trPr>
          <w:trHeight w:val="402" w:hRule="exact"/>
        </w:trPr>
        <w:tc>
          <w:tcPr>
            <w:tcW w:w="2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7,315,593.60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11.52</w:t>
            </w:r>
          </w:p>
        </w:tc>
      </w:tr>
      <w:tr>
        <w:trPr>
          <w:trHeight w:val="412" w:hRule="exact"/>
        </w:trPr>
        <w:tc>
          <w:tcPr>
            <w:tcW w:w="25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2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5,321,417.44</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1"/>
                <w:sz w:val="22"/>
              </w:rPr>
              <w:t>8.38</w:t>
            </w:r>
          </w:p>
        </w:tc>
      </w:tr>
    </w:tbl>
    <w:p>
      <w:pPr>
        <w:spacing w:after="0" w:line="240" w:lineRule="auto"/>
        <w:jc w:val="right"/>
        <w:rPr>
          <w:rFonts w:ascii="宋体" w:hAnsi="宋体" w:cs="宋体" w:eastAsia="宋体" w:hint="default"/>
          <w:sz w:val="22"/>
          <w:szCs w:val="22"/>
        </w:rPr>
        <w:sectPr>
          <w:pgSz w:w="11910" w:h="16840"/>
          <w:pgMar w:header="852" w:footer="873" w:top="1440" w:bottom="1060" w:left="1020" w:right="1020"/>
        </w:sectPr>
      </w:pPr>
    </w:p>
    <w:p>
      <w:pPr>
        <w:spacing w:line="240" w:lineRule="auto" w:before="3"/>
        <w:rPr>
          <w:rFonts w:ascii="宋体" w:hAnsi="宋体" w:cs="宋体" w:eastAsia="宋体" w:hint="default"/>
          <w:sz w:val="18"/>
          <w:szCs w:val="18"/>
        </w:rPr>
      </w:pPr>
    </w:p>
    <w:tbl>
      <w:tblPr>
        <w:tblW w:w="0" w:type="auto"/>
        <w:jc w:val="left"/>
        <w:tblInd w:w="558" w:type="dxa"/>
        <w:tblLayout w:type="fixed"/>
        <w:tblCellMar>
          <w:top w:w="0" w:type="dxa"/>
          <w:left w:w="0" w:type="dxa"/>
          <w:bottom w:w="0" w:type="dxa"/>
          <w:right w:w="0" w:type="dxa"/>
        </w:tblCellMar>
        <w:tblLook w:val="01E0"/>
      </w:tblPr>
      <w:tblGrid>
        <w:gridCol w:w="2522"/>
        <w:gridCol w:w="2221"/>
        <w:gridCol w:w="1841"/>
        <w:gridCol w:w="2139"/>
      </w:tblGrid>
      <w:tr>
        <w:trPr>
          <w:trHeight w:val="669" w:hRule="exact"/>
        </w:trPr>
        <w:tc>
          <w:tcPr>
            <w:tcW w:w="25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2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66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39"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7"/>
              <w:ind w:left="131" w:right="123" w:firstLine="55"/>
              <w:jc w:val="left"/>
              <w:rPr>
                <w:rFonts w:ascii="宋体" w:hAnsi="宋体" w:cs="宋体" w:eastAsia="宋体" w:hint="default"/>
                <w:sz w:val="22"/>
                <w:szCs w:val="22"/>
              </w:rPr>
            </w:pPr>
            <w:r>
              <w:rPr>
                <w:rFonts w:ascii="宋体" w:hAnsi="宋体" w:cs="宋体" w:eastAsia="宋体" w:hint="default"/>
                <w:b/>
                <w:bCs/>
                <w:sz w:val="22"/>
                <w:szCs w:val="22"/>
              </w:rPr>
              <w:t>占预付款项年末余</w:t>
            </w:r>
            <w:r>
              <w:rPr>
                <w:rFonts w:ascii="宋体" w:hAnsi="宋体" w:cs="宋体" w:eastAsia="宋体" w:hint="default"/>
                <w:b/>
                <w:bCs/>
                <w:w w:val="100"/>
                <w:sz w:val="22"/>
                <w:szCs w:val="22"/>
              </w:rPr>
              <w:t> </w:t>
            </w:r>
            <w:r>
              <w:rPr>
                <w:rFonts w:ascii="宋体" w:hAnsi="宋体" w:cs="宋体" w:eastAsia="宋体" w:hint="default"/>
                <w:b/>
                <w:bCs/>
                <w:sz w:val="22"/>
                <w:szCs w:val="22"/>
              </w:rPr>
              <w:t>额合计数的比例(%)</w:t>
            </w:r>
            <w:r>
              <w:rPr>
                <w:rFonts w:ascii="宋体" w:hAnsi="宋体" w:cs="宋体" w:eastAsia="宋体" w:hint="default"/>
                <w:sz w:val="22"/>
                <w:szCs w:val="22"/>
              </w:rPr>
            </w:r>
          </w:p>
        </w:tc>
      </w:tr>
      <w:tr>
        <w:trPr>
          <w:trHeight w:val="402" w:hRule="exact"/>
        </w:trPr>
        <w:tc>
          <w:tcPr>
            <w:tcW w:w="2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3,807,630.98</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6.00</w:t>
            </w:r>
          </w:p>
        </w:tc>
      </w:tr>
      <w:tr>
        <w:trPr>
          <w:trHeight w:val="414" w:hRule="exact"/>
        </w:trPr>
        <w:tc>
          <w:tcPr>
            <w:tcW w:w="25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55"/>
              <w:jc w:val="right"/>
              <w:rPr>
                <w:rFonts w:ascii="宋体" w:hAnsi="宋体" w:cs="宋体" w:eastAsia="宋体" w:hint="default"/>
                <w:sz w:val="22"/>
                <w:szCs w:val="22"/>
              </w:rPr>
            </w:pPr>
            <w:r>
              <w:rPr>
                <w:rFonts w:ascii="宋体"/>
                <w:b/>
                <w:spacing w:val="-1"/>
                <w:sz w:val="22"/>
              </w:rPr>
              <w:t>34,748,634.27</w:t>
            </w:r>
            <w:r>
              <w:rPr>
                <w:rFonts w:ascii="宋体"/>
                <w:spacing w:val="-1"/>
                <w:sz w:val="22"/>
              </w:rPr>
            </w:r>
          </w:p>
        </w:tc>
        <w:tc>
          <w:tcPr>
            <w:tcW w:w="1841" w:type="dxa"/>
            <w:tcBorders>
              <w:top w:val="single" w:sz="2" w:space="0" w:color="000000"/>
              <w:left w:val="single" w:sz="2" w:space="0" w:color="000000"/>
              <w:bottom w:val="single" w:sz="12" w:space="0" w:color="000000"/>
              <w:right w:val="single" w:sz="2" w:space="0" w:color="000000"/>
            </w:tcBorders>
          </w:tcPr>
          <w:p>
            <w:pP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65"/>
              <w:jc w:val="right"/>
              <w:rPr>
                <w:rFonts w:ascii="宋体" w:hAnsi="宋体" w:cs="宋体" w:eastAsia="宋体" w:hint="default"/>
                <w:sz w:val="22"/>
                <w:szCs w:val="22"/>
              </w:rPr>
            </w:pPr>
            <w:r>
              <w:rPr>
                <w:rFonts w:ascii="宋体"/>
                <w:b/>
                <w:spacing w:val="-1"/>
                <w:sz w:val="22"/>
              </w:rPr>
              <w:t>54.72</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516" w:right="4471"/>
        <w:jc w:val="left"/>
      </w:pPr>
      <w:r>
        <w:rPr/>
        <w:t>5.</w:t>
      </w:r>
      <w:r>
        <w:rPr>
          <w:spacing w:val="66"/>
        </w:rPr>
        <w:t> </w:t>
      </w:r>
      <w:r>
        <w:rPr/>
        <w:t>其他应收款</w:t>
      </w:r>
    </w:p>
    <w:p>
      <w:pPr>
        <w:pStyle w:val="BodyText"/>
        <w:spacing w:line="240" w:lineRule="auto" w:before="192"/>
        <w:ind w:left="540" w:right="4471"/>
        <w:jc w:val="left"/>
      </w:pPr>
      <w:r>
        <w:rPr/>
        <w:t>（1）</w:t>
      </w:r>
      <w:r>
        <w:rPr>
          <w:spacing w:val="-92"/>
        </w:rPr>
        <w:t> </w:t>
      </w:r>
      <w:r>
        <w:rPr/>
        <w:t>其他应收款分类</w:t>
      </w:r>
    </w:p>
    <w:p>
      <w:pPr>
        <w:spacing w:line="240" w:lineRule="auto" w:before="5"/>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2660"/>
        <w:gridCol w:w="1559"/>
        <w:gridCol w:w="836"/>
        <w:gridCol w:w="1431"/>
        <w:gridCol w:w="710"/>
        <w:gridCol w:w="1527"/>
      </w:tblGrid>
      <w:tr>
        <w:trPr>
          <w:trHeight w:val="425" w:hRule="exact"/>
        </w:trPr>
        <w:tc>
          <w:tcPr>
            <w:tcW w:w="266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063"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660" w:type="dxa"/>
            <w:vMerge/>
            <w:tcBorders>
              <w:left w:val="nil" w:sz="6" w:space="0" w:color="auto"/>
              <w:right w:val="single" w:sz="4" w:space="0" w:color="000000"/>
            </w:tcBorders>
          </w:tcPr>
          <w:p>
            <w:pP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66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sz w:val="18"/>
                <w:szCs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24" w:right="75" w:hanging="44"/>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27" w:type="dxa"/>
            <w:vMerge/>
            <w:tcBorders>
              <w:left w:val="single" w:sz="4" w:space="0" w:color="000000"/>
              <w:bottom w:val="single" w:sz="4" w:space="0" w:color="000000"/>
              <w:right w:val="nil" w:sz="6" w:space="0" w:color="auto"/>
            </w:tcBorders>
          </w:tcPr>
          <w:p>
            <w:pPr/>
          </w:p>
        </w:tc>
      </w:tr>
      <w:tr>
        <w:trPr>
          <w:trHeight w:val="556"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53" w:right="4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8,896,226.92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right"/>
              <w:rPr>
                <w:rFonts w:ascii="宋体" w:hAnsi="宋体" w:cs="宋体" w:eastAsia="宋体" w:hint="default"/>
                <w:sz w:val="18"/>
                <w:szCs w:val="18"/>
              </w:rPr>
            </w:pPr>
            <w:r>
              <w:rPr>
                <w:rFonts w:ascii="宋体"/>
                <w:sz w:val="18"/>
              </w:rPr>
              <w:t>8.97</w:t>
            </w:r>
          </w:p>
        </w:tc>
        <w:tc>
          <w:tcPr>
            <w:tcW w:w="14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0"/>
              <w:jc w:val="right"/>
              <w:rPr>
                <w:rFonts w:ascii="宋体" w:hAnsi="宋体" w:cs="宋体" w:eastAsia="宋体" w:hint="default"/>
                <w:sz w:val="18"/>
                <w:szCs w:val="18"/>
              </w:rPr>
            </w:pPr>
            <w:r>
              <w:rPr>
                <w:rFonts w:ascii="宋体"/>
                <w:spacing w:val="-1"/>
                <w:sz w:val="18"/>
              </w:rPr>
              <w:t>8,896,226.92</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53" w:right="48"/>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90,280,594.43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right"/>
              <w:rPr>
                <w:rFonts w:ascii="宋体" w:hAnsi="宋体" w:cs="宋体" w:eastAsia="宋体" w:hint="default"/>
                <w:sz w:val="18"/>
                <w:szCs w:val="18"/>
              </w:rPr>
            </w:pPr>
            <w:r>
              <w:rPr>
                <w:rFonts w:ascii="宋体"/>
                <w:spacing w:val="-1"/>
                <w:sz w:val="18"/>
              </w:rPr>
              <w:t>91.03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
              <w:jc w:val="right"/>
              <w:rPr>
                <w:rFonts w:ascii="宋体" w:hAnsi="宋体" w:cs="宋体" w:eastAsia="宋体" w:hint="default"/>
                <w:sz w:val="18"/>
                <w:szCs w:val="18"/>
              </w:rPr>
            </w:pPr>
            <w:r>
              <w:rPr>
                <w:rFonts w:ascii="宋体"/>
                <w:spacing w:val="-1"/>
                <w:sz w:val="18"/>
              </w:rPr>
              <w:t>5,087,065.37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
              <w:jc w:val="right"/>
              <w:rPr>
                <w:rFonts w:ascii="宋体" w:hAnsi="宋体" w:cs="宋体" w:eastAsia="宋体" w:hint="default"/>
                <w:sz w:val="18"/>
                <w:szCs w:val="18"/>
              </w:rPr>
            </w:pPr>
            <w:r>
              <w:rPr>
                <w:rFonts w:ascii="宋体"/>
                <w:sz w:val="18"/>
              </w:rPr>
              <w:t>5.63</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2"/>
              <w:jc w:val="right"/>
              <w:rPr>
                <w:rFonts w:ascii="宋体" w:hAnsi="宋体" w:cs="宋体" w:eastAsia="宋体" w:hint="default"/>
                <w:sz w:val="18"/>
                <w:szCs w:val="18"/>
              </w:rPr>
            </w:pPr>
            <w:r>
              <w:rPr>
                <w:rFonts w:ascii="宋体"/>
                <w:spacing w:val="-1"/>
                <w:sz w:val="18"/>
              </w:rPr>
              <w:t>85,193,529.06</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53" w:right="4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266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34"/>
              <w:jc w:val="right"/>
              <w:rPr>
                <w:rFonts w:ascii="宋体" w:hAnsi="宋体" w:cs="宋体" w:eastAsia="宋体" w:hint="default"/>
                <w:sz w:val="18"/>
                <w:szCs w:val="18"/>
              </w:rPr>
            </w:pPr>
            <w:r>
              <w:rPr>
                <w:rFonts w:ascii="宋体"/>
                <w:b/>
                <w:w w:val="95"/>
                <w:sz w:val="18"/>
              </w:rPr>
              <w:t>99,176,821.35</w:t>
            </w:r>
            <w:r>
              <w:rPr>
                <w:rFonts w:ascii="宋体"/>
                <w:sz w:val="18"/>
              </w:rPr>
            </w:r>
          </w:p>
        </w:tc>
        <w:tc>
          <w:tcPr>
            <w:tcW w:w="8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42"/>
              <w:jc w:val="right"/>
              <w:rPr>
                <w:rFonts w:ascii="宋体" w:hAnsi="宋体" w:cs="宋体" w:eastAsia="宋体" w:hint="default"/>
                <w:sz w:val="18"/>
                <w:szCs w:val="18"/>
              </w:rPr>
            </w:pPr>
            <w:r>
              <w:rPr>
                <w:rFonts w:ascii="宋体"/>
                <w:b/>
                <w:sz w:val="18"/>
              </w:rPr>
              <w:t>100.00</w:t>
            </w:r>
            <w:r>
              <w:rPr>
                <w:rFonts w:ascii="宋体"/>
                <w:sz w:val="18"/>
              </w:rPr>
            </w:r>
          </w:p>
        </w:tc>
        <w:tc>
          <w:tcPr>
            <w:tcW w:w="14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35"/>
              <w:jc w:val="right"/>
              <w:rPr>
                <w:rFonts w:ascii="宋体" w:hAnsi="宋体" w:cs="宋体" w:eastAsia="宋体" w:hint="default"/>
                <w:sz w:val="18"/>
                <w:szCs w:val="18"/>
              </w:rPr>
            </w:pPr>
            <w:r>
              <w:rPr>
                <w:rFonts w:ascii="宋体"/>
                <w:b/>
                <w:w w:val="95"/>
                <w:sz w:val="18"/>
              </w:rPr>
              <w:t>5,087,065.37</w:t>
            </w:r>
            <w:r>
              <w:rPr>
                <w:rFonts w:ascii="宋体"/>
                <w:sz w:val="18"/>
              </w:rPr>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42"/>
              <w:jc w:val="right"/>
              <w:rPr>
                <w:rFonts w:ascii="宋体" w:hAnsi="宋体" w:cs="宋体" w:eastAsia="宋体" w:hint="default"/>
                <w:sz w:val="18"/>
                <w:szCs w:val="18"/>
              </w:rPr>
            </w:pPr>
            <w:r>
              <w:rPr>
                <w:rFonts w:ascii="宋体"/>
                <w:b/>
                <w:sz w:val="18"/>
              </w:rPr>
              <w:t>5.13</w:t>
            </w:r>
            <w:r>
              <w:rPr>
                <w:rFonts w:ascii="宋体"/>
                <w:sz w:val="18"/>
              </w:rPr>
            </w:r>
          </w:p>
        </w:tc>
        <w:tc>
          <w:tcPr>
            <w:tcW w:w="152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40"/>
              <w:jc w:val="right"/>
              <w:rPr>
                <w:rFonts w:ascii="宋体" w:hAnsi="宋体" w:cs="宋体" w:eastAsia="宋体" w:hint="default"/>
                <w:sz w:val="18"/>
                <w:szCs w:val="18"/>
              </w:rPr>
            </w:pPr>
            <w:r>
              <w:rPr>
                <w:rFonts w:ascii="宋体"/>
                <w:b/>
                <w:w w:val="95"/>
                <w:sz w:val="18"/>
              </w:rPr>
              <w:t>94,089,755.98</w:t>
            </w:r>
            <w:r>
              <w:rPr>
                <w:rFonts w:ascii="宋体"/>
                <w:sz w:val="18"/>
              </w:rPr>
            </w:r>
          </w:p>
        </w:tc>
      </w:tr>
    </w:tbl>
    <w:p>
      <w:pPr>
        <w:spacing w:line="240" w:lineRule="auto" w:before="4"/>
        <w:rPr>
          <w:rFonts w:ascii="宋体" w:hAnsi="宋体" w:cs="宋体" w:eastAsia="宋体" w:hint="default"/>
          <w:sz w:val="9"/>
          <w:szCs w:val="9"/>
        </w:rPr>
      </w:pPr>
    </w:p>
    <w:p>
      <w:pPr>
        <w:pStyle w:val="BodyText"/>
        <w:spacing w:line="240" w:lineRule="auto"/>
        <w:ind w:left="554" w:right="4471"/>
        <w:jc w:val="left"/>
      </w:pPr>
      <w:r>
        <w:rPr/>
        <w:t>（续表）</w:t>
      </w:r>
    </w:p>
    <w:p>
      <w:pPr>
        <w:spacing w:line="240" w:lineRule="auto" w:before="2"/>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2660"/>
        <w:gridCol w:w="1559"/>
        <w:gridCol w:w="850"/>
        <w:gridCol w:w="1417"/>
        <w:gridCol w:w="710"/>
        <w:gridCol w:w="1527"/>
      </w:tblGrid>
      <w:tr>
        <w:trPr>
          <w:trHeight w:val="425" w:hRule="exact"/>
        </w:trPr>
        <w:tc>
          <w:tcPr>
            <w:tcW w:w="266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063"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660" w:type="dxa"/>
            <w:vMerge/>
            <w:tcBorders>
              <w:left w:val="nil" w:sz="6" w:space="0" w:color="auto"/>
              <w:right w:val="single" w:sz="4" w:space="0" w:color="000000"/>
            </w:tcBorders>
          </w:tcPr>
          <w:p>
            <w:pPr/>
          </w:p>
        </w:tc>
        <w:tc>
          <w:tcPr>
            <w:tcW w:w="2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66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24" w:right="75" w:hanging="44"/>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27" w:type="dxa"/>
            <w:vMerge/>
            <w:tcBorders>
              <w:left w:val="single" w:sz="4" w:space="0" w:color="000000"/>
              <w:bottom w:val="single" w:sz="4" w:space="0" w:color="000000"/>
              <w:right w:val="nil" w:sz="6" w:space="0" w:color="auto"/>
            </w:tcBorders>
          </w:tcPr>
          <w:p>
            <w:pP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53" w:right="4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9,442,700.06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10.73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0"/>
              <w:jc w:val="right"/>
              <w:rPr>
                <w:rFonts w:ascii="宋体" w:hAnsi="宋体" w:cs="宋体" w:eastAsia="宋体" w:hint="default"/>
                <w:sz w:val="18"/>
                <w:szCs w:val="18"/>
              </w:rPr>
            </w:pPr>
            <w:r>
              <w:rPr>
                <w:rFonts w:ascii="宋体"/>
                <w:spacing w:val="-1"/>
                <w:sz w:val="18"/>
              </w:rPr>
              <w:t>9,442,700.06</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53" w:right="48"/>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6"/>
              <w:jc w:val="right"/>
              <w:rPr>
                <w:rFonts w:ascii="宋体" w:hAnsi="宋体" w:cs="宋体" w:eastAsia="宋体" w:hint="default"/>
                <w:sz w:val="18"/>
                <w:szCs w:val="18"/>
              </w:rPr>
            </w:pPr>
            <w:r>
              <w:rPr>
                <w:rFonts w:ascii="宋体"/>
                <w:spacing w:val="-1"/>
                <w:sz w:val="18"/>
              </w:rPr>
              <w:t>78,572,654.21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6"/>
              <w:jc w:val="right"/>
              <w:rPr>
                <w:rFonts w:ascii="宋体" w:hAnsi="宋体" w:cs="宋体" w:eastAsia="宋体" w:hint="default"/>
                <w:sz w:val="18"/>
                <w:szCs w:val="18"/>
              </w:rPr>
            </w:pPr>
            <w:r>
              <w:rPr>
                <w:rFonts w:ascii="宋体"/>
                <w:spacing w:val="-1"/>
                <w:sz w:val="18"/>
              </w:rPr>
              <w:t>89.27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
              <w:jc w:val="right"/>
              <w:rPr>
                <w:rFonts w:ascii="宋体" w:hAnsi="宋体" w:cs="宋体" w:eastAsia="宋体" w:hint="default"/>
                <w:sz w:val="18"/>
                <w:szCs w:val="18"/>
              </w:rPr>
            </w:pPr>
            <w:r>
              <w:rPr>
                <w:rFonts w:ascii="宋体"/>
                <w:spacing w:val="-1"/>
                <w:sz w:val="18"/>
              </w:rPr>
              <w:t>3,370,792.42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
              <w:jc w:val="right"/>
              <w:rPr>
                <w:rFonts w:ascii="宋体" w:hAnsi="宋体" w:cs="宋体" w:eastAsia="宋体" w:hint="default"/>
                <w:sz w:val="18"/>
                <w:szCs w:val="18"/>
              </w:rPr>
            </w:pPr>
            <w:r>
              <w:rPr>
                <w:rFonts w:ascii="宋体"/>
                <w:sz w:val="18"/>
              </w:rPr>
              <w:t>4.29</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52"/>
              <w:jc w:val="right"/>
              <w:rPr>
                <w:rFonts w:ascii="宋体" w:hAnsi="宋体" w:cs="宋体" w:eastAsia="宋体" w:hint="default"/>
                <w:sz w:val="18"/>
                <w:szCs w:val="18"/>
              </w:rPr>
            </w:pPr>
            <w:r>
              <w:rPr>
                <w:rFonts w:ascii="宋体"/>
                <w:spacing w:val="-1"/>
                <w:sz w:val="18"/>
              </w:rPr>
              <w:t>75,201,861.79</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3" w:right="4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266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34"/>
              <w:jc w:val="right"/>
              <w:rPr>
                <w:rFonts w:ascii="宋体" w:hAnsi="宋体" w:cs="宋体" w:eastAsia="宋体" w:hint="default"/>
                <w:sz w:val="18"/>
                <w:szCs w:val="18"/>
              </w:rPr>
            </w:pPr>
            <w:r>
              <w:rPr>
                <w:rFonts w:ascii="宋体"/>
                <w:b/>
                <w:w w:val="95"/>
                <w:sz w:val="18"/>
              </w:rPr>
              <w:t>88,015,354.27</w:t>
            </w:r>
            <w:r>
              <w:rPr>
                <w:rFonts w:ascii="宋体"/>
                <w:sz w:val="18"/>
              </w:rPr>
            </w:r>
          </w:p>
        </w:tc>
        <w:tc>
          <w:tcPr>
            <w:tcW w:w="8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42"/>
              <w:jc w:val="right"/>
              <w:rPr>
                <w:rFonts w:ascii="宋体" w:hAnsi="宋体" w:cs="宋体" w:eastAsia="宋体" w:hint="default"/>
                <w:sz w:val="18"/>
                <w:szCs w:val="18"/>
              </w:rPr>
            </w:pPr>
            <w:r>
              <w:rPr>
                <w:rFonts w:ascii="宋体"/>
                <w:b/>
                <w:sz w:val="18"/>
              </w:rPr>
              <w:t>100.00</w:t>
            </w:r>
            <w:r>
              <w:rPr>
                <w:rFonts w:ascii="宋体"/>
                <w:sz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35"/>
              <w:jc w:val="right"/>
              <w:rPr>
                <w:rFonts w:ascii="宋体" w:hAnsi="宋体" w:cs="宋体" w:eastAsia="宋体" w:hint="default"/>
                <w:sz w:val="18"/>
                <w:szCs w:val="18"/>
              </w:rPr>
            </w:pPr>
            <w:r>
              <w:rPr>
                <w:rFonts w:ascii="宋体"/>
                <w:b/>
                <w:w w:val="95"/>
                <w:sz w:val="18"/>
              </w:rPr>
              <w:t>3,370,792.42</w:t>
            </w:r>
            <w:r>
              <w:rPr>
                <w:rFonts w:ascii="宋体"/>
                <w:sz w:val="18"/>
              </w:rPr>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42"/>
              <w:jc w:val="right"/>
              <w:rPr>
                <w:rFonts w:ascii="宋体" w:hAnsi="宋体" w:cs="宋体" w:eastAsia="宋体" w:hint="default"/>
                <w:sz w:val="18"/>
                <w:szCs w:val="18"/>
              </w:rPr>
            </w:pPr>
            <w:r>
              <w:rPr>
                <w:rFonts w:ascii="宋体"/>
                <w:b/>
                <w:sz w:val="18"/>
              </w:rPr>
              <w:t>3.83</w:t>
            </w:r>
            <w:r>
              <w:rPr>
                <w:rFonts w:ascii="宋体"/>
                <w:sz w:val="18"/>
              </w:rPr>
            </w:r>
          </w:p>
        </w:tc>
        <w:tc>
          <w:tcPr>
            <w:tcW w:w="152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b/>
                <w:w w:val="95"/>
                <w:sz w:val="18"/>
              </w:rPr>
              <w:t>84,644,561.85</w:t>
            </w:r>
            <w:r>
              <w:rPr>
                <w:rFonts w:ascii="宋体"/>
                <w:sz w:val="18"/>
              </w:rPr>
            </w:r>
          </w:p>
        </w:tc>
      </w:tr>
    </w:tbl>
    <w:p>
      <w:pPr>
        <w:spacing w:line="240" w:lineRule="auto" w:before="3"/>
        <w:rPr>
          <w:rFonts w:ascii="宋体" w:hAnsi="宋体" w:cs="宋体" w:eastAsia="宋体" w:hint="default"/>
          <w:sz w:val="9"/>
          <w:szCs w:val="9"/>
        </w:rPr>
      </w:pPr>
    </w:p>
    <w:p>
      <w:pPr>
        <w:pStyle w:val="BodyText"/>
        <w:spacing w:line="240" w:lineRule="auto"/>
        <w:ind w:left="532" w:right="110"/>
        <w:jc w:val="left"/>
      </w:pPr>
      <w:r>
        <w:rPr/>
        <w:t>1）</w:t>
      </w:r>
      <w:r>
        <w:rPr>
          <w:spacing w:val="-35"/>
        </w:rPr>
        <w:t> </w:t>
      </w:r>
      <w:r>
        <w:rPr/>
        <w:t>年末单项金额重大并单独计提坏账准备的其他应收款</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897"/>
        <w:gridCol w:w="1595"/>
        <w:gridCol w:w="1305"/>
        <w:gridCol w:w="1595"/>
        <w:gridCol w:w="2331"/>
      </w:tblGrid>
      <w:tr>
        <w:trPr>
          <w:trHeight w:val="415" w:hRule="exact"/>
        </w:trPr>
        <w:tc>
          <w:tcPr>
            <w:tcW w:w="1897"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82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897" w:type="dxa"/>
            <w:vMerge/>
            <w:tcBorders>
              <w:left w:val="nil" w:sz="6" w:space="0" w:color="auto"/>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3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8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2"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关税及增值税</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pacing w:val="-1"/>
                <w:sz w:val="18"/>
              </w:rPr>
              <w:t>3,940,826.30</w:t>
            </w:r>
          </w:p>
        </w:tc>
        <w:tc>
          <w:tcPr>
            <w:tcW w:w="130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2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税金，不存在风险</w:t>
            </w:r>
          </w:p>
        </w:tc>
      </w:tr>
      <w:tr>
        <w:trPr>
          <w:trHeight w:val="402"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5"/>
              <w:jc w:val="right"/>
              <w:rPr>
                <w:rFonts w:ascii="宋体" w:hAnsi="宋体" w:cs="宋体" w:eastAsia="宋体" w:hint="default"/>
                <w:sz w:val="18"/>
                <w:szCs w:val="18"/>
              </w:rPr>
            </w:pPr>
            <w:r>
              <w:rPr>
                <w:rFonts w:ascii="宋体"/>
                <w:spacing w:val="-1"/>
                <w:sz w:val="18"/>
              </w:rPr>
              <w:t>4,955,400.62</w:t>
            </w:r>
          </w:p>
        </w:tc>
        <w:tc>
          <w:tcPr>
            <w:tcW w:w="130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2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出口退税，不存在风险</w:t>
            </w:r>
          </w:p>
        </w:tc>
      </w:tr>
      <w:tr>
        <w:trPr>
          <w:trHeight w:val="414" w:hRule="exact"/>
        </w:trPr>
        <w:tc>
          <w:tcPr>
            <w:tcW w:w="18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b/>
                <w:w w:val="95"/>
                <w:sz w:val="18"/>
              </w:rPr>
              <w:t>8,896,226.92</w:t>
            </w:r>
            <w:r>
              <w:rPr>
                <w:rFonts w:ascii="宋体"/>
                <w:sz w:val="18"/>
              </w:rPr>
            </w:r>
          </w:p>
        </w:tc>
        <w:tc>
          <w:tcPr>
            <w:tcW w:w="1305" w:type="dxa"/>
            <w:tcBorders>
              <w:top w:val="single" w:sz="2" w:space="0" w:color="000000"/>
              <w:left w:val="single" w:sz="2" w:space="0" w:color="000000"/>
              <w:bottom w:val="single" w:sz="12" w:space="0" w:color="000000"/>
              <w:right w:val="single" w:sz="2" w:space="0" w:color="000000"/>
            </w:tcBorders>
          </w:tcPr>
          <w:p>
            <w:pP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233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ind w:left="532" w:right="110"/>
        <w:jc w:val="left"/>
      </w:pPr>
      <w:r>
        <w:rPr/>
        <w:t>2）</w:t>
      </w:r>
      <w:r>
        <w:rPr>
          <w:spacing w:val="-35"/>
        </w:rPr>
        <w:t> </w:t>
      </w:r>
      <w:r>
        <w:rPr/>
        <w:t>组合中，按账龄分析法计提坏账准备的其他应收款</w:t>
      </w:r>
    </w:p>
    <w:p>
      <w:pPr>
        <w:spacing w:after="0" w:line="240" w:lineRule="auto"/>
        <w:jc w:val="left"/>
        <w:sectPr>
          <w:pgSz w:w="11910" w:h="16840"/>
          <w:pgMar w:header="852" w:footer="873" w:top="1440" w:bottom="1060" w:left="1020" w:right="1020"/>
        </w:sectPr>
      </w:pPr>
    </w:p>
    <w:p>
      <w:pPr>
        <w:spacing w:line="240" w:lineRule="auto" w:before="3"/>
        <w:rPr>
          <w:rFonts w:ascii="宋体" w:hAnsi="宋体" w:cs="宋体" w:eastAsia="宋体" w:hint="default"/>
          <w:sz w:val="18"/>
          <w:szCs w:val="18"/>
        </w:rPr>
      </w:pPr>
    </w:p>
    <w:tbl>
      <w:tblPr>
        <w:tblW w:w="0" w:type="auto"/>
        <w:jc w:val="left"/>
        <w:tblInd w:w="558" w:type="dxa"/>
        <w:tblLayout w:type="fixed"/>
        <w:tblCellMar>
          <w:top w:w="0" w:type="dxa"/>
          <w:left w:w="0" w:type="dxa"/>
          <w:bottom w:w="0" w:type="dxa"/>
          <w:right w:w="0" w:type="dxa"/>
        </w:tblCellMar>
        <w:tblLook w:val="01E0"/>
      </w:tblPr>
      <w:tblGrid>
        <w:gridCol w:w="2959"/>
        <w:gridCol w:w="1982"/>
        <w:gridCol w:w="1884"/>
        <w:gridCol w:w="1898"/>
      </w:tblGrid>
      <w:tr>
        <w:trPr>
          <w:trHeight w:val="417" w:hRule="exact"/>
        </w:trPr>
        <w:tc>
          <w:tcPr>
            <w:tcW w:w="295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7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59" w:type="dxa"/>
            <w:vMerge/>
            <w:tcBorders>
              <w:left w:val="nil" w:sz="6" w:space="0" w:color="auto"/>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35"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70,171,041.87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701,710.41</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14,971,361.40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1,497,136.14</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1"/>
                <w:sz w:val="22"/>
              </w:rPr>
              <w:t>10.00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2,223,777.46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667,133.24</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30.00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2,221,085.58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2,221,085.58</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1"/>
                <w:sz w:val="22"/>
              </w:rPr>
              <w:t>100.00</w:t>
            </w:r>
          </w:p>
        </w:tc>
      </w:tr>
      <w:tr>
        <w:trPr>
          <w:trHeight w:val="417" w:hRule="exact"/>
        </w:trPr>
        <w:tc>
          <w:tcPr>
            <w:tcW w:w="29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89,587,266.31</w:t>
            </w:r>
            <w:r>
              <w:rPr>
                <w:rFonts w:ascii="宋体"/>
                <w:spacing w:val="-1"/>
                <w:sz w:val="22"/>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5,087,065.37</w:t>
            </w:r>
            <w:r>
              <w:rPr>
                <w:rFonts w:ascii="宋体"/>
                <w:spacing w:val="-1"/>
                <w:sz w:val="22"/>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400" w:lineRule="auto"/>
        <w:ind w:left="532" w:right="3499"/>
        <w:jc w:val="left"/>
      </w:pPr>
      <w:r>
        <w:rPr>
          <w:spacing w:val="-2"/>
        </w:rPr>
        <w:t>注：该组合系以应收款项的账龄为信用风险特征划分组合。</w:t>
      </w:r>
      <w:r>
        <w:rPr>
          <w:spacing w:val="-73"/>
        </w:rPr>
        <w:t> </w:t>
      </w:r>
      <w:r>
        <w:rPr>
          <w:spacing w:val="-73"/>
        </w:rPr>
      </w:r>
      <w:r>
        <w:rPr/>
        <w:t>3）</w:t>
      </w:r>
      <w:r>
        <w:rPr>
          <w:spacing w:val="-35"/>
        </w:rPr>
        <w:t> </w:t>
      </w:r>
      <w:r>
        <w:rPr/>
        <w:t>组合中，采用其他方法计提坏账准备的其他应收款</w:t>
      </w:r>
    </w:p>
    <w:tbl>
      <w:tblPr>
        <w:tblW w:w="0" w:type="auto"/>
        <w:jc w:val="left"/>
        <w:tblInd w:w="558" w:type="dxa"/>
        <w:tblLayout w:type="fixed"/>
        <w:tblCellMar>
          <w:top w:w="0" w:type="dxa"/>
          <w:left w:w="0" w:type="dxa"/>
          <w:bottom w:w="0" w:type="dxa"/>
          <w:right w:w="0" w:type="dxa"/>
        </w:tblCellMar>
        <w:tblLook w:val="01E0"/>
      </w:tblPr>
      <w:tblGrid>
        <w:gridCol w:w="2912"/>
        <w:gridCol w:w="2029"/>
        <w:gridCol w:w="1884"/>
        <w:gridCol w:w="1898"/>
      </w:tblGrid>
      <w:tr>
        <w:trPr>
          <w:trHeight w:val="417" w:hRule="exact"/>
        </w:trPr>
        <w:tc>
          <w:tcPr>
            <w:tcW w:w="291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12" w:type="dxa"/>
            <w:vMerge/>
            <w:tcBorders>
              <w:left w:val="nil" w:sz="6" w:space="0" w:color="auto"/>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58"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693,328.12</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0.00</w:t>
            </w:r>
          </w:p>
        </w:tc>
      </w:tr>
      <w:tr>
        <w:trPr>
          <w:trHeight w:val="417" w:hRule="exact"/>
        </w:trPr>
        <w:tc>
          <w:tcPr>
            <w:tcW w:w="29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92"/>
              <w:jc w:val="right"/>
              <w:rPr>
                <w:rFonts w:ascii="宋体" w:hAnsi="宋体" w:cs="宋体" w:eastAsia="宋体" w:hint="default"/>
                <w:sz w:val="22"/>
                <w:szCs w:val="22"/>
              </w:rPr>
            </w:pPr>
            <w:r>
              <w:rPr>
                <w:rFonts w:ascii="宋体"/>
                <w:b/>
                <w:spacing w:val="-1"/>
                <w:sz w:val="22"/>
              </w:rPr>
              <w:t>693,328.12</w:t>
            </w:r>
            <w:r>
              <w:rPr>
                <w:rFonts w:ascii="宋体"/>
                <w:spacing w:val="-1"/>
                <w:sz w:val="22"/>
              </w:rPr>
            </w:r>
          </w:p>
        </w:tc>
        <w:tc>
          <w:tcPr>
            <w:tcW w:w="1884"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2"/>
        <w:rPr>
          <w:rFonts w:ascii="宋体" w:hAnsi="宋体" w:cs="宋体" w:eastAsia="宋体" w:hint="default"/>
          <w:sz w:val="10"/>
          <w:szCs w:val="10"/>
        </w:rPr>
      </w:pPr>
    </w:p>
    <w:p>
      <w:pPr>
        <w:pStyle w:val="BodyText"/>
        <w:spacing w:line="300" w:lineRule="auto"/>
        <w:ind w:right="0" w:firstLine="441"/>
        <w:jc w:val="left"/>
      </w:pPr>
      <w:r>
        <w:rPr>
          <w:spacing w:val="-3"/>
        </w:rPr>
        <w:t>注：关联方组合系以应收款项交易对象为信用风险特征划分组合。本公司应收关联方账款列入本</w:t>
      </w:r>
      <w:r>
        <w:rPr>
          <w:w w:val="100"/>
        </w:rPr>
        <w:t> </w:t>
      </w:r>
      <w:r>
        <w:rPr/>
        <w:t>组合。</w:t>
      </w:r>
    </w:p>
    <w:p>
      <w:pPr>
        <w:pStyle w:val="BodyText"/>
        <w:spacing w:line="400" w:lineRule="auto" w:before="137"/>
        <w:ind w:left="554" w:right="3499" w:hanging="15"/>
        <w:jc w:val="left"/>
      </w:pPr>
      <w:r>
        <w:rPr>
          <w:spacing w:val="-2"/>
        </w:rPr>
        <w:t>（2）</w:t>
      </w:r>
      <w:r>
        <w:rPr>
          <w:spacing w:val="-70"/>
        </w:rPr>
        <w:t> </w:t>
      </w:r>
      <w:r>
        <w:rPr>
          <w:spacing w:val="-2"/>
        </w:rPr>
        <w:t>本年度计提、转回（或收回）坏账准备情况</w:t>
      </w:r>
      <w:r>
        <w:rPr>
          <w:spacing w:val="-96"/>
        </w:rPr>
        <w:t> </w:t>
      </w:r>
      <w:r>
        <w:rPr>
          <w:spacing w:val="-96"/>
        </w:rPr>
      </w:r>
      <w:r>
        <w:rPr/>
        <w:t>本年计提坏账准备金额</w:t>
      </w:r>
      <w:r>
        <w:rPr>
          <w:spacing w:val="-64"/>
        </w:rPr>
        <w:t> </w:t>
      </w:r>
      <w:r>
        <w:rPr/>
        <w:t>1,716,272.95</w:t>
      </w:r>
      <w:r>
        <w:rPr>
          <w:spacing w:val="-64"/>
        </w:rPr>
        <w:t> </w:t>
      </w:r>
      <w:r>
        <w:rPr/>
        <w:t>元。</w:t>
      </w:r>
    </w:p>
    <w:p>
      <w:pPr>
        <w:pStyle w:val="BodyText"/>
        <w:spacing w:line="400" w:lineRule="auto" w:before="44"/>
        <w:ind w:left="554" w:right="6023" w:hanging="15"/>
        <w:jc w:val="left"/>
      </w:pPr>
      <w:r>
        <w:rPr/>
        <w:t>（3）</w:t>
      </w:r>
      <w:r>
        <w:rPr>
          <w:spacing w:val="-93"/>
        </w:rPr>
        <w:t> </w:t>
      </w:r>
      <w:r>
        <w:rPr/>
        <w:t>本年度实际核销的其他应收款</w:t>
      </w:r>
      <w:r>
        <w:rPr>
          <w:w w:val="100"/>
        </w:rPr>
        <w:t> </w:t>
      </w:r>
      <w:r>
        <w:rPr/>
        <w:t>无。</w:t>
      </w:r>
    </w:p>
    <w:p>
      <w:pPr>
        <w:pStyle w:val="BodyText"/>
        <w:spacing w:line="240" w:lineRule="auto" w:before="44"/>
        <w:ind w:left="540" w:right="0"/>
        <w:jc w:val="left"/>
      </w:pPr>
      <w:r>
        <w:rPr>
          <w:spacing w:val="-2"/>
        </w:rPr>
        <w:t>（4）</w:t>
      </w:r>
      <w:r>
        <w:rPr>
          <w:spacing w:val="-62"/>
        </w:rPr>
        <w:t> </w:t>
      </w:r>
      <w:r>
        <w:rPr>
          <w:spacing w:val="-2"/>
        </w:rPr>
        <w:t>其他应收款按款项性质分类情况</w:t>
      </w:r>
    </w:p>
    <w:p>
      <w:pPr>
        <w:spacing w:line="240" w:lineRule="auto" w:before="4"/>
        <w:rPr>
          <w:rFonts w:ascii="宋体" w:hAnsi="宋体" w:cs="宋体" w:eastAsia="宋体"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07"/>
        <w:gridCol w:w="2908"/>
        <w:gridCol w:w="2908"/>
      </w:tblGrid>
      <w:tr>
        <w:trPr>
          <w:trHeight w:val="415" w:hRule="exact"/>
        </w:trPr>
        <w:tc>
          <w:tcPr>
            <w:tcW w:w="29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791"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792" w:right="0"/>
              <w:jc w:val="left"/>
              <w:rPr>
                <w:rFonts w:ascii="宋体" w:hAnsi="宋体" w:cs="宋体" w:eastAsia="宋体" w:hint="default"/>
                <w:sz w:val="22"/>
                <w:szCs w:val="22"/>
              </w:rPr>
            </w:pPr>
            <w:r>
              <w:rPr>
                <w:rFonts w:ascii="宋体" w:hAnsi="宋体" w:cs="宋体" w:eastAsia="宋体" w:hint="default"/>
                <w:b/>
                <w:bCs/>
                <w:sz w:val="22"/>
                <w:szCs w:val="22"/>
              </w:rPr>
              <w:t>年初账面余额</w:t>
            </w:r>
            <w:r>
              <w:rPr>
                <w:rFonts w:ascii="宋体" w:hAnsi="宋体" w:cs="宋体" w:eastAsia="宋体" w:hint="default"/>
                <w:sz w:val="22"/>
                <w:szCs w:val="22"/>
              </w:rPr>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46,720,714.55</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
              <w:jc w:val="right"/>
              <w:rPr>
                <w:rFonts w:ascii="宋体" w:hAnsi="宋体" w:cs="宋体" w:eastAsia="宋体" w:hint="default"/>
                <w:sz w:val="22"/>
                <w:szCs w:val="22"/>
              </w:rPr>
            </w:pPr>
            <w:r>
              <w:rPr>
                <w:rFonts w:ascii="宋体"/>
                <w:spacing w:val="-2"/>
                <w:sz w:val="22"/>
              </w:rPr>
              <w:t>40,091,487.78</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27,271,121.60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spacing w:val="-2"/>
                <w:sz w:val="22"/>
              </w:rPr>
              <w:t>29,312,053.59</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72,289.60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3,006,825.15</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15,931,601.51</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4,437,439.55</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8,896,226.92</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9,442,700.06</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2908" w:type="dxa"/>
            <w:tcBorders>
              <w:top w:val="single" w:sz="2" w:space="0" w:color="000000"/>
              <w:left w:val="single" w:sz="2" w:space="0" w:color="000000"/>
              <w:bottom w:val="single" w:sz="2" w:space="0" w:color="000000"/>
              <w:right w:val="single" w:sz="2" w:space="0" w:color="000000"/>
            </w:tcBorders>
          </w:tcPr>
          <w:p>
            <w:pP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1,674,050.00</w:t>
            </w:r>
          </w:p>
        </w:tc>
      </w:tr>
      <w:tr>
        <w:trPr>
          <w:trHeight w:val="402" w:hRule="exact"/>
        </w:trPr>
        <w:tc>
          <w:tcPr>
            <w:tcW w:w="29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284,867.17</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50,798.14</w:t>
            </w:r>
          </w:p>
        </w:tc>
      </w:tr>
      <w:tr>
        <w:trPr>
          <w:trHeight w:val="414" w:hRule="exact"/>
        </w:trPr>
        <w:tc>
          <w:tcPr>
            <w:tcW w:w="29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1"/>
              <w:jc w:val="right"/>
              <w:rPr>
                <w:rFonts w:ascii="宋体" w:hAnsi="宋体" w:cs="宋体" w:eastAsia="宋体" w:hint="default"/>
                <w:sz w:val="22"/>
                <w:szCs w:val="22"/>
              </w:rPr>
            </w:pPr>
            <w:r>
              <w:rPr>
                <w:rFonts w:ascii="宋体"/>
                <w:b/>
                <w:spacing w:val="-1"/>
                <w:sz w:val="22"/>
              </w:rPr>
              <w:t>99,176,821.35</w:t>
            </w:r>
            <w:r>
              <w:rPr>
                <w:rFonts w:ascii="宋体"/>
                <w:spacing w:val="-1"/>
                <w:sz w:val="22"/>
              </w:rPr>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3"/>
              <w:jc w:val="right"/>
              <w:rPr>
                <w:rFonts w:ascii="宋体" w:hAnsi="宋体" w:cs="宋体" w:eastAsia="宋体" w:hint="default"/>
                <w:sz w:val="22"/>
                <w:szCs w:val="22"/>
              </w:rPr>
            </w:pPr>
            <w:r>
              <w:rPr>
                <w:rFonts w:ascii="宋体"/>
                <w:b/>
                <w:spacing w:val="-1"/>
                <w:sz w:val="22"/>
              </w:rPr>
              <w:t>88,015,354.27</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540" w:right="0"/>
        <w:jc w:val="left"/>
      </w:pPr>
      <w:r>
        <w:rPr>
          <w:spacing w:val="-2"/>
        </w:rPr>
        <w:t>（5）</w:t>
      </w:r>
      <w:r>
        <w:rPr>
          <w:spacing w:val="-50"/>
        </w:rPr>
        <w:t> </w:t>
      </w:r>
      <w:r>
        <w:rPr>
          <w:spacing w:val="-2"/>
        </w:rPr>
        <w:t>按欠款方归集的年末余额前五名的其他应收款情况：</w:t>
      </w:r>
    </w:p>
    <w:p>
      <w:pPr>
        <w:spacing w:after="0" w:line="240" w:lineRule="auto"/>
        <w:jc w:val="left"/>
        <w:sectPr>
          <w:pgSz w:w="11910" w:h="16840"/>
          <w:pgMar w:header="852" w:footer="873" w:top="1440" w:bottom="1060" w:left="1020" w:right="880"/>
        </w:sectPr>
      </w:pPr>
    </w:p>
    <w:p>
      <w:pPr>
        <w:spacing w:line="240" w:lineRule="auto" w:before="3"/>
        <w:rPr>
          <w:rFonts w:ascii="宋体" w:hAnsi="宋体" w:cs="宋体" w:eastAsia="宋体" w:hint="default"/>
          <w:sz w:val="18"/>
          <w:szCs w:val="18"/>
        </w:rPr>
      </w:pPr>
    </w:p>
    <w:tbl>
      <w:tblPr>
        <w:tblW w:w="0" w:type="auto"/>
        <w:jc w:val="left"/>
        <w:tblInd w:w="451" w:type="dxa"/>
        <w:tblLayout w:type="fixed"/>
        <w:tblCellMar>
          <w:top w:w="0" w:type="dxa"/>
          <w:left w:w="0" w:type="dxa"/>
          <w:bottom w:w="0" w:type="dxa"/>
          <w:right w:w="0" w:type="dxa"/>
        </w:tblCellMar>
        <w:tblLook w:val="01E0"/>
      </w:tblPr>
      <w:tblGrid>
        <w:gridCol w:w="1173"/>
        <w:gridCol w:w="1851"/>
        <w:gridCol w:w="1617"/>
        <w:gridCol w:w="1133"/>
        <w:gridCol w:w="1598"/>
        <w:gridCol w:w="1564"/>
      </w:tblGrid>
      <w:tr>
        <w:trPr>
          <w:trHeight w:val="954" w:hRule="exact"/>
        </w:trPr>
        <w:tc>
          <w:tcPr>
            <w:tcW w:w="11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16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9"/>
              <w:ind w:left="105" w:right="98"/>
              <w:jc w:val="both"/>
              <w:rPr>
                <w:rFonts w:ascii="宋体" w:hAnsi="宋体" w:cs="宋体" w:eastAsia="宋体" w:hint="default"/>
                <w:sz w:val="22"/>
                <w:szCs w:val="22"/>
              </w:rPr>
            </w:pPr>
            <w:r>
              <w:rPr>
                <w:rFonts w:ascii="宋体" w:hAnsi="宋体" w:cs="宋体" w:eastAsia="宋体" w:hint="default"/>
                <w:b/>
                <w:bCs/>
                <w:spacing w:val="9"/>
                <w:sz w:val="22"/>
                <w:szCs w:val="22"/>
              </w:rPr>
              <w:t>占其他应收款</w:t>
            </w:r>
            <w:r>
              <w:rPr>
                <w:rFonts w:ascii="宋体" w:hAnsi="宋体" w:cs="宋体" w:eastAsia="宋体" w:hint="default"/>
                <w:b/>
                <w:bCs/>
                <w:spacing w:val="-107"/>
                <w:sz w:val="22"/>
                <w:szCs w:val="22"/>
              </w:rPr>
              <w:t> </w:t>
            </w:r>
            <w:r>
              <w:rPr>
                <w:rFonts w:ascii="宋体" w:hAnsi="宋体" w:cs="宋体" w:eastAsia="宋体" w:hint="default"/>
                <w:b/>
                <w:bCs/>
                <w:spacing w:val="-107"/>
                <w:sz w:val="22"/>
                <w:szCs w:val="22"/>
              </w:rPr>
            </w:r>
            <w:r>
              <w:rPr>
                <w:rFonts w:ascii="宋体" w:hAnsi="宋体" w:cs="宋体" w:eastAsia="宋体" w:hint="default"/>
                <w:b/>
                <w:bCs/>
                <w:spacing w:val="9"/>
                <w:sz w:val="22"/>
                <w:szCs w:val="22"/>
              </w:rPr>
              <w:t>年末余额合计</w:t>
            </w:r>
            <w:r>
              <w:rPr>
                <w:rFonts w:ascii="宋体" w:hAnsi="宋体" w:cs="宋体" w:eastAsia="宋体" w:hint="default"/>
                <w:b/>
                <w:bCs/>
                <w:spacing w:val="-107"/>
                <w:sz w:val="22"/>
                <w:szCs w:val="22"/>
              </w:rPr>
              <w:t> </w:t>
            </w:r>
            <w:r>
              <w:rPr>
                <w:rFonts w:ascii="宋体" w:hAnsi="宋体" w:cs="宋体" w:eastAsia="宋体" w:hint="default"/>
                <w:b/>
                <w:bCs/>
                <w:spacing w:val="-107"/>
                <w:sz w:val="22"/>
                <w:szCs w:val="22"/>
              </w:rPr>
            </w:r>
            <w:r>
              <w:rPr>
                <w:rFonts w:ascii="宋体" w:hAnsi="宋体" w:cs="宋体" w:eastAsia="宋体" w:hint="default"/>
                <w:b/>
                <w:bCs/>
                <w:sz w:val="22"/>
                <w:szCs w:val="22"/>
              </w:rPr>
              <w:t>数的比例(%)</w:t>
            </w:r>
            <w:r>
              <w:rPr>
                <w:rFonts w:ascii="宋体" w:hAnsi="宋体" w:cs="宋体" w:eastAsia="宋体" w:hint="default"/>
                <w:sz w:val="22"/>
                <w:szCs w:val="22"/>
              </w:rPr>
            </w:r>
          </w:p>
        </w:tc>
        <w:tc>
          <w:tcPr>
            <w:tcW w:w="1564"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176"/>
              <w:ind w:left="559" w:right="114" w:hanging="440"/>
              <w:jc w:val="left"/>
              <w:rPr>
                <w:rFonts w:ascii="宋体" w:hAnsi="宋体" w:cs="宋体" w:eastAsia="宋体" w:hint="default"/>
                <w:sz w:val="22"/>
                <w:szCs w:val="22"/>
              </w:rPr>
            </w:pPr>
            <w:r>
              <w:rPr>
                <w:rFonts w:ascii="宋体" w:hAnsi="宋体" w:cs="宋体" w:eastAsia="宋体" w:hint="default"/>
                <w:b/>
                <w:bCs/>
                <w:sz w:val="22"/>
                <w:szCs w:val="22"/>
              </w:rPr>
              <w:t>坏账准备年末</w:t>
            </w:r>
            <w:r>
              <w:rPr>
                <w:rFonts w:ascii="宋体" w:hAnsi="宋体" w:cs="宋体" w:eastAsia="宋体" w:hint="default"/>
                <w:b/>
                <w:bCs/>
                <w:w w:val="100"/>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r>
      <w:tr>
        <w:trPr>
          <w:trHeight w:val="404" w:hRule="exact"/>
        </w:trPr>
        <w:tc>
          <w:tcPr>
            <w:tcW w:w="1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71"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1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大客户部备用金</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8,092,549.21</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0-3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1"/>
                <w:sz w:val="22"/>
              </w:rPr>
              <w:t>8.16</w:t>
            </w:r>
          </w:p>
        </w:tc>
        <w:tc>
          <w:tcPr>
            <w:tcW w:w="15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353" w:right="0"/>
              <w:jc w:val="left"/>
              <w:rPr>
                <w:rFonts w:ascii="宋体" w:hAnsi="宋体" w:cs="宋体" w:eastAsia="宋体" w:hint="default"/>
                <w:sz w:val="22"/>
                <w:szCs w:val="22"/>
              </w:rPr>
            </w:pPr>
            <w:r>
              <w:rPr>
                <w:rFonts w:ascii="宋体"/>
                <w:sz w:val="22"/>
              </w:rPr>
              <w:t>679,665.19</w:t>
            </w:r>
          </w:p>
        </w:tc>
      </w:tr>
      <w:tr>
        <w:trPr>
          <w:trHeight w:val="404" w:hRule="exact"/>
        </w:trPr>
        <w:tc>
          <w:tcPr>
            <w:tcW w:w="1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1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应收出口退税</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4,955,400.62</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1"/>
                <w:sz w:val="22"/>
              </w:rPr>
              <w:t>5.00</w:t>
            </w:r>
          </w:p>
        </w:tc>
        <w:tc>
          <w:tcPr>
            <w:tcW w:w="156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1"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1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05" w:right="0"/>
              <w:jc w:val="left"/>
              <w:rPr>
                <w:rFonts w:ascii="宋体" w:hAnsi="宋体" w:cs="宋体" w:eastAsia="宋体" w:hint="default"/>
                <w:sz w:val="22"/>
                <w:szCs w:val="22"/>
              </w:rPr>
            </w:pPr>
            <w:r>
              <w:rPr>
                <w:rFonts w:ascii="宋体" w:hAnsi="宋体" w:cs="宋体" w:eastAsia="宋体" w:hint="default"/>
                <w:sz w:val="22"/>
                <w:szCs w:val="22"/>
              </w:rPr>
              <w:t>关税及增值税</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3,716,384.54</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3.75</w:t>
            </w:r>
          </w:p>
        </w:tc>
        <w:tc>
          <w:tcPr>
            <w:tcW w:w="156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71"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1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交易保证金</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3,608,391.24</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1"/>
                <w:sz w:val="22"/>
              </w:rPr>
              <w:t>3.64</w:t>
            </w:r>
          </w:p>
        </w:tc>
        <w:tc>
          <w:tcPr>
            <w:tcW w:w="15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56,676.20</w:t>
            </w:r>
          </w:p>
        </w:tc>
      </w:tr>
      <w:tr>
        <w:trPr>
          <w:trHeight w:val="404" w:hRule="exact"/>
        </w:trPr>
        <w:tc>
          <w:tcPr>
            <w:tcW w:w="1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71"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1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2,491,580.00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0-3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1"/>
                <w:sz w:val="22"/>
              </w:rPr>
              <w:t>2.51</w:t>
            </w:r>
          </w:p>
        </w:tc>
        <w:tc>
          <w:tcPr>
            <w:tcW w:w="15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53" w:right="0"/>
              <w:jc w:val="left"/>
              <w:rPr>
                <w:rFonts w:ascii="宋体" w:hAnsi="宋体" w:cs="宋体" w:eastAsia="宋体" w:hint="default"/>
                <w:sz w:val="22"/>
                <w:szCs w:val="22"/>
              </w:rPr>
            </w:pPr>
            <w:r>
              <w:rPr>
                <w:rFonts w:ascii="宋体"/>
                <w:sz w:val="22"/>
              </w:rPr>
              <w:t>316,474.00</w:t>
            </w:r>
          </w:p>
        </w:tc>
      </w:tr>
      <w:tr>
        <w:trPr>
          <w:trHeight w:val="416" w:hRule="exact"/>
        </w:trPr>
        <w:tc>
          <w:tcPr>
            <w:tcW w:w="11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51" w:type="dxa"/>
            <w:tcBorders>
              <w:top w:val="single" w:sz="2" w:space="0" w:color="000000"/>
              <w:left w:val="single" w:sz="2" w:space="0" w:color="000000"/>
              <w:bottom w:val="single" w:sz="12" w:space="0" w:color="000000"/>
              <w:right w:val="single" w:sz="2" w:space="0" w:color="000000"/>
            </w:tcBorders>
          </w:tcPr>
          <w:p>
            <w:pPr/>
          </w:p>
        </w:tc>
        <w:tc>
          <w:tcPr>
            <w:tcW w:w="16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55"/>
              <w:jc w:val="right"/>
              <w:rPr>
                <w:rFonts w:ascii="宋体" w:hAnsi="宋体" w:cs="宋体" w:eastAsia="宋体" w:hint="default"/>
                <w:sz w:val="22"/>
                <w:szCs w:val="22"/>
              </w:rPr>
            </w:pPr>
            <w:r>
              <w:rPr>
                <w:rFonts w:ascii="宋体"/>
                <w:b/>
                <w:spacing w:val="-1"/>
                <w:sz w:val="22"/>
              </w:rPr>
              <w:t>22,864,305.61</w:t>
            </w:r>
            <w:r>
              <w:rPr>
                <w:rFonts w:ascii="宋体"/>
                <w:spacing w:val="-1"/>
                <w:sz w:val="22"/>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62"/>
              <w:jc w:val="right"/>
              <w:rPr>
                <w:rFonts w:ascii="宋体" w:hAnsi="宋体" w:cs="宋体" w:eastAsia="宋体" w:hint="default"/>
                <w:sz w:val="22"/>
                <w:szCs w:val="22"/>
              </w:rPr>
            </w:pPr>
            <w:r>
              <w:rPr>
                <w:rFonts w:ascii="宋体"/>
                <w:b/>
                <w:spacing w:val="-1"/>
                <w:sz w:val="22"/>
              </w:rPr>
              <w:t>23.06</w:t>
            </w:r>
            <w:r>
              <w:rPr>
                <w:rFonts w:ascii="宋体"/>
                <w:spacing w:val="-1"/>
                <w:sz w:val="22"/>
              </w:rPr>
            </w:r>
          </w:p>
        </w:tc>
        <w:tc>
          <w:tcPr>
            <w:tcW w:w="15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59"/>
              <w:jc w:val="right"/>
              <w:rPr>
                <w:rFonts w:ascii="宋体" w:hAnsi="宋体" w:cs="宋体" w:eastAsia="宋体" w:hint="default"/>
                <w:sz w:val="22"/>
                <w:szCs w:val="22"/>
              </w:rPr>
            </w:pPr>
            <w:r>
              <w:rPr>
                <w:rFonts w:ascii="宋体"/>
                <w:b/>
                <w:spacing w:val="-1"/>
                <w:sz w:val="22"/>
              </w:rPr>
              <w:t>1,052,815.39</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516" w:right="4471"/>
        <w:jc w:val="left"/>
      </w:pPr>
      <w:r>
        <w:rPr/>
        <w:t>6.</w:t>
      </w:r>
      <w:r>
        <w:rPr>
          <w:spacing w:val="68"/>
        </w:rPr>
        <w:t> </w:t>
      </w:r>
      <w:r>
        <w:rPr/>
        <w:t>存货</w:t>
      </w:r>
    </w:p>
    <w:p>
      <w:pPr>
        <w:pStyle w:val="BodyText"/>
        <w:spacing w:line="240" w:lineRule="auto" w:before="192"/>
        <w:ind w:left="540" w:right="4471"/>
        <w:jc w:val="left"/>
      </w:pPr>
      <w:r>
        <w:rPr/>
        <w:t>（1）</w:t>
      </w:r>
      <w:r>
        <w:rPr>
          <w:spacing w:val="21"/>
        </w:rPr>
        <w:t> </w:t>
      </w:r>
      <w:r>
        <w:rPr/>
        <w:t>存货分类</w:t>
      </w:r>
    </w:p>
    <w:p>
      <w:pPr>
        <w:spacing w:line="240" w:lineRule="auto" w:before="4"/>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2377"/>
        <w:gridCol w:w="2266"/>
        <w:gridCol w:w="1985"/>
        <w:gridCol w:w="2095"/>
      </w:tblGrid>
      <w:tr>
        <w:trPr>
          <w:trHeight w:val="425" w:hRule="exact"/>
        </w:trPr>
        <w:tc>
          <w:tcPr>
            <w:tcW w:w="2377"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346"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7" w:hRule="exact"/>
        </w:trPr>
        <w:tc>
          <w:tcPr>
            <w:tcW w:w="2377" w:type="dxa"/>
            <w:vMerge/>
            <w:tcBorders>
              <w:left w:val="nil" w:sz="6" w:space="0" w:color="auto"/>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88"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46"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601"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78,297,803.90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spacing w:val="-2"/>
                <w:sz w:val="22"/>
              </w:rPr>
              <w:t>749,785.39</w:t>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77,548,018.51</w:t>
            </w:r>
          </w:p>
        </w:tc>
      </w:tr>
      <w:tr>
        <w:trPr>
          <w:trHeight w:val="407"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2"/>
                <w:szCs w:val="22"/>
              </w:rPr>
            </w:pPr>
            <w:r>
              <w:rPr>
                <w:rFonts w:ascii="宋体"/>
                <w:spacing w:val="-2"/>
                <w:sz w:val="22"/>
              </w:rPr>
              <w:t>132,585,634.26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2"/>
                <w:szCs w:val="22"/>
              </w:rPr>
            </w:pPr>
            <w:r>
              <w:rPr>
                <w:rFonts w:ascii="宋体"/>
                <w:spacing w:val="-2"/>
                <w:sz w:val="22"/>
              </w:rPr>
              <w:t>1,791,139.44</w:t>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130,794,494.82</w:t>
            </w:r>
          </w:p>
        </w:tc>
      </w:tr>
      <w:tr>
        <w:trPr>
          <w:trHeight w:val="407"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spacing w:val="-2"/>
                <w:sz w:val="22"/>
              </w:rPr>
              <w:t>277,512,999.03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2"/>
                <w:szCs w:val="22"/>
              </w:rPr>
            </w:pPr>
            <w:r>
              <w:rPr>
                <w:rFonts w:ascii="宋体"/>
                <w:spacing w:val="-2"/>
                <w:sz w:val="22"/>
              </w:rPr>
              <w:t>3,538,302.79</w:t>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273,974,696.24</w:t>
            </w:r>
          </w:p>
        </w:tc>
      </w:tr>
      <w:tr>
        <w:trPr>
          <w:trHeight w:val="407"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22"/>
                <w:szCs w:val="22"/>
              </w:rPr>
            </w:pPr>
            <w:r>
              <w:rPr>
                <w:rFonts w:ascii="宋体"/>
                <w:spacing w:val="-2"/>
                <w:sz w:val="22"/>
              </w:rPr>
              <w:t>8,855,573.50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22"/>
                <w:szCs w:val="22"/>
              </w:rPr>
            </w:pPr>
            <w:r>
              <w:rPr>
                <w:rFonts w:ascii="宋体"/>
                <w:spacing w:val="-2"/>
                <w:sz w:val="22"/>
              </w:rPr>
              <w:t>125,037.54</w:t>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8,730,535.96</w:t>
            </w:r>
          </w:p>
        </w:tc>
      </w:tr>
      <w:tr>
        <w:trPr>
          <w:trHeight w:val="424" w:hRule="exact"/>
        </w:trPr>
        <w:tc>
          <w:tcPr>
            <w:tcW w:w="237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87"/>
              <w:jc w:val="right"/>
              <w:rPr>
                <w:rFonts w:ascii="宋体" w:hAnsi="宋体" w:cs="宋体" w:eastAsia="宋体" w:hint="default"/>
                <w:sz w:val="22"/>
                <w:szCs w:val="22"/>
              </w:rPr>
            </w:pPr>
            <w:r>
              <w:rPr>
                <w:rFonts w:ascii="宋体"/>
                <w:b/>
                <w:spacing w:val="-1"/>
                <w:sz w:val="22"/>
              </w:rPr>
              <w:t>497,252,010.69</w:t>
            </w:r>
            <w:r>
              <w:rPr>
                <w:rFonts w:ascii="宋体"/>
                <w:spacing w:val="-1"/>
                <w:sz w:val="22"/>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6,204,265.16</w:t>
            </w:r>
            <w:r>
              <w:rPr>
                <w:rFonts w:ascii="宋体"/>
                <w:spacing w:val="-1"/>
                <w:sz w:val="22"/>
              </w:rPr>
            </w:r>
          </w:p>
        </w:tc>
        <w:tc>
          <w:tcPr>
            <w:tcW w:w="209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491,047,745.53</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554" w:right="4471"/>
        <w:jc w:val="left"/>
      </w:pPr>
      <w:r>
        <w:rPr/>
        <w:t>（续表）</w:t>
      </w:r>
    </w:p>
    <w:p>
      <w:pPr>
        <w:spacing w:line="240" w:lineRule="auto" w:before="5"/>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2374"/>
        <w:gridCol w:w="2270"/>
        <w:gridCol w:w="1985"/>
        <w:gridCol w:w="2094"/>
      </w:tblGrid>
      <w:tr>
        <w:trPr>
          <w:trHeight w:val="397" w:hRule="exact"/>
        </w:trPr>
        <w:tc>
          <w:tcPr>
            <w:tcW w:w="2374" w:type="dxa"/>
            <w:vMerge w:val="restart"/>
            <w:tcBorders>
              <w:top w:val="single" w:sz="17" w:space="0" w:color="000000"/>
              <w:left w:val="nil" w:sz="6" w:space="0" w:color="auto"/>
              <w:right w:val="single" w:sz="4" w:space="0" w:color="000000"/>
            </w:tcBorders>
          </w:tcPr>
          <w:p>
            <w:pPr>
              <w:pStyle w:val="TableParagraph"/>
              <w:spacing w:line="240" w:lineRule="auto" w:before="195"/>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349"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9" w:hRule="exact"/>
        </w:trPr>
        <w:tc>
          <w:tcPr>
            <w:tcW w:w="2374"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89"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47"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60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79"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08"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84,777,841.44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949,225.80</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6"/>
              <w:jc w:val="right"/>
              <w:rPr>
                <w:rFonts w:ascii="宋体" w:hAnsi="宋体" w:cs="宋体" w:eastAsia="宋体" w:hint="default"/>
                <w:sz w:val="22"/>
                <w:szCs w:val="22"/>
              </w:rPr>
            </w:pPr>
            <w:r>
              <w:rPr>
                <w:rFonts w:ascii="宋体"/>
                <w:spacing w:val="-2"/>
                <w:sz w:val="22"/>
              </w:rPr>
              <w:t>83,828,615.64</w:t>
            </w:r>
          </w:p>
        </w:tc>
      </w:tr>
      <w:tr>
        <w:trPr>
          <w:trHeight w:val="379"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08"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140,686,430.08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2,056,862.55</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4"/>
              <w:jc w:val="right"/>
              <w:rPr>
                <w:rFonts w:ascii="宋体" w:hAnsi="宋体" w:cs="宋体" w:eastAsia="宋体" w:hint="default"/>
                <w:sz w:val="22"/>
                <w:szCs w:val="22"/>
              </w:rPr>
            </w:pPr>
            <w:r>
              <w:rPr>
                <w:rFonts w:ascii="宋体"/>
                <w:spacing w:val="-2"/>
                <w:sz w:val="22"/>
              </w:rPr>
              <w:t>138,629,567.53</w:t>
            </w:r>
          </w:p>
        </w:tc>
      </w:tr>
      <w:tr>
        <w:trPr>
          <w:trHeight w:val="379"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08"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173,071,564.38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2,174,776.84</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4"/>
              <w:jc w:val="right"/>
              <w:rPr>
                <w:rFonts w:ascii="宋体" w:hAnsi="宋体" w:cs="宋体" w:eastAsia="宋体" w:hint="default"/>
                <w:sz w:val="22"/>
                <w:szCs w:val="22"/>
              </w:rPr>
            </w:pPr>
            <w:r>
              <w:rPr>
                <w:rFonts w:ascii="宋体"/>
                <w:spacing w:val="-2"/>
                <w:sz w:val="22"/>
              </w:rPr>
              <w:t>170,896,787.54</w:t>
            </w:r>
          </w:p>
        </w:tc>
      </w:tr>
      <w:tr>
        <w:trPr>
          <w:trHeight w:val="379"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08"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11,413,287.33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2"/>
                <w:szCs w:val="22"/>
              </w:rPr>
            </w:pPr>
            <w:r>
              <w:rPr>
                <w:rFonts w:ascii="宋体"/>
                <w:spacing w:val="-2"/>
                <w:sz w:val="22"/>
              </w:rPr>
              <w:t>168,645.99</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6"/>
              <w:jc w:val="right"/>
              <w:rPr>
                <w:rFonts w:ascii="宋体" w:hAnsi="宋体" w:cs="宋体" w:eastAsia="宋体" w:hint="default"/>
                <w:sz w:val="22"/>
                <w:szCs w:val="22"/>
              </w:rPr>
            </w:pPr>
            <w:r>
              <w:rPr>
                <w:rFonts w:ascii="宋体"/>
                <w:spacing w:val="-2"/>
                <w:sz w:val="22"/>
              </w:rPr>
              <w:t>11,244,641.34</w:t>
            </w:r>
          </w:p>
        </w:tc>
      </w:tr>
      <w:tr>
        <w:trPr>
          <w:trHeight w:val="396" w:hRule="exact"/>
        </w:trPr>
        <w:tc>
          <w:tcPr>
            <w:tcW w:w="237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88"/>
              <w:jc w:val="right"/>
              <w:rPr>
                <w:rFonts w:ascii="宋体" w:hAnsi="宋体" w:cs="宋体" w:eastAsia="宋体" w:hint="default"/>
                <w:sz w:val="22"/>
                <w:szCs w:val="22"/>
              </w:rPr>
            </w:pPr>
            <w:r>
              <w:rPr>
                <w:rFonts w:ascii="宋体"/>
                <w:b/>
                <w:spacing w:val="-1"/>
                <w:sz w:val="22"/>
              </w:rPr>
              <w:t>409,949,123.23</w:t>
            </w:r>
            <w:r>
              <w:rPr>
                <w:rFonts w:ascii="宋体"/>
                <w:spacing w:val="-1"/>
                <w:sz w:val="22"/>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91"/>
              <w:jc w:val="right"/>
              <w:rPr>
                <w:rFonts w:ascii="宋体" w:hAnsi="宋体" w:cs="宋体" w:eastAsia="宋体" w:hint="default"/>
                <w:sz w:val="22"/>
                <w:szCs w:val="22"/>
              </w:rPr>
            </w:pPr>
            <w:r>
              <w:rPr>
                <w:rFonts w:ascii="宋体"/>
                <w:b/>
                <w:spacing w:val="-1"/>
                <w:sz w:val="22"/>
              </w:rPr>
              <w:t>5,349,511.18</w:t>
            </w:r>
            <w:r>
              <w:rPr>
                <w:rFonts w:ascii="宋体"/>
                <w:spacing w:val="-1"/>
                <w:sz w:val="22"/>
              </w:rPr>
            </w:r>
          </w:p>
        </w:tc>
        <w:tc>
          <w:tcPr>
            <w:tcW w:w="209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
              <w:ind w:right="92"/>
              <w:jc w:val="right"/>
              <w:rPr>
                <w:rFonts w:ascii="宋体" w:hAnsi="宋体" w:cs="宋体" w:eastAsia="宋体" w:hint="default"/>
                <w:sz w:val="22"/>
                <w:szCs w:val="22"/>
              </w:rPr>
            </w:pPr>
            <w:r>
              <w:rPr>
                <w:rFonts w:ascii="宋体"/>
                <w:b/>
                <w:spacing w:val="-1"/>
                <w:sz w:val="22"/>
              </w:rPr>
              <w:t>404,599,612.05</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540" w:right="4471"/>
        <w:jc w:val="left"/>
      </w:pPr>
      <w:r>
        <w:rPr/>
        <w:t>（2）</w:t>
      </w:r>
      <w:r>
        <w:rPr>
          <w:spacing w:val="-92"/>
        </w:rPr>
        <w:t> </w:t>
      </w:r>
      <w:r>
        <w:rPr/>
        <w:t>存货跌价准备</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065"/>
        <w:gridCol w:w="1487"/>
        <w:gridCol w:w="1486"/>
        <w:gridCol w:w="647"/>
        <w:gridCol w:w="1486"/>
        <w:gridCol w:w="1066"/>
        <w:gridCol w:w="1486"/>
      </w:tblGrid>
      <w:tr>
        <w:trPr>
          <w:trHeight w:val="387" w:hRule="exact"/>
        </w:trPr>
        <w:tc>
          <w:tcPr>
            <w:tcW w:w="1065"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7"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3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left="70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5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6"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1065" w:type="dxa"/>
            <w:vMerge/>
            <w:tcBorders>
              <w:left w:val="nil" w:sz="6" w:space="0" w:color="auto"/>
              <w:bottom w:val="single" w:sz="2" w:space="0" w:color="000000"/>
              <w:right w:val="single" w:sz="2" w:space="0" w:color="000000"/>
            </w:tcBorders>
          </w:tcPr>
          <w:p>
            <w:pPr/>
          </w:p>
        </w:tc>
        <w:tc>
          <w:tcPr>
            <w:tcW w:w="1487" w:type="dxa"/>
            <w:vMerge/>
            <w:tcBorders>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4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290"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70"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486" w:type="dxa"/>
            <w:vMerge/>
            <w:tcBorders>
              <w:left w:val="single" w:sz="2" w:space="0" w:color="000000"/>
              <w:bottom w:val="single" w:sz="2" w:space="0" w:color="000000"/>
              <w:right w:val="nil" w:sz="6" w:space="0" w:color="auto"/>
            </w:tcBorders>
          </w:tcPr>
          <w:p>
            <w:pPr/>
          </w:p>
        </w:tc>
      </w:tr>
      <w:tr>
        <w:trPr>
          <w:trHeight w:val="374"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1"/>
                <w:sz w:val="18"/>
              </w:rPr>
              <w:t>949,225.80</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宋体" w:hAnsi="宋体" w:cs="宋体" w:eastAsia="宋体" w:hint="default"/>
                <w:sz w:val="18"/>
                <w:szCs w:val="18"/>
              </w:rPr>
            </w:pPr>
            <w:r>
              <w:rPr>
                <w:rFonts w:ascii="宋体"/>
                <w:spacing w:val="-1"/>
                <w:sz w:val="18"/>
              </w:rPr>
              <w:t>749,785.39</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1"/>
                <w:sz w:val="18"/>
              </w:rPr>
              <w:t>949,225.80</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pacing w:val="-1"/>
                <w:sz w:val="18"/>
              </w:rPr>
              <w:t>749,785.39</w:t>
            </w:r>
          </w:p>
        </w:tc>
      </w:tr>
      <w:tr>
        <w:trPr>
          <w:trHeight w:val="374"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2"/>
              <w:jc w:val="right"/>
              <w:rPr>
                <w:rFonts w:ascii="宋体" w:hAnsi="宋体" w:cs="宋体" w:eastAsia="宋体" w:hint="default"/>
                <w:sz w:val="18"/>
                <w:szCs w:val="18"/>
              </w:rPr>
            </w:pPr>
            <w:r>
              <w:rPr>
                <w:rFonts w:ascii="宋体"/>
                <w:spacing w:val="-1"/>
                <w:sz w:val="18"/>
              </w:rPr>
              <w:t>2,056,862.55</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3"/>
              <w:jc w:val="right"/>
              <w:rPr>
                <w:rFonts w:ascii="宋体" w:hAnsi="宋体" w:cs="宋体" w:eastAsia="宋体" w:hint="default"/>
                <w:sz w:val="18"/>
                <w:szCs w:val="18"/>
              </w:rPr>
            </w:pPr>
            <w:r>
              <w:rPr>
                <w:rFonts w:ascii="宋体"/>
                <w:spacing w:val="-1"/>
                <w:sz w:val="18"/>
              </w:rPr>
              <w:t>1,791,139.44</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2"/>
              <w:jc w:val="right"/>
              <w:rPr>
                <w:rFonts w:ascii="宋体" w:hAnsi="宋体" w:cs="宋体" w:eastAsia="宋体" w:hint="default"/>
                <w:sz w:val="18"/>
                <w:szCs w:val="18"/>
              </w:rPr>
            </w:pPr>
            <w:r>
              <w:rPr>
                <w:rFonts w:ascii="宋体"/>
                <w:spacing w:val="-1"/>
                <w:sz w:val="18"/>
              </w:rPr>
              <w:t>2,056,862.55</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05"/>
              <w:jc w:val="right"/>
              <w:rPr>
                <w:rFonts w:ascii="宋体" w:hAnsi="宋体" w:cs="宋体" w:eastAsia="宋体" w:hint="default"/>
                <w:sz w:val="18"/>
                <w:szCs w:val="18"/>
              </w:rPr>
            </w:pPr>
            <w:r>
              <w:rPr>
                <w:rFonts w:ascii="宋体"/>
                <w:spacing w:val="-1"/>
                <w:sz w:val="18"/>
              </w:rPr>
              <w:t>1,791,139.44</w:t>
            </w:r>
          </w:p>
        </w:tc>
      </w:tr>
      <w:tr>
        <w:trPr>
          <w:trHeight w:val="374"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2,174,776.84</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3,538,302.79</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2,174,776.84</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1"/>
                <w:sz w:val="18"/>
              </w:rPr>
              <w:t>3,538,302.79</w:t>
            </w:r>
          </w:p>
        </w:tc>
      </w:tr>
      <w:tr>
        <w:trPr>
          <w:trHeight w:val="384" w:hRule="exact"/>
        </w:trPr>
        <w:tc>
          <w:tcPr>
            <w:tcW w:w="10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168,645.99</w:t>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125,037.54</w:t>
            </w:r>
          </w:p>
        </w:tc>
        <w:tc>
          <w:tcPr>
            <w:tcW w:w="647"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168,645.99</w:t>
            </w:r>
          </w:p>
        </w:tc>
        <w:tc>
          <w:tcPr>
            <w:tcW w:w="1066"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1"/>
                <w:sz w:val="18"/>
              </w:rPr>
              <w:t>125,037.54</w:t>
            </w:r>
          </w:p>
        </w:tc>
      </w:tr>
    </w:tbl>
    <w:p>
      <w:pPr>
        <w:spacing w:after="0" w:line="240" w:lineRule="auto"/>
        <w:jc w:val="right"/>
        <w:rPr>
          <w:rFonts w:ascii="宋体" w:hAnsi="宋体" w:cs="宋体" w:eastAsia="宋体" w:hint="default"/>
          <w:sz w:val="18"/>
          <w:szCs w:val="18"/>
        </w:rPr>
        <w:sectPr>
          <w:pgSz w:w="11910" w:h="16840"/>
          <w:pgMar w:header="852" w:footer="873" w:top="1440" w:bottom="1060" w:left="1020" w:right="1020"/>
        </w:sectPr>
      </w:pPr>
    </w:p>
    <w:p>
      <w:pPr>
        <w:spacing w:line="240" w:lineRule="auto" w:before="3"/>
        <w:rPr>
          <w:rFonts w:ascii="宋体" w:hAnsi="宋体" w:cs="宋体" w:eastAsia="宋体" w:hint="default"/>
          <w:sz w:val="18"/>
          <w:szCs w:val="18"/>
        </w:rPr>
      </w:pPr>
    </w:p>
    <w:tbl>
      <w:tblPr>
        <w:tblW w:w="0" w:type="auto"/>
        <w:jc w:val="left"/>
        <w:tblInd w:w="558" w:type="dxa"/>
        <w:tblLayout w:type="fixed"/>
        <w:tblCellMar>
          <w:top w:w="0" w:type="dxa"/>
          <w:left w:w="0" w:type="dxa"/>
          <w:bottom w:w="0" w:type="dxa"/>
          <w:right w:w="0" w:type="dxa"/>
        </w:tblCellMar>
        <w:tblLook w:val="01E0"/>
      </w:tblPr>
      <w:tblGrid>
        <w:gridCol w:w="1065"/>
        <w:gridCol w:w="1487"/>
        <w:gridCol w:w="1486"/>
        <w:gridCol w:w="647"/>
        <w:gridCol w:w="1486"/>
        <w:gridCol w:w="1066"/>
        <w:gridCol w:w="1486"/>
      </w:tblGrid>
      <w:tr>
        <w:trPr>
          <w:trHeight w:val="387" w:hRule="exact"/>
        </w:trPr>
        <w:tc>
          <w:tcPr>
            <w:tcW w:w="1065"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7"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3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left="70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5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6"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1065" w:type="dxa"/>
            <w:vMerge/>
            <w:tcBorders>
              <w:left w:val="nil" w:sz="6" w:space="0" w:color="auto"/>
              <w:bottom w:val="single" w:sz="2" w:space="0" w:color="000000"/>
              <w:right w:val="single" w:sz="2" w:space="0" w:color="000000"/>
            </w:tcBorders>
          </w:tcPr>
          <w:p>
            <w:pPr/>
          </w:p>
        </w:tc>
        <w:tc>
          <w:tcPr>
            <w:tcW w:w="1487" w:type="dxa"/>
            <w:vMerge/>
            <w:tcBorders>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4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290"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70"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486" w:type="dxa"/>
            <w:vMerge/>
            <w:tcBorders>
              <w:left w:val="single" w:sz="2" w:space="0" w:color="000000"/>
              <w:bottom w:val="single" w:sz="2" w:space="0" w:color="000000"/>
              <w:right w:val="nil" w:sz="6" w:space="0" w:color="auto"/>
            </w:tcBorders>
          </w:tcPr>
          <w:p>
            <w:pPr/>
          </w:p>
        </w:tc>
      </w:tr>
      <w:tr>
        <w:trPr>
          <w:trHeight w:val="386" w:hRule="exact"/>
        </w:trPr>
        <w:tc>
          <w:tcPr>
            <w:tcW w:w="10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9"/>
              <w:ind w:left="296" w:right="0"/>
              <w:jc w:val="left"/>
              <w:rPr>
                <w:rFonts w:ascii="宋体" w:hAnsi="宋体" w:cs="宋体" w:eastAsia="宋体" w:hint="default"/>
                <w:sz w:val="18"/>
                <w:szCs w:val="18"/>
              </w:rPr>
            </w:pPr>
            <w:r>
              <w:rPr>
                <w:rFonts w:ascii="宋体"/>
                <w:b/>
                <w:sz w:val="18"/>
              </w:rPr>
              <w:t>5,349,511.18</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9"/>
              <w:ind w:left="294" w:right="0"/>
              <w:jc w:val="left"/>
              <w:rPr>
                <w:rFonts w:ascii="宋体" w:hAnsi="宋体" w:cs="宋体" w:eastAsia="宋体" w:hint="default"/>
                <w:sz w:val="18"/>
                <w:szCs w:val="18"/>
              </w:rPr>
            </w:pPr>
            <w:r>
              <w:rPr>
                <w:rFonts w:ascii="宋体"/>
                <w:b/>
                <w:sz w:val="18"/>
              </w:rPr>
              <w:t>6,204,265.16</w:t>
            </w:r>
            <w:r>
              <w:rPr>
                <w:rFonts w:ascii="宋体"/>
                <w:sz w:val="18"/>
              </w:rPr>
            </w:r>
          </w:p>
        </w:tc>
        <w:tc>
          <w:tcPr>
            <w:tcW w:w="647"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9"/>
              <w:ind w:left="295" w:right="0"/>
              <w:jc w:val="left"/>
              <w:rPr>
                <w:rFonts w:ascii="宋体" w:hAnsi="宋体" w:cs="宋体" w:eastAsia="宋体" w:hint="default"/>
                <w:sz w:val="18"/>
                <w:szCs w:val="18"/>
              </w:rPr>
            </w:pPr>
            <w:r>
              <w:rPr>
                <w:rFonts w:ascii="宋体"/>
                <w:b/>
                <w:sz w:val="18"/>
              </w:rPr>
              <w:t>5,349,511.18</w:t>
            </w:r>
            <w:r>
              <w:rPr>
                <w:rFonts w:ascii="宋体"/>
                <w:sz w:val="18"/>
              </w:rPr>
            </w:r>
          </w:p>
        </w:tc>
        <w:tc>
          <w:tcPr>
            <w:tcW w:w="1066"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9"/>
              <w:ind w:left="294" w:right="0"/>
              <w:jc w:val="left"/>
              <w:rPr>
                <w:rFonts w:ascii="宋体" w:hAnsi="宋体" w:cs="宋体" w:eastAsia="宋体" w:hint="default"/>
                <w:sz w:val="18"/>
                <w:szCs w:val="18"/>
              </w:rPr>
            </w:pPr>
            <w:r>
              <w:rPr>
                <w:rFonts w:ascii="宋体"/>
                <w:b/>
                <w:sz w:val="18"/>
              </w:rPr>
              <w:t>6,204,265.16</w:t>
            </w:r>
            <w:r>
              <w:rPr>
                <w:rFonts w:ascii="宋体"/>
                <w:sz w:val="18"/>
              </w:rPr>
            </w:r>
          </w:p>
        </w:tc>
      </w:tr>
    </w:tbl>
    <w:p>
      <w:pPr>
        <w:spacing w:line="240" w:lineRule="auto" w:before="3"/>
        <w:rPr>
          <w:rFonts w:ascii="宋体" w:hAnsi="宋体" w:cs="宋体" w:eastAsia="宋体" w:hint="default"/>
          <w:sz w:val="9"/>
          <w:szCs w:val="9"/>
        </w:rPr>
      </w:pPr>
    </w:p>
    <w:p>
      <w:pPr>
        <w:pStyle w:val="BodyText"/>
        <w:spacing w:line="240" w:lineRule="auto"/>
        <w:ind w:left="612" w:right="4471"/>
        <w:jc w:val="left"/>
      </w:pPr>
      <w:r>
        <w:rPr/>
        <w:t>（3）</w:t>
      </w:r>
      <w:r>
        <w:rPr>
          <w:spacing w:val="-63"/>
        </w:rPr>
        <w:t> </w:t>
      </w:r>
      <w:r>
        <w:rPr/>
        <w:t>存货跌价准备计提</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2236"/>
        <w:gridCol w:w="3244"/>
        <w:gridCol w:w="3243"/>
      </w:tblGrid>
      <w:tr>
        <w:trPr>
          <w:trHeight w:val="415" w:hRule="exact"/>
        </w:trPr>
        <w:tc>
          <w:tcPr>
            <w:tcW w:w="22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8" w:right="0"/>
              <w:jc w:val="center"/>
              <w:rPr>
                <w:rFonts w:ascii="宋体" w:hAnsi="宋体" w:cs="宋体" w:eastAsia="宋体" w:hint="default"/>
                <w:sz w:val="22"/>
                <w:szCs w:val="22"/>
              </w:rPr>
            </w:pPr>
            <w:r>
              <w:rPr>
                <w:rFonts w:ascii="宋体" w:hAnsi="宋体" w:cs="宋体" w:eastAsia="宋体" w:hint="default"/>
                <w:b/>
                <w:bCs/>
                <w:sz w:val="22"/>
                <w:szCs w:val="22"/>
              </w:rPr>
              <w:t>确定可变现净值的具体依据</w:t>
            </w:r>
            <w:r>
              <w:rPr>
                <w:rFonts w:ascii="宋体" w:hAnsi="宋体" w:cs="宋体" w:eastAsia="宋体" w:hint="default"/>
                <w:sz w:val="22"/>
                <w:szCs w:val="22"/>
              </w:rPr>
            </w:r>
          </w:p>
        </w:tc>
        <w:tc>
          <w:tcPr>
            <w:tcW w:w="32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3" w:right="0"/>
              <w:jc w:val="center"/>
              <w:rPr>
                <w:rFonts w:ascii="宋体" w:hAnsi="宋体" w:cs="宋体" w:eastAsia="宋体" w:hint="default"/>
                <w:sz w:val="22"/>
                <w:szCs w:val="22"/>
              </w:rPr>
            </w:pPr>
            <w:r>
              <w:rPr>
                <w:rFonts w:ascii="宋体" w:hAnsi="宋体" w:cs="宋体" w:eastAsia="宋体" w:hint="default"/>
                <w:b/>
                <w:bCs/>
                <w:sz w:val="22"/>
                <w:szCs w:val="22"/>
              </w:rPr>
              <w:t>本年转回或转销原因</w:t>
            </w:r>
            <w:r>
              <w:rPr>
                <w:rFonts w:ascii="宋体" w:hAnsi="宋体" w:cs="宋体" w:eastAsia="宋体" w:hint="default"/>
                <w:sz w:val="22"/>
                <w:szCs w:val="22"/>
              </w:rPr>
            </w:r>
          </w:p>
        </w:tc>
      </w:tr>
      <w:tr>
        <w:trPr>
          <w:trHeight w:val="402" w:hRule="exact"/>
        </w:trPr>
        <w:tc>
          <w:tcPr>
            <w:tcW w:w="22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3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相关的存货领用或实现销售</w:t>
            </w:r>
          </w:p>
        </w:tc>
      </w:tr>
      <w:tr>
        <w:trPr>
          <w:trHeight w:val="402" w:hRule="exact"/>
        </w:trPr>
        <w:tc>
          <w:tcPr>
            <w:tcW w:w="22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3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3"/>
              <w:jc w:val="center"/>
              <w:rPr>
                <w:rFonts w:ascii="宋体" w:hAnsi="宋体" w:cs="宋体" w:eastAsia="宋体" w:hint="default"/>
                <w:sz w:val="22"/>
                <w:szCs w:val="22"/>
              </w:rPr>
            </w:pPr>
            <w:r>
              <w:rPr>
                <w:rFonts w:ascii="宋体" w:hAnsi="宋体" w:cs="宋体" w:eastAsia="宋体" w:hint="default"/>
                <w:sz w:val="22"/>
                <w:szCs w:val="22"/>
              </w:rPr>
              <w:t>相关的存货领用或实现销售</w:t>
            </w:r>
          </w:p>
        </w:tc>
      </w:tr>
      <w:tr>
        <w:trPr>
          <w:trHeight w:val="402" w:hRule="exact"/>
        </w:trPr>
        <w:tc>
          <w:tcPr>
            <w:tcW w:w="22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3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相关的存货实现销售</w:t>
            </w:r>
          </w:p>
        </w:tc>
      </w:tr>
      <w:tr>
        <w:trPr>
          <w:trHeight w:val="414" w:hRule="exact"/>
        </w:trPr>
        <w:tc>
          <w:tcPr>
            <w:tcW w:w="22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32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3"/>
              <w:jc w:val="center"/>
              <w:rPr>
                <w:rFonts w:ascii="宋体" w:hAnsi="宋体" w:cs="宋体" w:eastAsia="宋体" w:hint="default"/>
                <w:sz w:val="22"/>
                <w:szCs w:val="22"/>
              </w:rPr>
            </w:pPr>
            <w:r>
              <w:rPr>
                <w:rFonts w:ascii="宋体" w:hAnsi="宋体" w:cs="宋体" w:eastAsia="宋体" w:hint="default"/>
                <w:sz w:val="22"/>
                <w:szCs w:val="22"/>
              </w:rPr>
              <w:t>相关的存货领用或实现销售</w:t>
            </w:r>
          </w:p>
        </w:tc>
      </w:tr>
    </w:tbl>
    <w:p>
      <w:pPr>
        <w:spacing w:line="240" w:lineRule="auto" w:before="2"/>
        <w:rPr>
          <w:rFonts w:ascii="宋体" w:hAnsi="宋体" w:cs="宋体" w:eastAsia="宋体" w:hint="default"/>
          <w:sz w:val="9"/>
          <w:szCs w:val="9"/>
        </w:rPr>
      </w:pPr>
    </w:p>
    <w:p>
      <w:pPr>
        <w:pStyle w:val="BodyText"/>
        <w:spacing w:line="240" w:lineRule="auto"/>
        <w:ind w:left="516" w:right="4471"/>
        <w:jc w:val="left"/>
      </w:pPr>
      <w:r>
        <w:rPr/>
        <w:t>7.</w:t>
      </w:r>
      <w:r>
        <w:rPr>
          <w:spacing w:val="64"/>
        </w:rPr>
        <w:t> </w:t>
      </w:r>
      <w:r>
        <w:rPr/>
        <w:t>其他流动资产</w:t>
      </w:r>
    </w:p>
    <w:p>
      <w:pPr>
        <w:spacing w:line="240" w:lineRule="auto" w:before="4"/>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2180"/>
        <w:gridCol w:w="2181"/>
        <w:gridCol w:w="2181"/>
        <w:gridCol w:w="2181"/>
      </w:tblGrid>
      <w:tr>
        <w:trPr>
          <w:trHeight w:val="415" w:hRule="exact"/>
        </w:trPr>
        <w:tc>
          <w:tcPr>
            <w:tcW w:w="21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4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48"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21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r>
      <w:tr>
        <w:trPr>
          <w:trHeight w:val="402" w:hRule="exact"/>
        </w:trPr>
        <w:tc>
          <w:tcPr>
            <w:tcW w:w="21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518,546.30</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1,009,593.30</w:t>
            </w:r>
          </w:p>
        </w:tc>
        <w:tc>
          <w:tcPr>
            <w:tcW w:w="218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银行理财</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259,600,000.00</w:t>
            </w:r>
          </w:p>
        </w:tc>
        <w:tc>
          <w:tcPr>
            <w:tcW w:w="2181" w:type="dxa"/>
            <w:tcBorders>
              <w:top w:val="single" w:sz="2" w:space="0" w:color="000000"/>
              <w:left w:val="single" w:sz="2" w:space="0" w:color="000000"/>
              <w:bottom w:val="single" w:sz="2" w:space="0" w:color="000000"/>
              <w:right w:val="single" w:sz="2" w:space="0" w:color="000000"/>
            </w:tcBorders>
          </w:tcPr>
          <w:p>
            <w:pPr/>
          </w:p>
        </w:tc>
        <w:tc>
          <w:tcPr>
            <w:tcW w:w="218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委托贷款</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3,681,119.88</w:t>
            </w:r>
          </w:p>
        </w:tc>
        <w:tc>
          <w:tcPr>
            <w:tcW w:w="2181" w:type="dxa"/>
            <w:tcBorders>
              <w:top w:val="single" w:sz="2" w:space="0" w:color="000000"/>
              <w:left w:val="single" w:sz="2" w:space="0" w:color="000000"/>
              <w:bottom w:val="single" w:sz="2" w:space="0" w:color="000000"/>
              <w:right w:val="single" w:sz="2" w:space="0" w:color="000000"/>
            </w:tcBorders>
          </w:tcPr>
          <w:p>
            <w:pPr/>
          </w:p>
        </w:tc>
        <w:tc>
          <w:tcPr>
            <w:tcW w:w="218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45,777.42</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389,388.42</w:t>
            </w:r>
          </w:p>
        </w:tc>
        <w:tc>
          <w:tcPr>
            <w:tcW w:w="2181"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21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263,845,443.60</w:t>
            </w:r>
            <w:r>
              <w:rPr>
                <w:rFonts w:ascii="宋体"/>
                <w:spacing w:val="-1"/>
                <w:sz w:val="22"/>
              </w:rPr>
            </w:r>
          </w:p>
        </w:tc>
        <w:tc>
          <w:tcPr>
            <w:tcW w:w="21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1,398,981.72</w:t>
            </w:r>
            <w:r>
              <w:rPr>
                <w:rFonts w:ascii="宋体"/>
                <w:spacing w:val="-1"/>
                <w:sz w:val="22"/>
              </w:rPr>
            </w:r>
          </w:p>
        </w:tc>
        <w:tc>
          <w:tcPr>
            <w:tcW w:w="218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516" w:right="4471"/>
        <w:jc w:val="left"/>
      </w:pPr>
      <w:r>
        <w:rPr/>
        <w:t>8.</w:t>
      </w:r>
      <w:r>
        <w:rPr>
          <w:spacing w:val="64"/>
        </w:rPr>
        <w:t> </w:t>
      </w:r>
      <w:r>
        <w:rPr/>
        <w:t>可供出售金融资产</w:t>
      </w:r>
    </w:p>
    <w:p>
      <w:pPr>
        <w:pStyle w:val="BodyText"/>
        <w:spacing w:line="240" w:lineRule="auto" w:before="192"/>
        <w:ind w:left="415" w:right="4471"/>
        <w:jc w:val="left"/>
      </w:pPr>
      <w:r>
        <w:rPr/>
        <w:t>（1）</w:t>
      </w:r>
      <w:r>
        <w:rPr>
          <w:spacing w:val="-74"/>
        </w:rPr>
        <w:t> </w:t>
      </w:r>
      <w:r>
        <w:rPr/>
        <w:t>可供出售金融资产情况（单位：万元）</w:t>
      </w:r>
    </w:p>
    <w:p>
      <w:pPr>
        <w:spacing w:line="240" w:lineRule="auto" w:before="3"/>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951"/>
        <w:gridCol w:w="1136"/>
        <w:gridCol w:w="1132"/>
        <w:gridCol w:w="1136"/>
        <w:gridCol w:w="1132"/>
        <w:gridCol w:w="1139"/>
        <w:gridCol w:w="1097"/>
      </w:tblGrid>
      <w:tr>
        <w:trPr>
          <w:trHeight w:val="415" w:hRule="exact"/>
        </w:trPr>
        <w:tc>
          <w:tcPr>
            <w:tcW w:w="1951"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6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951" w:type="dxa"/>
            <w:vMerge/>
            <w:tcBorders>
              <w:left w:val="nil" w:sz="6" w:space="0" w:color="auto"/>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0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1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700.00</w:t>
            </w:r>
          </w:p>
        </w:tc>
        <w:tc>
          <w:tcPr>
            <w:tcW w:w="1132"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700.00</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700.00</w:t>
            </w:r>
          </w:p>
        </w:tc>
        <w:tc>
          <w:tcPr>
            <w:tcW w:w="1139"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700.00</w:t>
            </w:r>
          </w:p>
        </w:tc>
      </w:tr>
      <w:tr>
        <w:trPr>
          <w:trHeight w:val="402" w:hRule="exact"/>
        </w:trPr>
        <w:tc>
          <w:tcPr>
            <w:tcW w:w="1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700.00</w:t>
            </w:r>
          </w:p>
        </w:tc>
        <w:tc>
          <w:tcPr>
            <w:tcW w:w="1132"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700.00</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700.00</w:t>
            </w:r>
          </w:p>
        </w:tc>
        <w:tc>
          <w:tcPr>
            <w:tcW w:w="1139"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700.00</w:t>
            </w:r>
          </w:p>
        </w:tc>
      </w:tr>
      <w:tr>
        <w:trPr>
          <w:trHeight w:val="414" w:hRule="exact"/>
        </w:trPr>
        <w:tc>
          <w:tcPr>
            <w:tcW w:w="19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b/>
                <w:sz w:val="18"/>
              </w:rPr>
              <w:t>700.00</w:t>
            </w:r>
            <w:r>
              <w:rPr>
                <w:rFonts w:ascii="宋体"/>
                <w:sz w:val="18"/>
              </w:rPr>
            </w:r>
          </w:p>
        </w:tc>
        <w:tc>
          <w:tcPr>
            <w:tcW w:w="1132"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b/>
                <w:sz w:val="18"/>
              </w:rPr>
              <w:t>700.00</w:t>
            </w:r>
            <w:r>
              <w:rPr>
                <w:rFonts w:ascii="宋体"/>
                <w:sz w:val="18"/>
              </w:rPr>
            </w: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b/>
                <w:sz w:val="18"/>
              </w:rPr>
              <w:t>700.00</w:t>
            </w:r>
            <w:r>
              <w:rPr>
                <w:rFonts w:ascii="宋体"/>
                <w:sz w:val="18"/>
              </w:rPr>
            </w:r>
          </w:p>
        </w:tc>
        <w:tc>
          <w:tcPr>
            <w:tcW w:w="1139"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100"/>
              <w:jc w:val="right"/>
              <w:rPr>
                <w:rFonts w:ascii="宋体" w:hAnsi="宋体" w:cs="宋体" w:eastAsia="宋体" w:hint="default"/>
                <w:sz w:val="18"/>
                <w:szCs w:val="18"/>
              </w:rPr>
            </w:pPr>
            <w:r>
              <w:rPr>
                <w:rFonts w:ascii="宋体"/>
                <w:b/>
                <w:sz w:val="18"/>
              </w:rPr>
              <w:t>700.00</w:t>
            </w:r>
            <w:r>
              <w:rPr>
                <w:rFonts w:ascii="宋体"/>
                <w:sz w:val="18"/>
              </w:rPr>
            </w:r>
          </w:p>
        </w:tc>
      </w:tr>
    </w:tbl>
    <w:p>
      <w:pPr>
        <w:spacing w:line="240" w:lineRule="auto" w:before="4"/>
        <w:rPr>
          <w:rFonts w:ascii="宋体" w:hAnsi="宋体" w:cs="宋体" w:eastAsia="宋体" w:hint="default"/>
          <w:sz w:val="9"/>
          <w:szCs w:val="9"/>
        </w:rPr>
      </w:pPr>
    </w:p>
    <w:p>
      <w:pPr>
        <w:pStyle w:val="BodyText"/>
        <w:spacing w:line="240" w:lineRule="auto"/>
        <w:ind w:left="415" w:right="110"/>
        <w:jc w:val="left"/>
      </w:pPr>
      <w:r>
        <w:rPr>
          <w:spacing w:val="-2"/>
        </w:rPr>
        <w:t>（2）</w:t>
      </w:r>
      <w:r>
        <w:rPr>
          <w:spacing w:val="-26"/>
        </w:rPr>
        <w:t> </w:t>
      </w:r>
      <w:r>
        <w:rPr>
          <w:spacing w:val="-2"/>
        </w:rPr>
        <w:t>年末按成本计量的可供出售金融资产（单位：万元）</w:t>
      </w:r>
    </w:p>
    <w:p>
      <w:pPr>
        <w:spacing w:line="240" w:lineRule="auto" w:before="2"/>
        <w:rPr>
          <w:rFonts w:ascii="宋体" w:hAnsi="宋体" w:cs="宋体" w:eastAsia="宋体" w:hint="default"/>
          <w:sz w:val="12"/>
          <w:szCs w:val="12"/>
        </w:rPr>
      </w:pPr>
    </w:p>
    <w:tbl>
      <w:tblPr>
        <w:tblW w:w="0" w:type="auto"/>
        <w:jc w:val="left"/>
        <w:tblInd w:w="558" w:type="dxa"/>
        <w:tblLayout w:type="fixed"/>
        <w:tblCellMar>
          <w:top w:w="0" w:type="dxa"/>
          <w:left w:w="0" w:type="dxa"/>
          <w:bottom w:w="0" w:type="dxa"/>
          <w:right w:w="0" w:type="dxa"/>
        </w:tblCellMar>
        <w:tblLook w:val="01E0"/>
      </w:tblPr>
      <w:tblGrid>
        <w:gridCol w:w="1778"/>
        <w:gridCol w:w="818"/>
        <w:gridCol w:w="651"/>
        <w:gridCol w:w="651"/>
        <w:gridCol w:w="818"/>
        <w:gridCol w:w="461"/>
        <w:gridCol w:w="651"/>
        <w:gridCol w:w="651"/>
        <w:gridCol w:w="516"/>
        <w:gridCol w:w="1028"/>
        <w:gridCol w:w="700"/>
      </w:tblGrid>
      <w:tr>
        <w:trPr>
          <w:trHeight w:val="415" w:hRule="exact"/>
        </w:trPr>
        <w:tc>
          <w:tcPr>
            <w:tcW w:w="177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93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7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28" w:type="dxa"/>
            <w:vMerge w:val="restart"/>
            <w:tcBorders>
              <w:top w:val="single" w:sz="12" w:space="0" w:color="000000"/>
              <w:left w:val="single" w:sz="2" w:space="0" w:color="000000"/>
              <w:right w:val="single" w:sz="2" w:space="0" w:color="000000"/>
            </w:tcBorders>
          </w:tcPr>
          <w:p>
            <w:pPr>
              <w:pStyle w:val="TableParagraph"/>
              <w:spacing w:line="232" w:lineRule="exact" w:before="121"/>
              <w:ind w:left="150" w:right="148"/>
              <w:jc w:val="both"/>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00" w:type="dxa"/>
            <w:vMerge w:val="restart"/>
            <w:tcBorders>
              <w:top w:val="single" w:sz="12" w:space="0" w:color="000000"/>
              <w:left w:val="single" w:sz="2" w:space="0" w:color="000000"/>
              <w:right w:val="nil" w:sz="6" w:space="0" w:color="auto"/>
            </w:tcBorders>
          </w:tcPr>
          <w:p>
            <w:pPr>
              <w:pStyle w:val="TableParagraph"/>
              <w:spacing w:line="232" w:lineRule="exact" w:before="121"/>
              <w:ind w:left="166" w:right="169"/>
              <w:jc w:val="both"/>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552" w:hRule="exact"/>
        </w:trPr>
        <w:tc>
          <w:tcPr>
            <w:tcW w:w="1778" w:type="dxa"/>
            <w:vMerge/>
            <w:tcBorders>
              <w:left w:val="nil" w:sz="6" w:space="0" w:color="auto"/>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6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42" w:right="14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6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42" w:right="14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46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37" w:right="136"/>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sz w:val="18"/>
                <w:szCs w:val="18"/>
              </w:rPr>
            </w:r>
          </w:p>
        </w:tc>
        <w:tc>
          <w:tcPr>
            <w:tcW w:w="6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41" w:right="142"/>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6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41" w:right="142"/>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51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64" w:right="164"/>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末</w:t>
            </w:r>
            <w:r>
              <w:rPr>
                <w:rFonts w:ascii="宋体" w:hAnsi="宋体" w:cs="宋体" w:eastAsia="宋体" w:hint="default"/>
                <w:sz w:val="18"/>
                <w:szCs w:val="18"/>
              </w:rPr>
            </w:r>
          </w:p>
        </w:tc>
        <w:tc>
          <w:tcPr>
            <w:tcW w:w="1028" w:type="dxa"/>
            <w:vMerge/>
            <w:tcBorders>
              <w:left w:val="single" w:sz="2" w:space="0" w:color="000000"/>
              <w:bottom w:val="single" w:sz="2" w:space="0" w:color="000000"/>
              <w:right w:val="single" w:sz="2" w:space="0" w:color="000000"/>
            </w:tcBorders>
          </w:tcPr>
          <w:p>
            <w:pPr/>
          </w:p>
        </w:tc>
        <w:tc>
          <w:tcPr>
            <w:tcW w:w="700" w:type="dxa"/>
            <w:vMerge/>
            <w:tcBorders>
              <w:left w:val="single" w:sz="2" w:space="0" w:color="000000"/>
              <w:bottom w:val="single" w:sz="2" w:space="0" w:color="000000"/>
              <w:right w:val="nil" w:sz="6" w:space="0" w:color="auto"/>
            </w:tcBorders>
          </w:tcPr>
          <w:p>
            <w:pPr/>
          </w:p>
        </w:tc>
      </w:tr>
      <w:tr>
        <w:trPr>
          <w:trHeight w:val="552" w:hRule="exact"/>
        </w:trPr>
        <w:tc>
          <w:tcPr>
            <w:tcW w:w="177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2"/>
              <w:jc w:val="left"/>
              <w:rPr>
                <w:rFonts w:ascii="宋体" w:hAnsi="宋体" w:cs="宋体" w:eastAsia="宋体" w:hint="default"/>
                <w:sz w:val="18"/>
                <w:szCs w:val="18"/>
              </w:rPr>
            </w:pPr>
            <w:r>
              <w:rPr>
                <w:rFonts w:ascii="宋体" w:hAnsi="宋体" w:cs="宋体" w:eastAsia="宋体" w:hint="default"/>
                <w:spacing w:val="14"/>
                <w:sz w:val="18"/>
                <w:szCs w:val="18"/>
              </w:rPr>
              <w:t>浙江临安中信村镇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银行股份有限公司</w:t>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61" w:right="0"/>
              <w:jc w:val="center"/>
              <w:rPr>
                <w:rFonts w:ascii="宋体" w:hAnsi="宋体" w:cs="宋体" w:eastAsia="宋体" w:hint="default"/>
                <w:sz w:val="18"/>
                <w:szCs w:val="18"/>
              </w:rPr>
            </w:pPr>
            <w:r>
              <w:rPr>
                <w:rFonts w:ascii="宋体"/>
                <w:sz w:val="18"/>
              </w:rPr>
              <w:t>700.00</w:t>
            </w:r>
          </w:p>
        </w:tc>
        <w:tc>
          <w:tcPr>
            <w:tcW w:w="651" w:type="dxa"/>
            <w:tcBorders>
              <w:top w:val="single" w:sz="2" w:space="0" w:color="000000"/>
              <w:left w:val="single" w:sz="2" w:space="0" w:color="000000"/>
              <w:bottom w:val="single" w:sz="2" w:space="0" w:color="000000"/>
              <w:right w:val="single" w:sz="2" w:space="0" w:color="000000"/>
            </w:tcBorders>
          </w:tcPr>
          <w:p>
            <w:pPr/>
          </w:p>
        </w:tc>
        <w:tc>
          <w:tcPr>
            <w:tcW w:w="651" w:type="dxa"/>
            <w:tcBorders>
              <w:top w:val="single" w:sz="2" w:space="0" w:color="000000"/>
              <w:left w:val="single" w:sz="2" w:space="0" w:color="000000"/>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8" w:right="0"/>
              <w:jc w:val="left"/>
              <w:rPr>
                <w:rFonts w:ascii="宋体" w:hAnsi="宋体" w:cs="宋体" w:eastAsia="宋体" w:hint="default"/>
                <w:sz w:val="18"/>
                <w:szCs w:val="18"/>
              </w:rPr>
            </w:pPr>
            <w:r>
              <w:rPr>
                <w:rFonts w:ascii="宋体"/>
                <w:sz w:val="18"/>
              </w:rPr>
              <w:t>700.00</w:t>
            </w:r>
          </w:p>
        </w:tc>
        <w:tc>
          <w:tcPr>
            <w:tcW w:w="461" w:type="dxa"/>
            <w:tcBorders>
              <w:top w:val="single" w:sz="2" w:space="0" w:color="000000"/>
              <w:left w:val="single" w:sz="2" w:space="0" w:color="000000"/>
              <w:bottom w:val="single" w:sz="2" w:space="0" w:color="000000"/>
              <w:right w:val="single" w:sz="2" w:space="0" w:color="000000"/>
            </w:tcBorders>
          </w:tcPr>
          <w:p>
            <w:pPr/>
          </w:p>
        </w:tc>
        <w:tc>
          <w:tcPr>
            <w:tcW w:w="651" w:type="dxa"/>
            <w:tcBorders>
              <w:top w:val="single" w:sz="2" w:space="0" w:color="000000"/>
              <w:left w:val="single" w:sz="2" w:space="0" w:color="000000"/>
              <w:bottom w:val="single" w:sz="2" w:space="0" w:color="000000"/>
              <w:right w:val="single" w:sz="2" w:space="0" w:color="000000"/>
            </w:tcBorders>
          </w:tcPr>
          <w:p>
            <w:pPr/>
          </w:p>
        </w:tc>
        <w:tc>
          <w:tcPr>
            <w:tcW w:w="651"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3.50</w:t>
            </w:r>
          </w:p>
        </w:tc>
        <w:tc>
          <w:tcPr>
            <w:tcW w:w="700"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17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b/>
                <w:sz w:val="18"/>
              </w:rPr>
              <w:t>700.00</w:t>
            </w:r>
            <w:r>
              <w:rPr>
                <w:rFonts w:ascii="宋体"/>
                <w:sz w:val="18"/>
              </w:rPr>
            </w:r>
          </w:p>
        </w:tc>
        <w:tc>
          <w:tcPr>
            <w:tcW w:w="651" w:type="dxa"/>
            <w:tcBorders>
              <w:top w:val="single" w:sz="2" w:space="0" w:color="000000"/>
              <w:left w:val="single" w:sz="2" w:space="0" w:color="000000"/>
              <w:bottom w:val="single" w:sz="12" w:space="0" w:color="000000"/>
              <w:right w:val="single" w:sz="2" w:space="0" w:color="000000"/>
            </w:tcBorders>
          </w:tcPr>
          <w:p>
            <w:pPr/>
          </w:p>
        </w:tc>
        <w:tc>
          <w:tcPr>
            <w:tcW w:w="651" w:type="dxa"/>
            <w:tcBorders>
              <w:top w:val="single" w:sz="2" w:space="0" w:color="000000"/>
              <w:left w:val="single" w:sz="2" w:space="0" w:color="000000"/>
              <w:bottom w:val="single" w:sz="12" w:space="0" w:color="000000"/>
              <w:right w:val="single" w:sz="2" w:space="0" w:color="000000"/>
            </w:tcBorders>
          </w:tcPr>
          <w:p>
            <w:pPr/>
          </w:p>
        </w:tc>
        <w:tc>
          <w:tcPr>
            <w:tcW w:w="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b/>
                <w:sz w:val="18"/>
              </w:rPr>
              <w:t>700.00</w:t>
            </w:r>
            <w:r>
              <w:rPr>
                <w:rFonts w:ascii="宋体"/>
                <w:sz w:val="18"/>
              </w:rPr>
            </w:r>
          </w:p>
        </w:tc>
        <w:tc>
          <w:tcPr>
            <w:tcW w:w="461" w:type="dxa"/>
            <w:tcBorders>
              <w:top w:val="single" w:sz="2" w:space="0" w:color="000000"/>
              <w:left w:val="single" w:sz="2" w:space="0" w:color="000000"/>
              <w:bottom w:val="single" w:sz="12" w:space="0" w:color="000000"/>
              <w:right w:val="single" w:sz="2" w:space="0" w:color="000000"/>
            </w:tcBorders>
          </w:tcPr>
          <w:p>
            <w:pPr/>
          </w:p>
        </w:tc>
        <w:tc>
          <w:tcPr>
            <w:tcW w:w="651" w:type="dxa"/>
            <w:tcBorders>
              <w:top w:val="single" w:sz="2" w:space="0" w:color="000000"/>
              <w:left w:val="single" w:sz="2" w:space="0" w:color="000000"/>
              <w:bottom w:val="single" w:sz="12" w:space="0" w:color="000000"/>
              <w:right w:val="single" w:sz="2" w:space="0" w:color="000000"/>
            </w:tcBorders>
          </w:tcPr>
          <w:p>
            <w:pPr/>
          </w:p>
        </w:tc>
        <w:tc>
          <w:tcPr>
            <w:tcW w:w="651" w:type="dxa"/>
            <w:tcBorders>
              <w:top w:val="single" w:sz="2" w:space="0" w:color="000000"/>
              <w:left w:val="single" w:sz="2" w:space="0" w:color="000000"/>
              <w:bottom w:val="single" w:sz="12" w:space="0" w:color="000000"/>
              <w:right w:val="single" w:sz="2" w:space="0" w:color="000000"/>
            </w:tcBorders>
          </w:tcPr>
          <w:p>
            <w:pPr/>
          </w:p>
        </w:tc>
        <w:tc>
          <w:tcPr>
            <w:tcW w:w="516" w:type="dxa"/>
            <w:tcBorders>
              <w:top w:val="single" w:sz="2" w:space="0" w:color="000000"/>
              <w:left w:val="single" w:sz="2" w:space="0" w:color="000000"/>
              <w:bottom w:val="single" w:sz="12" w:space="0" w:color="000000"/>
              <w:right w:val="single" w:sz="2" w:space="0" w:color="000000"/>
            </w:tcBorders>
          </w:tcPr>
          <w:p>
            <w:pP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w:t>
            </w:r>
            <w:r>
              <w:rPr>
                <w:rFonts w:ascii="宋体"/>
                <w:sz w:val="18"/>
              </w:rPr>
            </w:r>
          </w:p>
        </w:tc>
        <w:tc>
          <w:tcPr>
            <w:tcW w:w="70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37"/>
          <w:pgSz w:w="11910" w:h="16840"/>
          <w:pgMar w:footer="873" w:header="852" w:top="1440" w:bottom="1060" w:left="1020" w:right="1020"/>
          <w:pgNumType w:start="120"/>
        </w:sectPr>
      </w:pPr>
    </w:p>
    <w:p>
      <w:pPr>
        <w:spacing w:line="240" w:lineRule="auto" w:before="9"/>
        <w:rPr>
          <w:rFonts w:ascii="宋体" w:hAnsi="宋体" w:cs="宋体" w:eastAsia="宋体" w:hint="default"/>
          <w:sz w:val="25"/>
          <w:szCs w:val="25"/>
        </w:rPr>
      </w:pPr>
    </w:p>
    <w:p>
      <w:pPr>
        <w:spacing w:before="44"/>
        <w:ind w:left="0" w:right="188" w:firstLine="0"/>
        <w:jc w:val="right"/>
        <w:rPr>
          <w:rFonts w:ascii="宋体" w:hAnsi="宋体" w:cs="宋体" w:eastAsia="宋体" w:hint="default"/>
          <w:sz w:val="18"/>
          <w:szCs w:val="18"/>
        </w:rPr>
      </w:pPr>
      <w:r>
        <w:rPr/>
        <w:pict>
          <v:shape style="position:absolute;margin-left:56.759998pt;margin-top:-12.6583pt;width:117pt;height:25.32pt;mso-position-horizontal-relative:page;mso-position-vertical-relative:paragraph;z-index:1336" type="#_x0000_t75" stroked="false">
            <v:imagedata r:id="rId28" o:title=""/>
          </v:shape>
        </w:pict>
      </w: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3"/>
          <w:szCs w:val="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728.8pt;height:.5pt;mso-position-horizontal-relative:char;mso-position-vertical-relative:line" coordorigin="0,0" coordsize="14576,10">
            <v:group style="position:absolute;left:5;top:5;width:14566;height:2" coordorigin="5,5" coordsize="14566,2">
              <v:shape style="position:absolute;left:5;top:5;width:14566;height:2" coordorigin="5,5" coordsize="14566,0" path="m5,5l14571,5e" filled="false" stroked="true" strokeweight=".47998pt" strokecolor="#4f80bd">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3"/>
          <w:szCs w:val="23"/>
        </w:rPr>
      </w:pPr>
    </w:p>
    <w:p>
      <w:pPr>
        <w:pStyle w:val="BodyText"/>
        <w:spacing w:line="240" w:lineRule="auto"/>
        <w:ind w:left="516" w:right="0"/>
        <w:jc w:val="left"/>
      </w:pPr>
      <w:r>
        <w:rPr/>
        <w:t>9.</w:t>
      </w:r>
      <w:r>
        <w:rPr>
          <w:spacing w:val="64"/>
        </w:rPr>
        <w:t> </w:t>
      </w:r>
      <w:r>
        <w:rPr/>
        <w:t>长期股权投资</w:t>
      </w:r>
    </w:p>
    <w:p>
      <w:pPr>
        <w:spacing w:line="240" w:lineRule="auto" w:before="2"/>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1567"/>
        <w:gridCol w:w="1422"/>
        <w:gridCol w:w="1299"/>
        <w:gridCol w:w="1135"/>
        <w:gridCol w:w="1425"/>
        <w:gridCol w:w="990"/>
        <w:gridCol w:w="990"/>
        <w:gridCol w:w="1425"/>
        <w:gridCol w:w="848"/>
        <w:gridCol w:w="706"/>
        <w:gridCol w:w="1399"/>
        <w:gridCol w:w="1008"/>
      </w:tblGrid>
      <w:tr>
        <w:trPr>
          <w:trHeight w:val="415" w:hRule="exact"/>
        </w:trPr>
        <w:tc>
          <w:tcPr>
            <w:tcW w:w="1567"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22"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818"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399"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08"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2" w:lineRule="exact"/>
              <w:ind w:left="140" w:right="14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1567" w:type="dxa"/>
            <w:vMerge/>
            <w:tcBorders>
              <w:left w:val="nil" w:sz="6" w:space="0" w:color="auto"/>
              <w:bottom w:val="single" w:sz="2" w:space="0" w:color="000000"/>
              <w:right w:val="single" w:sz="2" w:space="0" w:color="000000"/>
            </w:tcBorders>
          </w:tcPr>
          <w:p>
            <w:pPr/>
          </w:p>
        </w:tc>
        <w:tc>
          <w:tcPr>
            <w:tcW w:w="1422" w:type="dxa"/>
            <w:vMerge/>
            <w:tcBorders>
              <w:left w:val="single" w:sz="2" w:space="0" w:color="000000"/>
              <w:bottom w:val="single" w:sz="2" w:space="0" w:color="000000"/>
              <w:right w:val="single" w:sz="2" w:space="0" w:color="000000"/>
            </w:tcBorders>
          </w:tcPr>
          <w:p>
            <w:pP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87"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05"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4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349" w:right="72" w:hanging="269"/>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b/>
                <w:bCs/>
                <w:w w:val="99"/>
                <w:sz w:val="18"/>
                <w:szCs w:val="18"/>
              </w:rPr>
              <w:t> </w:t>
            </w:r>
            <w:r>
              <w:rPr>
                <w:rFonts w:ascii="宋体" w:hAnsi="宋体" w:cs="宋体" w:eastAsia="宋体" w:hint="default"/>
                <w:b/>
                <w:bCs/>
                <w:sz w:val="18"/>
                <w:szCs w:val="18"/>
              </w:rPr>
              <w:t>投资损益</w:t>
            </w:r>
            <w:r>
              <w:rPr>
                <w:rFonts w:ascii="宋体" w:hAnsi="宋体" w:cs="宋体" w:eastAsia="宋体" w:hint="default"/>
                <w:sz w:val="18"/>
                <w:szCs w:val="18"/>
              </w:rPr>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31" w:right="129"/>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312" w:right="128"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4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350" w:right="74" w:hanging="272"/>
              <w:jc w:val="left"/>
              <w:rPr>
                <w:rFonts w:ascii="宋体" w:hAnsi="宋体" w:cs="宋体" w:eastAsia="宋体" w:hint="default"/>
                <w:sz w:val="18"/>
                <w:szCs w:val="18"/>
              </w:rPr>
            </w:pPr>
            <w:r>
              <w:rPr>
                <w:rFonts w:ascii="宋体" w:hAnsi="宋体" w:cs="宋体" w:eastAsia="宋体" w:hint="default"/>
                <w:b/>
                <w:bCs/>
                <w:sz w:val="18"/>
                <w:szCs w:val="18"/>
              </w:rPr>
              <w:t>宣告发放现金股</w:t>
            </w:r>
            <w:r>
              <w:rPr>
                <w:rFonts w:ascii="宋体" w:hAnsi="宋体" w:cs="宋体" w:eastAsia="宋体" w:hint="default"/>
                <w:b/>
                <w:bCs/>
                <w:w w:val="99"/>
                <w:sz w:val="18"/>
                <w:szCs w:val="18"/>
              </w:rPr>
              <w:t> </w:t>
            </w:r>
            <w:r>
              <w:rPr>
                <w:rFonts w:ascii="宋体" w:hAnsi="宋体" w:cs="宋体" w:eastAsia="宋体" w:hint="default"/>
                <w:b/>
                <w:bCs/>
                <w:sz w:val="18"/>
                <w:szCs w:val="18"/>
              </w:rPr>
              <w:t>利或利润</w:t>
            </w:r>
            <w:r>
              <w:rPr>
                <w:rFonts w:ascii="宋体" w:hAnsi="宋体" w:cs="宋体" w:eastAsia="宋体" w:hint="default"/>
                <w:sz w:val="18"/>
                <w:szCs w:val="18"/>
              </w:rPr>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242" w:right="56"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6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99" w:type="dxa"/>
            <w:vMerge/>
            <w:tcBorders>
              <w:left w:val="single" w:sz="2" w:space="0" w:color="000000"/>
              <w:bottom w:val="single" w:sz="2" w:space="0" w:color="000000"/>
              <w:right w:val="single" w:sz="2" w:space="0" w:color="000000"/>
            </w:tcBorders>
          </w:tcPr>
          <w:p>
            <w:pPr/>
          </w:p>
        </w:tc>
        <w:tc>
          <w:tcPr>
            <w:tcW w:w="1008" w:type="dxa"/>
            <w:vMerge/>
            <w:tcBorders>
              <w:left w:val="single" w:sz="2" w:space="0" w:color="000000"/>
              <w:bottom w:val="single" w:sz="2" w:space="0" w:color="000000"/>
              <w:right w:val="nil" w:sz="6" w:space="0" w:color="auto"/>
            </w:tcBorders>
          </w:tcPr>
          <w:p>
            <w:pPr/>
          </w:p>
        </w:tc>
      </w:tr>
      <w:tr>
        <w:trPr>
          <w:trHeight w:val="402" w:hRule="exact"/>
        </w:trPr>
        <w:tc>
          <w:tcPr>
            <w:tcW w:w="1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1299"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425"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425"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70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567"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50"/>
              <w:jc w:val="left"/>
              <w:rPr>
                <w:rFonts w:ascii="宋体" w:hAnsi="宋体" w:cs="宋体" w:eastAsia="宋体" w:hint="default"/>
                <w:sz w:val="18"/>
                <w:szCs w:val="18"/>
              </w:rPr>
            </w:pPr>
            <w:r>
              <w:rPr>
                <w:rFonts w:ascii="宋体" w:hAnsi="宋体" w:cs="宋体" w:eastAsia="宋体" w:hint="default"/>
                <w:sz w:val="18"/>
                <w:szCs w:val="18"/>
              </w:rPr>
              <w:t>浙江电腾云光伏科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技有限公司</w:t>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7"/>
              <w:jc w:val="right"/>
              <w:rPr>
                <w:rFonts w:ascii="宋体" w:hAnsi="宋体" w:cs="宋体" w:eastAsia="宋体" w:hint="default"/>
                <w:sz w:val="18"/>
                <w:szCs w:val="18"/>
              </w:rPr>
            </w:pPr>
            <w:r>
              <w:rPr>
                <w:rFonts w:ascii="宋体"/>
                <w:spacing w:val="-1"/>
                <w:sz w:val="18"/>
              </w:rPr>
              <w:t>3,407,096.61</w:t>
            </w:r>
          </w:p>
        </w:tc>
        <w:tc>
          <w:tcPr>
            <w:tcW w:w="1299"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50"/>
              <w:jc w:val="right"/>
              <w:rPr>
                <w:rFonts w:ascii="宋体" w:hAnsi="宋体" w:cs="宋体" w:eastAsia="宋体" w:hint="default"/>
                <w:sz w:val="18"/>
                <w:szCs w:val="18"/>
              </w:rPr>
            </w:pPr>
            <w:r>
              <w:rPr>
                <w:rFonts w:ascii="宋体"/>
                <w:spacing w:val="-1"/>
                <w:sz w:val="18"/>
              </w:rPr>
              <w:t>22,919.53</w:t>
            </w: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425"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70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3,430,016.14</w:t>
            </w: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567"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50"/>
              <w:jc w:val="left"/>
              <w:rPr>
                <w:rFonts w:ascii="宋体" w:hAnsi="宋体" w:cs="宋体" w:eastAsia="宋体" w:hint="default"/>
                <w:sz w:val="18"/>
                <w:szCs w:val="18"/>
              </w:rPr>
            </w:pPr>
            <w:r>
              <w:rPr>
                <w:rFonts w:ascii="宋体" w:hAnsi="宋体" w:cs="宋体" w:eastAsia="宋体" w:hint="default"/>
                <w:sz w:val="18"/>
                <w:szCs w:val="18"/>
              </w:rPr>
              <w:t>山东万恩新能源科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技有限公司</w:t>
            </w:r>
          </w:p>
        </w:tc>
        <w:tc>
          <w:tcPr>
            <w:tcW w:w="1422" w:type="dxa"/>
            <w:tcBorders>
              <w:top w:val="single" w:sz="2" w:space="0" w:color="000000"/>
              <w:left w:val="single" w:sz="2" w:space="0" w:color="000000"/>
              <w:bottom w:val="single" w:sz="2" w:space="0" w:color="000000"/>
              <w:right w:val="single" w:sz="2" w:space="0" w:color="000000"/>
            </w:tcBorders>
          </w:tcPr>
          <w:p>
            <w:pP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8,347,172.00</w:t>
            </w:r>
          </w:p>
        </w:tc>
        <w:tc>
          <w:tcPr>
            <w:tcW w:w="1135" w:type="dxa"/>
            <w:tcBorders>
              <w:top w:val="single" w:sz="2" w:space="0" w:color="000000"/>
              <w:left w:val="single" w:sz="2" w:space="0" w:color="000000"/>
              <w:bottom w:val="single" w:sz="2" w:space="0" w:color="000000"/>
              <w:right w:val="single" w:sz="2" w:space="0" w:color="000000"/>
            </w:tcBorders>
          </w:tcPr>
          <w:p>
            <w:pPr/>
          </w:p>
        </w:tc>
        <w:tc>
          <w:tcPr>
            <w:tcW w:w="1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50"/>
              <w:jc w:val="right"/>
              <w:rPr>
                <w:rFonts w:ascii="宋体" w:hAnsi="宋体" w:cs="宋体" w:eastAsia="宋体" w:hint="default"/>
                <w:sz w:val="18"/>
                <w:szCs w:val="18"/>
              </w:rPr>
            </w:pPr>
            <w:r>
              <w:rPr>
                <w:rFonts w:ascii="宋体"/>
                <w:spacing w:val="-1"/>
                <w:sz w:val="18"/>
              </w:rPr>
              <w:t>-935,482.42</w:t>
            </w: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425"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706"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7,411,689.58</w:t>
            </w: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1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38"/>
              <w:jc w:val="right"/>
              <w:rPr>
                <w:rFonts w:ascii="宋体" w:hAnsi="宋体" w:cs="宋体" w:eastAsia="宋体" w:hint="default"/>
                <w:sz w:val="18"/>
                <w:szCs w:val="18"/>
              </w:rPr>
            </w:pPr>
            <w:r>
              <w:rPr>
                <w:rFonts w:ascii="宋体"/>
                <w:b/>
                <w:w w:val="95"/>
                <w:sz w:val="18"/>
              </w:rPr>
              <w:t>3,407,096.61</w:t>
            </w:r>
            <w:r>
              <w:rPr>
                <w:rFonts w:ascii="宋体"/>
                <w:sz w:val="18"/>
              </w:rPr>
            </w:r>
          </w:p>
        </w:tc>
        <w:tc>
          <w:tcPr>
            <w:tcW w:w="12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38"/>
              <w:jc w:val="right"/>
              <w:rPr>
                <w:rFonts w:ascii="宋体" w:hAnsi="宋体" w:cs="宋体" w:eastAsia="宋体" w:hint="default"/>
                <w:sz w:val="18"/>
                <w:szCs w:val="18"/>
              </w:rPr>
            </w:pPr>
            <w:r>
              <w:rPr>
                <w:rFonts w:ascii="宋体"/>
                <w:b/>
                <w:w w:val="95"/>
                <w:sz w:val="18"/>
              </w:rPr>
              <w:t>8,347,172.00</w:t>
            </w:r>
            <w:r>
              <w:rPr>
                <w:rFonts w:ascii="宋体"/>
                <w:sz w:val="18"/>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0"/>
              <w:jc w:val="right"/>
              <w:rPr>
                <w:rFonts w:ascii="宋体" w:hAnsi="宋体" w:cs="宋体" w:eastAsia="宋体" w:hint="default"/>
                <w:sz w:val="18"/>
                <w:szCs w:val="18"/>
              </w:rPr>
            </w:pPr>
            <w:r>
              <w:rPr>
                <w:rFonts w:ascii="宋体"/>
                <w:b/>
                <w:w w:val="95"/>
                <w:sz w:val="18"/>
              </w:rPr>
              <w:t>-912,562.89</w:t>
            </w:r>
            <w:r>
              <w:rPr>
                <w:rFonts w:ascii="宋体"/>
                <w:sz w:val="18"/>
              </w:rPr>
            </w:r>
          </w:p>
        </w:tc>
        <w:tc>
          <w:tcPr>
            <w:tcW w:w="990" w:type="dxa"/>
            <w:tcBorders>
              <w:top w:val="single" w:sz="2" w:space="0" w:color="000000"/>
              <w:left w:val="single" w:sz="2" w:space="0" w:color="000000"/>
              <w:bottom w:val="single" w:sz="12" w:space="0" w:color="000000"/>
              <w:right w:val="single" w:sz="2" w:space="0" w:color="000000"/>
            </w:tcBorders>
          </w:tcPr>
          <w:p>
            <w:pPr/>
          </w:p>
        </w:tc>
        <w:tc>
          <w:tcPr>
            <w:tcW w:w="990" w:type="dxa"/>
            <w:tcBorders>
              <w:top w:val="single" w:sz="2" w:space="0" w:color="000000"/>
              <w:left w:val="single" w:sz="2" w:space="0" w:color="000000"/>
              <w:bottom w:val="single" w:sz="12" w:space="0" w:color="000000"/>
              <w:right w:val="single" w:sz="2" w:space="0" w:color="000000"/>
            </w:tcBorders>
          </w:tcPr>
          <w:p>
            <w:pPr/>
          </w:p>
        </w:tc>
        <w:tc>
          <w:tcPr>
            <w:tcW w:w="1425" w:type="dxa"/>
            <w:tcBorders>
              <w:top w:val="single" w:sz="2" w:space="0" w:color="000000"/>
              <w:left w:val="single" w:sz="2" w:space="0" w:color="000000"/>
              <w:bottom w:val="single" w:sz="12" w:space="0" w:color="000000"/>
              <w:right w:val="single" w:sz="2" w:space="0" w:color="000000"/>
            </w:tcBorders>
          </w:tcPr>
          <w:p>
            <w:pPr/>
          </w:p>
        </w:tc>
        <w:tc>
          <w:tcPr>
            <w:tcW w:w="848" w:type="dxa"/>
            <w:tcBorders>
              <w:top w:val="single" w:sz="2" w:space="0" w:color="000000"/>
              <w:left w:val="single" w:sz="2" w:space="0" w:color="000000"/>
              <w:bottom w:val="single" w:sz="12" w:space="0" w:color="000000"/>
              <w:right w:val="single" w:sz="2" w:space="0" w:color="000000"/>
            </w:tcBorders>
          </w:tcPr>
          <w:p>
            <w:pPr/>
          </w:p>
        </w:tc>
        <w:tc>
          <w:tcPr>
            <w:tcW w:w="706" w:type="dxa"/>
            <w:tcBorders>
              <w:top w:val="single" w:sz="2" w:space="0" w:color="000000"/>
              <w:left w:val="single" w:sz="2" w:space="0" w:color="000000"/>
              <w:bottom w:val="single" w:sz="12" w:space="0" w:color="000000"/>
              <w:right w:val="single" w:sz="2" w:space="0" w:color="000000"/>
            </w:tcBorders>
          </w:tcPr>
          <w:p>
            <w:pP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38"/>
              <w:jc w:val="right"/>
              <w:rPr>
                <w:rFonts w:ascii="宋体" w:hAnsi="宋体" w:cs="宋体" w:eastAsia="宋体" w:hint="default"/>
                <w:sz w:val="18"/>
                <w:szCs w:val="18"/>
              </w:rPr>
            </w:pPr>
            <w:r>
              <w:rPr>
                <w:rFonts w:ascii="宋体"/>
                <w:b/>
                <w:w w:val="95"/>
                <w:sz w:val="18"/>
              </w:rPr>
              <w:t>10,841,705.72</w:t>
            </w:r>
            <w:r>
              <w:rPr>
                <w:rFonts w:ascii="宋体"/>
                <w:sz w:val="18"/>
              </w:rPr>
            </w:r>
          </w:p>
        </w:tc>
        <w:tc>
          <w:tcPr>
            <w:tcW w:w="100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6"/>
        <w:ind w:left="544" w:right="632"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121  </w:t>
      </w:r>
      <w:r>
        <w:rPr>
          <w:rFonts w:ascii="宋体" w:hAnsi="宋体" w:cs="宋体" w:eastAsia="宋体" w:hint="default"/>
          <w:spacing w:val="-35"/>
          <w:sz w:val="18"/>
          <w:szCs w:val="18"/>
        </w:rPr>
        <w:t>页</w:t>
      </w:r>
      <w:r>
        <w:rPr>
          <w:rFonts w:ascii="Times New Roman" w:hAnsi="Times New Roman" w:cs="Times New Roman" w:eastAsia="Times New Roman" w:hint="default"/>
          <w:spacing w:val="-35"/>
          <w:position w:val="1"/>
          <w:sz w:val="18"/>
          <w:szCs w:val="18"/>
        </w:rPr>
        <w:t>/           </w:t>
      </w:r>
      <w:r>
        <w:rPr>
          <w:rFonts w:ascii="宋体" w:hAnsi="宋体" w:cs="宋体" w:eastAsia="宋体" w:hint="default"/>
          <w:sz w:val="18"/>
          <w:szCs w:val="18"/>
        </w:rPr>
        <w:t>共</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167</w:t>
      </w:r>
    </w:p>
    <w:p>
      <w:pPr>
        <w:spacing w:after="0"/>
        <w:jc w:val="center"/>
        <w:rPr>
          <w:rFonts w:ascii="Times New Roman" w:hAnsi="Times New Roman" w:cs="Times New Roman" w:eastAsia="Times New Roman" w:hint="default"/>
          <w:sz w:val="18"/>
          <w:szCs w:val="18"/>
        </w:rPr>
        <w:sectPr>
          <w:headerReference w:type="default" r:id="rId38"/>
          <w:footerReference w:type="default" r:id="rId39"/>
          <w:pgSz w:w="16840" w:h="11910" w:orient="landscape"/>
          <w:pgMar w:header="0" w:footer="0" w:top="760" w:bottom="280" w:left="1020" w:right="1020"/>
        </w:sectPr>
      </w:pPr>
    </w:p>
    <w:p>
      <w:pPr>
        <w:spacing w:line="240" w:lineRule="auto" w:before="8"/>
        <w:rPr>
          <w:rFonts w:ascii="Times New Roman" w:hAnsi="Times New Roman" w:cs="Times New Roman" w:eastAsia="Times New Roman" w:hint="default"/>
          <w:sz w:val="27"/>
          <w:szCs w:val="27"/>
        </w:rPr>
      </w:pPr>
    </w:p>
    <w:p>
      <w:pPr>
        <w:pStyle w:val="BodyText"/>
        <w:spacing w:line="240" w:lineRule="auto"/>
        <w:ind w:left="644" w:right="80"/>
        <w:jc w:val="left"/>
      </w:pPr>
      <w:r>
        <w:rPr/>
        <w:t>10.</w:t>
      </w:r>
      <w:r>
        <w:rPr>
          <w:spacing w:val="-48"/>
        </w:rPr>
        <w:t> </w:t>
      </w:r>
      <w:r>
        <w:rPr/>
        <w:t>固定资产</w:t>
      </w:r>
    </w:p>
    <w:p>
      <w:pPr>
        <w:pStyle w:val="BodyText"/>
        <w:spacing w:line="240" w:lineRule="auto" w:before="192"/>
        <w:ind w:left="666" w:right="80"/>
        <w:jc w:val="left"/>
      </w:pPr>
      <w:r>
        <w:rPr/>
        <w:t>（1）</w:t>
      </w:r>
      <w:r>
        <w:rPr>
          <w:spacing w:val="9"/>
        </w:rPr>
        <w:t> </w:t>
      </w:r>
      <w:r>
        <w:rPr/>
        <w:t>固定资产明细表</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463"/>
        <w:gridCol w:w="1476"/>
        <w:gridCol w:w="1476"/>
        <w:gridCol w:w="1386"/>
        <w:gridCol w:w="1386"/>
        <w:gridCol w:w="1536"/>
      </w:tblGrid>
      <w:tr>
        <w:trPr>
          <w:trHeight w:val="409" w:hRule="exact"/>
        </w:trPr>
        <w:tc>
          <w:tcPr>
            <w:tcW w:w="1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284"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3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3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sz w:val="18"/>
                <w:szCs w:val="18"/>
              </w:rPr>
            </w:r>
          </w:p>
        </w:tc>
        <w:tc>
          <w:tcPr>
            <w:tcW w:w="15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spacing w:val="-1"/>
                <w:sz w:val="18"/>
              </w:rPr>
              <w:t>417,067,530.82</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spacing w:val="-1"/>
                <w:sz w:val="18"/>
              </w:rPr>
              <w:t>679,897,897.01</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spacing w:val="-1"/>
                <w:sz w:val="18"/>
              </w:rPr>
              <w:t>13,694,507.92</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pacing w:val="-1"/>
                <w:sz w:val="18"/>
              </w:rPr>
              <w:t>25,797,090.55</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34" w:lineRule="exact" w:before="11"/>
              <w:ind w:right="52"/>
              <w:jc w:val="right"/>
              <w:rPr>
                <w:rFonts w:ascii="宋体" w:hAnsi="宋体" w:cs="宋体" w:eastAsia="宋体" w:hint="default"/>
                <w:sz w:val="18"/>
                <w:szCs w:val="18"/>
              </w:rPr>
            </w:pPr>
            <w:r>
              <w:rPr>
                <w:rFonts w:ascii="宋体"/>
                <w:spacing w:val="-1"/>
                <w:sz w:val="18"/>
              </w:rPr>
              <w:t>1,136,457,026.3</w:t>
            </w:r>
          </w:p>
          <w:p>
            <w:pPr>
              <w:pStyle w:val="TableParagraph"/>
              <w:spacing w:line="234" w:lineRule="exact"/>
              <w:ind w:right="52"/>
              <w:jc w:val="right"/>
              <w:rPr>
                <w:rFonts w:ascii="宋体" w:hAnsi="宋体" w:cs="宋体" w:eastAsia="宋体" w:hint="default"/>
                <w:sz w:val="18"/>
                <w:szCs w:val="18"/>
              </w:rPr>
            </w:pPr>
            <w:r>
              <w:rPr>
                <w:rFonts w:ascii="宋体"/>
                <w:sz w:val="18"/>
              </w:rPr>
              <w:t>0</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26,056,783.36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24,357,996.41</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1,295,577.72</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4,251,686.75</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2"/>
              <w:jc w:val="right"/>
              <w:rPr>
                <w:rFonts w:ascii="宋体" w:hAnsi="宋体" w:cs="宋体" w:eastAsia="宋体" w:hint="default"/>
                <w:sz w:val="18"/>
                <w:szCs w:val="18"/>
              </w:rPr>
            </w:pPr>
            <w:r>
              <w:rPr>
                <w:rFonts w:ascii="宋体"/>
                <w:spacing w:val="-1"/>
                <w:sz w:val="18"/>
              </w:rPr>
              <w:t>55,962,044.24</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21,494,627.36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23,425,332.63</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1,295,577.72</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4,251,686.75</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50,467,224.46</w:t>
            </w:r>
          </w:p>
        </w:tc>
      </w:tr>
      <w:tr>
        <w:trPr>
          <w:trHeight w:val="552"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51"/>
              <w:jc w:val="left"/>
              <w:rPr>
                <w:rFonts w:ascii="宋体" w:hAnsi="宋体" w:cs="宋体" w:eastAsia="宋体" w:hint="default"/>
                <w:sz w:val="18"/>
                <w:szCs w:val="18"/>
              </w:rPr>
            </w:pPr>
            <w:r>
              <w:rPr>
                <w:rFonts w:ascii="宋体" w:hAnsi="宋体" w:cs="宋体" w:eastAsia="宋体" w:hint="default"/>
                <w:sz w:val="18"/>
                <w:szCs w:val="18"/>
              </w:rPr>
              <w:t>（2）在建工程转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4,562,156.00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932,663.78</w:t>
            </w: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5,494,819.78</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31,542.06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10,027,755.48</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1,086,562.95</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29,889.40</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11,175,749.89</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31,542.06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10,027,755.48</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1,086,562.95</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29,889.40</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11,175,749.89</w:t>
            </w:r>
          </w:p>
        </w:tc>
      </w:tr>
      <w:tr>
        <w:trPr>
          <w:trHeight w:val="552"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443,092,772.12</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694,228,137.94</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4"/>
              <w:jc w:val="right"/>
              <w:rPr>
                <w:rFonts w:ascii="宋体" w:hAnsi="宋体" w:cs="宋体" w:eastAsia="宋体" w:hint="default"/>
                <w:sz w:val="18"/>
                <w:szCs w:val="18"/>
              </w:rPr>
            </w:pPr>
            <w:r>
              <w:rPr>
                <w:rFonts w:ascii="宋体"/>
                <w:spacing w:val="-1"/>
                <w:sz w:val="18"/>
              </w:rPr>
              <w:t>13,903,522.69</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05" w:right="0"/>
              <w:jc w:val="left"/>
              <w:rPr>
                <w:rFonts w:ascii="宋体" w:hAnsi="宋体" w:cs="宋体" w:eastAsia="宋体" w:hint="default"/>
                <w:sz w:val="18"/>
                <w:szCs w:val="18"/>
              </w:rPr>
            </w:pPr>
            <w:r>
              <w:rPr>
                <w:rFonts w:ascii="宋体"/>
                <w:sz w:val="18"/>
              </w:rPr>
              <w:t>30,018,887.90</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34" w:lineRule="exact" w:before="11"/>
              <w:ind w:right="52"/>
              <w:jc w:val="right"/>
              <w:rPr>
                <w:rFonts w:ascii="宋体" w:hAnsi="宋体" w:cs="宋体" w:eastAsia="宋体" w:hint="default"/>
                <w:sz w:val="18"/>
                <w:szCs w:val="18"/>
              </w:rPr>
            </w:pPr>
            <w:r>
              <w:rPr>
                <w:rFonts w:ascii="宋体"/>
                <w:spacing w:val="-1"/>
                <w:sz w:val="18"/>
              </w:rPr>
              <w:t>1,181,243,320.6</w:t>
            </w:r>
          </w:p>
          <w:p>
            <w:pPr>
              <w:pStyle w:val="TableParagraph"/>
              <w:spacing w:line="234" w:lineRule="exact"/>
              <w:ind w:right="52"/>
              <w:jc w:val="right"/>
              <w:rPr>
                <w:rFonts w:ascii="宋体" w:hAnsi="宋体" w:cs="宋体" w:eastAsia="宋体" w:hint="default"/>
                <w:sz w:val="18"/>
                <w:szCs w:val="18"/>
              </w:rPr>
            </w:pPr>
            <w:r>
              <w:rPr>
                <w:rFonts w:ascii="宋体"/>
                <w:sz w:val="18"/>
              </w:rPr>
              <w:t>5</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spacing w:val="-1"/>
                <w:sz w:val="18"/>
              </w:rPr>
              <w:t>104,858,138.24</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spacing w:val="-1"/>
                <w:sz w:val="18"/>
              </w:rPr>
              <w:t>337,183,110.47</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9"/>
              <w:jc w:val="right"/>
              <w:rPr>
                <w:rFonts w:ascii="宋体" w:hAnsi="宋体" w:cs="宋体" w:eastAsia="宋体" w:hint="default"/>
                <w:sz w:val="18"/>
                <w:szCs w:val="18"/>
              </w:rPr>
            </w:pPr>
            <w:r>
              <w:rPr>
                <w:rFonts w:ascii="宋体"/>
                <w:spacing w:val="-1"/>
                <w:sz w:val="18"/>
              </w:rPr>
              <w:t>9,002,259.58</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50"/>
              <w:jc w:val="right"/>
              <w:rPr>
                <w:rFonts w:ascii="宋体" w:hAnsi="宋体" w:cs="宋体" w:eastAsia="宋体" w:hint="default"/>
                <w:sz w:val="18"/>
                <w:szCs w:val="18"/>
              </w:rPr>
            </w:pPr>
            <w:r>
              <w:rPr>
                <w:rFonts w:ascii="宋体"/>
                <w:spacing w:val="-1"/>
                <w:sz w:val="18"/>
              </w:rPr>
              <w:t>18,263,954.48</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0"/>
              <w:jc w:val="right"/>
              <w:rPr>
                <w:rFonts w:ascii="宋体" w:hAnsi="宋体" w:cs="宋体" w:eastAsia="宋体" w:hint="default"/>
                <w:sz w:val="18"/>
                <w:szCs w:val="18"/>
              </w:rPr>
            </w:pPr>
            <w:r>
              <w:rPr>
                <w:rFonts w:ascii="宋体"/>
                <w:spacing w:val="-1"/>
                <w:sz w:val="18"/>
              </w:rPr>
              <w:t>469,307,462.77</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23,103,187.66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52,508,271.90</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1,606,183.82</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3,109,565.38</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80,327,208.76</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23,103,187.66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52,508,271.90</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1,606,183.82</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3,109,565.38</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80,327,208.76</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8,531,573.49</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1,035,624.60</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28,400.25</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9,595,598.34</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8,531,573.49</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1,035,624.60</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28,400.25</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9,595,598.34</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127,961,325.90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381,159,808.88</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9,572,818.80</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21,345,119.61</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0"/>
              <w:jc w:val="right"/>
              <w:rPr>
                <w:rFonts w:ascii="宋体" w:hAnsi="宋体" w:cs="宋体" w:eastAsia="宋体" w:hint="default"/>
                <w:sz w:val="18"/>
                <w:szCs w:val="18"/>
              </w:rPr>
            </w:pPr>
            <w:r>
              <w:rPr>
                <w:rFonts w:ascii="宋体"/>
                <w:spacing w:val="-1"/>
                <w:sz w:val="18"/>
              </w:rPr>
              <w:t>540,039,073.19</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50"/>
              <w:jc w:val="right"/>
              <w:rPr>
                <w:rFonts w:ascii="宋体" w:hAnsi="宋体" w:cs="宋体" w:eastAsia="宋体" w:hint="default"/>
                <w:sz w:val="18"/>
                <w:szCs w:val="18"/>
              </w:rPr>
            </w:pPr>
            <w:r>
              <w:rPr>
                <w:rFonts w:ascii="宋体"/>
                <w:spacing w:val="-1"/>
                <w:sz w:val="18"/>
              </w:rPr>
              <w:t>86,037.77</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spacing w:val="-1"/>
                <w:sz w:val="18"/>
              </w:rPr>
              <w:t>1,158,343.61</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9"/>
              <w:jc w:val="right"/>
              <w:rPr>
                <w:rFonts w:ascii="宋体" w:hAnsi="宋体" w:cs="宋体" w:eastAsia="宋体" w:hint="default"/>
                <w:sz w:val="18"/>
                <w:szCs w:val="18"/>
              </w:rPr>
            </w:pPr>
            <w:r>
              <w:rPr>
                <w:rFonts w:ascii="宋体"/>
                <w:spacing w:val="-1"/>
                <w:sz w:val="18"/>
              </w:rPr>
              <w:t>5,654.35</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spacing w:val="-1"/>
                <w:sz w:val="18"/>
              </w:rPr>
              <w:t>201,704.41</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0"/>
              <w:jc w:val="right"/>
              <w:rPr>
                <w:rFonts w:ascii="宋体" w:hAnsi="宋体" w:cs="宋体" w:eastAsia="宋体" w:hint="default"/>
                <w:sz w:val="18"/>
                <w:szCs w:val="18"/>
              </w:rPr>
            </w:pPr>
            <w:r>
              <w:rPr>
                <w:rFonts w:ascii="宋体"/>
                <w:spacing w:val="-1"/>
                <w:sz w:val="18"/>
              </w:rPr>
              <w:t>1,451,740.14</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77,134.09</w:t>
            </w: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77,134.09</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77,134.09</w:t>
            </w: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77,134.09</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86,037.77</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1,081,209.52</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5,654.35</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宋体"/>
                <w:sz w:val="18"/>
              </w:rPr>
              <w:t>201,704.41</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0"/>
              <w:jc w:val="right"/>
              <w:rPr>
                <w:rFonts w:ascii="宋体" w:hAnsi="宋体" w:cs="宋体" w:eastAsia="宋体" w:hint="default"/>
                <w:sz w:val="18"/>
                <w:szCs w:val="18"/>
              </w:rPr>
            </w:pPr>
            <w:r>
              <w:rPr>
                <w:rFonts w:ascii="宋体"/>
                <w:spacing w:val="-1"/>
                <w:sz w:val="18"/>
              </w:rPr>
              <w:t>1,374,606.05</w:t>
            </w: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1.年末账面价值</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315,045,408.45</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311,987,119.54</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4,325,049.54</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8,472,063.88</w:t>
            </w: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639,829,641.41</w:t>
            </w:r>
          </w:p>
        </w:tc>
      </w:tr>
      <w:tr>
        <w:trPr>
          <w:trHeight w:val="408" w:hRule="exact"/>
        </w:trPr>
        <w:tc>
          <w:tcPr>
            <w:tcW w:w="1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312,123,354.81</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341,556,442.93</w:t>
            </w: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4,686,593.99</w:t>
            </w: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7,331,431.66</w:t>
            </w:r>
          </w:p>
        </w:tc>
        <w:tc>
          <w:tcPr>
            <w:tcW w:w="15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665,697,823.39</w:t>
            </w:r>
          </w:p>
        </w:tc>
      </w:tr>
    </w:tbl>
    <w:p>
      <w:pPr>
        <w:spacing w:line="240" w:lineRule="auto" w:before="1"/>
        <w:rPr>
          <w:rFonts w:ascii="宋体" w:hAnsi="宋体" w:cs="宋体" w:eastAsia="宋体" w:hint="default"/>
          <w:sz w:val="9"/>
          <w:szCs w:val="9"/>
        </w:rPr>
      </w:pPr>
    </w:p>
    <w:p>
      <w:pPr>
        <w:pStyle w:val="BodyText"/>
        <w:spacing w:line="300" w:lineRule="auto"/>
        <w:ind w:left="241" w:right="80" w:firstLine="439"/>
        <w:jc w:val="left"/>
      </w:pPr>
      <w:r>
        <w:rPr>
          <w:spacing w:val="-4"/>
        </w:rPr>
        <w:t>注：已设定抵押的固定资产明细详见本附注“六、16、短期借款”及“六、46、所有</w:t>
      </w:r>
      <w:r>
        <w:rPr>
          <w:w w:val="100"/>
        </w:rPr>
        <w:t> </w:t>
      </w:r>
      <w:r>
        <w:rPr/>
        <w:t>权或使用权受到限制的资产”所述。</w:t>
      </w:r>
    </w:p>
    <w:p>
      <w:pPr>
        <w:pStyle w:val="BodyText"/>
        <w:spacing w:line="400" w:lineRule="auto" w:before="137"/>
        <w:ind w:left="680" w:right="5657" w:hanging="15"/>
        <w:jc w:val="left"/>
      </w:pPr>
      <w:r>
        <w:rPr/>
        <w:t>（2）</w:t>
      </w:r>
      <w:r>
        <w:rPr>
          <w:spacing w:val="7"/>
        </w:rPr>
        <w:t> </w:t>
      </w:r>
      <w:r>
        <w:rPr/>
        <w:t>暂时闲置的固定资产</w:t>
      </w:r>
      <w:r>
        <w:rPr>
          <w:w w:val="100"/>
        </w:rPr>
        <w:t> </w:t>
      </w:r>
      <w:r>
        <w:rPr/>
        <w:t>无。</w:t>
      </w:r>
    </w:p>
    <w:p>
      <w:pPr>
        <w:spacing w:after="0" w:line="400" w:lineRule="auto"/>
        <w:jc w:val="left"/>
        <w:sectPr>
          <w:headerReference w:type="default" r:id="rId40"/>
          <w:footerReference w:type="default" r:id="rId41"/>
          <w:pgSz w:w="11910" w:h="16840"/>
          <w:pgMar w:header="852" w:footer="873" w:top="1440" w:bottom="1060" w:left="1460" w:right="1460"/>
          <w:pgNumType w:start="122"/>
        </w:sectPr>
      </w:pPr>
    </w:p>
    <w:p>
      <w:pPr>
        <w:spacing w:line="240" w:lineRule="auto" w:before="1"/>
        <w:rPr>
          <w:rFonts w:ascii="宋体" w:hAnsi="宋体" w:cs="宋体" w:eastAsia="宋体" w:hint="default"/>
          <w:sz w:val="18"/>
          <w:szCs w:val="18"/>
        </w:rPr>
      </w:pPr>
    </w:p>
    <w:p>
      <w:pPr>
        <w:pStyle w:val="BodyText"/>
        <w:spacing w:line="400" w:lineRule="auto"/>
        <w:ind w:left="680" w:right="4798" w:hanging="15"/>
        <w:jc w:val="left"/>
      </w:pPr>
      <w:r>
        <w:rPr/>
        <w:t>（3）</w:t>
      </w:r>
      <w:r>
        <w:rPr>
          <w:spacing w:val="6"/>
        </w:rPr>
        <w:t> </w:t>
      </w:r>
      <w:r>
        <w:rPr/>
        <w:t>通过融资租赁租入的固定资产</w:t>
      </w:r>
      <w:r>
        <w:rPr>
          <w:w w:val="100"/>
        </w:rPr>
        <w:t> </w:t>
      </w:r>
      <w:r>
        <w:rPr/>
        <w:t>无。</w:t>
      </w:r>
    </w:p>
    <w:p>
      <w:pPr>
        <w:pStyle w:val="BodyText"/>
        <w:spacing w:line="400" w:lineRule="auto" w:before="44"/>
        <w:ind w:left="680" w:right="4798" w:hanging="15"/>
        <w:jc w:val="left"/>
      </w:pPr>
      <w:r>
        <w:rPr/>
        <w:t>（4）</w:t>
      </w:r>
      <w:r>
        <w:rPr>
          <w:spacing w:val="6"/>
        </w:rPr>
        <w:t> </w:t>
      </w:r>
      <w:r>
        <w:rPr/>
        <w:t>通过经营租赁租出的固定资产</w:t>
      </w:r>
      <w:r>
        <w:rPr>
          <w:w w:val="100"/>
        </w:rPr>
        <w:t> </w:t>
      </w:r>
      <w:r>
        <w:rPr/>
        <w:t>无。</w:t>
      </w:r>
    </w:p>
    <w:p>
      <w:pPr>
        <w:pStyle w:val="BodyText"/>
        <w:spacing w:line="400" w:lineRule="auto" w:before="44"/>
        <w:ind w:left="680" w:right="5018" w:hanging="15"/>
        <w:jc w:val="left"/>
      </w:pPr>
      <w:r>
        <w:rPr/>
        <w:t>（5）</w:t>
      </w:r>
      <w:r>
        <w:rPr>
          <w:spacing w:val="6"/>
        </w:rPr>
        <w:t> </w:t>
      </w:r>
      <w:r>
        <w:rPr/>
        <w:t>未办妥产权证书的固定资产</w:t>
      </w:r>
      <w:r>
        <w:rPr>
          <w:w w:val="100"/>
        </w:rPr>
        <w:t> </w:t>
      </w:r>
      <w:r>
        <w:rPr/>
        <w:t>无。</w:t>
      </w:r>
    </w:p>
    <w:p>
      <w:pPr>
        <w:pStyle w:val="BodyText"/>
        <w:spacing w:line="240" w:lineRule="auto" w:before="44"/>
        <w:ind w:left="644" w:right="4798"/>
        <w:jc w:val="left"/>
      </w:pPr>
      <w:r>
        <w:rPr/>
        <w:t>11.</w:t>
      </w:r>
      <w:r>
        <w:rPr>
          <w:spacing w:val="-48"/>
        </w:rPr>
        <w:t> </w:t>
      </w:r>
      <w:r>
        <w:rPr/>
        <w:t>在建工程</w:t>
      </w:r>
    </w:p>
    <w:p>
      <w:pPr>
        <w:pStyle w:val="BodyText"/>
        <w:spacing w:line="240" w:lineRule="auto" w:before="192"/>
        <w:ind w:left="666" w:right="4798"/>
        <w:jc w:val="left"/>
      </w:pPr>
      <w:r>
        <w:rPr/>
        <w:t>（1）</w:t>
      </w:r>
      <w:r>
        <w:rPr>
          <w:spacing w:val="9"/>
        </w:rPr>
        <w:t> </w:t>
      </w:r>
      <w:r>
        <w:rPr/>
        <w:t>在建工程明细表</w:t>
      </w: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791"/>
        <w:gridCol w:w="1975"/>
        <w:gridCol w:w="1837"/>
        <w:gridCol w:w="2120"/>
      </w:tblGrid>
      <w:tr>
        <w:trPr>
          <w:trHeight w:val="425" w:hRule="exact"/>
        </w:trPr>
        <w:tc>
          <w:tcPr>
            <w:tcW w:w="2791"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93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7" w:hRule="exact"/>
        </w:trPr>
        <w:tc>
          <w:tcPr>
            <w:tcW w:w="2791" w:type="dxa"/>
            <w:vMerge/>
            <w:tcBorders>
              <w:left w:val="nil" w:sz="6" w:space="0" w:color="auto"/>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3"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61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杨岭低压分厂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1,610,331.55</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1,610,331.55</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青山厂房</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6,773,706.26</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6,773,706.26</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TPV</w:t>
            </w:r>
            <w:r>
              <w:rPr>
                <w:rFonts w:ascii="宋体" w:hAnsi="宋体" w:cs="宋体" w:eastAsia="宋体" w:hint="default"/>
                <w:spacing w:val="-58"/>
                <w:sz w:val="22"/>
                <w:szCs w:val="22"/>
              </w:rPr>
              <w:t> </w:t>
            </w:r>
            <w:r>
              <w:rPr>
                <w:rFonts w:ascii="宋体" w:hAnsi="宋体" w:cs="宋体" w:eastAsia="宋体" w:hint="default"/>
                <w:sz w:val="22"/>
                <w:szCs w:val="22"/>
              </w:rPr>
              <w:t>一线</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5,603,747.37</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5,603,747.37</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低烟无卤</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线</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1,004,097.57</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1,004,097.57</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充电桩北京项目</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1,314,083.52</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1,314,083.52</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其他零星工程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1,762,306.23</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1,762,306.23</w:t>
            </w:r>
          </w:p>
        </w:tc>
      </w:tr>
      <w:tr>
        <w:trPr>
          <w:trHeight w:val="424" w:hRule="exact"/>
        </w:trPr>
        <w:tc>
          <w:tcPr>
            <w:tcW w:w="27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88"/>
              <w:jc w:val="right"/>
              <w:rPr>
                <w:rFonts w:ascii="宋体" w:hAnsi="宋体" w:cs="宋体" w:eastAsia="宋体" w:hint="default"/>
                <w:sz w:val="22"/>
                <w:szCs w:val="22"/>
              </w:rPr>
            </w:pPr>
            <w:r>
              <w:rPr>
                <w:rFonts w:ascii="宋体"/>
                <w:b/>
                <w:spacing w:val="-1"/>
                <w:sz w:val="22"/>
              </w:rPr>
              <w:t>18,068,272.50</w:t>
            </w:r>
            <w:r>
              <w:rPr>
                <w:rFonts w:ascii="宋体"/>
                <w:spacing w:val="-1"/>
                <w:sz w:val="22"/>
              </w:rPr>
            </w:r>
          </w:p>
        </w:tc>
        <w:tc>
          <w:tcPr>
            <w:tcW w:w="1837" w:type="dxa"/>
            <w:tcBorders>
              <w:top w:val="single" w:sz="4" w:space="0" w:color="000000"/>
              <w:left w:val="single" w:sz="4" w:space="0" w:color="000000"/>
              <w:bottom w:val="single" w:sz="17" w:space="0" w:color="000000"/>
              <w:right w:val="single" w:sz="4" w:space="0" w:color="000000"/>
            </w:tcBorders>
          </w:tcPr>
          <w:p>
            <w:pPr/>
          </w:p>
        </w:tc>
        <w:tc>
          <w:tcPr>
            <w:tcW w:w="21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18,068,272.50</w:t>
            </w:r>
            <w:r>
              <w:rPr>
                <w:rFonts w:ascii="宋体"/>
                <w:spacing w:val="-1"/>
                <w:sz w:val="22"/>
              </w:rPr>
            </w:r>
          </w:p>
        </w:tc>
      </w:tr>
    </w:tbl>
    <w:p>
      <w:pPr>
        <w:spacing w:line="240" w:lineRule="auto" w:before="4"/>
        <w:rPr>
          <w:rFonts w:ascii="宋体" w:hAnsi="宋体" w:cs="宋体" w:eastAsia="宋体" w:hint="default"/>
          <w:sz w:val="8"/>
          <w:szCs w:val="8"/>
        </w:rPr>
      </w:pPr>
    </w:p>
    <w:p>
      <w:pPr>
        <w:pStyle w:val="BodyText"/>
        <w:spacing w:line="240" w:lineRule="auto"/>
        <w:ind w:left="680" w:right="4798"/>
        <w:jc w:val="left"/>
      </w:pPr>
      <w:r>
        <w:rPr/>
        <w:t>（续表）</w:t>
      </w: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91"/>
        <w:gridCol w:w="1975"/>
        <w:gridCol w:w="1837"/>
        <w:gridCol w:w="2120"/>
      </w:tblGrid>
      <w:tr>
        <w:trPr>
          <w:trHeight w:val="425" w:hRule="exact"/>
        </w:trPr>
        <w:tc>
          <w:tcPr>
            <w:tcW w:w="2791"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93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7" w:hRule="exact"/>
        </w:trPr>
        <w:tc>
          <w:tcPr>
            <w:tcW w:w="2791" w:type="dxa"/>
            <w:vMerge/>
            <w:tcBorders>
              <w:left w:val="nil" w:sz="6" w:space="0" w:color="auto"/>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73"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61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杨岭低压分厂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1,064,911.42</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1,064,911.42</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其他零星工程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660,835.09</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660,835.09</w:t>
            </w:r>
          </w:p>
        </w:tc>
      </w:tr>
      <w:tr>
        <w:trPr>
          <w:trHeight w:val="424" w:hRule="exact"/>
        </w:trPr>
        <w:tc>
          <w:tcPr>
            <w:tcW w:w="27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1,725,746.51</w:t>
            </w:r>
            <w:r>
              <w:rPr>
                <w:rFonts w:ascii="宋体"/>
                <w:spacing w:val="-1"/>
                <w:sz w:val="22"/>
              </w:rPr>
            </w:r>
          </w:p>
        </w:tc>
        <w:tc>
          <w:tcPr>
            <w:tcW w:w="1837" w:type="dxa"/>
            <w:tcBorders>
              <w:top w:val="single" w:sz="4" w:space="0" w:color="000000"/>
              <w:left w:val="single" w:sz="4" w:space="0" w:color="000000"/>
              <w:bottom w:val="single" w:sz="17" w:space="0" w:color="000000"/>
              <w:right w:val="single" w:sz="4" w:space="0" w:color="000000"/>
            </w:tcBorders>
          </w:tcPr>
          <w:p>
            <w:pPr/>
          </w:p>
        </w:tc>
        <w:tc>
          <w:tcPr>
            <w:tcW w:w="21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1,725,746.51</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66" w:right="4798"/>
        <w:jc w:val="left"/>
      </w:pPr>
      <w:r>
        <w:rPr/>
        <w:t>（2）</w:t>
      </w:r>
      <w:r>
        <w:rPr>
          <w:spacing w:val="5"/>
        </w:rPr>
        <w:t> </w:t>
      </w:r>
      <w:r>
        <w:rPr/>
        <w:t>重大在建工程项目变动情况</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83"/>
        <w:gridCol w:w="1653"/>
        <w:gridCol w:w="1519"/>
        <w:gridCol w:w="1519"/>
        <w:gridCol w:w="630"/>
        <w:gridCol w:w="1519"/>
      </w:tblGrid>
      <w:tr>
        <w:trPr>
          <w:trHeight w:val="415" w:hRule="exact"/>
        </w:trPr>
        <w:tc>
          <w:tcPr>
            <w:tcW w:w="1883"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653"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19"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14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71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1883" w:type="dxa"/>
            <w:vMerge/>
            <w:tcBorders>
              <w:left w:val="nil" w:sz="6" w:space="0" w:color="auto"/>
              <w:bottom w:val="single" w:sz="2" w:space="0" w:color="000000"/>
              <w:right w:val="single" w:sz="2" w:space="0" w:color="000000"/>
            </w:tcBorders>
          </w:tcPr>
          <w:p>
            <w:pPr/>
          </w:p>
        </w:tc>
        <w:tc>
          <w:tcPr>
            <w:tcW w:w="1653" w:type="dxa"/>
            <w:vMerge/>
            <w:tcBorders>
              <w:left w:val="single" w:sz="2" w:space="0" w:color="000000"/>
              <w:bottom w:val="single" w:sz="2" w:space="0" w:color="000000"/>
              <w:right w:val="single" w:sz="2" w:space="0" w:color="000000"/>
            </w:tcBorders>
          </w:tcPr>
          <w:p>
            <w:pPr/>
          </w:p>
        </w:tc>
        <w:tc>
          <w:tcPr>
            <w:tcW w:w="1519" w:type="dxa"/>
            <w:vMerge/>
            <w:tcBorders>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132" w:right="131"/>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519" w:type="dxa"/>
            <w:vMerge/>
            <w:tcBorders>
              <w:left w:val="single" w:sz="2" w:space="0" w:color="000000"/>
              <w:bottom w:val="single" w:sz="2" w:space="0" w:color="000000"/>
              <w:right w:val="nil" w:sz="6" w:space="0" w:color="auto"/>
            </w:tcBorders>
          </w:tcPr>
          <w:p>
            <w:pP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杨岭低压分厂</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462" w:right="0"/>
              <w:jc w:val="left"/>
              <w:rPr>
                <w:rFonts w:ascii="宋体" w:hAnsi="宋体" w:cs="宋体" w:eastAsia="宋体" w:hint="default"/>
                <w:sz w:val="18"/>
                <w:szCs w:val="18"/>
              </w:rPr>
            </w:pPr>
            <w:r>
              <w:rPr>
                <w:rFonts w:ascii="宋体"/>
                <w:sz w:val="18"/>
              </w:rPr>
              <w:t>1,064,911.42</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545,420.13</w:t>
            </w:r>
          </w:p>
        </w:tc>
        <w:tc>
          <w:tcPr>
            <w:tcW w:w="1519"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1,610,331.55</w:t>
            </w: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青山厂房</w:t>
            </w:r>
          </w:p>
        </w:tc>
        <w:tc>
          <w:tcPr>
            <w:tcW w:w="1653"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6,773,706.26</w:t>
            </w:r>
          </w:p>
        </w:tc>
        <w:tc>
          <w:tcPr>
            <w:tcW w:w="1519"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6,773,706.26</w:t>
            </w: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TPV</w:t>
            </w:r>
            <w:r>
              <w:rPr>
                <w:rFonts w:ascii="宋体" w:hAnsi="宋体" w:cs="宋体" w:eastAsia="宋体" w:hint="default"/>
                <w:spacing w:val="-47"/>
                <w:sz w:val="18"/>
                <w:szCs w:val="18"/>
              </w:rPr>
              <w:t> </w:t>
            </w:r>
            <w:r>
              <w:rPr>
                <w:rFonts w:ascii="宋体" w:hAnsi="宋体" w:cs="宋体" w:eastAsia="宋体" w:hint="default"/>
                <w:sz w:val="18"/>
                <w:szCs w:val="18"/>
              </w:rPr>
              <w:t>一线</w:t>
            </w:r>
          </w:p>
        </w:tc>
        <w:tc>
          <w:tcPr>
            <w:tcW w:w="1653"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5,603,747.37</w:t>
            </w:r>
          </w:p>
        </w:tc>
        <w:tc>
          <w:tcPr>
            <w:tcW w:w="1519"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5,603,747.37</w:t>
            </w:r>
          </w:p>
        </w:tc>
      </w:tr>
      <w:tr>
        <w:trPr>
          <w:trHeight w:val="412" w:hRule="exact"/>
        </w:trPr>
        <w:tc>
          <w:tcPr>
            <w:tcW w:w="18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低烟无卤</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线</w:t>
            </w:r>
          </w:p>
        </w:tc>
        <w:tc>
          <w:tcPr>
            <w:tcW w:w="1653"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1,004,097.57</w:t>
            </w:r>
          </w:p>
        </w:tc>
        <w:tc>
          <w:tcPr>
            <w:tcW w:w="1519" w:type="dxa"/>
            <w:tcBorders>
              <w:top w:val="single" w:sz="2" w:space="0" w:color="000000"/>
              <w:left w:val="single" w:sz="2" w:space="0" w:color="000000"/>
              <w:bottom w:val="single" w:sz="12" w:space="0" w:color="000000"/>
              <w:right w:val="single" w:sz="2" w:space="0" w:color="000000"/>
            </w:tcBorders>
          </w:tcPr>
          <w:p>
            <w:pPr/>
          </w:p>
        </w:tc>
        <w:tc>
          <w:tcPr>
            <w:tcW w:w="63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1,004,097.57</w:t>
            </w:r>
          </w:p>
        </w:tc>
      </w:tr>
    </w:tbl>
    <w:p>
      <w:pPr>
        <w:spacing w:after="0" w:line="240" w:lineRule="auto"/>
        <w:jc w:val="right"/>
        <w:rPr>
          <w:rFonts w:ascii="宋体" w:hAnsi="宋体" w:cs="宋体" w:eastAsia="宋体" w:hint="default"/>
          <w:sz w:val="18"/>
          <w:szCs w:val="18"/>
        </w:rPr>
        <w:sectPr>
          <w:pgSz w:w="11910" w:h="16840"/>
          <w:pgMar w:header="852" w:footer="873" w:top="1440" w:bottom="1060" w:left="1460" w:right="144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1883"/>
        <w:gridCol w:w="1653"/>
        <w:gridCol w:w="1519"/>
        <w:gridCol w:w="1519"/>
        <w:gridCol w:w="630"/>
        <w:gridCol w:w="1519"/>
      </w:tblGrid>
      <w:tr>
        <w:trPr>
          <w:trHeight w:val="415" w:hRule="exact"/>
        </w:trPr>
        <w:tc>
          <w:tcPr>
            <w:tcW w:w="1883"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653"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19"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14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71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1883" w:type="dxa"/>
            <w:vMerge/>
            <w:tcBorders>
              <w:left w:val="nil" w:sz="6" w:space="0" w:color="auto"/>
              <w:bottom w:val="single" w:sz="2" w:space="0" w:color="000000"/>
              <w:right w:val="single" w:sz="2" w:space="0" w:color="000000"/>
            </w:tcBorders>
          </w:tcPr>
          <w:p>
            <w:pPr/>
          </w:p>
        </w:tc>
        <w:tc>
          <w:tcPr>
            <w:tcW w:w="1653" w:type="dxa"/>
            <w:vMerge/>
            <w:tcBorders>
              <w:left w:val="single" w:sz="2" w:space="0" w:color="000000"/>
              <w:bottom w:val="single" w:sz="2" w:space="0" w:color="000000"/>
              <w:right w:val="single" w:sz="2" w:space="0" w:color="000000"/>
            </w:tcBorders>
          </w:tcPr>
          <w:p>
            <w:pPr/>
          </w:p>
        </w:tc>
        <w:tc>
          <w:tcPr>
            <w:tcW w:w="1519" w:type="dxa"/>
            <w:vMerge/>
            <w:tcBorders>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32" w:right="131"/>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519" w:type="dxa"/>
            <w:vMerge/>
            <w:tcBorders>
              <w:left w:val="single" w:sz="2" w:space="0" w:color="000000"/>
              <w:bottom w:val="single" w:sz="2" w:space="0" w:color="000000"/>
              <w:right w:val="nil" w:sz="6" w:space="0" w:color="auto"/>
            </w:tcBorders>
          </w:tcPr>
          <w:p>
            <w:pP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PVC</w:t>
            </w:r>
            <w:r>
              <w:rPr>
                <w:rFonts w:ascii="宋体" w:hAnsi="宋体" w:cs="宋体" w:eastAsia="宋体" w:hint="default"/>
                <w:spacing w:val="-47"/>
                <w:sz w:val="18"/>
                <w:szCs w:val="18"/>
              </w:rPr>
              <w:t> </w:t>
            </w:r>
            <w:r>
              <w:rPr>
                <w:rFonts w:ascii="宋体" w:hAnsi="宋体" w:cs="宋体" w:eastAsia="宋体" w:hint="default"/>
                <w:sz w:val="18"/>
                <w:szCs w:val="18"/>
              </w:rPr>
              <w:t>室外附属工程</w:t>
            </w:r>
          </w:p>
        </w:tc>
        <w:tc>
          <w:tcPr>
            <w:tcW w:w="1653"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2,220,320.00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2,220,320.00</w:t>
            </w: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w:t>
            </w: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绿化改造工程</w:t>
            </w:r>
          </w:p>
        </w:tc>
        <w:tc>
          <w:tcPr>
            <w:tcW w:w="1653"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2,341,836.00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2,341,836.00</w:t>
            </w: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w:t>
            </w: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充电桩北京项目</w:t>
            </w:r>
          </w:p>
        </w:tc>
        <w:tc>
          <w:tcPr>
            <w:tcW w:w="1653"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1,933,489.90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619,406.38</w:t>
            </w: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1,314,083.52</w:t>
            </w:r>
          </w:p>
        </w:tc>
      </w:tr>
      <w:tr>
        <w:trPr>
          <w:trHeight w:val="402" w:hRule="exact"/>
        </w:trPr>
        <w:tc>
          <w:tcPr>
            <w:tcW w:w="1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660,835.09</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1,414,728.54</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313,257.40</w:t>
            </w:r>
          </w:p>
        </w:tc>
        <w:tc>
          <w:tcPr>
            <w:tcW w:w="63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1,762,306.23</w:t>
            </w:r>
          </w:p>
        </w:tc>
      </w:tr>
      <w:tr>
        <w:trPr>
          <w:trHeight w:val="414" w:hRule="exact"/>
        </w:trPr>
        <w:tc>
          <w:tcPr>
            <w:tcW w:w="18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3"/>
              <w:jc w:val="right"/>
              <w:rPr>
                <w:rFonts w:ascii="宋体" w:hAnsi="宋体" w:cs="宋体" w:eastAsia="宋体" w:hint="default"/>
                <w:sz w:val="18"/>
                <w:szCs w:val="18"/>
              </w:rPr>
            </w:pPr>
            <w:r>
              <w:rPr>
                <w:rFonts w:ascii="宋体"/>
                <w:b/>
                <w:w w:val="95"/>
                <w:sz w:val="18"/>
              </w:rPr>
              <w:t>1,725,746.51</w:t>
            </w:r>
            <w:r>
              <w:rPr>
                <w:rFonts w:ascii="宋体"/>
                <w:sz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b/>
                <w:w w:val="95"/>
                <w:sz w:val="18"/>
              </w:rPr>
              <w:t>21,837,345.77</w:t>
            </w:r>
            <w:r>
              <w:rPr>
                <w:rFonts w:ascii="宋体"/>
                <w:sz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b/>
                <w:w w:val="95"/>
                <w:sz w:val="18"/>
              </w:rPr>
              <w:t>5,494,819.78</w:t>
            </w:r>
            <w:r>
              <w:rPr>
                <w:rFonts w:ascii="宋体"/>
                <w:sz w:val="18"/>
              </w:rPr>
            </w:r>
          </w:p>
        </w:tc>
        <w:tc>
          <w:tcPr>
            <w:tcW w:w="63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b/>
                <w:w w:val="95"/>
                <w:sz w:val="18"/>
              </w:rPr>
              <w:t>18,068,272.50</w:t>
            </w:r>
            <w:r>
              <w:rPr>
                <w:rFonts w:ascii="宋体"/>
                <w:sz w:val="18"/>
              </w:rPr>
            </w:r>
          </w:p>
        </w:tc>
      </w:tr>
    </w:tbl>
    <w:p>
      <w:pPr>
        <w:spacing w:line="240" w:lineRule="auto" w:before="11"/>
        <w:rPr>
          <w:rFonts w:ascii="宋体" w:hAnsi="宋体" w:cs="宋体" w:eastAsia="宋体" w:hint="default"/>
          <w:sz w:val="7"/>
          <w:szCs w:val="7"/>
        </w:rPr>
      </w:pPr>
    </w:p>
    <w:p>
      <w:pPr>
        <w:pStyle w:val="BodyText"/>
        <w:spacing w:line="240" w:lineRule="auto"/>
        <w:ind w:left="241" w:right="80"/>
        <w:jc w:val="left"/>
      </w:pPr>
      <w:r>
        <w:rPr/>
        <w:t>（续表）</w:t>
      </w:r>
    </w:p>
    <w:p>
      <w:pPr>
        <w:spacing w:line="240" w:lineRule="auto" w:before="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38"/>
        <w:gridCol w:w="1016"/>
        <w:gridCol w:w="1109"/>
        <w:gridCol w:w="992"/>
        <w:gridCol w:w="1136"/>
        <w:gridCol w:w="993"/>
        <w:gridCol w:w="1136"/>
        <w:gridCol w:w="1103"/>
      </w:tblGrid>
      <w:tr>
        <w:trPr>
          <w:trHeight w:val="798" w:hRule="exact"/>
        </w:trPr>
        <w:tc>
          <w:tcPr>
            <w:tcW w:w="1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0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6"/>
              <w:ind w:left="370" w:right="96" w:hanging="272"/>
              <w:jc w:val="left"/>
              <w:rPr>
                <w:rFonts w:ascii="宋体" w:hAnsi="宋体" w:cs="宋体" w:eastAsia="宋体" w:hint="default"/>
                <w:sz w:val="18"/>
                <w:szCs w:val="18"/>
              </w:rPr>
            </w:pPr>
            <w:r>
              <w:rPr>
                <w:rFonts w:ascii="宋体" w:hAnsi="宋体" w:cs="宋体" w:eastAsia="宋体" w:hint="default"/>
                <w:b/>
                <w:bCs/>
                <w:sz w:val="18"/>
                <w:szCs w:val="18"/>
              </w:rPr>
              <w:t>预算数(万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109"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6"/>
              <w:ind w:left="100" w:right="98"/>
              <w:jc w:val="center"/>
              <w:rPr>
                <w:rFonts w:ascii="宋体" w:hAnsi="宋体" w:cs="宋体" w:eastAsia="宋体" w:hint="default"/>
                <w:sz w:val="18"/>
                <w:szCs w:val="18"/>
              </w:rPr>
            </w:pPr>
            <w:r>
              <w:rPr>
                <w:rFonts w:ascii="宋体" w:hAnsi="宋体" w:cs="宋体" w:eastAsia="宋体" w:hint="default"/>
                <w:b/>
                <w:bCs/>
                <w:sz w:val="18"/>
                <w:szCs w:val="18"/>
              </w:rPr>
              <w:t>工程累计投</w:t>
            </w:r>
            <w:r>
              <w:rPr>
                <w:rFonts w:ascii="宋体" w:hAnsi="宋体" w:cs="宋体" w:eastAsia="宋体" w:hint="default"/>
                <w:b/>
                <w:bCs/>
                <w:w w:val="99"/>
                <w:sz w:val="18"/>
                <w:szCs w:val="18"/>
              </w:rPr>
              <w:t> </w:t>
            </w:r>
            <w:r>
              <w:rPr>
                <w:rFonts w:ascii="宋体" w:hAnsi="宋体" w:cs="宋体" w:eastAsia="宋体" w:hint="default"/>
                <w:b/>
                <w:bCs/>
                <w:sz w:val="18"/>
                <w:szCs w:val="18"/>
              </w:rPr>
              <w:t>入占预算比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78" w:lineRule="auto" w:before="107"/>
              <w:ind w:left="314" w:right="310"/>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6"/>
              <w:ind w:left="205" w:right="112" w:hanging="92"/>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993"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6"/>
              <w:ind w:left="53" w:right="51"/>
              <w:jc w:val="center"/>
              <w:rPr>
                <w:rFonts w:ascii="宋体" w:hAnsi="宋体" w:cs="宋体" w:eastAsia="宋体" w:hint="default"/>
                <w:sz w:val="18"/>
                <w:szCs w:val="18"/>
              </w:rPr>
            </w:pPr>
            <w:r>
              <w:rPr>
                <w:rFonts w:ascii="宋体" w:hAnsi="宋体" w:cs="宋体" w:eastAsia="宋体" w:hint="default"/>
                <w:b/>
                <w:bCs/>
                <w:spacing w:val="-5"/>
                <w:sz w:val="18"/>
                <w:szCs w:val="18"/>
              </w:rPr>
              <w:t>其中：本年</w:t>
            </w:r>
            <w:r>
              <w:rPr>
                <w:rFonts w:ascii="宋体" w:hAnsi="宋体" w:cs="宋体" w:eastAsia="宋体" w:hint="default"/>
                <w:b/>
                <w:bCs/>
                <w:w w:val="99"/>
                <w:sz w:val="18"/>
                <w:szCs w:val="18"/>
              </w:rPr>
              <w:t> </w:t>
            </w:r>
            <w:r>
              <w:rPr>
                <w:rFonts w:ascii="宋体" w:hAnsi="宋体" w:cs="宋体" w:eastAsia="宋体" w:hint="default"/>
                <w:b/>
                <w:bCs/>
                <w:sz w:val="18"/>
                <w:szCs w:val="18"/>
              </w:rPr>
              <w:t>利息资本</w:t>
            </w:r>
            <w:r>
              <w:rPr>
                <w:rFonts w:ascii="宋体" w:hAnsi="宋体" w:cs="宋体" w:eastAsia="宋体" w:hint="default"/>
                <w:b/>
                <w:bCs/>
                <w:w w:val="99"/>
                <w:sz w:val="18"/>
                <w:szCs w:val="18"/>
              </w:rPr>
              <w:t> </w:t>
            </w:r>
            <w:r>
              <w:rPr>
                <w:rFonts w:ascii="宋体" w:hAnsi="宋体" w:cs="宋体" w:eastAsia="宋体" w:hint="default"/>
                <w:b/>
                <w:bCs/>
                <w:sz w:val="18"/>
                <w:szCs w:val="18"/>
              </w:rPr>
              <w:t>化金额</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6"/>
              <w:ind w:left="159" w:right="110" w:hanging="44"/>
              <w:jc w:val="left"/>
              <w:rPr>
                <w:rFonts w:ascii="宋体" w:hAnsi="宋体" w:cs="宋体" w:eastAsia="宋体" w:hint="default"/>
                <w:sz w:val="18"/>
                <w:szCs w:val="18"/>
              </w:rPr>
            </w:pPr>
            <w:r>
              <w:rPr>
                <w:rFonts w:ascii="宋体" w:hAnsi="宋体" w:cs="宋体" w:eastAsia="宋体" w:hint="default"/>
                <w:b/>
                <w:bCs/>
                <w:sz w:val="18"/>
                <w:szCs w:val="18"/>
              </w:rPr>
              <w:t>本年利息资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本化率(%)</w:t>
            </w:r>
            <w:r>
              <w:rPr>
                <w:rFonts w:ascii="宋体" w:hAnsi="宋体" w:cs="宋体" w:eastAsia="宋体" w:hint="default"/>
                <w:sz w:val="18"/>
                <w:szCs w:val="18"/>
              </w:rPr>
            </w:r>
          </w:p>
        </w:tc>
        <w:tc>
          <w:tcPr>
            <w:tcW w:w="11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55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108" w:right="102"/>
              <w:jc w:val="lef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59"/>
                <w:sz w:val="18"/>
                <w:szCs w:val="18"/>
              </w:rPr>
              <w:t> </w:t>
            </w:r>
            <w:r>
              <w:rPr>
                <w:rFonts w:ascii="宋体" w:hAnsi="宋体" w:cs="宋体" w:eastAsia="宋体" w:hint="default"/>
                <w:sz w:val="18"/>
                <w:szCs w:val="18"/>
              </w:rPr>
              <w:t>岭</w:t>
            </w:r>
            <w:r>
              <w:rPr>
                <w:rFonts w:ascii="宋体" w:hAnsi="宋体" w:cs="宋体" w:eastAsia="宋体" w:hint="default"/>
                <w:spacing w:val="-62"/>
                <w:sz w:val="18"/>
                <w:szCs w:val="18"/>
              </w:rPr>
              <w:t> </w:t>
            </w:r>
            <w:r>
              <w:rPr>
                <w:rFonts w:ascii="宋体" w:hAnsi="宋体" w:cs="宋体" w:eastAsia="宋体" w:hint="default"/>
                <w:sz w:val="18"/>
                <w:szCs w:val="18"/>
              </w:rPr>
              <w:t>低</w:t>
            </w:r>
            <w:r>
              <w:rPr>
                <w:rFonts w:ascii="宋体" w:hAnsi="宋体" w:cs="宋体" w:eastAsia="宋体" w:hint="default"/>
                <w:spacing w:val="-59"/>
                <w:sz w:val="18"/>
                <w:szCs w:val="18"/>
              </w:rPr>
              <w:t> </w:t>
            </w:r>
            <w:r>
              <w:rPr>
                <w:rFonts w:ascii="宋体" w:hAnsi="宋体" w:cs="宋体" w:eastAsia="宋体" w:hint="default"/>
                <w:sz w:val="18"/>
                <w:szCs w:val="18"/>
              </w:rPr>
              <w:t>压</w:t>
            </w:r>
            <w:r>
              <w:rPr>
                <w:rFonts w:ascii="宋体" w:hAnsi="宋体" w:cs="宋体" w:eastAsia="宋体" w:hint="default"/>
                <w:spacing w:val="-59"/>
                <w:sz w:val="18"/>
                <w:szCs w:val="18"/>
              </w:rPr>
              <w:t> </w:t>
            </w:r>
            <w:r>
              <w:rPr>
                <w:rFonts w:ascii="宋体" w:hAnsi="宋体" w:cs="宋体" w:eastAsia="宋体" w:hint="default"/>
                <w:sz w:val="18"/>
                <w:szCs w:val="18"/>
              </w:rPr>
              <w:t>分</w:t>
            </w:r>
            <w:r>
              <w:rPr>
                <w:rFonts w:ascii="宋体" w:hAnsi="宋体" w:cs="宋体" w:eastAsia="宋体" w:hint="default"/>
                <w:sz w:val="18"/>
                <w:szCs w:val="18"/>
              </w:rPr>
              <w:t> 厂</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165.00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97.60%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22"/>
              <w:jc w:val="right"/>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青山厂房</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85" w:right="0"/>
              <w:jc w:val="left"/>
              <w:rPr>
                <w:rFonts w:ascii="宋体" w:hAnsi="宋体" w:cs="宋体" w:eastAsia="宋体" w:hint="default"/>
                <w:sz w:val="18"/>
                <w:szCs w:val="18"/>
              </w:rPr>
            </w:pPr>
            <w:r>
              <w:rPr>
                <w:rFonts w:ascii="宋体"/>
                <w:sz w:val="18"/>
              </w:rPr>
              <w:t>1,975.00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34.00%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222"/>
              <w:jc w:val="right"/>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TPV</w:t>
            </w:r>
            <w:r>
              <w:rPr>
                <w:rFonts w:ascii="宋体" w:hAnsi="宋体" w:cs="宋体" w:eastAsia="宋体" w:hint="default"/>
                <w:spacing w:val="-47"/>
                <w:sz w:val="18"/>
                <w:szCs w:val="18"/>
              </w:rPr>
              <w:t> </w:t>
            </w:r>
            <w:r>
              <w:rPr>
                <w:rFonts w:ascii="宋体" w:hAnsi="宋体" w:cs="宋体" w:eastAsia="宋体" w:hint="default"/>
                <w:sz w:val="18"/>
                <w:szCs w:val="18"/>
              </w:rPr>
              <w:t>一线</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560.00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222"/>
              <w:jc w:val="right"/>
              <w:rPr>
                <w:rFonts w:ascii="宋体" w:hAnsi="宋体" w:cs="宋体" w:eastAsia="宋体" w:hint="default"/>
                <w:sz w:val="18"/>
                <w:szCs w:val="18"/>
              </w:rPr>
            </w:pPr>
            <w:r>
              <w:rPr>
                <w:rFonts w:ascii="宋体" w:hAnsi="宋体" w:cs="宋体" w:eastAsia="宋体" w:hint="default"/>
                <w:sz w:val="18"/>
                <w:szCs w:val="18"/>
              </w:rPr>
              <w:t>调试中</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108" w:right="103"/>
              <w:jc w:val="left"/>
              <w:rPr>
                <w:rFonts w:ascii="宋体" w:hAnsi="宋体" w:cs="宋体" w:eastAsia="宋体" w:hint="default"/>
                <w:sz w:val="18"/>
                <w:szCs w:val="18"/>
              </w:rPr>
            </w:pPr>
            <w:r>
              <w:rPr>
                <w:rFonts w:ascii="宋体" w:hAnsi="宋体" w:cs="宋体" w:eastAsia="宋体" w:hint="default"/>
                <w:spacing w:val="14"/>
                <w:sz w:val="18"/>
                <w:szCs w:val="18"/>
              </w:rPr>
              <w:t>低烟无卤</w:t>
            </w:r>
            <w:r>
              <w:rPr>
                <w:rFonts w:ascii="宋体" w:hAnsi="宋体" w:cs="宋体" w:eastAsia="宋体" w:hint="default"/>
                <w:spacing w:val="-27"/>
                <w:sz w:val="18"/>
                <w:szCs w:val="18"/>
              </w:rPr>
              <w:t> </w:t>
            </w:r>
            <w:r>
              <w:rPr>
                <w:rFonts w:ascii="宋体" w:hAnsi="宋体" w:cs="宋体" w:eastAsia="宋体" w:hint="default"/>
                <w:sz w:val="18"/>
                <w:szCs w:val="18"/>
              </w:rPr>
              <w:t>10</w:t>
            </w:r>
            <w:r>
              <w:rPr>
                <w:rFonts w:ascii="宋体" w:hAnsi="宋体" w:cs="宋体" w:eastAsia="宋体" w:hint="default"/>
                <w:sz w:val="18"/>
                <w:szCs w:val="18"/>
              </w:rPr>
              <w:t> 线</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102.00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98.00%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22"/>
              <w:jc w:val="right"/>
              <w:rPr>
                <w:rFonts w:ascii="宋体" w:hAnsi="宋体" w:cs="宋体" w:eastAsia="宋体" w:hint="default"/>
                <w:sz w:val="18"/>
                <w:szCs w:val="18"/>
              </w:rPr>
            </w:pPr>
            <w:r>
              <w:rPr>
                <w:rFonts w:ascii="宋体" w:hAnsi="宋体" w:cs="宋体" w:eastAsia="宋体" w:hint="default"/>
                <w:sz w:val="18"/>
                <w:szCs w:val="18"/>
              </w:rPr>
              <w:t>调试中</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2"/>
              <w:jc w:val="left"/>
              <w:rPr>
                <w:rFonts w:ascii="宋体" w:hAnsi="宋体" w:cs="宋体" w:eastAsia="宋体" w:hint="default"/>
                <w:sz w:val="18"/>
                <w:szCs w:val="18"/>
              </w:rPr>
            </w:pPr>
            <w:r>
              <w:rPr>
                <w:rFonts w:ascii="宋体" w:hAnsi="宋体" w:cs="宋体" w:eastAsia="宋体" w:hint="default"/>
                <w:sz w:val="18"/>
                <w:szCs w:val="18"/>
              </w:rPr>
              <w:t>PVC</w:t>
            </w:r>
            <w:r>
              <w:rPr>
                <w:rFonts w:ascii="宋体" w:hAnsi="宋体" w:cs="宋体" w:eastAsia="宋体" w:hint="default"/>
                <w:spacing w:val="-59"/>
                <w:sz w:val="18"/>
                <w:szCs w:val="18"/>
              </w:rPr>
              <w:t> </w:t>
            </w:r>
            <w:r>
              <w:rPr>
                <w:rFonts w:ascii="宋体" w:hAnsi="宋体" w:cs="宋体" w:eastAsia="宋体" w:hint="default"/>
                <w:sz w:val="18"/>
                <w:szCs w:val="18"/>
              </w:rPr>
              <w:t>室外附属</w:t>
            </w:r>
            <w:r>
              <w:rPr>
                <w:rFonts w:ascii="宋体" w:hAnsi="宋体" w:cs="宋体" w:eastAsia="宋体" w:hint="default"/>
                <w:sz w:val="18"/>
                <w:szCs w:val="18"/>
              </w:rPr>
              <w:t> 工程</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240.00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22"/>
              <w:jc w:val="right"/>
              <w:rPr>
                <w:rFonts w:ascii="宋体" w:hAnsi="宋体" w:cs="宋体" w:eastAsia="宋体" w:hint="default"/>
                <w:sz w:val="18"/>
                <w:szCs w:val="18"/>
              </w:rPr>
            </w:pPr>
            <w:r>
              <w:rPr>
                <w:rFonts w:ascii="宋体" w:hAnsi="宋体" w:cs="宋体" w:eastAsia="宋体" w:hint="default"/>
                <w:sz w:val="18"/>
                <w:szCs w:val="18"/>
              </w:rPr>
              <w:t>已完工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2"/>
              <w:jc w:val="left"/>
              <w:rPr>
                <w:rFonts w:ascii="宋体" w:hAnsi="宋体" w:cs="宋体" w:eastAsia="宋体" w:hint="default"/>
                <w:sz w:val="18"/>
                <w:szCs w:val="18"/>
              </w:rPr>
            </w:pPr>
            <w:r>
              <w:rPr>
                <w:rFonts w:ascii="宋体" w:hAnsi="宋体" w:cs="宋体" w:eastAsia="宋体" w:hint="default"/>
                <w:sz w:val="18"/>
                <w:szCs w:val="18"/>
              </w:rPr>
              <w:t>绿</w:t>
            </w:r>
            <w:r>
              <w:rPr>
                <w:rFonts w:ascii="宋体" w:hAnsi="宋体" w:cs="宋体" w:eastAsia="宋体" w:hint="default"/>
                <w:spacing w:val="-59"/>
                <w:sz w:val="18"/>
                <w:szCs w:val="18"/>
              </w:rPr>
              <w:t> </w:t>
            </w:r>
            <w:r>
              <w:rPr>
                <w:rFonts w:ascii="宋体" w:hAnsi="宋体" w:cs="宋体" w:eastAsia="宋体" w:hint="default"/>
                <w:sz w:val="18"/>
                <w:szCs w:val="18"/>
              </w:rPr>
              <w:t>化</w:t>
            </w:r>
            <w:r>
              <w:rPr>
                <w:rFonts w:ascii="宋体" w:hAnsi="宋体" w:cs="宋体" w:eastAsia="宋体" w:hint="default"/>
                <w:spacing w:val="-62"/>
                <w:sz w:val="18"/>
                <w:szCs w:val="18"/>
              </w:rPr>
              <w:t> </w:t>
            </w:r>
            <w:r>
              <w:rPr>
                <w:rFonts w:ascii="宋体" w:hAnsi="宋体" w:cs="宋体" w:eastAsia="宋体" w:hint="default"/>
                <w:sz w:val="18"/>
                <w:szCs w:val="18"/>
              </w:rPr>
              <w:t>改</w:t>
            </w:r>
            <w:r>
              <w:rPr>
                <w:rFonts w:ascii="宋体" w:hAnsi="宋体" w:cs="宋体" w:eastAsia="宋体" w:hint="default"/>
                <w:spacing w:val="-59"/>
                <w:sz w:val="18"/>
                <w:szCs w:val="18"/>
              </w:rPr>
              <w:t> </w:t>
            </w:r>
            <w:r>
              <w:rPr>
                <w:rFonts w:ascii="宋体" w:hAnsi="宋体" w:cs="宋体" w:eastAsia="宋体" w:hint="default"/>
                <w:sz w:val="18"/>
                <w:szCs w:val="18"/>
              </w:rPr>
              <w:t>造</w:t>
            </w:r>
            <w:r>
              <w:rPr>
                <w:rFonts w:ascii="宋体" w:hAnsi="宋体" w:cs="宋体" w:eastAsia="宋体" w:hint="default"/>
                <w:spacing w:val="-59"/>
                <w:sz w:val="18"/>
                <w:szCs w:val="18"/>
              </w:rPr>
              <w:t> </w:t>
            </w:r>
            <w:r>
              <w:rPr>
                <w:rFonts w:ascii="宋体" w:hAnsi="宋体" w:cs="宋体" w:eastAsia="宋体" w:hint="default"/>
                <w:sz w:val="18"/>
                <w:szCs w:val="18"/>
              </w:rPr>
              <w:t>工</w:t>
            </w:r>
            <w:r>
              <w:rPr>
                <w:rFonts w:ascii="宋体" w:hAnsi="宋体" w:cs="宋体" w:eastAsia="宋体" w:hint="default"/>
                <w:sz w:val="18"/>
                <w:szCs w:val="18"/>
              </w:rPr>
              <w:t> 程</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235.00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22"/>
              <w:jc w:val="right"/>
              <w:rPr>
                <w:rFonts w:ascii="宋体" w:hAnsi="宋体" w:cs="宋体" w:eastAsia="宋体" w:hint="default"/>
                <w:sz w:val="18"/>
                <w:szCs w:val="18"/>
              </w:rPr>
            </w:pPr>
            <w:r>
              <w:rPr>
                <w:rFonts w:ascii="宋体" w:hAnsi="宋体" w:cs="宋体" w:eastAsia="宋体" w:hint="default"/>
                <w:sz w:val="18"/>
                <w:szCs w:val="18"/>
              </w:rPr>
              <w:t>已完工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2"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2"/>
              <w:jc w:val="left"/>
              <w:rPr>
                <w:rFonts w:ascii="宋体" w:hAnsi="宋体" w:cs="宋体" w:eastAsia="宋体" w:hint="default"/>
                <w:sz w:val="18"/>
                <w:szCs w:val="18"/>
              </w:rPr>
            </w:pPr>
            <w:r>
              <w:rPr>
                <w:rFonts w:ascii="宋体" w:hAnsi="宋体" w:cs="宋体" w:eastAsia="宋体" w:hint="default"/>
                <w:sz w:val="18"/>
                <w:szCs w:val="18"/>
              </w:rPr>
              <w:t>充</w:t>
            </w:r>
            <w:r>
              <w:rPr>
                <w:rFonts w:ascii="宋体" w:hAnsi="宋体" w:cs="宋体" w:eastAsia="宋体" w:hint="default"/>
                <w:spacing w:val="-59"/>
                <w:sz w:val="18"/>
                <w:szCs w:val="18"/>
              </w:rPr>
              <w:t> </w:t>
            </w:r>
            <w:r>
              <w:rPr>
                <w:rFonts w:ascii="宋体" w:hAnsi="宋体" w:cs="宋体" w:eastAsia="宋体" w:hint="default"/>
                <w:sz w:val="18"/>
                <w:szCs w:val="18"/>
              </w:rPr>
              <w:t>电</w:t>
            </w:r>
            <w:r>
              <w:rPr>
                <w:rFonts w:ascii="宋体" w:hAnsi="宋体" w:cs="宋体" w:eastAsia="宋体" w:hint="default"/>
                <w:spacing w:val="-62"/>
                <w:sz w:val="18"/>
                <w:szCs w:val="18"/>
              </w:rPr>
              <w:t> </w:t>
            </w:r>
            <w:r>
              <w:rPr>
                <w:rFonts w:ascii="宋体" w:hAnsi="宋体" w:cs="宋体" w:eastAsia="宋体" w:hint="default"/>
                <w:sz w:val="18"/>
                <w:szCs w:val="18"/>
              </w:rPr>
              <w:t>桩</w:t>
            </w:r>
            <w:r>
              <w:rPr>
                <w:rFonts w:ascii="宋体" w:hAnsi="宋体" w:cs="宋体" w:eastAsia="宋体" w:hint="default"/>
                <w:spacing w:val="-59"/>
                <w:sz w:val="18"/>
                <w:szCs w:val="18"/>
              </w:rPr>
              <w:t> </w:t>
            </w:r>
            <w:r>
              <w:rPr>
                <w:rFonts w:ascii="宋体" w:hAnsi="宋体" w:cs="宋体" w:eastAsia="宋体" w:hint="default"/>
                <w:sz w:val="18"/>
                <w:szCs w:val="18"/>
              </w:rPr>
              <w:t>北</w:t>
            </w:r>
            <w:r>
              <w:rPr>
                <w:rFonts w:ascii="宋体" w:hAnsi="宋体" w:cs="宋体" w:eastAsia="宋体" w:hint="default"/>
                <w:spacing w:val="-59"/>
                <w:sz w:val="18"/>
                <w:szCs w:val="18"/>
              </w:rPr>
              <w:t> </w:t>
            </w:r>
            <w:r>
              <w:rPr>
                <w:rFonts w:ascii="宋体" w:hAnsi="宋体" w:cs="宋体" w:eastAsia="宋体" w:hint="default"/>
                <w:sz w:val="18"/>
                <w:szCs w:val="18"/>
              </w:rPr>
              <w:t>京</w:t>
            </w:r>
            <w:r>
              <w:rPr>
                <w:rFonts w:ascii="宋体" w:hAnsi="宋体" w:cs="宋体" w:eastAsia="宋体" w:hint="default"/>
                <w:sz w:val="18"/>
                <w:szCs w:val="18"/>
              </w:rPr>
              <w:t> 项目</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450.00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22"/>
              <w:jc w:val="right"/>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14"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42"/>
              <w:jc w:val="right"/>
              <w:rPr>
                <w:rFonts w:ascii="宋体" w:hAnsi="宋体" w:cs="宋体" w:eastAsia="宋体" w:hint="default"/>
                <w:sz w:val="18"/>
                <w:szCs w:val="18"/>
              </w:rPr>
            </w:pPr>
            <w:r>
              <w:rPr>
                <w:rFonts w:ascii="宋体"/>
                <w:b/>
                <w:sz w:val="18"/>
              </w:rPr>
              <w:t>3,727.00</w:t>
            </w:r>
            <w:r>
              <w:rPr>
                <w:rFonts w:ascii="宋体"/>
                <w:sz w:val="18"/>
              </w:rPr>
            </w:r>
          </w:p>
        </w:tc>
        <w:tc>
          <w:tcPr>
            <w:tcW w:w="1109" w:type="dxa"/>
            <w:tcBorders>
              <w:top w:val="single" w:sz="2" w:space="0" w:color="000000"/>
              <w:left w:val="single" w:sz="2" w:space="0" w:color="000000"/>
              <w:bottom w:val="single" w:sz="12" w:space="0" w:color="000000"/>
              <w:right w:val="single" w:sz="2" w:space="0" w:color="000000"/>
            </w:tcBorders>
          </w:tcPr>
          <w:p>
            <w:pPr/>
          </w:p>
        </w:tc>
        <w:tc>
          <w:tcPr>
            <w:tcW w:w="992"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993"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110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400" w:lineRule="auto"/>
        <w:ind w:left="644" w:right="3241" w:firstLine="21"/>
        <w:jc w:val="left"/>
      </w:pPr>
      <w:r>
        <w:rPr/>
        <w:t>（3）</w:t>
      </w:r>
      <w:r>
        <w:rPr>
          <w:spacing w:val="3"/>
        </w:rPr>
        <w:t> </w:t>
      </w:r>
      <w:r>
        <w:rPr/>
        <w:t>年末在建工程无减值迹象，未计提减值准备。</w:t>
      </w:r>
      <w:r>
        <w:rPr>
          <w:w w:val="100"/>
        </w:rPr>
        <w:t> </w:t>
      </w:r>
      <w:r>
        <w:rPr/>
        <w:t>12.</w:t>
      </w:r>
      <w:r>
        <w:rPr>
          <w:spacing w:val="-48"/>
        </w:rPr>
        <w:t> </w:t>
      </w:r>
      <w:r>
        <w:rPr/>
        <w:t>无形资产</w:t>
      </w:r>
    </w:p>
    <w:p>
      <w:pPr>
        <w:pStyle w:val="BodyText"/>
        <w:spacing w:line="240" w:lineRule="auto" w:before="44"/>
        <w:ind w:left="666" w:right="80"/>
        <w:jc w:val="left"/>
      </w:pPr>
      <w:r>
        <w:rPr/>
        <w:t>（1）</w:t>
      </w:r>
      <w:r>
        <w:rPr>
          <w:spacing w:val="9"/>
        </w:rPr>
        <w:t> </w:t>
      </w:r>
      <w:r>
        <w:rPr/>
        <w:t>无形资产明细</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39"/>
        <w:gridCol w:w="1698"/>
        <w:gridCol w:w="1697"/>
        <w:gridCol w:w="1697"/>
        <w:gridCol w:w="1692"/>
      </w:tblGrid>
      <w:tr>
        <w:trPr>
          <w:trHeight w:val="415" w:hRule="exact"/>
        </w:trPr>
        <w:tc>
          <w:tcPr>
            <w:tcW w:w="19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86"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98"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137,745,282.39</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2,592,449.17</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sz w:val="18"/>
              </w:rPr>
              <w:t>1,273,214.45</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141,610,946.01</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1,390,980.00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4,588,717.61</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5,979,697.61</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1,390,980.00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4,588,717.61</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5,979,697.61</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698"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139,136,262.39</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7,181,166.78</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sz w:val="18"/>
              </w:rPr>
              <w:t>1,273,214.45</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147,590,643.62</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98"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12" w:hRule="exact"/>
        </w:trPr>
        <w:tc>
          <w:tcPr>
            <w:tcW w:w="19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6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15,945,663.96</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448,655.57</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sz w:val="18"/>
              </w:rPr>
              <w:t>1,160,522.67</w:t>
            </w:r>
          </w:p>
        </w:tc>
        <w:tc>
          <w:tcPr>
            <w:tcW w:w="1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17,554,842.20</w:t>
            </w:r>
          </w:p>
        </w:tc>
      </w:tr>
    </w:tbl>
    <w:p>
      <w:pPr>
        <w:spacing w:after="0" w:line="240" w:lineRule="auto"/>
        <w:jc w:val="right"/>
        <w:rPr>
          <w:rFonts w:ascii="宋体" w:hAnsi="宋体" w:cs="宋体" w:eastAsia="宋体" w:hint="default"/>
          <w:sz w:val="18"/>
          <w:szCs w:val="18"/>
        </w:rPr>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1939"/>
        <w:gridCol w:w="1698"/>
        <w:gridCol w:w="1697"/>
        <w:gridCol w:w="1697"/>
        <w:gridCol w:w="1692"/>
      </w:tblGrid>
      <w:tr>
        <w:trPr>
          <w:trHeight w:val="415" w:hRule="exact"/>
        </w:trPr>
        <w:tc>
          <w:tcPr>
            <w:tcW w:w="19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86"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3,330,259.55</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724,013.93</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112,691.78</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4,166,965.26</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3,330,259.55</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724,013.93</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112,691.78</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4,166,965.26</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698"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19,275,923.51</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1,172,669.50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1,273,214.45</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21,721,807.46</w:t>
            </w: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98"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98"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1.年末账面价值</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119,860,338.88</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6,008,497.28</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125,868,836.16</w:t>
            </w:r>
          </w:p>
        </w:tc>
      </w:tr>
      <w:tr>
        <w:trPr>
          <w:trHeight w:val="414" w:hRule="exact"/>
        </w:trPr>
        <w:tc>
          <w:tcPr>
            <w:tcW w:w="19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16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121,799,618.43</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2,143,793.60</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112,691.78</w:t>
            </w:r>
          </w:p>
        </w:tc>
        <w:tc>
          <w:tcPr>
            <w:tcW w:w="1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124,056,103.81</w:t>
            </w:r>
          </w:p>
        </w:tc>
      </w:tr>
    </w:tbl>
    <w:p>
      <w:pPr>
        <w:spacing w:line="240" w:lineRule="auto" w:before="3"/>
        <w:rPr>
          <w:rFonts w:ascii="宋体" w:hAnsi="宋体" w:cs="宋体" w:eastAsia="宋体" w:hint="default"/>
          <w:sz w:val="9"/>
          <w:szCs w:val="9"/>
        </w:rPr>
      </w:pPr>
    </w:p>
    <w:p>
      <w:pPr>
        <w:pStyle w:val="BodyText"/>
        <w:spacing w:line="300" w:lineRule="auto"/>
        <w:ind w:left="241" w:right="80" w:firstLine="439"/>
        <w:jc w:val="left"/>
      </w:pPr>
      <w:r>
        <w:rPr>
          <w:spacing w:val="-4"/>
        </w:rPr>
        <w:t>注：已设定抵押的无形资产明细详见本附注“六、16、短期借款”及“六、46、所有</w:t>
      </w:r>
      <w:r>
        <w:rPr>
          <w:w w:val="100"/>
        </w:rPr>
        <w:t> </w:t>
      </w:r>
      <w:r>
        <w:rPr/>
        <w:t>权或使用权受到限制的资产”所述。</w:t>
      </w:r>
    </w:p>
    <w:p>
      <w:pPr>
        <w:pStyle w:val="BodyText"/>
        <w:spacing w:line="400" w:lineRule="auto" w:before="137"/>
        <w:ind w:left="680" w:right="4778" w:hanging="15"/>
        <w:jc w:val="left"/>
      </w:pPr>
      <w:r>
        <w:rPr/>
        <w:t>（2）</w:t>
      </w:r>
      <w:r>
        <w:rPr>
          <w:spacing w:val="6"/>
        </w:rPr>
        <w:t> </w:t>
      </w:r>
      <w:r>
        <w:rPr/>
        <w:t>未办妥产权证书的土地使用权</w:t>
      </w:r>
      <w:r>
        <w:rPr>
          <w:w w:val="100"/>
        </w:rPr>
        <w:t> </w:t>
      </w:r>
      <w:r>
        <w:rPr/>
        <w:t>无。</w:t>
      </w:r>
    </w:p>
    <w:p>
      <w:pPr>
        <w:pStyle w:val="BodyText"/>
        <w:spacing w:line="240" w:lineRule="auto" w:before="44"/>
        <w:ind w:left="644" w:right="80"/>
        <w:jc w:val="left"/>
      </w:pPr>
      <w:r>
        <w:rPr/>
        <w:t>13.</w:t>
      </w:r>
      <w:r>
        <w:rPr>
          <w:spacing w:val="-46"/>
        </w:rPr>
        <w:t> </w:t>
      </w:r>
      <w:r>
        <w:rPr/>
        <w:t>商誉</w:t>
      </w:r>
    </w:p>
    <w:p>
      <w:pPr>
        <w:pStyle w:val="BodyText"/>
        <w:spacing w:line="240" w:lineRule="auto" w:before="192"/>
        <w:ind w:left="666" w:right="80"/>
        <w:jc w:val="left"/>
      </w:pPr>
      <w:r>
        <w:rPr/>
        <w:t>（1）</w:t>
      </w:r>
      <w:r>
        <w:rPr>
          <w:spacing w:val="11"/>
        </w:rPr>
        <w:t> </w:t>
      </w:r>
      <w:r>
        <w:rPr/>
        <w:t>商誉原值</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48"/>
        <w:gridCol w:w="1757"/>
        <w:gridCol w:w="1322"/>
        <w:gridCol w:w="1141"/>
        <w:gridCol w:w="1755"/>
      </w:tblGrid>
      <w:tr>
        <w:trPr>
          <w:trHeight w:val="415" w:hRule="exact"/>
        </w:trPr>
        <w:tc>
          <w:tcPr>
            <w:tcW w:w="274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757"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55"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2748" w:type="dxa"/>
            <w:vMerge/>
            <w:tcBorders>
              <w:left w:val="nil" w:sz="6" w:space="0" w:color="auto"/>
              <w:bottom w:val="single" w:sz="2" w:space="0" w:color="000000"/>
              <w:right w:val="single" w:sz="2" w:space="0" w:color="000000"/>
            </w:tcBorders>
          </w:tcPr>
          <w:p>
            <w:pPr/>
          </w:p>
        </w:tc>
        <w:tc>
          <w:tcPr>
            <w:tcW w:w="1757" w:type="dxa"/>
            <w:vMerge/>
            <w:tcBorders>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569" w:right="114" w:hanging="452"/>
              <w:jc w:val="left"/>
              <w:rPr>
                <w:rFonts w:ascii="宋体" w:hAnsi="宋体" w:cs="宋体" w:eastAsia="宋体" w:hint="default"/>
                <w:sz w:val="18"/>
                <w:szCs w:val="18"/>
              </w:rPr>
            </w:pPr>
            <w:r>
              <w:rPr>
                <w:rFonts w:ascii="宋体" w:hAnsi="宋体" w:cs="宋体" w:eastAsia="宋体" w:hint="default"/>
                <w:b/>
                <w:bCs/>
                <w:sz w:val="18"/>
                <w:szCs w:val="18"/>
              </w:rPr>
              <w:t>企业合并形成</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sz w:val="18"/>
                <w:szCs w:val="18"/>
              </w:rPr>
            </w:r>
          </w:p>
        </w:tc>
        <w:tc>
          <w:tcPr>
            <w:tcW w:w="11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755" w:type="dxa"/>
            <w:vMerge/>
            <w:tcBorders>
              <w:left w:val="single" w:sz="2" w:space="0" w:color="000000"/>
              <w:bottom w:val="single" w:sz="2" w:space="0" w:color="000000"/>
              <w:right w:val="nil" w:sz="6" w:space="0" w:color="auto"/>
            </w:tcBorders>
          </w:tcPr>
          <w:p>
            <w:pPr/>
          </w:p>
        </w:tc>
      </w:tr>
      <w:tr>
        <w:trPr>
          <w:trHeight w:val="552" w:hRule="exact"/>
        </w:trPr>
        <w:tc>
          <w:tcPr>
            <w:tcW w:w="27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103"/>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295,460,125.84</w:t>
            </w:r>
          </w:p>
        </w:tc>
        <w:tc>
          <w:tcPr>
            <w:tcW w:w="1322" w:type="dxa"/>
            <w:tcBorders>
              <w:top w:val="single" w:sz="2" w:space="0" w:color="000000"/>
              <w:left w:val="single" w:sz="2" w:space="0" w:color="000000"/>
              <w:bottom w:val="single" w:sz="2" w:space="0" w:color="000000"/>
              <w:right w:val="single" w:sz="2" w:space="0" w:color="000000"/>
            </w:tcBorders>
          </w:tcPr>
          <w:p>
            <w:pPr/>
          </w:p>
        </w:tc>
        <w:tc>
          <w:tcPr>
            <w:tcW w:w="1141"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5"/>
              <w:jc w:val="right"/>
              <w:rPr>
                <w:rFonts w:ascii="宋体" w:hAnsi="宋体" w:cs="宋体" w:eastAsia="宋体" w:hint="default"/>
                <w:sz w:val="18"/>
                <w:szCs w:val="18"/>
              </w:rPr>
            </w:pPr>
            <w:r>
              <w:rPr>
                <w:rFonts w:ascii="宋体"/>
                <w:spacing w:val="-1"/>
                <w:sz w:val="18"/>
              </w:rPr>
              <w:t>295,460,125.84</w:t>
            </w:r>
          </w:p>
        </w:tc>
      </w:tr>
      <w:tr>
        <w:trPr>
          <w:trHeight w:val="414" w:hRule="exact"/>
        </w:trPr>
        <w:tc>
          <w:tcPr>
            <w:tcW w:w="27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b/>
                <w:sz w:val="18"/>
              </w:rPr>
              <w:t>295,460,125.84</w:t>
            </w:r>
            <w:r>
              <w:rPr>
                <w:rFonts w:ascii="宋体"/>
                <w:sz w:val="18"/>
              </w:rPr>
            </w:r>
          </w:p>
        </w:tc>
        <w:tc>
          <w:tcPr>
            <w:tcW w:w="1322" w:type="dxa"/>
            <w:tcBorders>
              <w:top w:val="single" w:sz="2" w:space="0" w:color="000000"/>
              <w:left w:val="single" w:sz="2" w:space="0" w:color="000000"/>
              <w:bottom w:val="single" w:sz="12" w:space="0" w:color="000000"/>
              <w:right w:val="single" w:sz="2" w:space="0" w:color="000000"/>
            </w:tcBorders>
          </w:tcPr>
          <w:p>
            <w:pPr/>
          </w:p>
        </w:tc>
        <w:tc>
          <w:tcPr>
            <w:tcW w:w="1141" w:type="dxa"/>
            <w:tcBorders>
              <w:top w:val="single" w:sz="2" w:space="0" w:color="000000"/>
              <w:left w:val="single" w:sz="2" w:space="0" w:color="000000"/>
              <w:bottom w:val="single" w:sz="12" w:space="0" w:color="000000"/>
              <w:right w:val="single" w:sz="2" w:space="0" w:color="000000"/>
            </w:tcBorders>
          </w:tcPr>
          <w:p>
            <w:pPr/>
          </w:p>
        </w:tc>
        <w:tc>
          <w:tcPr>
            <w:tcW w:w="17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b/>
                <w:sz w:val="18"/>
              </w:rPr>
              <w:t>295,460,125.84</w:t>
            </w:r>
            <w:r>
              <w:rPr>
                <w:rFonts w:ascii="宋体"/>
                <w:sz w:val="18"/>
              </w:rPr>
            </w:r>
          </w:p>
        </w:tc>
      </w:tr>
    </w:tbl>
    <w:p>
      <w:pPr>
        <w:spacing w:line="240" w:lineRule="auto" w:before="1"/>
        <w:rPr>
          <w:rFonts w:ascii="宋体" w:hAnsi="宋体" w:cs="宋体" w:eastAsia="宋体" w:hint="default"/>
          <w:sz w:val="9"/>
          <w:szCs w:val="9"/>
        </w:rPr>
      </w:pPr>
    </w:p>
    <w:p>
      <w:pPr>
        <w:pStyle w:val="BodyText"/>
        <w:spacing w:line="400" w:lineRule="auto"/>
        <w:ind w:left="644" w:right="3682" w:firstLine="21"/>
        <w:jc w:val="left"/>
      </w:pPr>
      <w:r>
        <w:rPr/>
        <w:t>（2）</w:t>
      </w:r>
      <w:r>
        <w:rPr>
          <w:spacing w:val="2"/>
        </w:rPr>
        <w:t> </w:t>
      </w:r>
      <w:r>
        <w:rPr/>
        <w:t>年末商誉无减值迹象，未计提减值准备。</w:t>
      </w:r>
      <w:r>
        <w:rPr>
          <w:w w:val="100"/>
        </w:rPr>
        <w:t> </w:t>
      </w:r>
      <w:r>
        <w:rPr/>
        <w:t>14.</w:t>
      </w:r>
      <w:r>
        <w:rPr>
          <w:spacing w:val="-50"/>
        </w:rPr>
        <w:t> </w:t>
      </w:r>
      <w:r>
        <w:rPr/>
        <w:t>长期待摊费用</w:t>
      </w:r>
    </w:p>
    <w:tbl>
      <w:tblPr>
        <w:tblW w:w="0" w:type="auto"/>
        <w:jc w:val="left"/>
        <w:tblInd w:w="118" w:type="dxa"/>
        <w:tblLayout w:type="fixed"/>
        <w:tblCellMar>
          <w:top w:w="0" w:type="dxa"/>
          <w:left w:w="0" w:type="dxa"/>
          <w:bottom w:w="0" w:type="dxa"/>
          <w:right w:w="0" w:type="dxa"/>
        </w:tblCellMar>
        <w:tblLook w:val="01E0"/>
      </w:tblPr>
      <w:tblGrid>
        <w:gridCol w:w="1913"/>
        <w:gridCol w:w="1524"/>
        <w:gridCol w:w="1419"/>
        <w:gridCol w:w="1419"/>
        <w:gridCol w:w="958"/>
        <w:gridCol w:w="1490"/>
      </w:tblGrid>
      <w:tr>
        <w:trPr>
          <w:trHeight w:val="565" w:hRule="exact"/>
        </w:trPr>
        <w:tc>
          <w:tcPr>
            <w:tcW w:w="19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39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95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6"/>
              <w:ind w:left="296" w:right="112" w:hanging="180"/>
              <w:jc w:val="left"/>
              <w:rPr>
                <w:rFonts w:ascii="宋体" w:hAnsi="宋体" w:cs="宋体" w:eastAsia="宋体" w:hint="default"/>
                <w:sz w:val="18"/>
                <w:szCs w:val="18"/>
              </w:rPr>
            </w:pPr>
            <w:r>
              <w:rPr>
                <w:rFonts w:ascii="宋体" w:hAnsi="宋体" w:cs="宋体" w:eastAsia="宋体" w:hint="default"/>
                <w:b/>
                <w:bCs/>
                <w:sz w:val="18"/>
                <w:szCs w:val="18"/>
              </w:rPr>
              <w:t>本年其他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7"/>
              <w:ind w:left="38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1,562,344.05</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3,441,291.00</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986,679.33</w:t>
            </w:r>
          </w:p>
        </w:tc>
        <w:tc>
          <w:tcPr>
            <w:tcW w:w="95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4,016,955.72</w:t>
            </w:r>
          </w:p>
        </w:tc>
      </w:tr>
      <w:tr>
        <w:trPr>
          <w:trHeight w:val="55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4"/>
              <w:ind w:left="108" w:right="103"/>
              <w:jc w:val="left"/>
              <w:rPr>
                <w:rFonts w:ascii="宋体" w:hAnsi="宋体" w:cs="宋体" w:eastAsia="宋体" w:hint="default"/>
                <w:sz w:val="18"/>
                <w:szCs w:val="18"/>
              </w:rPr>
            </w:pPr>
            <w:r>
              <w:rPr>
                <w:rFonts w:ascii="宋体" w:hAnsi="宋体" w:cs="宋体" w:eastAsia="宋体" w:hint="default"/>
                <w:spacing w:val="8"/>
                <w:sz w:val="18"/>
                <w:szCs w:val="18"/>
              </w:rPr>
              <w:t>租入固定资产改良支</w:t>
            </w:r>
            <w:r>
              <w:rPr>
                <w:rFonts w:ascii="宋体" w:hAnsi="宋体" w:cs="宋体" w:eastAsia="宋体" w:hint="default"/>
                <w:sz w:val="18"/>
                <w:szCs w:val="18"/>
              </w:rPr>
              <w:t> 出</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177,101.17</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222,155.34</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183,363.82</w:t>
            </w:r>
          </w:p>
        </w:tc>
        <w:tc>
          <w:tcPr>
            <w:tcW w:w="95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5"/>
              <w:jc w:val="right"/>
              <w:rPr>
                <w:rFonts w:ascii="宋体" w:hAnsi="宋体" w:cs="宋体" w:eastAsia="宋体" w:hint="default"/>
                <w:sz w:val="18"/>
                <w:szCs w:val="18"/>
              </w:rPr>
            </w:pPr>
            <w:r>
              <w:rPr>
                <w:rFonts w:ascii="宋体"/>
                <w:spacing w:val="-1"/>
                <w:sz w:val="18"/>
              </w:rPr>
              <w:t>215,892.69</w:t>
            </w:r>
          </w:p>
        </w:tc>
      </w:tr>
      <w:tr>
        <w:trPr>
          <w:trHeight w:val="40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临时建筑物</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1,902,881.77</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3,009,095.49</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452,171.89</w:t>
            </w:r>
          </w:p>
        </w:tc>
        <w:tc>
          <w:tcPr>
            <w:tcW w:w="95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4,459,805.37</w:t>
            </w:r>
          </w:p>
        </w:tc>
      </w:tr>
      <w:tr>
        <w:trPr>
          <w:trHeight w:val="40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559,486.30</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118,763.30</w:t>
            </w:r>
          </w:p>
        </w:tc>
        <w:tc>
          <w:tcPr>
            <w:tcW w:w="95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440,723.00</w:t>
            </w:r>
          </w:p>
        </w:tc>
      </w:tr>
      <w:tr>
        <w:trPr>
          <w:trHeight w:val="414" w:hRule="exact"/>
        </w:trPr>
        <w:tc>
          <w:tcPr>
            <w:tcW w:w="19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92"/>
              <w:jc w:val="right"/>
              <w:rPr>
                <w:rFonts w:ascii="宋体" w:hAnsi="宋体" w:cs="宋体" w:eastAsia="宋体" w:hint="default"/>
                <w:sz w:val="18"/>
                <w:szCs w:val="18"/>
              </w:rPr>
            </w:pPr>
            <w:r>
              <w:rPr>
                <w:rFonts w:ascii="宋体"/>
                <w:b/>
                <w:w w:val="95"/>
                <w:sz w:val="18"/>
              </w:rPr>
              <w:t>3,642,326.99</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93"/>
              <w:jc w:val="right"/>
              <w:rPr>
                <w:rFonts w:ascii="宋体" w:hAnsi="宋体" w:cs="宋体" w:eastAsia="宋体" w:hint="default"/>
                <w:sz w:val="18"/>
                <w:szCs w:val="18"/>
              </w:rPr>
            </w:pPr>
            <w:r>
              <w:rPr>
                <w:rFonts w:ascii="宋体"/>
                <w:b/>
                <w:w w:val="95"/>
                <w:sz w:val="18"/>
              </w:rPr>
              <w:t>7,232,028.13</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93"/>
              <w:jc w:val="right"/>
              <w:rPr>
                <w:rFonts w:ascii="宋体" w:hAnsi="宋体" w:cs="宋体" w:eastAsia="宋体" w:hint="default"/>
                <w:sz w:val="18"/>
                <w:szCs w:val="18"/>
              </w:rPr>
            </w:pPr>
            <w:r>
              <w:rPr>
                <w:rFonts w:ascii="宋体"/>
                <w:b/>
                <w:w w:val="95"/>
                <w:sz w:val="18"/>
              </w:rPr>
              <w:t>1,740,978.34</w:t>
            </w:r>
            <w:r>
              <w:rPr>
                <w:rFonts w:ascii="宋体"/>
                <w:sz w:val="18"/>
              </w:rPr>
            </w:r>
          </w:p>
        </w:tc>
        <w:tc>
          <w:tcPr>
            <w:tcW w:w="958" w:type="dxa"/>
            <w:tcBorders>
              <w:top w:val="single" w:sz="2" w:space="0" w:color="000000"/>
              <w:left w:val="single" w:sz="2" w:space="0" w:color="000000"/>
              <w:bottom w:val="single" w:sz="12" w:space="0" w:color="000000"/>
              <w:right w:val="single" w:sz="2" w:space="0" w:color="000000"/>
            </w:tcBorders>
          </w:tcPr>
          <w:p>
            <w:pP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96"/>
              <w:jc w:val="right"/>
              <w:rPr>
                <w:rFonts w:ascii="宋体" w:hAnsi="宋体" w:cs="宋体" w:eastAsia="宋体" w:hint="default"/>
                <w:sz w:val="18"/>
                <w:szCs w:val="18"/>
              </w:rPr>
            </w:pPr>
            <w:r>
              <w:rPr>
                <w:rFonts w:ascii="宋体"/>
                <w:b/>
                <w:w w:val="95"/>
                <w:sz w:val="18"/>
              </w:rPr>
              <w:t>9,133,376.78</w:t>
            </w:r>
            <w:r>
              <w:rPr>
                <w:rFonts w:ascii="宋体"/>
                <w:sz w:val="18"/>
              </w:rPr>
            </w:r>
          </w:p>
        </w:tc>
      </w:tr>
    </w:tbl>
    <w:p>
      <w:pPr>
        <w:spacing w:line="240" w:lineRule="auto" w:before="2"/>
        <w:rPr>
          <w:rFonts w:ascii="宋体" w:hAnsi="宋体" w:cs="宋体" w:eastAsia="宋体" w:hint="default"/>
          <w:sz w:val="10"/>
          <w:szCs w:val="10"/>
        </w:rPr>
      </w:pPr>
    </w:p>
    <w:p>
      <w:pPr>
        <w:pStyle w:val="BodyText"/>
        <w:spacing w:line="240" w:lineRule="auto"/>
        <w:ind w:left="644" w:right="80"/>
        <w:jc w:val="left"/>
      </w:pPr>
      <w:r>
        <w:rPr/>
        <w:t>15.</w:t>
      </w:r>
      <w:r>
        <w:rPr>
          <w:spacing w:val="-56"/>
        </w:rPr>
        <w:t> </w:t>
      </w:r>
      <w:r>
        <w:rPr/>
        <w:t>递延所得税资产和递延所得税负债</w:t>
      </w:r>
    </w:p>
    <w:p>
      <w:pPr>
        <w:pStyle w:val="BodyText"/>
        <w:spacing w:line="240" w:lineRule="auto" w:before="192"/>
        <w:ind w:left="666" w:right="80"/>
        <w:jc w:val="left"/>
      </w:pPr>
      <w:r>
        <w:rPr/>
        <w:t>（1）</w:t>
      </w:r>
      <w:r>
        <w:rPr>
          <w:spacing w:val="5"/>
        </w:rPr>
        <w:t> </w:t>
      </w:r>
      <w:r>
        <w:rPr/>
        <w:t>未经抵销的递延所得税资产</w:t>
      </w:r>
    </w:p>
    <w:p>
      <w:pPr>
        <w:spacing w:after="0" w:line="240" w:lineRule="auto"/>
        <w:jc w:val="left"/>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129"/>
        <w:gridCol w:w="1725"/>
        <w:gridCol w:w="1572"/>
        <w:gridCol w:w="1725"/>
        <w:gridCol w:w="1572"/>
      </w:tblGrid>
      <w:tr>
        <w:trPr>
          <w:trHeight w:val="415" w:hRule="exact"/>
        </w:trPr>
        <w:tc>
          <w:tcPr>
            <w:tcW w:w="2129"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9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9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129" w:type="dxa"/>
            <w:vMerge/>
            <w:tcBorders>
              <w:left w:val="nil" w:sz="6" w:space="0" w:color="auto"/>
              <w:bottom w:val="single" w:sz="2" w:space="0" w:color="000000"/>
              <w:right w:val="single" w:sz="2" w:space="0" w:color="000000"/>
            </w:tcBorders>
          </w:tcPr>
          <w:p>
            <w:pP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33"/>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45"/>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33"/>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50"/>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r>
      <w:tr>
        <w:trPr>
          <w:trHeight w:val="40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94,675,937.50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14,402,027.09</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88,168,062.11</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13,457,178.91</w:t>
            </w:r>
          </w:p>
        </w:tc>
      </w:tr>
      <w:tr>
        <w:trPr>
          <w:trHeight w:val="55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08" w:right="103"/>
              <w:jc w:val="left"/>
              <w:rPr>
                <w:rFonts w:ascii="宋体" w:hAnsi="宋体" w:cs="宋体" w:eastAsia="宋体" w:hint="default"/>
                <w:sz w:val="18"/>
                <w:szCs w:val="18"/>
              </w:rPr>
            </w:pPr>
            <w:r>
              <w:rPr>
                <w:rFonts w:ascii="宋体" w:hAnsi="宋体" w:cs="宋体" w:eastAsia="宋体" w:hint="default"/>
                <w:spacing w:val="11"/>
                <w:sz w:val="18"/>
                <w:szCs w:val="18"/>
              </w:rPr>
              <w:t>固定资产折旧年限不同</w:t>
            </w:r>
            <w:r>
              <w:rPr>
                <w:rFonts w:ascii="宋体" w:hAnsi="宋体" w:cs="宋体" w:eastAsia="宋体" w:hint="default"/>
                <w:sz w:val="18"/>
                <w:szCs w:val="18"/>
              </w:rPr>
              <w:t> 导致的折旧差异</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17,021,168.49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3,166,045.19</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8,077,950.93</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1,211,692.64</w:t>
            </w:r>
          </w:p>
        </w:tc>
      </w:tr>
      <w:tr>
        <w:trPr>
          <w:trHeight w:val="55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3"/>
              <w:jc w:val="left"/>
              <w:rPr>
                <w:rFonts w:ascii="宋体" w:hAnsi="宋体" w:cs="宋体" w:eastAsia="宋体" w:hint="default"/>
                <w:sz w:val="18"/>
                <w:szCs w:val="18"/>
              </w:rPr>
            </w:pPr>
            <w:r>
              <w:rPr>
                <w:rFonts w:ascii="宋体" w:hAnsi="宋体" w:cs="宋体" w:eastAsia="宋体" w:hint="default"/>
                <w:spacing w:val="11"/>
                <w:sz w:val="18"/>
                <w:szCs w:val="18"/>
              </w:rPr>
              <w:t>计入递延收益的政府补</w:t>
            </w:r>
            <w:r>
              <w:rPr>
                <w:rFonts w:ascii="宋体" w:hAnsi="宋体" w:cs="宋体" w:eastAsia="宋体" w:hint="default"/>
                <w:sz w:val="18"/>
                <w:szCs w:val="18"/>
              </w:rPr>
              <w:t> 助</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10,627,500.00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1,594,125.00</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12,193,500.00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1,829,025.00</w:t>
            </w:r>
          </w:p>
        </w:tc>
      </w:tr>
      <w:tr>
        <w:trPr>
          <w:trHeight w:val="40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4,595,031.42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689,254.71</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3,376,249.28</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726,523.60</w:t>
            </w:r>
          </w:p>
        </w:tc>
      </w:tr>
      <w:tr>
        <w:trPr>
          <w:trHeight w:val="40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252,641.70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37,896.26</w:t>
            </w: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403,770.69</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60,565.61</w:t>
            </w:r>
          </w:p>
        </w:tc>
      </w:tr>
      <w:tr>
        <w:trPr>
          <w:trHeight w:val="40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725"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single" w:sz="2" w:space="0" w:color="000000"/>
            </w:tcBorders>
          </w:tcPr>
          <w:p>
            <w:pP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466,600.00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69,990.00</w:t>
            </w:r>
          </w:p>
        </w:tc>
      </w:tr>
      <w:tr>
        <w:trPr>
          <w:trHeight w:val="402" w:hRule="exact"/>
        </w:trPr>
        <w:tc>
          <w:tcPr>
            <w:tcW w:w="21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税前可弥补亏损</w:t>
            </w:r>
          </w:p>
        </w:tc>
        <w:tc>
          <w:tcPr>
            <w:tcW w:w="1725"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single" w:sz="2" w:space="0" w:color="000000"/>
            </w:tcBorders>
          </w:tcPr>
          <w:p>
            <w:pPr/>
          </w:p>
        </w:tc>
        <w:tc>
          <w:tcPr>
            <w:tcW w:w="1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8,468,770.81</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2,117,192.71</w:t>
            </w:r>
          </w:p>
        </w:tc>
      </w:tr>
      <w:tr>
        <w:trPr>
          <w:trHeight w:val="414" w:hRule="exact"/>
        </w:trPr>
        <w:tc>
          <w:tcPr>
            <w:tcW w:w="21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b/>
                <w:w w:val="95"/>
                <w:sz w:val="18"/>
              </w:rPr>
              <w:t>127,172,279.11</w:t>
            </w:r>
            <w:r>
              <w:rPr>
                <w:rFonts w:ascii="宋体"/>
                <w:sz w:val="18"/>
              </w:rPr>
            </w:r>
          </w:p>
        </w:tc>
        <w:tc>
          <w:tcPr>
            <w:tcW w:w="15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b/>
                <w:w w:val="95"/>
                <w:sz w:val="18"/>
              </w:rPr>
              <w:t>19,889,348.25</w:t>
            </w:r>
            <w:r>
              <w:rPr>
                <w:rFonts w:ascii="宋体"/>
                <w:sz w:val="18"/>
              </w:rPr>
            </w:r>
          </w:p>
        </w:tc>
        <w:tc>
          <w:tcPr>
            <w:tcW w:w="1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b/>
                <w:sz w:val="18"/>
              </w:rPr>
              <w:t>121,154,903.82</w:t>
            </w:r>
            <w:r>
              <w:rPr>
                <w:rFonts w:ascii="宋体"/>
                <w:sz w:val="18"/>
              </w:rPr>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b/>
                <w:w w:val="95"/>
                <w:sz w:val="18"/>
              </w:rPr>
              <w:t>19,472,168.47</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（2）</w:t>
      </w:r>
      <w:r>
        <w:rPr>
          <w:spacing w:val="5"/>
        </w:rPr>
        <w:t> </w:t>
      </w:r>
      <w:r>
        <w:rPr/>
        <w:t>未经抵销的递延所得税负债</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245"/>
        <w:gridCol w:w="1523"/>
        <w:gridCol w:w="1731"/>
        <w:gridCol w:w="1672"/>
        <w:gridCol w:w="1553"/>
      </w:tblGrid>
      <w:tr>
        <w:trPr>
          <w:trHeight w:val="415" w:hRule="exact"/>
        </w:trPr>
        <w:tc>
          <w:tcPr>
            <w:tcW w:w="2245"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5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2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52" w:hRule="exact"/>
        </w:trPr>
        <w:tc>
          <w:tcPr>
            <w:tcW w:w="2245" w:type="dxa"/>
            <w:vMerge/>
            <w:tcBorders>
              <w:left w:val="nil" w:sz="6" w:space="0" w:color="auto"/>
              <w:bottom w:val="single" w:sz="2" w:space="0" w:color="000000"/>
              <w:right w:val="single" w:sz="2" w:space="0" w:color="000000"/>
            </w:tcBorders>
          </w:tcPr>
          <w:p>
            <w:pPr/>
          </w:p>
        </w:tc>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671" w:right="119" w:hanging="540"/>
              <w:jc w:val="left"/>
              <w:rPr>
                <w:rFonts w:ascii="宋体" w:hAnsi="宋体" w:cs="宋体" w:eastAsia="宋体" w:hint="default"/>
                <w:sz w:val="18"/>
                <w:szCs w:val="18"/>
              </w:rPr>
            </w:pPr>
            <w:r>
              <w:rPr>
                <w:rFonts w:ascii="宋体" w:hAnsi="宋体" w:cs="宋体" w:eastAsia="宋体" w:hint="default"/>
                <w:b/>
                <w:bCs/>
                <w:sz w:val="18"/>
                <w:szCs w:val="18"/>
              </w:rPr>
              <w:t>应纳税暂时性差</w:t>
            </w:r>
            <w:r>
              <w:rPr>
                <w:rFonts w:ascii="宋体" w:hAnsi="宋体" w:cs="宋体" w:eastAsia="宋体" w:hint="default"/>
                <w:b/>
                <w:bCs/>
                <w:w w:val="99"/>
                <w:sz w:val="18"/>
                <w:szCs w:val="18"/>
              </w:rPr>
              <w:t> </w:t>
            </w:r>
            <w:r>
              <w:rPr>
                <w:rFonts w:ascii="宋体" w:hAnsi="宋体" w:cs="宋体" w:eastAsia="宋体" w:hint="default"/>
                <w:b/>
                <w:bCs/>
                <w:sz w:val="18"/>
                <w:szCs w:val="18"/>
              </w:rPr>
              <w:t>异</w:t>
            </w:r>
            <w:r>
              <w:rPr>
                <w:rFonts w:ascii="宋体" w:hAnsi="宋体" w:cs="宋体" w:eastAsia="宋体" w:hint="default"/>
                <w:sz w:val="18"/>
                <w:szCs w:val="18"/>
              </w:rPr>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23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36"/>
              <w:jc w:val="right"/>
              <w:rPr>
                <w:rFonts w:ascii="宋体" w:hAnsi="宋体" w:cs="宋体" w:eastAsia="宋体" w:hint="default"/>
                <w:sz w:val="18"/>
                <w:szCs w:val="18"/>
              </w:rPr>
            </w:pPr>
            <w:r>
              <w:rPr>
                <w:rFonts w:ascii="宋体" w:hAnsi="宋体" w:cs="宋体" w:eastAsia="宋体" w:hint="default"/>
                <w:b/>
                <w:bCs/>
                <w:w w:val="95"/>
                <w:sz w:val="18"/>
                <w:szCs w:val="18"/>
              </w:rPr>
              <w:t>递延所得税负债</w:t>
            </w:r>
            <w:r>
              <w:rPr>
                <w:rFonts w:ascii="宋体" w:hAnsi="宋体" w:cs="宋体" w:eastAsia="宋体" w:hint="default"/>
                <w:sz w:val="18"/>
                <w:szCs w:val="18"/>
              </w:rPr>
            </w:r>
          </w:p>
        </w:tc>
      </w:tr>
      <w:tr>
        <w:trPr>
          <w:trHeight w:val="402"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远期结售汇期末浮盈</w:t>
            </w:r>
          </w:p>
        </w:tc>
        <w:tc>
          <w:tcPr>
            <w:tcW w:w="1523" w:type="dxa"/>
            <w:tcBorders>
              <w:top w:val="single" w:sz="2" w:space="0" w:color="000000"/>
              <w:left w:val="single" w:sz="2" w:space="0" w:color="000000"/>
              <w:bottom w:val="single" w:sz="2" w:space="0" w:color="000000"/>
              <w:right w:val="single" w:sz="2" w:space="0" w:color="000000"/>
            </w:tcBorders>
          </w:tcPr>
          <w:p>
            <w:pPr/>
          </w:p>
        </w:tc>
        <w:tc>
          <w:tcPr>
            <w:tcW w:w="173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49,522.32</w:t>
            </w:r>
          </w:p>
        </w:tc>
        <w:tc>
          <w:tcPr>
            <w:tcW w:w="15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13"/>
              <w:jc w:val="right"/>
              <w:rPr>
                <w:rFonts w:ascii="宋体" w:hAnsi="宋体" w:cs="宋体" w:eastAsia="宋体" w:hint="default"/>
                <w:sz w:val="18"/>
                <w:szCs w:val="18"/>
              </w:rPr>
            </w:pPr>
            <w:r>
              <w:rPr>
                <w:rFonts w:ascii="宋体"/>
                <w:spacing w:val="-1"/>
                <w:sz w:val="18"/>
              </w:rPr>
              <w:t>7,428.35</w:t>
            </w:r>
          </w:p>
        </w:tc>
      </w:tr>
      <w:tr>
        <w:trPr>
          <w:trHeight w:val="552"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106"/>
              <w:jc w:val="left"/>
              <w:rPr>
                <w:rFonts w:ascii="宋体" w:hAnsi="宋体" w:cs="宋体" w:eastAsia="宋体" w:hint="default"/>
                <w:sz w:val="18"/>
                <w:szCs w:val="18"/>
              </w:rPr>
            </w:pPr>
            <w:r>
              <w:rPr>
                <w:rFonts w:ascii="宋体" w:hAnsi="宋体" w:cs="宋体" w:eastAsia="宋体" w:hint="default"/>
                <w:spacing w:val="3"/>
                <w:sz w:val="18"/>
                <w:szCs w:val="18"/>
              </w:rPr>
              <w:t>企业合并产生的公允价值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高于账面价值的金额</w:t>
            </w:r>
          </w:p>
        </w:tc>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1"/>
                <w:sz w:val="18"/>
              </w:rPr>
              <w:t>13,602,256.53</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2,040,338.47</w:t>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1"/>
                <w:sz w:val="18"/>
              </w:rPr>
              <w:t>16,373,484.91</w:t>
            </w:r>
          </w:p>
        </w:tc>
        <w:tc>
          <w:tcPr>
            <w:tcW w:w="15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13"/>
              <w:jc w:val="right"/>
              <w:rPr>
                <w:rFonts w:ascii="宋体" w:hAnsi="宋体" w:cs="宋体" w:eastAsia="宋体" w:hint="default"/>
                <w:sz w:val="18"/>
                <w:szCs w:val="18"/>
              </w:rPr>
            </w:pPr>
            <w:r>
              <w:rPr>
                <w:rFonts w:ascii="宋体"/>
                <w:spacing w:val="-1"/>
                <w:sz w:val="18"/>
              </w:rPr>
              <w:t>2,456,022.73</w:t>
            </w:r>
          </w:p>
        </w:tc>
      </w:tr>
      <w:tr>
        <w:trPr>
          <w:trHeight w:val="414" w:hRule="exact"/>
        </w:trPr>
        <w:tc>
          <w:tcPr>
            <w:tcW w:w="22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2"/>
              <w:jc w:val="right"/>
              <w:rPr>
                <w:rFonts w:ascii="宋体" w:hAnsi="宋体" w:cs="宋体" w:eastAsia="宋体" w:hint="default"/>
                <w:sz w:val="18"/>
                <w:szCs w:val="18"/>
              </w:rPr>
            </w:pPr>
            <w:r>
              <w:rPr>
                <w:rFonts w:ascii="宋体"/>
                <w:b/>
                <w:w w:val="95"/>
                <w:sz w:val="18"/>
              </w:rPr>
              <w:t>13,602,256.53</w:t>
            </w:r>
            <w:r>
              <w:rPr>
                <w:rFonts w:ascii="宋体"/>
                <w:sz w:val="18"/>
              </w:rPr>
            </w:r>
          </w:p>
        </w:tc>
        <w:tc>
          <w:tcPr>
            <w:tcW w:w="17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2"/>
              <w:jc w:val="right"/>
              <w:rPr>
                <w:rFonts w:ascii="宋体" w:hAnsi="宋体" w:cs="宋体" w:eastAsia="宋体" w:hint="default"/>
                <w:sz w:val="18"/>
                <w:szCs w:val="18"/>
              </w:rPr>
            </w:pPr>
            <w:r>
              <w:rPr>
                <w:rFonts w:ascii="宋体"/>
                <w:b/>
                <w:w w:val="95"/>
                <w:sz w:val="18"/>
              </w:rPr>
              <w:t>2,040,338.47</w:t>
            </w:r>
            <w:r>
              <w:rPr>
                <w:rFonts w:ascii="宋体"/>
                <w:sz w:val="18"/>
              </w:rPr>
            </w:r>
          </w:p>
        </w:tc>
        <w:tc>
          <w:tcPr>
            <w:tcW w:w="16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2"/>
              <w:jc w:val="right"/>
              <w:rPr>
                <w:rFonts w:ascii="宋体" w:hAnsi="宋体" w:cs="宋体" w:eastAsia="宋体" w:hint="default"/>
                <w:sz w:val="18"/>
                <w:szCs w:val="18"/>
              </w:rPr>
            </w:pPr>
            <w:r>
              <w:rPr>
                <w:rFonts w:ascii="宋体"/>
                <w:b/>
                <w:w w:val="95"/>
                <w:sz w:val="18"/>
              </w:rPr>
              <w:t>16,423,007.23</w:t>
            </w:r>
            <w:r>
              <w:rPr>
                <w:rFonts w:ascii="宋体"/>
                <w:sz w:val="18"/>
              </w:rPr>
            </w:r>
          </w:p>
        </w:tc>
        <w:tc>
          <w:tcPr>
            <w:tcW w:w="15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2,463,451.08</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ind w:left="666" w:right="80"/>
        <w:jc w:val="left"/>
      </w:pPr>
      <w:r>
        <w:rPr/>
        <w:t>（3）</w:t>
      </w:r>
      <w:r>
        <w:rPr>
          <w:spacing w:val="5"/>
        </w:rPr>
        <w:t> </w:t>
      </w:r>
      <w:r>
        <w:rPr/>
        <w:t>未确认递延所得税资产明细</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07"/>
        <w:gridCol w:w="2708"/>
        <w:gridCol w:w="2708"/>
      </w:tblGrid>
      <w:tr>
        <w:trPr>
          <w:trHeight w:val="415" w:hRule="exact"/>
        </w:trPr>
        <w:tc>
          <w:tcPr>
            <w:tcW w:w="33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3,089.27</w:t>
            </w:r>
          </w:p>
        </w:tc>
        <w:tc>
          <w:tcPr>
            <w:tcW w:w="270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3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3,846,526.33</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1,286,082.37</w:t>
            </w:r>
          </w:p>
        </w:tc>
      </w:tr>
      <w:tr>
        <w:trPr>
          <w:trHeight w:val="414" w:hRule="exact"/>
        </w:trPr>
        <w:tc>
          <w:tcPr>
            <w:tcW w:w="33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3,849,615.60</w:t>
            </w:r>
            <w:r>
              <w:rPr>
                <w:rFonts w:ascii="宋体"/>
                <w:spacing w:val="-1"/>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4"/>
              <w:jc w:val="right"/>
              <w:rPr>
                <w:rFonts w:ascii="宋体" w:hAnsi="宋体" w:cs="宋体" w:eastAsia="宋体" w:hint="default"/>
                <w:sz w:val="22"/>
                <w:szCs w:val="22"/>
              </w:rPr>
            </w:pPr>
            <w:r>
              <w:rPr>
                <w:rFonts w:ascii="宋体"/>
                <w:b/>
                <w:spacing w:val="-1"/>
                <w:sz w:val="22"/>
              </w:rPr>
              <w:t>1,286,082.37</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666" w:right="80"/>
        <w:jc w:val="left"/>
      </w:pPr>
      <w:r>
        <w:rPr/>
        <w:t>（4）</w:t>
      </w:r>
      <w:r>
        <w:rPr>
          <w:spacing w:val="-3"/>
        </w:rPr>
        <w:t> </w:t>
      </w:r>
      <w:r>
        <w:rPr/>
        <w:t>未确认递延所得税资产的可抵扣亏损将于以下年度到期</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35"/>
        <w:gridCol w:w="2162"/>
        <w:gridCol w:w="2163"/>
        <w:gridCol w:w="2163"/>
      </w:tblGrid>
      <w:tr>
        <w:trPr>
          <w:trHeight w:val="415" w:hRule="exact"/>
        </w:trPr>
        <w:tc>
          <w:tcPr>
            <w:tcW w:w="22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年份</w:t>
            </w:r>
            <w:r>
              <w:rPr>
                <w:rFonts w:ascii="宋体" w:hAnsi="宋体" w:cs="宋体" w:eastAsia="宋体" w:hint="default"/>
                <w:sz w:val="22"/>
                <w:szCs w:val="22"/>
              </w:rPr>
            </w:r>
          </w:p>
        </w:tc>
        <w:tc>
          <w:tcPr>
            <w:tcW w:w="21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3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3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1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02" w:hRule="exact"/>
        </w:trPr>
        <w:tc>
          <w:tcPr>
            <w:tcW w:w="2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22,230.36</w:t>
            </w:r>
          </w:p>
        </w:tc>
        <w:tc>
          <w:tcPr>
            <w:tcW w:w="2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1,286,082.37</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60"/>
                <w:sz w:val="22"/>
                <w:szCs w:val="22"/>
              </w:rPr>
              <w:t> </w:t>
            </w:r>
            <w:r>
              <w:rPr>
                <w:rFonts w:ascii="宋体" w:hAnsi="宋体" w:cs="宋体" w:eastAsia="宋体" w:hint="default"/>
                <w:sz w:val="22"/>
                <w:szCs w:val="22"/>
              </w:rPr>
              <w:t>年度亏损</w:t>
            </w:r>
          </w:p>
        </w:tc>
      </w:tr>
      <w:tr>
        <w:trPr>
          <w:trHeight w:val="402" w:hRule="exact"/>
        </w:trPr>
        <w:tc>
          <w:tcPr>
            <w:tcW w:w="2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2020</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3,824,295.97</w:t>
            </w:r>
          </w:p>
        </w:tc>
        <w:tc>
          <w:tcPr>
            <w:tcW w:w="2163" w:type="dxa"/>
            <w:tcBorders>
              <w:top w:val="single" w:sz="2" w:space="0" w:color="000000"/>
              <w:left w:val="single" w:sz="2" w:space="0" w:color="000000"/>
              <w:bottom w:val="single" w:sz="2" w:space="0" w:color="000000"/>
              <w:right w:val="single" w:sz="2" w:space="0" w:color="000000"/>
            </w:tcBorders>
          </w:tcPr>
          <w:p>
            <w:pP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60"/>
                <w:sz w:val="22"/>
                <w:szCs w:val="22"/>
              </w:rPr>
              <w:t> </w:t>
            </w:r>
            <w:r>
              <w:rPr>
                <w:rFonts w:ascii="宋体" w:hAnsi="宋体" w:cs="宋体" w:eastAsia="宋体" w:hint="default"/>
                <w:sz w:val="22"/>
                <w:szCs w:val="22"/>
              </w:rPr>
              <w:t>年度亏损</w:t>
            </w:r>
          </w:p>
        </w:tc>
      </w:tr>
      <w:tr>
        <w:trPr>
          <w:trHeight w:val="414" w:hRule="exact"/>
        </w:trPr>
        <w:tc>
          <w:tcPr>
            <w:tcW w:w="22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3"/>
              <w:jc w:val="right"/>
              <w:rPr>
                <w:rFonts w:ascii="宋体" w:hAnsi="宋体" w:cs="宋体" w:eastAsia="宋体" w:hint="default"/>
                <w:sz w:val="22"/>
                <w:szCs w:val="22"/>
              </w:rPr>
            </w:pPr>
            <w:r>
              <w:rPr>
                <w:rFonts w:ascii="宋体"/>
                <w:b/>
                <w:spacing w:val="-1"/>
                <w:sz w:val="22"/>
              </w:rPr>
              <w:t>3,846,526.33</w:t>
            </w:r>
            <w:r>
              <w:rPr>
                <w:rFonts w:ascii="宋体"/>
                <w:spacing w:val="-1"/>
                <w:sz w:val="22"/>
              </w:rPr>
            </w:r>
          </w:p>
        </w:tc>
        <w:tc>
          <w:tcPr>
            <w:tcW w:w="21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1,286,082.37</w:t>
            </w:r>
            <w:r>
              <w:rPr>
                <w:rFonts w:ascii="宋体"/>
                <w:spacing w:val="-1"/>
                <w:sz w:val="22"/>
              </w:rPr>
            </w:r>
          </w:p>
        </w:tc>
        <w:tc>
          <w:tcPr>
            <w:tcW w:w="216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52" w:footer="873" w:top="1440" w:bottom="1060" w:left="1460" w:right="1460"/>
        </w:sectPr>
      </w:pPr>
    </w:p>
    <w:p>
      <w:pPr>
        <w:spacing w:line="240" w:lineRule="auto" w:before="1"/>
        <w:rPr>
          <w:rFonts w:ascii="宋体" w:hAnsi="宋体" w:cs="宋体" w:eastAsia="宋体" w:hint="default"/>
          <w:sz w:val="18"/>
          <w:szCs w:val="18"/>
        </w:rPr>
      </w:pPr>
    </w:p>
    <w:p>
      <w:pPr>
        <w:pStyle w:val="BodyText"/>
        <w:spacing w:line="240" w:lineRule="auto"/>
        <w:ind w:left="644" w:right="80"/>
        <w:jc w:val="left"/>
      </w:pPr>
      <w:r>
        <w:rPr/>
        <w:t>16.</w:t>
      </w:r>
      <w:r>
        <w:rPr>
          <w:spacing w:val="-48"/>
        </w:rPr>
        <w:t> </w:t>
      </w:r>
      <w:r>
        <w:rPr/>
        <w:t>短期借款</w:t>
      </w:r>
    </w:p>
    <w:p>
      <w:pPr>
        <w:spacing w:line="240" w:lineRule="auto" w:before="9"/>
        <w:rPr>
          <w:rFonts w:ascii="宋体" w:hAnsi="宋体" w:cs="宋体" w:eastAsia="宋体" w:hint="default"/>
          <w:sz w:val="18"/>
          <w:szCs w:val="18"/>
        </w:rPr>
      </w:pPr>
    </w:p>
    <w:p>
      <w:pPr>
        <w:pStyle w:val="BodyText"/>
        <w:spacing w:line="240" w:lineRule="auto" w:before="0"/>
        <w:ind w:left="644" w:right="80"/>
        <w:jc w:val="left"/>
      </w:pPr>
      <w:r>
        <w:rPr/>
        <w:t>（1）</w:t>
      </w:r>
      <w:r>
        <w:rPr>
          <w:spacing w:val="-70"/>
        </w:rPr>
        <w:t> </w:t>
      </w:r>
      <w:r>
        <w:rPr/>
        <w:t>短期借款分类</w:t>
      </w:r>
    </w:p>
    <w:p>
      <w:pPr>
        <w:spacing w:line="240" w:lineRule="auto" w:before="7"/>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349"/>
        <w:gridCol w:w="2687"/>
        <w:gridCol w:w="2687"/>
      </w:tblGrid>
      <w:tr>
        <w:trPr>
          <w:trHeight w:val="415" w:hRule="exact"/>
        </w:trPr>
        <w:tc>
          <w:tcPr>
            <w:tcW w:w="33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2687" w:type="dxa"/>
            <w:tcBorders>
              <w:top w:val="single" w:sz="2" w:space="0" w:color="000000"/>
              <w:left w:val="single" w:sz="2" w:space="0" w:color="000000"/>
              <w:bottom w:val="single" w:sz="2" w:space="0" w:color="000000"/>
              <w:right w:val="single" w:sz="2" w:space="0" w:color="000000"/>
            </w:tcBorders>
          </w:tcPr>
          <w:p>
            <w:pP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81,454,500.00</w:t>
            </w:r>
          </w:p>
        </w:tc>
      </w:tr>
      <w:tr>
        <w:trPr>
          <w:trHeight w:val="402" w:hRule="exact"/>
        </w:trPr>
        <w:tc>
          <w:tcPr>
            <w:tcW w:w="33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30,000,000.00</w:t>
            </w: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60,000,000.00</w:t>
            </w:r>
          </w:p>
        </w:tc>
      </w:tr>
      <w:tr>
        <w:trPr>
          <w:trHeight w:val="402" w:hRule="exact"/>
        </w:trPr>
        <w:tc>
          <w:tcPr>
            <w:tcW w:w="33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保证+抵押借款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58,000,000.00</w:t>
            </w:r>
          </w:p>
        </w:tc>
        <w:tc>
          <w:tcPr>
            <w:tcW w:w="268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3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131,000,000.00</w:t>
            </w: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499,490,231.84</w:t>
            </w:r>
          </w:p>
        </w:tc>
      </w:tr>
      <w:tr>
        <w:trPr>
          <w:trHeight w:val="414" w:hRule="exact"/>
        </w:trPr>
        <w:tc>
          <w:tcPr>
            <w:tcW w:w="33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219,000,000.00</w:t>
            </w:r>
            <w:r>
              <w:rPr>
                <w:rFonts w:ascii="宋体"/>
                <w:spacing w:val="-1"/>
                <w:sz w:val="22"/>
              </w:rPr>
            </w:r>
          </w:p>
        </w:tc>
        <w:tc>
          <w:tcPr>
            <w:tcW w:w="26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640,944,731.84</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300" w:lineRule="auto"/>
        <w:ind w:left="241" w:right="237" w:firstLine="439"/>
        <w:jc w:val="both"/>
      </w:pPr>
      <w:r>
        <w:rPr/>
        <w:t>注：1）截止</w:t>
      </w:r>
      <w:r>
        <w:rPr>
          <w:spacing w:val="-53"/>
        </w:rPr>
        <w:t> </w:t>
      </w:r>
      <w:r>
        <w:rPr/>
        <w:t>2015</w:t>
      </w:r>
      <w:r>
        <w:rPr>
          <w:spacing w:val="-55"/>
        </w:rPr>
        <w:t> </w:t>
      </w:r>
      <w:r>
        <w:rPr/>
        <w:t>年</w:t>
      </w:r>
      <w:r>
        <w:rPr>
          <w:spacing w:val="-55"/>
        </w:rPr>
        <w:t> </w:t>
      </w:r>
      <w:r>
        <w:rPr/>
        <w:t>12</w:t>
      </w:r>
      <w:r>
        <w:rPr>
          <w:spacing w:val="-55"/>
        </w:rPr>
        <w:t> </w:t>
      </w:r>
      <w:r>
        <w:rPr/>
        <w:t>月</w:t>
      </w:r>
      <w:r>
        <w:rPr>
          <w:spacing w:val="-53"/>
        </w:rPr>
        <w:t> </w:t>
      </w:r>
      <w:r>
        <w:rPr/>
        <w:t>31</w:t>
      </w:r>
      <w:r>
        <w:rPr>
          <w:spacing w:val="-55"/>
        </w:rPr>
        <w:t> </w:t>
      </w:r>
      <w:r>
        <w:rPr/>
        <w:t>日，本集团抵押借款余额</w:t>
      </w:r>
      <w:r>
        <w:rPr>
          <w:spacing w:val="-55"/>
        </w:rPr>
        <w:t> </w:t>
      </w:r>
      <w:r>
        <w:rPr/>
        <w:t>30,000,000.00</w:t>
      </w:r>
      <w:r>
        <w:rPr>
          <w:spacing w:val="-55"/>
        </w:rPr>
        <w:t> </w:t>
      </w:r>
      <w:r>
        <w:rPr/>
        <w:t>元、保证+抵</w:t>
      </w:r>
      <w:r>
        <w:rPr>
          <w:w w:val="100"/>
        </w:rPr>
        <w:t> </w:t>
      </w:r>
      <w:r>
        <w:rPr/>
        <w:t>押借款余额</w:t>
      </w:r>
      <w:r>
        <w:rPr>
          <w:spacing w:val="-59"/>
        </w:rPr>
        <w:t> </w:t>
      </w:r>
      <w:r>
        <w:rPr/>
        <w:t>58,000,000.00</w:t>
      </w:r>
      <w:r>
        <w:rPr>
          <w:spacing w:val="-56"/>
        </w:rPr>
        <w:t> </w:t>
      </w:r>
      <w:r>
        <w:rPr/>
        <w:t>元共计</w:t>
      </w:r>
      <w:r>
        <w:rPr>
          <w:spacing w:val="-56"/>
        </w:rPr>
        <w:t> </w:t>
      </w:r>
      <w:r>
        <w:rPr/>
        <w:t>88,000,000.00</w:t>
      </w:r>
      <w:r>
        <w:rPr>
          <w:spacing w:val="-59"/>
        </w:rPr>
        <w:t> </w:t>
      </w:r>
      <w:r>
        <w:rPr>
          <w:spacing w:val="-6"/>
        </w:rPr>
        <w:t>元，系本公司之子公司浙江万马高分子</w:t>
      </w:r>
      <w:r>
        <w:rPr>
          <w:w w:val="100"/>
        </w:rPr>
        <w:t> </w:t>
      </w:r>
      <w:r>
        <w:rPr>
          <w:spacing w:val="2"/>
        </w:rPr>
        <w:t>材料有限公司向农业银行临安支行的短期借款，以该公司房屋建筑物和土地使用权为抵</w:t>
      </w:r>
      <w:r>
        <w:rPr>
          <w:spacing w:val="-51"/>
        </w:rPr>
        <w:t> </w:t>
      </w:r>
      <w:r>
        <w:rPr>
          <w:spacing w:val="-51"/>
        </w:rPr>
      </w:r>
      <w:r>
        <w:rPr/>
        <w:t>押；截止</w:t>
      </w:r>
      <w:r>
        <w:rPr>
          <w:spacing w:val="-60"/>
        </w:rPr>
        <w:t> </w:t>
      </w:r>
      <w:r>
        <w:rPr/>
        <w:t>2015</w:t>
      </w:r>
      <w:r>
        <w:rPr>
          <w:spacing w:val="-58"/>
        </w:rPr>
        <w:t> </w:t>
      </w:r>
      <w:r>
        <w:rPr/>
        <w:t>年</w:t>
      </w:r>
      <w:r>
        <w:rPr>
          <w:spacing w:val="-60"/>
        </w:rPr>
        <w:t> </w:t>
      </w:r>
      <w:r>
        <w:rPr/>
        <w:t>12</w:t>
      </w:r>
      <w:r>
        <w:rPr>
          <w:spacing w:val="-58"/>
        </w:rPr>
        <w:t> </w:t>
      </w:r>
      <w:r>
        <w:rPr/>
        <w:t>月</w:t>
      </w:r>
      <w:r>
        <w:rPr>
          <w:spacing w:val="-60"/>
        </w:rPr>
        <w:t> </w:t>
      </w:r>
      <w:r>
        <w:rPr/>
        <w:t>31</w:t>
      </w:r>
      <w:r>
        <w:rPr>
          <w:spacing w:val="-58"/>
        </w:rPr>
        <w:t> </w:t>
      </w:r>
      <w:r>
        <w:rPr/>
        <w:t>日，已抵押房屋建筑物账面原值</w:t>
      </w:r>
      <w:r>
        <w:rPr>
          <w:spacing w:val="-60"/>
        </w:rPr>
        <w:t> </w:t>
      </w:r>
      <w:r>
        <w:rPr/>
        <w:t>42,202,005.30</w:t>
      </w:r>
      <w:r>
        <w:rPr>
          <w:spacing w:val="-58"/>
        </w:rPr>
        <w:t> </w:t>
      </w:r>
      <w:r>
        <w:rPr/>
        <w:t>元，累计折旧</w:t>
      </w:r>
      <w:r>
        <w:rPr>
          <w:w w:val="100"/>
        </w:rPr>
        <w:t> </w:t>
      </w:r>
      <w:r>
        <w:rPr/>
        <w:t>6,922,136.68</w:t>
      </w:r>
      <w:r>
        <w:rPr>
          <w:spacing w:val="-24"/>
        </w:rPr>
        <w:t> </w:t>
      </w:r>
      <w:r>
        <w:rPr/>
        <w:t>元</w:t>
      </w:r>
      <w:r>
        <w:rPr>
          <w:spacing w:val="-79"/>
        </w:rPr>
        <w:t> </w:t>
      </w:r>
      <w:r>
        <w:rPr/>
        <w:t>，</w:t>
      </w:r>
      <w:r>
        <w:rPr>
          <w:spacing w:val="-77"/>
        </w:rPr>
        <w:t> </w:t>
      </w:r>
      <w:r>
        <w:rPr/>
        <w:t>账</w:t>
      </w:r>
      <w:r>
        <w:rPr>
          <w:spacing w:val="-79"/>
        </w:rPr>
        <w:t> </w:t>
      </w:r>
      <w:r>
        <w:rPr/>
        <w:t>面</w:t>
      </w:r>
      <w:r>
        <w:rPr>
          <w:spacing w:val="-79"/>
        </w:rPr>
        <w:t> </w:t>
      </w:r>
      <w:r>
        <w:rPr/>
        <w:t>净</w:t>
      </w:r>
      <w:r>
        <w:rPr>
          <w:spacing w:val="-79"/>
        </w:rPr>
        <w:t> </w:t>
      </w:r>
      <w:r>
        <w:rPr/>
        <w:t>值</w:t>
      </w:r>
      <w:r>
        <w:rPr>
          <w:spacing w:val="-22"/>
        </w:rPr>
        <w:t> </w:t>
      </w:r>
      <w:r>
        <w:rPr/>
        <w:t>35,279,868.62</w:t>
      </w:r>
      <w:r>
        <w:rPr>
          <w:spacing w:val="-24"/>
        </w:rPr>
        <w:t> </w:t>
      </w:r>
      <w:r>
        <w:rPr/>
        <w:t>元</w:t>
      </w:r>
      <w:r>
        <w:rPr>
          <w:spacing w:val="-79"/>
        </w:rPr>
        <w:t> </w:t>
      </w:r>
      <w:r>
        <w:rPr/>
        <w:t>；</w:t>
      </w:r>
      <w:r>
        <w:rPr>
          <w:spacing w:val="-77"/>
        </w:rPr>
        <w:t> </w:t>
      </w:r>
      <w:r>
        <w:rPr/>
        <w:t>已</w:t>
      </w:r>
      <w:r>
        <w:rPr>
          <w:spacing w:val="-79"/>
        </w:rPr>
        <w:t> </w:t>
      </w:r>
      <w:r>
        <w:rPr/>
        <w:t>抵</w:t>
      </w:r>
      <w:r>
        <w:rPr>
          <w:spacing w:val="-79"/>
        </w:rPr>
        <w:t> </w:t>
      </w:r>
      <w:r>
        <w:rPr/>
        <w:t>押</w:t>
      </w:r>
      <w:r>
        <w:rPr>
          <w:spacing w:val="-79"/>
        </w:rPr>
        <w:t> </w:t>
      </w:r>
      <w:r>
        <w:rPr/>
        <w:t>相</w:t>
      </w:r>
      <w:r>
        <w:rPr>
          <w:spacing w:val="-77"/>
        </w:rPr>
        <w:t> </w:t>
      </w:r>
      <w:r>
        <w:rPr/>
        <w:t>关</w:t>
      </w:r>
      <w:r>
        <w:rPr>
          <w:spacing w:val="-79"/>
        </w:rPr>
        <w:t> </w:t>
      </w:r>
      <w:r>
        <w:rPr/>
        <w:t>土</w:t>
      </w:r>
      <w:r>
        <w:rPr>
          <w:spacing w:val="-79"/>
        </w:rPr>
        <w:t> </w:t>
      </w:r>
      <w:r>
        <w:rPr/>
        <w:t>地</w:t>
      </w:r>
      <w:r>
        <w:rPr>
          <w:spacing w:val="-77"/>
        </w:rPr>
        <w:t> </w:t>
      </w:r>
      <w:r>
        <w:rPr/>
        <w:t>使</w:t>
      </w:r>
      <w:r>
        <w:rPr>
          <w:spacing w:val="-79"/>
        </w:rPr>
        <w:t> </w:t>
      </w:r>
      <w:r>
        <w:rPr/>
        <w:t>用</w:t>
      </w:r>
      <w:r>
        <w:rPr>
          <w:spacing w:val="-79"/>
        </w:rPr>
        <w:t> </w:t>
      </w:r>
      <w:r>
        <w:rPr/>
        <w:t>权</w:t>
      </w:r>
      <w:r>
        <w:rPr>
          <w:spacing w:val="-79"/>
        </w:rPr>
        <w:t> </w:t>
      </w:r>
      <w:r>
        <w:rPr/>
        <w:t>账</w:t>
      </w:r>
      <w:r>
        <w:rPr>
          <w:spacing w:val="-77"/>
        </w:rPr>
        <w:t> </w:t>
      </w:r>
      <w:r>
        <w:rPr/>
        <w:t>面</w:t>
      </w:r>
      <w:r>
        <w:rPr>
          <w:spacing w:val="-79"/>
        </w:rPr>
        <w:t> </w:t>
      </w:r>
      <w:r>
        <w:rPr/>
        <w:t>原</w:t>
      </w:r>
      <w:r>
        <w:rPr>
          <w:spacing w:val="-79"/>
        </w:rPr>
        <w:t> </w:t>
      </w:r>
      <w:r>
        <w:rPr/>
        <w:t>值</w:t>
      </w:r>
    </w:p>
    <w:p>
      <w:pPr>
        <w:pStyle w:val="BodyText"/>
        <w:spacing w:line="300" w:lineRule="auto" w:before="17"/>
        <w:ind w:left="241" w:right="80"/>
        <w:jc w:val="left"/>
      </w:pPr>
      <w:r>
        <w:rPr/>
        <w:t>36,577,948.61</w:t>
      </w:r>
      <w:r>
        <w:rPr>
          <w:spacing w:val="-58"/>
        </w:rPr>
        <w:t> </w:t>
      </w:r>
      <w:r>
        <w:rPr>
          <w:spacing w:val="-3"/>
        </w:rPr>
        <w:t>元，累计摊销</w:t>
      </w:r>
      <w:r>
        <w:rPr>
          <w:spacing w:val="-54"/>
        </w:rPr>
        <w:t> </w:t>
      </w:r>
      <w:r>
        <w:rPr/>
        <w:t>5,418,955.09</w:t>
      </w:r>
      <w:r>
        <w:rPr>
          <w:spacing w:val="-58"/>
        </w:rPr>
        <w:t> </w:t>
      </w:r>
      <w:r>
        <w:rPr>
          <w:spacing w:val="-3"/>
        </w:rPr>
        <w:t>元，账面净值</w:t>
      </w:r>
      <w:r>
        <w:rPr>
          <w:spacing w:val="-58"/>
        </w:rPr>
        <w:t> </w:t>
      </w:r>
      <w:r>
        <w:rPr/>
        <w:t>31,158,993.52</w:t>
      </w:r>
      <w:r>
        <w:rPr>
          <w:spacing w:val="-54"/>
        </w:rPr>
        <w:t> </w:t>
      </w:r>
      <w:r>
        <w:rPr>
          <w:spacing w:val="-3"/>
        </w:rPr>
        <w:t>元；其中保证+</w:t>
      </w:r>
      <w:r>
        <w:rPr>
          <w:w w:val="100"/>
        </w:rPr>
        <w:t> </w:t>
      </w:r>
      <w:r>
        <w:rPr/>
        <w:t>抵押借款余额</w:t>
      </w:r>
      <w:r>
        <w:rPr>
          <w:spacing w:val="-68"/>
        </w:rPr>
        <w:t> </w:t>
      </w:r>
      <w:r>
        <w:rPr/>
        <w:t>58,000,000.00</w:t>
      </w:r>
      <w:r>
        <w:rPr>
          <w:spacing w:val="-71"/>
        </w:rPr>
        <w:t> </w:t>
      </w:r>
      <w:r>
        <w:rPr/>
        <w:t>元使用本公司为其提供的最高额保证担保额度。</w:t>
      </w:r>
    </w:p>
    <w:p>
      <w:pPr>
        <w:pStyle w:val="BodyText"/>
        <w:spacing w:line="300" w:lineRule="auto" w:before="137"/>
        <w:ind w:left="241" w:right="237" w:firstLine="439"/>
        <w:jc w:val="both"/>
      </w:pPr>
      <w:r>
        <w:rPr/>
        <w:t>2）截止</w:t>
      </w:r>
      <w:r>
        <w:rPr>
          <w:spacing w:val="-53"/>
        </w:rPr>
        <w:t> </w:t>
      </w:r>
      <w:r>
        <w:rPr/>
        <w:t>2015</w:t>
      </w:r>
      <w:r>
        <w:rPr>
          <w:spacing w:val="-55"/>
        </w:rPr>
        <w:t> </w:t>
      </w:r>
      <w:r>
        <w:rPr/>
        <w:t>年</w:t>
      </w:r>
      <w:r>
        <w:rPr>
          <w:spacing w:val="-55"/>
        </w:rPr>
        <w:t> </w:t>
      </w:r>
      <w:r>
        <w:rPr/>
        <w:t>12</w:t>
      </w:r>
      <w:r>
        <w:rPr>
          <w:spacing w:val="-55"/>
        </w:rPr>
        <w:t> </w:t>
      </w:r>
      <w:r>
        <w:rPr/>
        <w:t>月</w:t>
      </w:r>
      <w:r>
        <w:rPr>
          <w:spacing w:val="-55"/>
        </w:rPr>
        <w:t> </w:t>
      </w:r>
      <w:r>
        <w:rPr/>
        <w:t>31</w:t>
      </w:r>
      <w:r>
        <w:rPr>
          <w:spacing w:val="-55"/>
        </w:rPr>
        <w:t> </w:t>
      </w:r>
      <w:r>
        <w:rPr/>
        <w:t>日，本集团保证借款余额</w:t>
      </w:r>
      <w:r>
        <w:rPr>
          <w:spacing w:val="-53"/>
        </w:rPr>
        <w:t> </w:t>
      </w:r>
      <w:r>
        <w:rPr/>
        <w:t>131,000,000.00</w:t>
      </w:r>
      <w:r>
        <w:rPr>
          <w:spacing w:val="-55"/>
        </w:rPr>
        <w:t> </w:t>
      </w:r>
      <w:r>
        <w:rPr/>
        <w:t>元，情况如下：</w:t>
      </w:r>
      <w:r>
        <w:rPr>
          <w:w w:val="100"/>
        </w:rPr>
        <w:t> </w:t>
      </w:r>
      <w:r>
        <w:rPr/>
        <w:t>本公司向华夏银行杭州分行短期借款</w:t>
      </w:r>
      <w:r>
        <w:rPr>
          <w:spacing w:val="-54"/>
        </w:rPr>
        <w:t> </w:t>
      </w:r>
      <w:r>
        <w:rPr/>
        <w:t>1,000,000.00</w:t>
      </w:r>
      <w:r>
        <w:rPr>
          <w:spacing w:val="-54"/>
        </w:rPr>
        <w:t> </w:t>
      </w:r>
      <w:r>
        <w:rPr/>
        <w:t>元，使用万马联合控股集团有限公司</w:t>
      </w:r>
      <w:r>
        <w:rPr>
          <w:w w:val="100"/>
        </w:rPr>
        <w:t> </w:t>
      </w:r>
      <w:r>
        <w:rPr/>
        <w:t>为</w:t>
      </w:r>
      <w:r>
        <w:rPr>
          <w:spacing w:val="-71"/>
        </w:rPr>
        <w:t> </w:t>
      </w:r>
      <w:r>
        <w:rPr/>
        <w:t>本</w:t>
      </w:r>
      <w:r>
        <w:rPr>
          <w:spacing w:val="-71"/>
        </w:rPr>
        <w:t> </w:t>
      </w:r>
      <w:r>
        <w:rPr/>
        <w:t>公</w:t>
      </w:r>
      <w:r>
        <w:rPr>
          <w:spacing w:val="-71"/>
        </w:rPr>
        <w:t> </w:t>
      </w:r>
      <w:r>
        <w:rPr/>
        <w:t>司</w:t>
      </w:r>
      <w:r>
        <w:rPr>
          <w:spacing w:val="-71"/>
        </w:rPr>
        <w:t> </w:t>
      </w:r>
      <w:r>
        <w:rPr/>
        <w:t>提</w:t>
      </w:r>
      <w:r>
        <w:rPr>
          <w:spacing w:val="-71"/>
        </w:rPr>
        <w:t> </w:t>
      </w:r>
      <w:r>
        <w:rPr/>
        <w:t>供</w:t>
      </w:r>
      <w:r>
        <w:rPr>
          <w:spacing w:val="-75"/>
        </w:rPr>
        <w:t> </w:t>
      </w:r>
      <w:r>
        <w:rPr/>
        <w:t>的</w:t>
      </w:r>
      <w:r>
        <w:rPr>
          <w:spacing w:val="-71"/>
        </w:rPr>
        <w:t> </w:t>
      </w:r>
      <w:r>
        <w:rPr/>
        <w:t>最</w:t>
      </w:r>
      <w:r>
        <w:rPr>
          <w:spacing w:val="-71"/>
        </w:rPr>
        <w:t> </w:t>
      </w:r>
      <w:r>
        <w:rPr/>
        <w:t>高</w:t>
      </w:r>
      <w:r>
        <w:rPr>
          <w:spacing w:val="-71"/>
        </w:rPr>
        <w:t> </w:t>
      </w:r>
      <w:r>
        <w:rPr/>
        <w:t>额</w:t>
      </w:r>
      <w:r>
        <w:rPr>
          <w:spacing w:val="-71"/>
        </w:rPr>
        <w:t> </w:t>
      </w:r>
      <w:r>
        <w:rPr/>
        <w:t>保</w:t>
      </w:r>
      <w:r>
        <w:rPr>
          <w:spacing w:val="-71"/>
        </w:rPr>
        <w:t> </w:t>
      </w:r>
      <w:r>
        <w:rPr/>
        <w:t>证</w:t>
      </w:r>
      <w:r>
        <w:rPr>
          <w:spacing w:val="-71"/>
        </w:rPr>
        <w:t> </w:t>
      </w:r>
      <w:r>
        <w:rPr/>
        <w:t>担</w:t>
      </w:r>
      <w:r>
        <w:rPr>
          <w:spacing w:val="-71"/>
        </w:rPr>
        <w:t> </w:t>
      </w:r>
      <w:r>
        <w:rPr/>
        <w:t>保</w:t>
      </w:r>
      <w:r>
        <w:rPr>
          <w:spacing w:val="-71"/>
        </w:rPr>
        <w:t> </w:t>
      </w:r>
      <w:r>
        <w:rPr/>
        <w:t>额</w:t>
      </w:r>
      <w:r>
        <w:rPr>
          <w:spacing w:val="-71"/>
        </w:rPr>
        <w:t> </w:t>
      </w:r>
      <w:r>
        <w:rPr/>
        <w:t>度</w:t>
      </w:r>
      <w:r>
        <w:rPr>
          <w:spacing w:val="-75"/>
        </w:rPr>
        <w:t> </w:t>
      </w:r>
      <w:r>
        <w:rPr/>
        <w:t>；</w:t>
      </w:r>
      <w:r>
        <w:rPr>
          <w:spacing w:val="-71"/>
        </w:rPr>
        <w:t> </w:t>
      </w:r>
      <w:r>
        <w:rPr/>
        <w:t>本</w:t>
      </w:r>
      <w:r>
        <w:rPr>
          <w:spacing w:val="-71"/>
        </w:rPr>
        <w:t> </w:t>
      </w:r>
      <w:r>
        <w:rPr/>
        <w:t>公</w:t>
      </w:r>
      <w:r>
        <w:rPr>
          <w:spacing w:val="-71"/>
        </w:rPr>
        <w:t> </w:t>
      </w:r>
      <w:r>
        <w:rPr/>
        <w:t>司</w:t>
      </w:r>
      <w:r>
        <w:rPr>
          <w:spacing w:val="-71"/>
        </w:rPr>
        <w:t> </w:t>
      </w:r>
      <w:r>
        <w:rPr/>
        <w:t>向</w:t>
      </w:r>
      <w:r>
        <w:rPr>
          <w:spacing w:val="-71"/>
        </w:rPr>
        <w:t> </w:t>
      </w:r>
      <w:r>
        <w:rPr/>
        <w:t>汇</w:t>
      </w:r>
      <w:r>
        <w:rPr>
          <w:spacing w:val="-71"/>
        </w:rPr>
        <w:t> </w:t>
      </w:r>
      <w:r>
        <w:rPr/>
        <w:t>丰</w:t>
      </w:r>
      <w:r>
        <w:rPr>
          <w:spacing w:val="-71"/>
        </w:rPr>
        <w:t> </w:t>
      </w:r>
      <w:r>
        <w:rPr/>
        <w:t>银</w:t>
      </w:r>
      <w:r>
        <w:rPr>
          <w:spacing w:val="-71"/>
        </w:rPr>
        <w:t> </w:t>
      </w:r>
      <w:r>
        <w:rPr/>
        <w:t>行</w:t>
      </w:r>
      <w:r>
        <w:rPr>
          <w:spacing w:val="-71"/>
        </w:rPr>
        <w:t> </w:t>
      </w:r>
      <w:r>
        <w:rPr/>
        <w:t>杭</w:t>
      </w:r>
      <w:r>
        <w:rPr>
          <w:spacing w:val="-75"/>
        </w:rPr>
        <w:t> </w:t>
      </w:r>
      <w:r>
        <w:rPr/>
        <w:t>州</w:t>
      </w:r>
      <w:r>
        <w:rPr>
          <w:spacing w:val="-71"/>
        </w:rPr>
        <w:t> </w:t>
      </w:r>
      <w:r>
        <w:rPr/>
        <w:t>分</w:t>
      </w:r>
      <w:r>
        <w:rPr>
          <w:spacing w:val="-71"/>
        </w:rPr>
        <w:t> </w:t>
      </w:r>
      <w:r>
        <w:rPr/>
        <w:t>行</w:t>
      </w:r>
      <w:r>
        <w:rPr>
          <w:spacing w:val="-71"/>
        </w:rPr>
        <w:t> </w:t>
      </w:r>
      <w:r>
        <w:rPr/>
        <w:t>短</w:t>
      </w:r>
      <w:r>
        <w:rPr>
          <w:spacing w:val="-71"/>
        </w:rPr>
        <w:t> </w:t>
      </w:r>
      <w:r>
        <w:rPr/>
        <w:t>期</w:t>
      </w:r>
      <w:r>
        <w:rPr>
          <w:spacing w:val="-71"/>
        </w:rPr>
        <w:t> </w:t>
      </w:r>
      <w:r>
        <w:rPr/>
        <w:t>借</w:t>
      </w:r>
      <w:r>
        <w:rPr>
          <w:spacing w:val="-71"/>
        </w:rPr>
        <w:t> </w:t>
      </w:r>
      <w:r>
        <w:rPr/>
        <w:t>款</w:t>
      </w:r>
      <w:r>
        <w:rPr>
          <w:w w:val="100"/>
        </w:rPr>
        <w:t> </w:t>
      </w:r>
      <w:r>
        <w:rPr/>
        <w:t>50,000,000.00</w:t>
      </w:r>
      <w:r>
        <w:rPr>
          <w:spacing w:val="-27"/>
        </w:rPr>
        <w:t> </w:t>
      </w:r>
      <w:r>
        <w:rPr>
          <w:spacing w:val="-3"/>
        </w:rPr>
        <w:t>元，使用由张德生为本公司提供的最高额保证担保额度；本公司向工商银</w:t>
      </w:r>
      <w:r>
        <w:rPr>
          <w:spacing w:val="-90"/>
        </w:rPr>
        <w:t> </w:t>
      </w:r>
      <w:r>
        <w:rPr>
          <w:spacing w:val="-90"/>
        </w:rPr>
      </w:r>
      <w:r>
        <w:rPr/>
        <w:t>行浙江省分行短期借款</w:t>
      </w:r>
      <w:r>
        <w:rPr>
          <w:spacing w:val="-55"/>
        </w:rPr>
        <w:t> </w:t>
      </w:r>
      <w:r>
        <w:rPr/>
        <w:t>40,000,000.00</w:t>
      </w:r>
      <w:r>
        <w:rPr>
          <w:spacing w:val="-51"/>
        </w:rPr>
        <w:t> </w:t>
      </w:r>
      <w:r>
        <w:rPr>
          <w:spacing w:val="-5"/>
        </w:rPr>
        <w:t>元，使用杭州锦江集团有限公司、张德生和陆珍玉</w:t>
      </w:r>
      <w:r>
        <w:rPr>
          <w:spacing w:val="-108"/>
        </w:rPr>
        <w:t> </w:t>
      </w:r>
      <w:r>
        <w:rPr>
          <w:spacing w:val="-108"/>
        </w:rPr>
      </w:r>
      <w:r>
        <w:rPr/>
        <w:t>为</w:t>
      </w:r>
      <w:r>
        <w:rPr>
          <w:spacing w:val="-71"/>
        </w:rPr>
        <w:t> </w:t>
      </w:r>
      <w:r>
        <w:rPr/>
        <w:t>本</w:t>
      </w:r>
      <w:r>
        <w:rPr>
          <w:spacing w:val="-71"/>
        </w:rPr>
        <w:t> </w:t>
      </w:r>
      <w:r>
        <w:rPr/>
        <w:t>公</w:t>
      </w:r>
      <w:r>
        <w:rPr>
          <w:spacing w:val="-71"/>
        </w:rPr>
        <w:t> </w:t>
      </w:r>
      <w:r>
        <w:rPr/>
        <w:t>司</w:t>
      </w:r>
      <w:r>
        <w:rPr>
          <w:spacing w:val="-71"/>
        </w:rPr>
        <w:t> </w:t>
      </w:r>
      <w:r>
        <w:rPr/>
        <w:t>提</w:t>
      </w:r>
      <w:r>
        <w:rPr>
          <w:spacing w:val="-71"/>
        </w:rPr>
        <w:t> </w:t>
      </w:r>
      <w:r>
        <w:rPr/>
        <w:t>供</w:t>
      </w:r>
      <w:r>
        <w:rPr>
          <w:spacing w:val="-75"/>
        </w:rPr>
        <w:t> </w:t>
      </w:r>
      <w:r>
        <w:rPr/>
        <w:t>的</w:t>
      </w:r>
      <w:r>
        <w:rPr>
          <w:spacing w:val="-71"/>
        </w:rPr>
        <w:t> </w:t>
      </w:r>
      <w:r>
        <w:rPr/>
        <w:t>最</w:t>
      </w:r>
      <w:r>
        <w:rPr>
          <w:spacing w:val="-71"/>
        </w:rPr>
        <w:t> </w:t>
      </w:r>
      <w:r>
        <w:rPr/>
        <w:t>高</w:t>
      </w:r>
      <w:r>
        <w:rPr>
          <w:spacing w:val="-71"/>
        </w:rPr>
        <w:t> </w:t>
      </w:r>
      <w:r>
        <w:rPr/>
        <w:t>额</w:t>
      </w:r>
      <w:r>
        <w:rPr>
          <w:spacing w:val="-71"/>
        </w:rPr>
        <w:t> </w:t>
      </w:r>
      <w:r>
        <w:rPr/>
        <w:t>保</w:t>
      </w:r>
      <w:r>
        <w:rPr>
          <w:spacing w:val="-71"/>
        </w:rPr>
        <w:t> </w:t>
      </w:r>
      <w:r>
        <w:rPr/>
        <w:t>证</w:t>
      </w:r>
      <w:r>
        <w:rPr>
          <w:spacing w:val="-71"/>
        </w:rPr>
        <w:t> </w:t>
      </w:r>
      <w:r>
        <w:rPr/>
        <w:t>担</w:t>
      </w:r>
      <w:r>
        <w:rPr>
          <w:spacing w:val="-71"/>
        </w:rPr>
        <w:t> </w:t>
      </w:r>
      <w:r>
        <w:rPr/>
        <w:t>保</w:t>
      </w:r>
      <w:r>
        <w:rPr>
          <w:spacing w:val="-71"/>
        </w:rPr>
        <w:t> </w:t>
      </w:r>
      <w:r>
        <w:rPr/>
        <w:t>额</w:t>
      </w:r>
      <w:r>
        <w:rPr>
          <w:spacing w:val="-71"/>
        </w:rPr>
        <w:t> </w:t>
      </w:r>
      <w:r>
        <w:rPr/>
        <w:t>度</w:t>
      </w:r>
      <w:r>
        <w:rPr>
          <w:spacing w:val="-75"/>
        </w:rPr>
        <w:t> </w:t>
      </w:r>
      <w:r>
        <w:rPr/>
        <w:t>；</w:t>
      </w:r>
      <w:r>
        <w:rPr>
          <w:spacing w:val="-71"/>
        </w:rPr>
        <w:t> </w:t>
      </w:r>
      <w:r>
        <w:rPr/>
        <w:t>本</w:t>
      </w:r>
      <w:r>
        <w:rPr>
          <w:spacing w:val="-71"/>
        </w:rPr>
        <w:t> </w:t>
      </w:r>
      <w:r>
        <w:rPr/>
        <w:t>公</w:t>
      </w:r>
      <w:r>
        <w:rPr>
          <w:spacing w:val="-71"/>
        </w:rPr>
        <w:t> </w:t>
      </w:r>
      <w:r>
        <w:rPr/>
        <w:t>司</w:t>
      </w:r>
      <w:r>
        <w:rPr>
          <w:spacing w:val="-71"/>
        </w:rPr>
        <w:t> </w:t>
      </w:r>
      <w:r>
        <w:rPr/>
        <w:t>向</w:t>
      </w:r>
      <w:r>
        <w:rPr>
          <w:spacing w:val="-71"/>
        </w:rPr>
        <w:t> </w:t>
      </w:r>
      <w:r>
        <w:rPr/>
        <w:t>交</w:t>
      </w:r>
      <w:r>
        <w:rPr>
          <w:spacing w:val="-71"/>
        </w:rPr>
        <w:t> </w:t>
      </w:r>
      <w:r>
        <w:rPr/>
        <w:t>通</w:t>
      </w:r>
      <w:r>
        <w:rPr>
          <w:spacing w:val="-71"/>
        </w:rPr>
        <w:t> </w:t>
      </w:r>
      <w:r>
        <w:rPr/>
        <w:t>银</w:t>
      </w:r>
      <w:r>
        <w:rPr>
          <w:spacing w:val="-71"/>
        </w:rPr>
        <w:t> </w:t>
      </w:r>
      <w:r>
        <w:rPr/>
        <w:t>行</w:t>
      </w:r>
      <w:r>
        <w:rPr>
          <w:spacing w:val="-71"/>
        </w:rPr>
        <w:t> </w:t>
      </w:r>
      <w:r>
        <w:rPr/>
        <w:t>临</w:t>
      </w:r>
      <w:r>
        <w:rPr>
          <w:spacing w:val="-75"/>
        </w:rPr>
        <w:t> </w:t>
      </w:r>
      <w:r>
        <w:rPr/>
        <w:t>安</w:t>
      </w:r>
      <w:r>
        <w:rPr>
          <w:spacing w:val="-71"/>
        </w:rPr>
        <w:t> </w:t>
      </w:r>
      <w:r>
        <w:rPr/>
        <w:t>支</w:t>
      </w:r>
      <w:r>
        <w:rPr>
          <w:spacing w:val="-71"/>
        </w:rPr>
        <w:t> </w:t>
      </w:r>
      <w:r>
        <w:rPr/>
        <w:t>行</w:t>
      </w:r>
      <w:r>
        <w:rPr>
          <w:spacing w:val="-71"/>
        </w:rPr>
        <w:t> </w:t>
      </w:r>
      <w:r>
        <w:rPr/>
        <w:t>短</w:t>
      </w:r>
      <w:r>
        <w:rPr>
          <w:spacing w:val="-71"/>
        </w:rPr>
        <w:t> </w:t>
      </w:r>
      <w:r>
        <w:rPr/>
        <w:t>期</w:t>
      </w:r>
      <w:r>
        <w:rPr>
          <w:spacing w:val="-71"/>
        </w:rPr>
        <w:t> </w:t>
      </w:r>
      <w:r>
        <w:rPr/>
        <w:t>借</w:t>
      </w:r>
      <w:r>
        <w:rPr>
          <w:spacing w:val="-71"/>
        </w:rPr>
        <w:t> </w:t>
      </w:r>
      <w:r>
        <w:rPr/>
        <w:t>款</w:t>
      </w:r>
      <w:r>
        <w:rPr>
          <w:w w:val="100"/>
        </w:rPr>
        <w:t> </w:t>
      </w:r>
      <w:r>
        <w:rPr/>
        <w:t>40,000,000.00</w:t>
      </w:r>
      <w:r>
        <w:rPr>
          <w:spacing w:val="-30"/>
        </w:rPr>
        <w:t> </w:t>
      </w:r>
      <w:r>
        <w:rPr>
          <w:spacing w:val="-3"/>
        </w:rPr>
        <w:t>元，使用浙江万马电气电缆集团有限公司以及张德生为本公司提供的最高</w:t>
      </w:r>
      <w:r>
        <w:rPr>
          <w:spacing w:val="-90"/>
        </w:rPr>
        <w:t> </w:t>
      </w:r>
      <w:r>
        <w:rPr>
          <w:spacing w:val="-90"/>
        </w:rPr>
      </w:r>
      <w:r>
        <w:rPr/>
        <w:t>额保证担保额度。</w:t>
      </w:r>
    </w:p>
    <w:p>
      <w:pPr>
        <w:pStyle w:val="BodyText"/>
        <w:spacing w:line="400" w:lineRule="auto" w:before="137"/>
        <w:ind w:left="680" w:right="5316" w:hanging="36"/>
        <w:jc w:val="left"/>
      </w:pPr>
      <w:r>
        <w:rPr/>
        <w:t>（2）</w:t>
      </w:r>
      <w:r>
        <w:rPr>
          <w:spacing w:val="-71"/>
        </w:rPr>
        <w:t> </w:t>
      </w:r>
      <w:r>
        <w:rPr/>
        <w:t>已逾期未偿还的短期借款</w:t>
      </w:r>
      <w:r>
        <w:rPr>
          <w:w w:val="100"/>
        </w:rPr>
        <w:t> </w:t>
      </w:r>
      <w:r>
        <w:rPr/>
        <w:t>无。</w:t>
      </w:r>
    </w:p>
    <w:p>
      <w:pPr>
        <w:pStyle w:val="BodyText"/>
        <w:spacing w:line="240" w:lineRule="auto" w:before="44"/>
        <w:ind w:left="644" w:right="80"/>
        <w:jc w:val="left"/>
      </w:pPr>
      <w:r>
        <w:rPr/>
        <w:t>17.</w:t>
      </w:r>
      <w:r>
        <w:rPr>
          <w:spacing w:val="-48"/>
        </w:rPr>
        <w:t> </w:t>
      </w:r>
      <w:r>
        <w:rPr/>
        <w:t>应付票据</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86"/>
        <w:gridCol w:w="2659"/>
        <w:gridCol w:w="2678"/>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886"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269,698,166.74</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516,097,863.34</w:t>
            </w:r>
          </w:p>
        </w:tc>
      </w:tr>
      <w:tr>
        <w:trPr>
          <w:trHeight w:val="414"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1"/>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0"/>
              <w:jc w:val="right"/>
              <w:rPr>
                <w:rFonts w:ascii="宋体" w:hAnsi="宋体" w:cs="宋体" w:eastAsia="宋体" w:hint="default"/>
                <w:sz w:val="22"/>
                <w:szCs w:val="22"/>
              </w:rPr>
            </w:pPr>
            <w:r>
              <w:rPr>
                <w:rFonts w:ascii="宋体"/>
                <w:b/>
                <w:spacing w:val="-1"/>
                <w:sz w:val="22"/>
              </w:rPr>
              <w:t>269,698,166.74</w:t>
            </w:r>
            <w:r>
              <w:rPr>
                <w:rFonts w:ascii="宋体"/>
                <w:spacing w:val="-1"/>
                <w:sz w:val="22"/>
              </w:rPr>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516,097,863.34</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644" w:right="80"/>
        <w:jc w:val="left"/>
      </w:pPr>
      <w:r>
        <w:rPr/>
        <w:t>18.</w:t>
      </w:r>
      <w:r>
        <w:rPr>
          <w:spacing w:val="-48"/>
        </w:rPr>
        <w:t> </w:t>
      </w:r>
      <w:r>
        <w:rPr/>
        <w:t>应付账款</w:t>
      </w:r>
    </w:p>
    <w:p>
      <w:pPr>
        <w:pStyle w:val="BodyText"/>
        <w:spacing w:line="240" w:lineRule="auto" w:before="192"/>
        <w:ind w:left="666" w:right="80"/>
        <w:jc w:val="left"/>
      </w:pPr>
      <w:r>
        <w:rPr/>
        <w:t>（1）</w:t>
      </w:r>
      <w:r>
        <w:rPr>
          <w:spacing w:val="-90"/>
        </w:rPr>
        <w:t> </w:t>
      </w:r>
      <w:r>
        <w:rPr/>
        <w:t>应付账款</w:t>
      </w:r>
    </w:p>
    <w:p>
      <w:pPr>
        <w:spacing w:line="240" w:lineRule="auto" w:before="5"/>
        <w:rPr>
          <w:rFonts w:ascii="宋体" w:hAnsi="宋体" w:cs="宋体" w:eastAsia="宋体" w:hint="default"/>
          <w:sz w:val="12"/>
          <w:szCs w:val="12"/>
        </w:rPr>
      </w:pPr>
    </w:p>
    <w:p>
      <w:pPr>
        <w:spacing w:line="453" w:lineRule="exact"/>
        <w:ind w:left="12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6.65pt;height:22.7pt;mso-position-horizontal-relative:char;mso-position-vertical-relative:line" coordorigin="0,0" coordsize="8733,454">
            <v:group style="position:absolute;left:5;top:5;width:8723;height:2" coordorigin="5,5" coordsize="8723,2">
              <v:shape style="position:absolute;left:5;top:5;width:8723;height:2" coordorigin="5,5" coordsize="8723,0" path="m5,5l8728,5e" filled="false" stroked="true" strokeweight=".48pt" strokecolor="#000000">
                <v:path arrowok="t"/>
              </v:shape>
            </v:group>
            <v:group style="position:absolute;left:5;top:24;width:8723;height:2" coordorigin="5,24" coordsize="8723,2">
              <v:shape style="position:absolute;left:5;top:24;width:8723;height:2" coordorigin="5,24" coordsize="8723,0" path="m5,24l8728,24e" filled="false" stroked="true" strokeweight=".48pt" strokecolor="#000000">
                <v:path arrowok="t"/>
              </v:shape>
            </v:group>
            <v:group style="position:absolute;left:5;top:430;width:8723;height:2" coordorigin="5,430" coordsize="8723,2">
              <v:shape style="position:absolute;left:5;top:430;width:8723;height:2" coordorigin="5,430" coordsize="8723,0" path="m5,430l8728,430e" filled="false" stroked="true" strokeweight=".48pt" strokecolor="#000000">
                <v:path arrowok="t"/>
              </v:shape>
            </v:group>
            <v:group style="position:absolute;left:5;top:449;width:8723;height:2" coordorigin="5,449" coordsize="8723,2">
              <v:shape style="position:absolute;left:5;top:449;width:8723;height:2" coordorigin="5,449" coordsize="8723,0" path="m5,449l8728,449e" filled="false" stroked="true" strokeweight=".48pt" strokecolor="#000000">
                <v:path arrowok="t"/>
              </v:shape>
            </v:group>
            <v:group style="position:absolute;left:3376;top:29;width:2;height:397" coordorigin="3376,29" coordsize="2,397">
              <v:shape style="position:absolute;left:3376;top:29;width:2;height:397" coordorigin="3376,29" coordsize="0,397" path="m3376,29l3376,425e" filled="false" stroked="true" strokeweight=".24pt" strokecolor="#000000">
                <v:path arrowok="t"/>
              </v:shape>
            </v:group>
            <v:group style="position:absolute;left:6052;top:29;width:2;height:397" coordorigin="6052,29" coordsize="2,397">
              <v:shape style="position:absolute;left:6052;top:29;width:2;height:397" coordorigin="6052,29" coordsize="0,397" path="m6052,29l6052,425e" filled="false" stroked="true" strokeweight=".24pt" strokecolor="#000000">
                <v:path arrowok="t"/>
              </v:shape>
              <v:shape style="position:absolute;left:3376;top:14;width:2676;height:425" type="#_x0000_t202" filled="false" stroked="false">
                <v:textbox inset="0,0,0,0">
                  <w:txbxContent>
                    <w:p>
                      <w:pPr>
                        <w:spacing w:before="35"/>
                        <w:ind w:left="0" w:right="0" w:firstLine="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xbxContent>
                </v:textbox>
                <w10:wrap type="none"/>
              </v:shape>
              <v:shape style="position:absolute;left:113;top:116;width:442;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pacing w:val="-1"/>
                          <w:sz w:val="22"/>
                          <w:szCs w:val="22"/>
                        </w:rPr>
                        <w:t>项目</w:t>
                      </w:r>
                      <w:r>
                        <w:rPr>
                          <w:rFonts w:ascii="宋体" w:hAnsi="宋体" w:cs="宋体" w:eastAsia="宋体" w:hint="default"/>
                          <w:spacing w:val="-1"/>
                          <w:sz w:val="22"/>
                          <w:szCs w:val="22"/>
                        </w:rPr>
                      </w:r>
                    </w:p>
                  </w:txbxContent>
                </v:textbox>
                <w10:wrap type="none"/>
              </v:shape>
              <v:shape style="position:absolute;left:6949;top:116;width:884;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pacing w:val="-1"/>
                          <w:sz w:val="22"/>
                          <w:szCs w:val="22"/>
                        </w:rPr>
                        <w:t>年初余额</w:t>
                      </w:r>
                      <w:r>
                        <w:rPr>
                          <w:rFonts w:ascii="宋体" w:hAnsi="宋体" w:cs="宋体" w:eastAsia="宋体" w:hint="default"/>
                          <w:spacing w:val="-1"/>
                          <w:sz w:val="22"/>
                          <w:szCs w:val="22"/>
                        </w:rPr>
                      </w:r>
                    </w:p>
                  </w:txbxContent>
                </v:textbox>
                <w10:wrap type="none"/>
              </v:shape>
            </v:group>
          </v:group>
        </w:pict>
      </w:r>
      <w:r>
        <w:rPr>
          <w:rFonts w:ascii="宋体" w:hAnsi="宋体" w:cs="宋体" w:eastAsia="宋体" w:hint="default"/>
          <w:position w:val="-8"/>
          <w:sz w:val="20"/>
          <w:szCs w:val="20"/>
        </w:rPr>
      </w:r>
    </w:p>
    <w:p>
      <w:pPr>
        <w:spacing w:after="0" w:line="453" w:lineRule="exact"/>
        <w:rPr>
          <w:rFonts w:ascii="宋体" w:hAnsi="宋体" w:cs="宋体" w:eastAsia="宋体" w:hint="default"/>
          <w:sz w:val="20"/>
          <w:szCs w:val="20"/>
        </w:rPr>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371"/>
        <w:gridCol w:w="2676"/>
        <w:gridCol w:w="2676"/>
      </w:tblGrid>
      <w:tr>
        <w:trPr>
          <w:trHeight w:val="415" w:hRule="exact"/>
        </w:trPr>
        <w:tc>
          <w:tcPr>
            <w:tcW w:w="3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368,308,795.90</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250,759,019.54</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5,748,910.33</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7,147,097.25</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6,208,286.28</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2,597,121.95</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4,516,971.40</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5,617,225.02</w:t>
            </w:r>
          </w:p>
        </w:tc>
      </w:tr>
      <w:tr>
        <w:trPr>
          <w:trHeight w:val="414" w:hRule="exact"/>
        </w:trPr>
        <w:tc>
          <w:tcPr>
            <w:tcW w:w="3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384,782,963.91</w:t>
            </w:r>
            <w:r>
              <w:rPr>
                <w:rFonts w:ascii="宋体"/>
                <w:spacing w:val="-1"/>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266,120,463.76</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（2）</w:t>
      </w:r>
      <w:r>
        <w:rPr>
          <w:spacing w:val="-88"/>
        </w:rPr>
        <w:t> </w:t>
      </w:r>
      <w:r>
        <w:rPr/>
        <w:t>账龄超过</w:t>
      </w:r>
      <w:r>
        <w:rPr>
          <w:spacing w:val="-58"/>
        </w:rPr>
        <w:t> </w:t>
      </w:r>
      <w:r>
        <w:rPr/>
        <w:t>1</w:t>
      </w:r>
      <w:r>
        <w:rPr>
          <w:spacing w:val="-58"/>
        </w:rPr>
        <w:t> </w:t>
      </w:r>
      <w:r>
        <w:rPr/>
        <w:t>年的重要应付账款</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41"/>
        <w:gridCol w:w="2127"/>
        <w:gridCol w:w="2127"/>
        <w:gridCol w:w="3228"/>
      </w:tblGrid>
      <w:tr>
        <w:trPr>
          <w:trHeight w:val="669" w:hRule="exact"/>
        </w:trPr>
        <w:tc>
          <w:tcPr>
            <w:tcW w:w="12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19"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84" w:lineRule="exact" w:before="37"/>
              <w:ind w:left="729" w:right="101" w:hanging="622"/>
              <w:jc w:val="left"/>
              <w:rPr>
                <w:rFonts w:ascii="宋体" w:hAnsi="宋体" w:cs="宋体" w:eastAsia="宋体" w:hint="default"/>
                <w:sz w:val="22"/>
                <w:szCs w:val="22"/>
              </w:rPr>
            </w:pPr>
            <w:r>
              <w:rPr>
                <w:rFonts w:ascii="宋体" w:hAnsi="宋体" w:cs="宋体" w:eastAsia="宋体" w:hint="default"/>
                <w:b/>
                <w:bCs/>
                <w:spacing w:val="-10"/>
                <w:sz w:val="22"/>
                <w:szCs w:val="22"/>
              </w:rPr>
              <w:t>其中：账龄超过一年</w:t>
            </w:r>
            <w:r>
              <w:rPr>
                <w:rFonts w:ascii="宋体" w:hAnsi="宋体" w:cs="宋体" w:eastAsia="宋体" w:hint="default"/>
                <w:b/>
                <w:bCs/>
                <w:spacing w:val="-104"/>
                <w:sz w:val="22"/>
                <w:szCs w:val="22"/>
              </w:rPr>
              <w:t> </w:t>
            </w:r>
            <w:r>
              <w:rPr>
                <w:rFonts w:ascii="宋体" w:hAnsi="宋体" w:cs="宋体" w:eastAsia="宋体" w:hint="default"/>
                <w:b/>
                <w:bCs/>
                <w:spacing w:val="-104"/>
                <w:sz w:val="22"/>
                <w:szCs w:val="22"/>
              </w:rPr>
            </w:r>
            <w:r>
              <w:rPr>
                <w:rFonts w:ascii="宋体" w:hAnsi="宋体" w:cs="宋体" w:eastAsia="宋体" w:hint="default"/>
                <w:b/>
                <w:bCs/>
                <w:sz w:val="22"/>
                <w:szCs w:val="22"/>
              </w:rPr>
              <w:t>的金额</w:t>
            </w:r>
            <w:r>
              <w:rPr>
                <w:rFonts w:ascii="宋体" w:hAnsi="宋体" w:cs="宋体" w:eastAsia="宋体" w:hint="default"/>
                <w:sz w:val="22"/>
                <w:szCs w:val="22"/>
              </w:rPr>
            </w:r>
          </w:p>
        </w:tc>
        <w:tc>
          <w:tcPr>
            <w:tcW w:w="32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20" w:right="0"/>
              <w:jc w:val="left"/>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402"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9,679,205.67</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350,330.67</w:t>
            </w:r>
          </w:p>
        </w:tc>
        <w:tc>
          <w:tcPr>
            <w:tcW w:w="3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未到结算期</w:t>
            </w:r>
          </w:p>
        </w:tc>
      </w:tr>
      <w:tr>
        <w:trPr>
          <w:trHeight w:val="402"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3,324,480.00</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3,324,480.00</w:t>
            </w:r>
          </w:p>
        </w:tc>
        <w:tc>
          <w:tcPr>
            <w:tcW w:w="3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相关工程延期，暂不需支付</w:t>
            </w:r>
          </w:p>
        </w:tc>
      </w:tr>
      <w:tr>
        <w:trPr>
          <w:trHeight w:val="402"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2,550,000.00</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2,550,000.00</w:t>
            </w:r>
          </w:p>
        </w:tc>
        <w:tc>
          <w:tcPr>
            <w:tcW w:w="3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未到结算期</w:t>
            </w:r>
          </w:p>
        </w:tc>
      </w:tr>
      <w:tr>
        <w:trPr>
          <w:trHeight w:val="402"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2,043,386.31</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2,043,386.31</w:t>
            </w:r>
          </w:p>
        </w:tc>
        <w:tc>
          <w:tcPr>
            <w:tcW w:w="3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相关工程延期，暂不需支付</w:t>
            </w:r>
          </w:p>
        </w:tc>
      </w:tr>
      <w:tr>
        <w:trPr>
          <w:trHeight w:val="402"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964,940.00</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964,940.00</w:t>
            </w:r>
          </w:p>
        </w:tc>
        <w:tc>
          <w:tcPr>
            <w:tcW w:w="3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相关工程延期，暂不需支付</w:t>
            </w:r>
          </w:p>
        </w:tc>
      </w:tr>
      <w:tr>
        <w:trPr>
          <w:trHeight w:val="414" w:hRule="exact"/>
        </w:trPr>
        <w:tc>
          <w:tcPr>
            <w:tcW w:w="12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18,562,011.98</w:t>
            </w:r>
            <w:r>
              <w:rPr>
                <w:rFonts w:ascii="宋体"/>
                <w:spacing w:val="-1"/>
                <w:sz w:val="22"/>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9,233,136.98</w:t>
            </w:r>
            <w:r>
              <w:rPr>
                <w:rFonts w:ascii="宋体"/>
                <w:spacing w:val="-1"/>
                <w:sz w:val="22"/>
              </w:rPr>
            </w:r>
          </w:p>
        </w:tc>
        <w:tc>
          <w:tcPr>
            <w:tcW w:w="322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ind w:left="644" w:right="80"/>
        <w:jc w:val="left"/>
      </w:pPr>
      <w:r>
        <w:rPr/>
        <w:t>19.</w:t>
      </w:r>
      <w:r>
        <w:rPr>
          <w:spacing w:val="-48"/>
        </w:rPr>
        <w:t> </w:t>
      </w:r>
      <w:r>
        <w:rPr/>
        <w:t>预收款项</w:t>
      </w:r>
    </w:p>
    <w:p>
      <w:pPr>
        <w:pStyle w:val="BodyText"/>
        <w:spacing w:line="240" w:lineRule="auto" w:before="192"/>
        <w:ind w:left="666" w:right="80"/>
        <w:jc w:val="left"/>
      </w:pPr>
      <w:r>
        <w:rPr/>
        <w:t>（1）</w:t>
      </w:r>
      <w:r>
        <w:rPr>
          <w:spacing w:val="-90"/>
        </w:rPr>
        <w:t> </w:t>
      </w:r>
      <w:r>
        <w:rPr/>
        <w:t>预收款项</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71"/>
        <w:gridCol w:w="2676"/>
        <w:gridCol w:w="2676"/>
      </w:tblGrid>
      <w:tr>
        <w:trPr>
          <w:trHeight w:val="415" w:hRule="exact"/>
        </w:trPr>
        <w:tc>
          <w:tcPr>
            <w:tcW w:w="3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141,573,401.88</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33,458,578.58</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5,542,537.00</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10,728,805.68</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2,430,992.84</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2,822,807.76</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3,103,051.41</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962,234.25</w:t>
            </w:r>
          </w:p>
        </w:tc>
      </w:tr>
      <w:tr>
        <w:trPr>
          <w:trHeight w:val="414" w:hRule="exact"/>
        </w:trPr>
        <w:tc>
          <w:tcPr>
            <w:tcW w:w="3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152,649,983.13</w:t>
            </w:r>
            <w:r>
              <w:rPr>
                <w:rFonts w:ascii="宋体"/>
                <w:spacing w:val="-1"/>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47,972,426.27</w:t>
            </w:r>
            <w:r>
              <w:rPr>
                <w:rFonts w:ascii="宋体"/>
                <w:spacing w:val="-1"/>
                <w:sz w:val="22"/>
              </w:rPr>
            </w:r>
          </w:p>
        </w:tc>
      </w:tr>
    </w:tbl>
    <w:p>
      <w:pPr>
        <w:spacing w:line="240" w:lineRule="auto" w:before="11"/>
        <w:rPr>
          <w:rFonts w:ascii="宋体" w:hAnsi="宋体" w:cs="宋体" w:eastAsia="宋体" w:hint="default"/>
          <w:sz w:val="7"/>
          <w:szCs w:val="7"/>
        </w:rPr>
      </w:pPr>
    </w:p>
    <w:p>
      <w:pPr>
        <w:pStyle w:val="BodyText"/>
        <w:spacing w:line="240" w:lineRule="auto"/>
        <w:ind w:left="666" w:right="80"/>
        <w:jc w:val="left"/>
      </w:pPr>
      <w:r>
        <w:rPr/>
        <w:t>（2）</w:t>
      </w:r>
      <w:r>
        <w:rPr>
          <w:spacing w:val="-90"/>
        </w:rPr>
        <w:t> </w:t>
      </w:r>
      <w:r>
        <w:rPr/>
        <w:t>账龄超过</w:t>
      </w:r>
      <w:r>
        <w:rPr>
          <w:spacing w:val="-57"/>
        </w:rPr>
        <w:t> </w:t>
      </w:r>
      <w:r>
        <w:rPr/>
        <w:t>1</w:t>
      </w:r>
      <w:r>
        <w:rPr>
          <w:spacing w:val="-57"/>
        </w:rPr>
        <w:t> </w:t>
      </w:r>
      <w:r>
        <w:rPr/>
        <w:t>年的重要预收款项</w:t>
      </w:r>
    </w:p>
    <w:p>
      <w:pPr>
        <w:spacing w:line="240" w:lineRule="auto" w:before="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71"/>
        <w:gridCol w:w="2676"/>
        <w:gridCol w:w="2676"/>
      </w:tblGrid>
      <w:tr>
        <w:trPr>
          <w:trHeight w:val="415" w:hRule="exact"/>
        </w:trPr>
        <w:tc>
          <w:tcPr>
            <w:tcW w:w="3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 w:right="0"/>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1,309,319.60</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货款未结算</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475,359.88</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0"/>
              <w:jc w:val="center"/>
              <w:rPr>
                <w:rFonts w:ascii="宋体" w:hAnsi="宋体" w:cs="宋体" w:eastAsia="宋体" w:hint="default"/>
                <w:sz w:val="22"/>
                <w:szCs w:val="22"/>
              </w:rPr>
            </w:pPr>
            <w:r>
              <w:rPr>
                <w:rFonts w:ascii="宋体" w:hAnsi="宋体" w:cs="宋体" w:eastAsia="宋体" w:hint="default"/>
                <w:sz w:val="22"/>
                <w:szCs w:val="22"/>
              </w:rPr>
              <w:t>货款未结算</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412,254.92</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货款未结算</w:t>
            </w:r>
          </w:p>
        </w:tc>
      </w:tr>
      <w:tr>
        <w:trPr>
          <w:trHeight w:val="414" w:hRule="exact"/>
        </w:trPr>
        <w:tc>
          <w:tcPr>
            <w:tcW w:w="3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2,196,934.40</w:t>
            </w:r>
            <w:r>
              <w:rPr>
                <w:rFonts w:ascii="宋体"/>
                <w:spacing w:val="-1"/>
                <w:sz w:val="22"/>
              </w:rPr>
            </w:r>
          </w:p>
        </w:tc>
        <w:tc>
          <w:tcPr>
            <w:tcW w:w="26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ind w:left="644" w:right="80"/>
        <w:jc w:val="left"/>
      </w:pPr>
      <w:r>
        <w:rPr/>
        <w:t>20.</w:t>
      </w:r>
      <w:r>
        <w:rPr>
          <w:spacing w:val="-50"/>
        </w:rPr>
        <w:t> </w:t>
      </w:r>
      <w:r>
        <w:rPr/>
        <w:t>应付职工薪酬</w:t>
      </w:r>
    </w:p>
    <w:p>
      <w:pPr>
        <w:pStyle w:val="BodyText"/>
        <w:spacing w:line="240" w:lineRule="auto" w:before="192"/>
        <w:ind w:left="808" w:right="80"/>
        <w:jc w:val="left"/>
      </w:pPr>
      <w:r>
        <w:rPr/>
        <w:t>（1）</w:t>
      </w:r>
      <w:r>
        <w:rPr>
          <w:spacing w:val="55"/>
        </w:rPr>
        <w:t> </w:t>
      </w:r>
      <w:r>
        <w:rPr/>
        <w:t>应付职工薪酬分类</w:t>
      </w:r>
    </w:p>
    <w:p>
      <w:pPr>
        <w:spacing w:after="0" w:line="240" w:lineRule="auto"/>
        <w:jc w:val="left"/>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465"/>
        <w:gridCol w:w="1501"/>
        <w:gridCol w:w="1619"/>
        <w:gridCol w:w="1619"/>
        <w:gridCol w:w="1519"/>
      </w:tblGrid>
      <w:tr>
        <w:trPr>
          <w:trHeight w:val="415" w:hRule="exact"/>
        </w:trPr>
        <w:tc>
          <w:tcPr>
            <w:tcW w:w="24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3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50"/>
              <w:jc w:val="right"/>
              <w:rPr>
                <w:rFonts w:ascii="宋体" w:hAnsi="宋体" w:cs="宋体" w:eastAsia="宋体" w:hint="default"/>
                <w:sz w:val="18"/>
                <w:szCs w:val="18"/>
              </w:rPr>
            </w:pPr>
            <w:r>
              <w:rPr>
                <w:rFonts w:ascii="宋体"/>
                <w:spacing w:val="-1"/>
                <w:sz w:val="18"/>
              </w:rPr>
              <w:t>33,826,322.28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238,696,389.68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222,148,400.26</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50,374,311.70</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pacing w:val="-1"/>
                <w:sz w:val="18"/>
              </w:rPr>
              <w:t>347,849.60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14,931,525.50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14,733,777.94</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545,597.16</w:t>
            </w:r>
          </w:p>
        </w:tc>
      </w:tr>
      <w:tr>
        <w:trPr>
          <w:trHeight w:val="414" w:hRule="exact"/>
        </w:trPr>
        <w:tc>
          <w:tcPr>
            <w:tcW w:w="24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8"/>
              <w:jc w:val="right"/>
              <w:rPr>
                <w:rFonts w:ascii="宋体" w:hAnsi="宋体" w:cs="宋体" w:eastAsia="宋体" w:hint="default"/>
                <w:sz w:val="18"/>
                <w:szCs w:val="18"/>
              </w:rPr>
            </w:pPr>
            <w:r>
              <w:rPr>
                <w:rFonts w:ascii="宋体"/>
                <w:b/>
                <w:w w:val="95"/>
                <w:sz w:val="18"/>
              </w:rPr>
              <w:t>34,174,171.88</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0"/>
              <w:jc w:val="right"/>
              <w:rPr>
                <w:rFonts w:ascii="宋体" w:hAnsi="宋体" w:cs="宋体" w:eastAsia="宋体" w:hint="default"/>
                <w:sz w:val="18"/>
                <w:szCs w:val="18"/>
              </w:rPr>
            </w:pPr>
            <w:r>
              <w:rPr>
                <w:rFonts w:ascii="宋体"/>
                <w:b/>
                <w:sz w:val="18"/>
              </w:rPr>
              <w:t>253,627,915.18</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1"/>
              <w:jc w:val="right"/>
              <w:rPr>
                <w:rFonts w:ascii="宋体" w:hAnsi="宋体" w:cs="宋体" w:eastAsia="宋体" w:hint="default"/>
                <w:sz w:val="18"/>
                <w:szCs w:val="18"/>
              </w:rPr>
            </w:pPr>
            <w:r>
              <w:rPr>
                <w:rFonts w:ascii="宋体"/>
                <w:b/>
                <w:sz w:val="18"/>
              </w:rPr>
              <w:t>236,882,178.20</w:t>
            </w:r>
            <w:r>
              <w:rPr>
                <w:rFonts w:ascii="宋体"/>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93"/>
              <w:jc w:val="right"/>
              <w:rPr>
                <w:rFonts w:ascii="宋体" w:hAnsi="宋体" w:cs="宋体" w:eastAsia="宋体" w:hint="default"/>
                <w:sz w:val="18"/>
                <w:szCs w:val="18"/>
              </w:rPr>
            </w:pPr>
            <w:r>
              <w:rPr>
                <w:rFonts w:ascii="宋体"/>
                <w:b/>
                <w:w w:val="95"/>
                <w:sz w:val="18"/>
              </w:rPr>
              <w:t>50,919,908.86</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644" w:right="80"/>
        <w:jc w:val="left"/>
      </w:pPr>
      <w:r>
        <w:rPr/>
        <w:t>（2）</w:t>
      </w:r>
      <w:r>
        <w:rPr>
          <w:spacing w:val="-68"/>
        </w:rPr>
        <w:t> </w:t>
      </w:r>
      <w:r>
        <w:rPr/>
        <w:t>短期薪酬</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65"/>
        <w:gridCol w:w="1501"/>
        <w:gridCol w:w="1619"/>
        <w:gridCol w:w="1619"/>
        <w:gridCol w:w="1519"/>
      </w:tblGrid>
      <w:tr>
        <w:trPr>
          <w:trHeight w:val="415" w:hRule="exact"/>
        </w:trPr>
        <w:tc>
          <w:tcPr>
            <w:tcW w:w="24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3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4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3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26,661,437.96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203,268,961.25</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189,828,084.03</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40,102,315.18</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01"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13,613,441.04</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13,613,441.04</w:t>
            </w: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spacing w:val="-1"/>
                <w:sz w:val="18"/>
              </w:rPr>
              <w:t>195,352.81</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10,147,127.86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10,032,092.84</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310,387.83</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pacing w:val="-1"/>
                <w:sz w:val="18"/>
              </w:rPr>
              <w:t>133,263.60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7,051,958.67</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6,980,056.45</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205,165.82</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52,567.03</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2,512,010.86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2,479,438.46</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85,139.43</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pacing w:val="-1"/>
                <w:sz w:val="18"/>
              </w:rPr>
              <w:t>9,522.18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583,158.33</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572,597.93</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20,082.58</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01"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5,939,257.28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5,926,552.28</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12,705.00</w:t>
            </w:r>
          </w:p>
        </w:tc>
      </w:tr>
      <w:tr>
        <w:trPr>
          <w:trHeight w:val="402"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pacing w:val="-1"/>
                <w:sz w:val="18"/>
              </w:rPr>
              <w:t>6,969,531.51</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5,727,602.25</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2,748,230.07</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9,948,903.69</w:t>
            </w:r>
          </w:p>
        </w:tc>
      </w:tr>
      <w:tr>
        <w:trPr>
          <w:trHeight w:val="414" w:hRule="exact"/>
        </w:trPr>
        <w:tc>
          <w:tcPr>
            <w:tcW w:w="24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38"/>
              <w:jc w:val="right"/>
              <w:rPr>
                <w:rFonts w:ascii="宋体" w:hAnsi="宋体" w:cs="宋体" w:eastAsia="宋体" w:hint="default"/>
                <w:sz w:val="18"/>
                <w:szCs w:val="18"/>
              </w:rPr>
            </w:pPr>
            <w:r>
              <w:rPr>
                <w:rFonts w:ascii="宋体"/>
                <w:b/>
                <w:w w:val="95"/>
                <w:sz w:val="18"/>
              </w:rPr>
              <w:t>33,826,322.28</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b/>
                <w:sz w:val="18"/>
              </w:rPr>
              <w:t>238,696,389.68</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b/>
                <w:sz w:val="18"/>
              </w:rPr>
              <w:t>222,148,400.26</w:t>
            </w:r>
            <w:r>
              <w:rPr>
                <w:rFonts w:ascii="宋体"/>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b/>
                <w:w w:val="95"/>
                <w:sz w:val="18"/>
              </w:rPr>
              <w:t>50,374,311.70</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644" w:right="80"/>
        <w:jc w:val="left"/>
      </w:pPr>
      <w:r>
        <w:rPr/>
        <w:t>（3）</w:t>
      </w:r>
      <w:r>
        <w:rPr>
          <w:spacing w:val="-70"/>
        </w:rPr>
        <w:t> </w:t>
      </w:r>
      <w:r>
        <w:rPr/>
        <w:t>设定提存计划</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96"/>
        <w:gridCol w:w="1731"/>
        <w:gridCol w:w="1732"/>
        <w:gridCol w:w="1732"/>
        <w:gridCol w:w="1732"/>
      </w:tblGrid>
      <w:tr>
        <w:trPr>
          <w:trHeight w:val="415" w:hRule="exact"/>
        </w:trPr>
        <w:tc>
          <w:tcPr>
            <w:tcW w:w="17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2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2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2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42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基本养老保险</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304,368.40</w:t>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13,306,688.29</w:t>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13,115,666.00</w:t>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495,390.69</w:t>
            </w:r>
          </w:p>
        </w:tc>
      </w:tr>
      <w:tr>
        <w:trPr>
          <w:trHeight w:val="402" w:hRule="exact"/>
        </w:trPr>
        <w:tc>
          <w:tcPr>
            <w:tcW w:w="1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43,481.20</w:t>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1,624,837.21</w:t>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1,618,111.94</w:t>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50,206.47</w:t>
            </w:r>
          </w:p>
        </w:tc>
      </w:tr>
      <w:tr>
        <w:trPr>
          <w:trHeight w:val="414" w:hRule="exact"/>
        </w:trPr>
        <w:tc>
          <w:tcPr>
            <w:tcW w:w="17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347,849.60</w:t>
            </w:r>
            <w:r>
              <w:rPr>
                <w:rFonts w:ascii="宋体"/>
                <w:spacing w:val="-1"/>
                <w:sz w:val="22"/>
              </w:rPr>
            </w:r>
          </w:p>
        </w:tc>
        <w:tc>
          <w:tcPr>
            <w:tcW w:w="1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14,931,525.50</w:t>
            </w:r>
            <w:r>
              <w:rPr>
                <w:rFonts w:ascii="宋体"/>
                <w:spacing w:val="-1"/>
                <w:sz w:val="22"/>
              </w:rPr>
            </w:r>
          </w:p>
        </w:tc>
        <w:tc>
          <w:tcPr>
            <w:tcW w:w="1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14,733,777.94</w:t>
            </w:r>
            <w:r>
              <w:rPr>
                <w:rFonts w:ascii="宋体"/>
                <w:spacing w:val="-1"/>
                <w:sz w:val="22"/>
              </w:rPr>
            </w:r>
          </w:p>
        </w:tc>
        <w:tc>
          <w:tcPr>
            <w:tcW w:w="17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7"/>
              <w:jc w:val="right"/>
              <w:rPr>
                <w:rFonts w:ascii="宋体" w:hAnsi="宋体" w:cs="宋体" w:eastAsia="宋体" w:hint="default"/>
                <w:sz w:val="22"/>
                <w:szCs w:val="22"/>
              </w:rPr>
            </w:pPr>
            <w:r>
              <w:rPr>
                <w:rFonts w:ascii="宋体"/>
                <w:b/>
                <w:spacing w:val="-1"/>
                <w:sz w:val="22"/>
              </w:rPr>
              <w:t>545,597.16</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80"/>
        <w:jc w:val="left"/>
      </w:pPr>
      <w:r>
        <w:rPr/>
        <w:t>21.</w:t>
      </w:r>
      <w:r>
        <w:rPr>
          <w:spacing w:val="-48"/>
        </w:rPr>
        <w:t> </w:t>
      </w:r>
      <w:r>
        <w:rPr/>
        <w:t>应交税费</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69"/>
        <w:gridCol w:w="2676"/>
        <w:gridCol w:w="2678"/>
      </w:tblGrid>
      <w:tr>
        <w:trPr>
          <w:trHeight w:val="415" w:hRule="exact"/>
        </w:trPr>
        <w:tc>
          <w:tcPr>
            <w:tcW w:w="33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13,127,349.11</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9,656,172.46</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557,221.62</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-8,896.66</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30,670,131.32</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24,894,691.83</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1,375,645.38</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1,181,840.93</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1,818,751.32</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2,274,622.58</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1,972,426.85</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1,282,813.24</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834,704.72</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2,730,488.25</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353,650.39</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188,175.68</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1,007,976.11</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859,337.62</w:t>
            </w:r>
          </w:p>
        </w:tc>
      </w:tr>
      <w:tr>
        <w:trPr>
          <w:trHeight w:val="412" w:hRule="exact"/>
        </w:trPr>
        <w:tc>
          <w:tcPr>
            <w:tcW w:w="33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水利建设专项基金</w:t>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770,327.00</w:t>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774,710.79</w:t>
            </w:r>
          </w:p>
        </w:tc>
      </w:tr>
    </w:tbl>
    <w:p>
      <w:pPr>
        <w:spacing w:after="0" w:line="240" w:lineRule="auto"/>
        <w:jc w:val="right"/>
        <w:rPr>
          <w:rFonts w:ascii="宋体" w:hAnsi="宋体" w:cs="宋体" w:eastAsia="宋体" w:hint="default"/>
          <w:sz w:val="22"/>
          <w:szCs w:val="22"/>
        </w:rPr>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369"/>
        <w:gridCol w:w="2676"/>
        <w:gridCol w:w="2678"/>
      </w:tblGrid>
      <w:tr>
        <w:trPr>
          <w:trHeight w:val="415" w:hRule="exact"/>
        </w:trPr>
        <w:tc>
          <w:tcPr>
            <w:tcW w:w="33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残保金</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21,715.14</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7,502.66</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车船使用税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780.00</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8,946.00</w:t>
            </w:r>
          </w:p>
        </w:tc>
      </w:tr>
      <w:tr>
        <w:trPr>
          <w:trHeight w:val="414" w:hRule="exact"/>
        </w:trPr>
        <w:tc>
          <w:tcPr>
            <w:tcW w:w="33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52,510,678.96</w:t>
            </w:r>
            <w:r>
              <w:rPr>
                <w:rFonts w:ascii="宋体"/>
                <w:spacing w:val="-1"/>
                <w:sz w:val="22"/>
              </w:rPr>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43,850,405.38</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80"/>
        <w:jc w:val="left"/>
      </w:pPr>
      <w:r>
        <w:rPr/>
        <w:t>22.</w:t>
      </w:r>
      <w:r>
        <w:rPr>
          <w:spacing w:val="-48"/>
        </w:rPr>
        <w:t> </w:t>
      </w:r>
      <w:r>
        <w:rPr/>
        <w:t>应付利息</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71"/>
        <w:gridCol w:w="2676"/>
        <w:gridCol w:w="2676"/>
      </w:tblGrid>
      <w:tr>
        <w:trPr>
          <w:trHeight w:val="415" w:hRule="exact"/>
        </w:trPr>
        <w:tc>
          <w:tcPr>
            <w:tcW w:w="3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企业债券利息</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9,527,671.24</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9,720,000.00</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长期借款利息</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200,222.22</w:t>
            </w:r>
          </w:p>
        </w:tc>
        <w:tc>
          <w:tcPr>
            <w:tcW w:w="2676"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9,727,893.46</w:t>
            </w:r>
            <w:r>
              <w:rPr>
                <w:rFonts w:ascii="宋体"/>
                <w:spacing w:val="-1"/>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9,720,000.00</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80"/>
        <w:jc w:val="left"/>
      </w:pPr>
      <w:r>
        <w:rPr/>
        <w:t>23.</w:t>
      </w:r>
      <w:r>
        <w:rPr>
          <w:spacing w:val="-48"/>
        </w:rPr>
        <w:t> </w:t>
      </w:r>
      <w:r>
        <w:rPr/>
        <w:t>应付股利</w:t>
      </w:r>
    </w:p>
    <w:p>
      <w:pPr>
        <w:spacing w:line="240" w:lineRule="auto" w:before="4"/>
        <w:rPr>
          <w:rFonts w:ascii="宋体" w:hAnsi="宋体" w:cs="宋体" w:eastAsia="宋体" w:hint="default"/>
          <w:sz w:val="12"/>
          <w:szCs w:val="12"/>
        </w:rPr>
      </w:pPr>
    </w:p>
    <w:tbl>
      <w:tblPr>
        <w:tblW w:w="0" w:type="auto"/>
        <w:jc w:val="left"/>
        <w:tblInd w:w="236" w:type="dxa"/>
        <w:tblLayout w:type="fixed"/>
        <w:tblCellMar>
          <w:top w:w="0" w:type="dxa"/>
          <w:left w:w="0" w:type="dxa"/>
          <w:bottom w:w="0" w:type="dxa"/>
          <w:right w:w="0" w:type="dxa"/>
        </w:tblCellMar>
        <w:tblLook w:val="01E0"/>
      </w:tblPr>
      <w:tblGrid>
        <w:gridCol w:w="3187"/>
        <w:gridCol w:w="2731"/>
        <w:gridCol w:w="2700"/>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413,642.00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344,560.00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413,642.00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344,560.00</w:t>
            </w:r>
          </w:p>
        </w:tc>
      </w:tr>
    </w:tbl>
    <w:p>
      <w:pPr>
        <w:spacing w:line="240" w:lineRule="auto" w:before="3"/>
        <w:rPr>
          <w:rFonts w:ascii="宋体" w:hAnsi="宋体" w:cs="宋体" w:eastAsia="宋体" w:hint="default"/>
          <w:sz w:val="9"/>
          <w:szCs w:val="9"/>
        </w:rPr>
      </w:pPr>
    </w:p>
    <w:p>
      <w:pPr>
        <w:pStyle w:val="BodyText"/>
        <w:spacing w:line="240" w:lineRule="auto"/>
        <w:ind w:left="644" w:right="80"/>
        <w:jc w:val="left"/>
      </w:pPr>
      <w:r>
        <w:rPr/>
        <w:t>24.</w:t>
      </w:r>
      <w:r>
        <w:rPr>
          <w:spacing w:val="-48"/>
        </w:rPr>
        <w:t> </w:t>
      </w:r>
      <w:r>
        <w:rPr/>
        <w:t>其他应付款</w:t>
      </w:r>
    </w:p>
    <w:p>
      <w:pPr>
        <w:pStyle w:val="BodyText"/>
        <w:spacing w:line="240" w:lineRule="auto" w:before="192"/>
        <w:ind w:left="666" w:right="80"/>
        <w:jc w:val="left"/>
      </w:pPr>
      <w:r>
        <w:rPr>
          <w:spacing w:val="-1"/>
        </w:rPr>
        <w:t>（1）</w:t>
      </w:r>
      <w:r>
        <w:rPr>
          <w:spacing w:val="-69"/>
        </w:rPr>
        <w:t> </w:t>
      </w:r>
      <w:r>
        <w:rPr>
          <w:spacing w:val="-2"/>
        </w:rPr>
        <w:t>其他应付款按款项性质分类</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71"/>
        <w:gridCol w:w="2676"/>
        <w:gridCol w:w="2676"/>
      </w:tblGrid>
      <w:tr>
        <w:trPr>
          <w:trHeight w:val="415" w:hRule="exact"/>
        </w:trPr>
        <w:tc>
          <w:tcPr>
            <w:tcW w:w="3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35,782,610.64</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22,543,867.92</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25,912,506.71</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33,505,222.41</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未支付费用</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30,259,726.78</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2,145,087.58</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209,009.45</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284,009.74</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680,551.57</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681,647.52</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420,467.60</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672,262.77</w:t>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676" w:type="dxa"/>
            <w:tcBorders>
              <w:top w:val="single" w:sz="2" w:space="0" w:color="000000"/>
              <w:left w:val="single" w:sz="2" w:space="0" w:color="000000"/>
              <w:bottom w:val="single" w:sz="2" w:space="0" w:color="000000"/>
              <w:right w:val="single" w:sz="2" w:space="0" w:color="000000"/>
            </w:tcBorders>
          </w:tcPr>
          <w:p>
            <w:pP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2,925,526.20</w:t>
            </w:r>
          </w:p>
        </w:tc>
      </w:tr>
      <w:tr>
        <w:trPr>
          <w:trHeight w:val="414" w:hRule="exact"/>
        </w:trPr>
        <w:tc>
          <w:tcPr>
            <w:tcW w:w="3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93,264,872.75</w:t>
            </w:r>
            <w:r>
              <w:rPr>
                <w:rFonts w:ascii="宋体"/>
                <w:spacing w:val="-1"/>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62,757,624.14</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66" w:right="80"/>
        <w:jc w:val="left"/>
      </w:pPr>
      <w:r>
        <w:rPr/>
        <w:t>（2）</w:t>
      </w:r>
      <w:r>
        <w:rPr>
          <w:spacing w:val="-89"/>
        </w:rPr>
        <w:t> </w:t>
      </w:r>
      <w:r>
        <w:rPr/>
        <w:t>账龄超过</w:t>
      </w:r>
      <w:r>
        <w:rPr>
          <w:spacing w:val="-58"/>
        </w:rPr>
        <w:t> </w:t>
      </w:r>
      <w:r>
        <w:rPr/>
        <w:t>1</w:t>
      </w:r>
      <w:r>
        <w:rPr>
          <w:spacing w:val="-58"/>
        </w:rPr>
        <w:t> </w:t>
      </w:r>
      <w:r>
        <w:rPr/>
        <w:t>年的重要其他应付款</w:t>
      </w:r>
    </w:p>
    <w:p>
      <w:pPr>
        <w:pStyle w:val="BodyText"/>
        <w:spacing w:line="400" w:lineRule="auto" w:before="192"/>
        <w:ind w:left="644" w:right="3242" w:firstLine="36"/>
        <w:jc w:val="left"/>
      </w:pPr>
      <w:r>
        <w:rPr/>
        <w:t>账龄超过</w:t>
      </w:r>
      <w:r>
        <w:rPr>
          <w:spacing w:val="-60"/>
        </w:rPr>
        <w:t> </w:t>
      </w:r>
      <w:r>
        <w:rPr/>
        <w:t>1</w:t>
      </w:r>
      <w:r>
        <w:rPr>
          <w:spacing w:val="-63"/>
        </w:rPr>
        <w:t> </w:t>
      </w:r>
      <w:r>
        <w:rPr/>
        <w:t>年的其他应付款主要是保证金及押金等。</w:t>
      </w:r>
      <w:r>
        <w:rPr>
          <w:w w:val="100"/>
        </w:rPr>
        <w:t> </w:t>
      </w:r>
      <w:r>
        <w:rPr/>
        <w:t>25.</w:t>
      </w:r>
      <w:r>
        <w:rPr>
          <w:spacing w:val="-50"/>
        </w:rPr>
        <w:t> </w:t>
      </w:r>
      <w:r>
        <w:rPr/>
        <w:t>其他流动负债</w:t>
      </w:r>
    </w:p>
    <w:p>
      <w:pPr>
        <w:pStyle w:val="BodyText"/>
        <w:spacing w:line="240" w:lineRule="auto" w:before="44"/>
        <w:ind w:left="644" w:right="80"/>
        <w:jc w:val="left"/>
      </w:pPr>
      <w:r>
        <w:rPr/>
        <w:t>（1）</w:t>
      </w:r>
      <w:r>
        <w:rPr>
          <w:spacing w:val="-70"/>
        </w:rPr>
        <w:t> </w:t>
      </w:r>
      <w:r>
        <w:rPr/>
        <w:t>其他流动负债分类</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69"/>
        <w:gridCol w:w="2676"/>
        <w:gridCol w:w="2678"/>
      </w:tblGrid>
      <w:tr>
        <w:trPr>
          <w:trHeight w:val="415" w:hRule="exact"/>
        </w:trPr>
        <w:tc>
          <w:tcPr>
            <w:tcW w:w="33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运费</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15,483,950.33</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12,020,058.79</w:t>
            </w:r>
          </w:p>
        </w:tc>
      </w:tr>
      <w:tr>
        <w:trPr>
          <w:trHeight w:val="412" w:hRule="exact"/>
        </w:trPr>
        <w:tc>
          <w:tcPr>
            <w:tcW w:w="33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银行贷款利息</w:t>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1,943,099.47</w:t>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2,422,689.82</w:t>
            </w:r>
          </w:p>
        </w:tc>
      </w:tr>
    </w:tbl>
    <w:p>
      <w:pPr>
        <w:spacing w:after="0" w:line="240" w:lineRule="auto"/>
        <w:jc w:val="right"/>
        <w:rPr>
          <w:rFonts w:ascii="宋体" w:hAnsi="宋体" w:cs="宋体" w:eastAsia="宋体" w:hint="default"/>
          <w:sz w:val="22"/>
          <w:szCs w:val="22"/>
        </w:rPr>
        <w:sectPr>
          <w:footerReference w:type="default" r:id="rId42"/>
          <w:pgSz w:w="11910" w:h="16840"/>
          <w:pgMar w:footer="873" w:header="852" w:top="1440" w:bottom="1060" w:left="1460" w:right="1460"/>
          <w:pgNumType w:start="13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369"/>
        <w:gridCol w:w="2676"/>
        <w:gridCol w:w="2678"/>
      </w:tblGrid>
      <w:tr>
        <w:trPr>
          <w:trHeight w:val="415" w:hRule="exact"/>
        </w:trPr>
        <w:tc>
          <w:tcPr>
            <w:tcW w:w="33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预计一年内结转的政府补助款</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1,566,000.00</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1,566,000.00</w:t>
            </w: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短期融资券本金及利息</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252,833,333.33</w:t>
            </w:r>
          </w:p>
        </w:tc>
        <w:tc>
          <w:tcPr>
            <w:tcW w:w="267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零星基建维修项目</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2,011,726.00</w:t>
            </w:r>
          </w:p>
        </w:tc>
        <w:tc>
          <w:tcPr>
            <w:tcW w:w="2678"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3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273,838,109.13</w:t>
            </w:r>
            <w:r>
              <w:rPr>
                <w:rFonts w:ascii="宋体"/>
                <w:spacing w:val="-1"/>
                <w:sz w:val="22"/>
              </w:rPr>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16,008,748.61</w:t>
            </w:r>
            <w:r>
              <w:rPr>
                <w:rFonts w:ascii="宋体"/>
                <w:spacing w:val="-1"/>
                <w:sz w:val="22"/>
              </w:rPr>
            </w:r>
          </w:p>
        </w:tc>
      </w:tr>
    </w:tbl>
    <w:p>
      <w:pPr>
        <w:spacing w:line="240" w:lineRule="auto" w:before="3"/>
        <w:rPr>
          <w:rFonts w:ascii="宋体" w:hAnsi="宋体" w:cs="宋体" w:eastAsia="宋体" w:hint="default"/>
          <w:sz w:val="9"/>
          <w:szCs w:val="9"/>
        </w:rPr>
      </w:pPr>
    </w:p>
    <w:p>
      <w:pPr>
        <w:spacing w:before="33"/>
        <w:ind w:left="644" w:right="767" w:firstLine="0"/>
        <w:jc w:val="left"/>
        <w:rPr>
          <w:rFonts w:ascii="宋体" w:hAnsi="宋体" w:cs="宋体" w:eastAsia="宋体" w:hint="default"/>
          <w:sz w:val="18"/>
          <w:szCs w:val="18"/>
        </w:rPr>
      </w:pPr>
      <w:r>
        <w:rPr>
          <w:rFonts w:ascii="宋体" w:hAnsi="宋体" w:cs="宋体" w:eastAsia="宋体" w:hint="default"/>
          <w:sz w:val="22"/>
          <w:szCs w:val="22"/>
        </w:rPr>
        <w:t>（2）</w:t>
      </w:r>
      <w:r>
        <w:rPr>
          <w:rFonts w:ascii="宋体" w:hAnsi="宋体" w:cs="宋体" w:eastAsia="宋体" w:hint="default"/>
          <w:spacing w:val="-67"/>
          <w:sz w:val="22"/>
          <w:szCs w:val="22"/>
        </w:rPr>
        <w:t> </w:t>
      </w:r>
      <w:r>
        <w:rPr>
          <w:rFonts w:ascii="宋体" w:hAnsi="宋体" w:cs="宋体" w:eastAsia="宋体" w:hint="default"/>
          <w:sz w:val="18"/>
          <w:szCs w:val="18"/>
        </w:rPr>
        <w:t>短期应付债券的增减变动：</w:t>
      </w:r>
    </w:p>
    <w:p>
      <w:pPr>
        <w:spacing w:line="240" w:lineRule="auto" w:before="3"/>
        <w:rPr>
          <w:rFonts w:ascii="宋体" w:hAnsi="宋体" w:cs="宋体" w:eastAsia="宋体" w:hint="default"/>
          <w:sz w:val="12"/>
          <w:szCs w:val="12"/>
        </w:rPr>
      </w:pPr>
    </w:p>
    <w:tbl>
      <w:tblPr>
        <w:tblW w:w="0" w:type="auto"/>
        <w:jc w:val="left"/>
        <w:tblInd w:w="142" w:type="dxa"/>
        <w:tblLayout w:type="fixed"/>
        <w:tblCellMar>
          <w:top w:w="0" w:type="dxa"/>
          <w:left w:w="0" w:type="dxa"/>
          <w:bottom w:w="0" w:type="dxa"/>
          <w:right w:w="0" w:type="dxa"/>
        </w:tblCellMar>
        <w:tblLook w:val="01E0"/>
      </w:tblPr>
      <w:tblGrid>
        <w:gridCol w:w="805"/>
        <w:gridCol w:w="1050"/>
        <w:gridCol w:w="645"/>
        <w:gridCol w:w="600"/>
        <w:gridCol w:w="974"/>
        <w:gridCol w:w="503"/>
        <w:gridCol w:w="1093"/>
        <w:gridCol w:w="1195"/>
        <w:gridCol w:w="630"/>
        <w:gridCol w:w="442"/>
        <w:gridCol w:w="928"/>
      </w:tblGrid>
      <w:tr>
        <w:trPr>
          <w:trHeight w:val="567" w:hRule="exact"/>
        </w:trPr>
        <w:tc>
          <w:tcPr>
            <w:tcW w:w="805" w:type="dxa"/>
            <w:tcBorders>
              <w:top w:val="single" w:sz="12" w:space="0" w:color="000000"/>
              <w:left w:val="nil" w:sz="6" w:space="0" w:color="auto"/>
              <w:bottom w:val="single" w:sz="4" w:space="0" w:color="000000"/>
              <w:right w:val="single" w:sz="4" w:space="0" w:color="000000"/>
            </w:tcBorders>
            <w:shd w:val="clear" w:color="auto" w:fill="D3D3D3"/>
          </w:tcPr>
          <w:p>
            <w:pPr>
              <w:pStyle w:val="TableParagraph"/>
              <w:spacing w:line="240" w:lineRule="auto" w:before="129"/>
              <w:ind w:left="43"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05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340" w:right="0"/>
              <w:jc w:val="lef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6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36"/>
              <w:ind w:left="226" w:right="44" w:hanging="180"/>
              <w:jc w:val="left"/>
              <w:rPr>
                <w:rFonts w:ascii="宋体" w:hAnsi="宋体" w:cs="宋体" w:eastAsia="宋体" w:hint="default"/>
                <w:sz w:val="18"/>
                <w:szCs w:val="18"/>
              </w:rPr>
            </w:pPr>
            <w:r>
              <w:rPr>
                <w:rFonts w:ascii="宋体" w:hAnsi="宋体" w:cs="宋体" w:eastAsia="宋体" w:hint="default"/>
                <w:b/>
                <w:bCs/>
                <w:sz w:val="18"/>
                <w:szCs w:val="18"/>
              </w:rPr>
              <w:t>发行日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6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36"/>
              <w:ind w:left="205" w:right="20" w:hanging="180"/>
              <w:jc w:val="left"/>
              <w:rPr>
                <w:rFonts w:ascii="宋体" w:hAnsi="宋体" w:cs="宋体" w:eastAsia="宋体" w:hint="default"/>
                <w:sz w:val="18"/>
                <w:szCs w:val="18"/>
              </w:rPr>
            </w:pPr>
            <w:r>
              <w:rPr>
                <w:rFonts w:ascii="宋体" w:hAnsi="宋体" w:cs="宋体" w:eastAsia="宋体" w:hint="default"/>
                <w:b/>
                <w:bCs/>
                <w:sz w:val="18"/>
                <w:szCs w:val="18"/>
              </w:rPr>
              <w:t>债券期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97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121" w:right="0"/>
              <w:jc w:val="left"/>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50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36"/>
              <w:ind w:left="66" w:right="64"/>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09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180" w:right="0"/>
              <w:jc w:val="left"/>
              <w:rPr>
                <w:rFonts w:ascii="宋体" w:hAnsi="宋体" w:cs="宋体" w:eastAsia="宋体" w:hint="default"/>
                <w:sz w:val="18"/>
                <w:szCs w:val="18"/>
              </w:rPr>
            </w:pPr>
            <w:r>
              <w:rPr>
                <w:rFonts w:ascii="宋体" w:hAnsi="宋体" w:cs="宋体" w:eastAsia="宋体" w:hint="default"/>
                <w:b/>
                <w:bCs/>
                <w:sz w:val="18"/>
                <w:szCs w:val="18"/>
              </w:rPr>
              <w:t>本期发行</w:t>
            </w:r>
            <w:r>
              <w:rPr>
                <w:rFonts w:ascii="宋体" w:hAnsi="宋体" w:cs="宋体" w:eastAsia="宋体" w:hint="default"/>
                <w:sz w:val="18"/>
                <w:szCs w:val="18"/>
              </w:rPr>
            </w:r>
          </w:p>
        </w:tc>
        <w:tc>
          <w:tcPr>
            <w:tcW w:w="11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36"/>
              <w:ind w:left="501" w:right="48" w:hanging="449"/>
              <w:jc w:val="left"/>
              <w:rPr>
                <w:rFonts w:ascii="宋体" w:hAnsi="宋体" w:cs="宋体" w:eastAsia="宋体" w:hint="default"/>
                <w:sz w:val="18"/>
                <w:szCs w:val="18"/>
              </w:rPr>
            </w:pPr>
            <w:r>
              <w:rPr>
                <w:rFonts w:ascii="宋体" w:hAnsi="宋体" w:cs="宋体" w:eastAsia="宋体" w:hint="default"/>
                <w:b/>
                <w:bCs/>
                <w:sz w:val="18"/>
                <w:szCs w:val="18"/>
              </w:rPr>
              <w:t>按面值计提利</w:t>
            </w:r>
            <w:r>
              <w:rPr>
                <w:rFonts w:ascii="宋体" w:hAnsi="宋体" w:cs="宋体" w:eastAsia="宋体" w:hint="default"/>
                <w:b/>
                <w:bCs/>
                <w:w w:val="99"/>
                <w:sz w:val="18"/>
                <w:szCs w:val="18"/>
              </w:rPr>
              <w:t> </w:t>
            </w:r>
            <w:r>
              <w:rPr>
                <w:rFonts w:ascii="宋体" w:hAnsi="宋体" w:cs="宋体" w:eastAsia="宋体" w:hint="default"/>
                <w:b/>
                <w:bCs/>
                <w:sz w:val="18"/>
                <w:szCs w:val="18"/>
              </w:rPr>
              <w:t>息</w:t>
            </w:r>
            <w:r>
              <w:rPr>
                <w:rFonts w:ascii="宋体" w:hAnsi="宋体" w:cs="宋体" w:eastAsia="宋体" w:hint="default"/>
                <w:sz w:val="18"/>
                <w:szCs w:val="18"/>
              </w:rPr>
            </w:r>
          </w:p>
        </w:tc>
        <w:tc>
          <w:tcPr>
            <w:tcW w:w="63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36"/>
              <w:ind w:left="129" w:right="35" w:hanging="89"/>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b/>
                <w:bCs/>
                <w:w w:val="99"/>
                <w:sz w:val="18"/>
                <w:szCs w:val="18"/>
              </w:rPr>
              <w:t> </w:t>
            </w:r>
            <w:r>
              <w:rPr>
                <w:rFonts w:ascii="宋体" w:hAnsi="宋体" w:cs="宋体" w:eastAsia="宋体" w:hint="default"/>
                <w:b/>
                <w:bCs/>
                <w:sz w:val="18"/>
                <w:szCs w:val="18"/>
              </w:rPr>
              <w:t>摊销</w:t>
            </w:r>
            <w:r>
              <w:rPr>
                <w:rFonts w:ascii="宋体" w:hAnsi="宋体" w:cs="宋体" w:eastAsia="宋体" w:hint="default"/>
                <w:sz w:val="18"/>
                <w:szCs w:val="18"/>
              </w:rPr>
            </w:r>
          </w:p>
        </w:tc>
        <w:tc>
          <w:tcPr>
            <w:tcW w:w="44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36"/>
              <w:ind w:left="36" w:right="33"/>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w w:val="99"/>
                <w:sz w:val="18"/>
                <w:szCs w:val="18"/>
              </w:rPr>
              <w:t> </w:t>
            </w:r>
            <w:r>
              <w:rPr>
                <w:rFonts w:ascii="宋体" w:hAnsi="宋体" w:cs="宋体" w:eastAsia="宋体" w:hint="default"/>
                <w:b/>
                <w:bCs/>
                <w:sz w:val="18"/>
                <w:szCs w:val="18"/>
              </w:rPr>
              <w:t>偿还</w:t>
            </w:r>
            <w:r>
              <w:rPr>
                <w:rFonts w:ascii="宋体" w:hAnsi="宋体" w:cs="宋体" w:eastAsia="宋体" w:hint="default"/>
                <w:sz w:val="18"/>
                <w:szCs w:val="18"/>
              </w:rPr>
            </w:r>
          </w:p>
        </w:tc>
        <w:tc>
          <w:tcPr>
            <w:tcW w:w="928" w:type="dxa"/>
            <w:tcBorders>
              <w:top w:val="single" w:sz="12" w:space="0" w:color="000000"/>
              <w:left w:val="single" w:sz="4" w:space="0" w:color="000000"/>
              <w:bottom w:val="single" w:sz="4" w:space="0" w:color="000000"/>
              <w:right w:val="nil" w:sz="6" w:space="0" w:color="auto"/>
            </w:tcBorders>
            <w:shd w:val="clear" w:color="auto" w:fill="D3D3D3"/>
          </w:tcPr>
          <w:p>
            <w:pPr>
              <w:pStyle w:val="TableParagraph"/>
              <w:spacing w:line="240" w:lineRule="auto" w:before="129"/>
              <w:ind w:left="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78" w:hRule="exact"/>
        </w:trPr>
        <w:tc>
          <w:tcPr>
            <w:tcW w:w="805"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浙江万马</w:t>
            </w:r>
          </w:p>
        </w:tc>
        <w:tc>
          <w:tcPr>
            <w:tcW w:w="1050"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c>
          <w:tcPr>
            <w:tcW w:w="600"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503" w:type="dxa"/>
            <w:vMerge w:val="restart"/>
            <w:tcBorders>
              <w:top w:val="single" w:sz="4" w:space="0" w:color="000000"/>
              <w:left w:val="single" w:sz="4" w:space="0" w:color="000000"/>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928"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805" w:type="dxa"/>
            <w:tcBorders>
              <w:top w:val="nil" w:sz="6" w:space="0" w:color="auto"/>
              <w:left w:val="nil" w:sz="6" w:space="0" w:color="auto"/>
              <w:bottom w:val="nil" w:sz="6" w:space="0" w:color="auto"/>
              <w:right w:val="single" w:sz="4" w:space="0" w:color="000000"/>
            </w:tcBorders>
          </w:tcPr>
          <w:p>
            <w:pPr>
              <w:pStyle w:val="TableParagraph"/>
              <w:spacing w:line="206" w:lineRule="exact"/>
              <w:ind w:left="29"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105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c>
          <w:tcPr>
            <w:tcW w:w="503" w:type="dxa"/>
            <w:vMerge/>
            <w:tcBorders>
              <w:left w:val="single" w:sz="4" w:space="0" w:color="000000"/>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928" w:type="dxa"/>
            <w:tcBorders>
              <w:top w:val="nil" w:sz="6" w:space="0" w:color="auto"/>
              <w:left w:val="single" w:sz="4" w:space="0" w:color="000000"/>
              <w:bottom w:val="nil" w:sz="6" w:space="0" w:color="auto"/>
              <w:right w:val="nil" w:sz="6" w:space="0" w:color="auto"/>
            </w:tcBorders>
          </w:tcPr>
          <w:p>
            <w:pPr/>
          </w:p>
        </w:tc>
      </w:tr>
      <w:tr>
        <w:trPr>
          <w:trHeight w:val="468" w:hRule="exact"/>
        </w:trPr>
        <w:tc>
          <w:tcPr>
            <w:tcW w:w="805" w:type="dxa"/>
            <w:tcBorders>
              <w:top w:val="nil" w:sz="6" w:space="0" w:color="auto"/>
              <w:left w:val="nil" w:sz="6" w:space="0" w:color="auto"/>
              <w:bottom w:val="nil" w:sz="6" w:space="0" w:color="auto"/>
              <w:right w:val="single" w:sz="4" w:space="0" w:color="000000"/>
            </w:tcBorders>
          </w:tcPr>
          <w:p>
            <w:pPr>
              <w:pStyle w:val="TableParagraph"/>
              <w:spacing w:line="213" w:lineRule="exact"/>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p>
          <w:p>
            <w:pPr>
              <w:pStyle w:val="TableParagraph"/>
              <w:spacing w:line="229" w:lineRule="exact"/>
              <w:ind w:left="29" w:right="0"/>
              <w:jc w:val="left"/>
              <w:rPr>
                <w:rFonts w:ascii="宋体" w:hAnsi="宋体" w:cs="宋体" w:eastAsia="宋体" w:hint="default"/>
                <w:sz w:val="18"/>
                <w:szCs w:val="18"/>
              </w:rPr>
            </w:pPr>
            <w:r>
              <w:rPr>
                <w:rFonts w:ascii="宋体" w:hAnsi="宋体" w:cs="宋体" w:eastAsia="宋体" w:hint="default"/>
                <w:sz w:val="18"/>
                <w:szCs w:val="18"/>
              </w:rPr>
              <w:t>年度第一</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250,000,000</w:t>
            </w:r>
          </w:p>
          <w:p>
            <w:pPr>
              <w:pStyle w:val="TableParagraph"/>
              <w:spacing w:line="234" w:lineRule="exact"/>
              <w:ind w:right="22"/>
              <w:jc w:val="right"/>
              <w:rPr>
                <w:rFonts w:ascii="宋体" w:hAnsi="宋体" w:cs="宋体" w:eastAsia="宋体" w:hint="default"/>
                <w:sz w:val="18"/>
                <w:szCs w:val="18"/>
              </w:rPr>
            </w:pPr>
            <w:r>
              <w:rPr>
                <w:rFonts w:ascii="宋体"/>
                <w:spacing w:val="-1"/>
                <w:sz w:val="18"/>
              </w:rPr>
              <w:t>.00</w:t>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2015-9</w:t>
            </w:r>
          </w:p>
          <w:p>
            <w:pPr>
              <w:pStyle w:val="TableParagraph"/>
              <w:spacing w:line="234" w:lineRule="exact"/>
              <w:ind w:left="22" w:right="0"/>
              <w:jc w:val="left"/>
              <w:rPr>
                <w:rFonts w:ascii="宋体" w:hAnsi="宋体" w:cs="宋体" w:eastAsia="宋体" w:hint="default"/>
                <w:sz w:val="18"/>
                <w:szCs w:val="18"/>
              </w:rPr>
            </w:pPr>
            <w:r>
              <w:rPr>
                <w:rFonts w:ascii="宋体"/>
                <w:sz w:val="18"/>
              </w:rPr>
              <w:t>-17</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366</w:t>
            </w:r>
            <w:r>
              <w:rPr>
                <w:rFonts w:ascii="宋体" w:hAnsi="宋体" w:cs="宋体" w:eastAsia="宋体" w:hint="default"/>
                <w:spacing w:val="-47"/>
                <w:sz w:val="18"/>
                <w:szCs w:val="18"/>
              </w:rPr>
              <w:t> </w:t>
            </w:r>
            <w:r>
              <w:rPr>
                <w:rFonts w:ascii="宋体" w:hAnsi="宋体" w:cs="宋体" w:eastAsia="宋体" w:hint="default"/>
                <w:sz w:val="18"/>
                <w:szCs w:val="18"/>
              </w:rPr>
              <w:t>天</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42" w:right="0"/>
              <w:jc w:val="left"/>
              <w:rPr>
                <w:rFonts w:ascii="宋体" w:hAnsi="宋体" w:cs="宋体" w:eastAsia="宋体" w:hint="default"/>
                <w:sz w:val="18"/>
                <w:szCs w:val="18"/>
              </w:rPr>
            </w:pPr>
            <w:r>
              <w:rPr>
                <w:rFonts w:ascii="宋体"/>
                <w:sz w:val="18"/>
              </w:rPr>
              <w:t>250,000,00</w:t>
            </w:r>
          </w:p>
          <w:p>
            <w:pPr>
              <w:pStyle w:val="TableParagraph"/>
              <w:spacing w:line="234" w:lineRule="exact"/>
              <w:ind w:left="582" w:right="0"/>
              <w:jc w:val="left"/>
              <w:rPr>
                <w:rFonts w:ascii="宋体" w:hAnsi="宋体" w:cs="宋体" w:eastAsia="宋体" w:hint="default"/>
                <w:sz w:val="18"/>
                <w:szCs w:val="18"/>
              </w:rPr>
            </w:pPr>
            <w:r>
              <w:rPr>
                <w:rFonts w:ascii="宋体"/>
                <w:sz w:val="18"/>
              </w:rPr>
              <w:t>0.00</w:t>
            </w:r>
          </w:p>
        </w:tc>
        <w:tc>
          <w:tcPr>
            <w:tcW w:w="503" w:type="dxa"/>
            <w:vMerge/>
            <w:tcBorders>
              <w:left w:val="single" w:sz="4" w:space="0" w:color="000000"/>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250,000,000</w:t>
            </w:r>
          </w:p>
          <w:p>
            <w:pPr>
              <w:pStyle w:val="TableParagraph"/>
              <w:spacing w:line="234" w:lineRule="exact"/>
              <w:ind w:right="21"/>
              <w:jc w:val="right"/>
              <w:rPr>
                <w:rFonts w:ascii="宋体" w:hAnsi="宋体" w:cs="宋体" w:eastAsia="宋体" w:hint="default"/>
                <w:sz w:val="18"/>
                <w:szCs w:val="18"/>
              </w:rPr>
            </w:pPr>
            <w:r>
              <w:rPr>
                <w:rFonts w:ascii="宋体"/>
                <w:spacing w:val="-1"/>
                <w:sz w:val="18"/>
              </w:rPr>
              <w:t>.00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2,833,333.33</w:t>
            </w:r>
          </w:p>
        </w:tc>
        <w:tc>
          <w:tcPr>
            <w:tcW w:w="630"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928" w:type="dxa"/>
            <w:tcBorders>
              <w:top w:val="nil" w:sz="6" w:space="0" w:color="auto"/>
              <w:left w:val="single" w:sz="4" w:space="0" w:color="000000"/>
              <w:bottom w:val="nil" w:sz="6" w:space="0" w:color="auto"/>
              <w:right w:val="nil" w:sz="6" w:space="0" w:color="auto"/>
            </w:tcBorders>
          </w:tcPr>
          <w:p>
            <w:pPr>
              <w:pStyle w:val="TableParagraph"/>
              <w:spacing w:line="205" w:lineRule="exact"/>
              <w:ind w:left="81" w:right="0"/>
              <w:jc w:val="left"/>
              <w:rPr>
                <w:rFonts w:ascii="宋体" w:hAnsi="宋体" w:cs="宋体" w:eastAsia="宋体" w:hint="default"/>
                <w:sz w:val="18"/>
                <w:szCs w:val="18"/>
              </w:rPr>
            </w:pPr>
            <w:r>
              <w:rPr>
                <w:rFonts w:ascii="宋体"/>
                <w:sz w:val="18"/>
              </w:rPr>
              <w:t>252,833,3</w:t>
            </w:r>
          </w:p>
          <w:p>
            <w:pPr>
              <w:pStyle w:val="TableParagraph"/>
              <w:spacing w:line="234" w:lineRule="exact"/>
              <w:ind w:left="441" w:right="0"/>
              <w:jc w:val="left"/>
              <w:rPr>
                <w:rFonts w:ascii="宋体" w:hAnsi="宋体" w:cs="宋体" w:eastAsia="宋体" w:hint="default"/>
                <w:sz w:val="18"/>
                <w:szCs w:val="18"/>
              </w:rPr>
            </w:pPr>
            <w:r>
              <w:rPr>
                <w:rFonts w:ascii="宋体"/>
                <w:sz w:val="18"/>
              </w:rPr>
              <w:t>33.33</w:t>
            </w:r>
          </w:p>
        </w:tc>
      </w:tr>
      <w:tr>
        <w:trPr>
          <w:trHeight w:val="233" w:hRule="exact"/>
        </w:trPr>
        <w:tc>
          <w:tcPr>
            <w:tcW w:w="805" w:type="dxa"/>
            <w:tcBorders>
              <w:top w:val="nil" w:sz="6" w:space="0" w:color="auto"/>
              <w:left w:val="nil" w:sz="6" w:space="0" w:color="auto"/>
              <w:bottom w:val="nil" w:sz="6" w:space="0" w:color="auto"/>
              <w:right w:val="single" w:sz="4" w:space="0" w:color="000000"/>
            </w:tcBorders>
          </w:tcPr>
          <w:p>
            <w:pPr>
              <w:pStyle w:val="TableParagraph"/>
              <w:spacing w:line="206" w:lineRule="exact"/>
              <w:ind w:left="29" w:right="0"/>
              <w:jc w:val="left"/>
              <w:rPr>
                <w:rFonts w:ascii="宋体" w:hAnsi="宋体" w:cs="宋体" w:eastAsia="宋体" w:hint="default"/>
                <w:sz w:val="18"/>
                <w:szCs w:val="18"/>
              </w:rPr>
            </w:pPr>
            <w:r>
              <w:rPr>
                <w:rFonts w:ascii="宋体" w:hAnsi="宋体" w:cs="宋体" w:eastAsia="宋体" w:hint="default"/>
                <w:sz w:val="18"/>
                <w:szCs w:val="18"/>
              </w:rPr>
              <w:t>期短期融</w:t>
            </w:r>
          </w:p>
        </w:tc>
        <w:tc>
          <w:tcPr>
            <w:tcW w:w="105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c>
          <w:tcPr>
            <w:tcW w:w="503" w:type="dxa"/>
            <w:vMerge/>
            <w:tcBorders>
              <w:left w:val="single" w:sz="4" w:space="0" w:color="000000"/>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928" w:type="dxa"/>
            <w:tcBorders>
              <w:top w:val="nil" w:sz="6" w:space="0" w:color="auto"/>
              <w:left w:val="single" w:sz="4" w:space="0" w:color="000000"/>
              <w:bottom w:val="nil" w:sz="6" w:space="0" w:color="auto"/>
              <w:right w:val="nil" w:sz="6" w:space="0" w:color="auto"/>
            </w:tcBorders>
          </w:tcPr>
          <w:p>
            <w:pPr/>
          </w:p>
        </w:tc>
      </w:tr>
      <w:tr>
        <w:trPr>
          <w:trHeight w:val="280" w:hRule="exact"/>
        </w:trPr>
        <w:tc>
          <w:tcPr>
            <w:tcW w:w="805"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29" w:right="0"/>
              <w:jc w:val="left"/>
              <w:rPr>
                <w:rFonts w:ascii="宋体" w:hAnsi="宋体" w:cs="宋体" w:eastAsia="宋体" w:hint="default"/>
                <w:sz w:val="18"/>
                <w:szCs w:val="18"/>
              </w:rPr>
            </w:pPr>
            <w:r>
              <w:rPr>
                <w:rFonts w:ascii="宋体" w:hAnsi="宋体" w:cs="宋体" w:eastAsia="宋体" w:hint="default"/>
                <w:sz w:val="18"/>
                <w:szCs w:val="18"/>
              </w:rPr>
              <w:t>资券</w:t>
            </w:r>
          </w:p>
        </w:tc>
        <w:tc>
          <w:tcPr>
            <w:tcW w:w="1050"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c>
          <w:tcPr>
            <w:tcW w:w="600"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503" w:type="dxa"/>
            <w:vMerge/>
            <w:tcBorders>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nil" w:sz="6" w:space="0" w:color="auto"/>
            </w:tcBorders>
          </w:tcPr>
          <w:p>
            <w:pPr/>
          </w:p>
        </w:tc>
      </w:tr>
      <w:tr>
        <w:trPr>
          <w:trHeight w:val="566" w:hRule="exact"/>
        </w:trPr>
        <w:tc>
          <w:tcPr>
            <w:tcW w:w="8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single" w:sz="4" w:space="0" w:color="000000"/>
              <w:left w:val="single" w:sz="4" w:space="0" w:color="000000"/>
              <w:bottom w:val="single" w:sz="12" w:space="0" w:color="000000"/>
              <w:right w:val="single" w:sz="4" w:space="0" w:color="000000"/>
            </w:tcBorders>
          </w:tcPr>
          <w:p>
            <w:pPr/>
          </w:p>
        </w:tc>
        <w:tc>
          <w:tcPr>
            <w:tcW w:w="645" w:type="dxa"/>
            <w:tcBorders>
              <w:top w:val="single" w:sz="4" w:space="0" w:color="000000"/>
              <w:left w:val="single" w:sz="4" w:space="0" w:color="000000"/>
              <w:bottom w:val="single" w:sz="12" w:space="0" w:color="000000"/>
              <w:right w:val="single" w:sz="4" w:space="0" w:color="000000"/>
            </w:tcBorders>
          </w:tcPr>
          <w:p>
            <w:pPr/>
          </w:p>
        </w:tc>
        <w:tc>
          <w:tcPr>
            <w:tcW w:w="600" w:type="dxa"/>
            <w:tcBorders>
              <w:top w:val="single" w:sz="4" w:space="0" w:color="000000"/>
              <w:left w:val="single" w:sz="4" w:space="0" w:color="000000"/>
              <w:bottom w:val="single" w:sz="12" w:space="0" w:color="000000"/>
              <w:right w:val="single" w:sz="4" w:space="0" w:color="000000"/>
            </w:tcBorders>
          </w:tcPr>
          <w:p>
            <w:pPr/>
          </w:p>
        </w:tc>
        <w:tc>
          <w:tcPr>
            <w:tcW w:w="974"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before="10"/>
              <w:ind w:left="42" w:right="0"/>
              <w:jc w:val="left"/>
              <w:rPr>
                <w:rFonts w:ascii="宋体" w:hAnsi="宋体" w:cs="宋体" w:eastAsia="宋体" w:hint="default"/>
                <w:sz w:val="18"/>
                <w:szCs w:val="18"/>
              </w:rPr>
            </w:pPr>
            <w:r>
              <w:rPr>
                <w:rFonts w:ascii="宋体"/>
                <w:sz w:val="18"/>
              </w:rPr>
              <w:t>250,000,00</w:t>
            </w:r>
          </w:p>
          <w:p>
            <w:pPr>
              <w:pStyle w:val="TableParagraph"/>
              <w:spacing w:line="234" w:lineRule="exact"/>
              <w:ind w:left="582" w:right="0"/>
              <w:jc w:val="left"/>
              <w:rPr>
                <w:rFonts w:ascii="宋体" w:hAnsi="宋体" w:cs="宋体" w:eastAsia="宋体" w:hint="default"/>
                <w:sz w:val="18"/>
                <w:szCs w:val="18"/>
              </w:rPr>
            </w:pPr>
            <w:r>
              <w:rPr>
                <w:rFonts w:ascii="宋体"/>
                <w:sz w:val="18"/>
              </w:rPr>
              <w:t>0.00</w:t>
            </w:r>
          </w:p>
        </w:tc>
        <w:tc>
          <w:tcPr>
            <w:tcW w:w="503" w:type="dxa"/>
            <w:tcBorders>
              <w:top w:val="single" w:sz="4" w:space="0" w:color="000000"/>
              <w:left w:val="single" w:sz="4" w:space="0" w:color="000000"/>
              <w:bottom w:val="single" w:sz="12" w:space="0" w:color="000000"/>
              <w:right w:val="single" w:sz="4" w:space="0" w:color="000000"/>
            </w:tcBorders>
          </w:tcPr>
          <w:p>
            <w:pPr/>
          </w:p>
        </w:tc>
        <w:tc>
          <w:tcPr>
            <w:tcW w:w="1093"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before="10"/>
              <w:ind w:right="21"/>
              <w:jc w:val="right"/>
              <w:rPr>
                <w:rFonts w:ascii="宋体" w:hAnsi="宋体" w:cs="宋体" w:eastAsia="宋体" w:hint="default"/>
                <w:sz w:val="18"/>
                <w:szCs w:val="18"/>
              </w:rPr>
            </w:pPr>
            <w:r>
              <w:rPr>
                <w:rFonts w:ascii="宋体"/>
                <w:spacing w:val="-1"/>
                <w:sz w:val="18"/>
              </w:rPr>
              <w:t>250,000,000</w:t>
            </w:r>
          </w:p>
          <w:p>
            <w:pPr>
              <w:pStyle w:val="TableParagraph"/>
              <w:spacing w:line="234" w:lineRule="exact"/>
              <w:ind w:right="21"/>
              <w:jc w:val="right"/>
              <w:rPr>
                <w:rFonts w:ascii="宋体" w:hAnsi="宋体" w:cs="宋体" w:eastAsia="宋体" w:hint="default"/>
                <w:sz w:val="18"/>
                <w:szCs w:val="18"/>
              </w:rPr>
            </w:pPr>
            <w:r>
              <w:rPr>
                <w:rFonts w:ascii="宋体"/>
                <w:spacing w:val="-1"/>
                <w:sz w:val="18"/>
              </w:rPr>
              <w:t>.00</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2,833,333.33</w:t>
            </w:r>
          </w:p>
        </w:tc>
        <w:tc>
          <w:tcPr>
            <w:tcW w:w="630" w:type="dxa"/>
            <w:tcBorders>
              <w:top w:val="single" w:sz="4" w:space="0" w:color="000000"/>
              <w:left w:val="single" w:sz="4" w:space="0" w:color="000000"/>
              <w:bottom w:val="single" w:sz="12" w:space="0" w:color="000000"/>
              <w:right w:val="single" w:sz="4" w:space="0" w:color="000000"/>
            </w:tcBorders>
          </w:tcPr>
          <w:p>
            <w:pPr/>
          </w:p>
        </w:tc>
        <w:tc>
          <w:tcPr>
            <w:tcW w:w="442" w:type="dxa"/>
            <w:tcBorders>
              <w:top w:val="single" w:sz="4" w:space="0" w:color="000000"/>
              <w:left w:val="single" w:sz="4" w:space="0" w:color="000000"/>
              <w:bottom w:val="single" w:sz="12" w:space="0" w:color="000000"/>
              <w:right w:val="single" w:sz="4" w:space="0" w:color="000000"/>
            </w:tcBorders>
          </w:tcPr>
          <w:p>
            <w:pPr/>
          </w:p>
        </w:tc>
        <w:tc>
          <w:tcPr>
            <w:tcW w:w="928" w:type="dxa"/>
            <w:tcBorders>
              <w:top w:val="single" w:sz="4" w:space="0" w:color="000000"/>
              <w:left w:val="single" w:sz="4" w:space="0" w:color="000000"/>
              <w:bottom w:val="single" w:sz="12" w:space="0" w:color="000000"/>
              <w:right w:val="nil" w:sz="6" w:space="0" w:color="auto"/>
            </w:tcBorders>
          </w:tcPr>
          <w:p>
            <w:pPr>
              <w:pStyle w:val="TableParagraph"/>
              <w:spacing w:line="234" w:lineRule="exact" w:before="10"/>
              <w:ind w:left="81" w:right="0"/>
              <w:jc w:val="left"/>
              <w:rPr>
                <w:rFonts w:ascii="宋体" w:hAnsi="宋体" w:cs="宋体" w:eastAsia="宋体" w:hint="default"/>
                <w:sz w:val="18"/>
                <w:szCs w:val="18"/>
              </w:rPr>
            </w:pPr>
            <w:r>
              <w:rPr>
                <w:rFonts w:ascii="宋体"/>
                <w:sz w:val="18"/>
              </w:rPr>
              <w:t>252,833,3</w:t>
            </w:r>
          </w:p>
          <w:p>
            <w:pPr>
              <w:pStyle w:val="TableParagraph"/>
              <w:spacing w:line="234" w:lineRule="exact"/>
              <w:ind w:left="441" w:right="0"/>
              <w:jc w:val="left"/>
              <w:rPr>
                <w:rFonts w:ascii="宋体" w:hAnsi="宋体" w:cs="宋体" w:eastAsia="宋体" w:hint="default"/>
                <w:sz w:val="18"/>
                <w:szCs w:val="18"/>
              </w:rPr>
            </w:pPr>
            <w:r>
              <w:rPr>
                <w:rFonts w:ascii="宋体"/>
                <w:sz w:val="18"/>
              </w:rPr>
              <w:t>33.33</w:t>
            </w:r>
          </w:p>
        </w:tc>
      </w:tr>
    </w:tbl>
    <w:p>
      <w:pPr>
        <w:spacing w:line="240" w:lineRule="auto" w:before="3"/>
        <w:rPr>
          <w:rFonts w:ascii="宋体" w:hAnsi="宋体" w:cs="宋体" w:eastAsia="宋体" w:hint="default"/>
          <w:sz w:val="9"/>
          <w:szCs w:val="9"/>
        </w:rPr>
      </w:pPr>
    </w:p>
    <w:p>
      <w:pPr>
        <w:pStyle w:val="BodyText"/>
        <w:spacing w:line="240" w:lineRule="auto"/>
        <w:ind w:left="644" w:right="767"/>
        <w:jc w:val="left"/>
      </w:pPr>
      <w:r>
        <w:rPr/>
        <w:t>（3）</w:t>
      </w:r>
      <w:r>
        <w:rPr>
          <w:spacing w:val="-74"/>
        </w:rPr>
        <w:t> </w:t>
      </w:r>
      <w:r>
        <w:rPr/>
        <w:t>预计一年内结转的政府补助款</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05"/>
        <w:gridCol w:w="1412"/>
        <w:gridCol w:w="913"/>
        <w:gridCol w:w="1380"/>
        <w:gridCol w:w="1368"/>
        <w:gridCol w:w="1377"/>
        <w:gridCol w:w="1168"/>
      </w:tblGrid>
      <w:tr>
        <w:trPr>
          <w:trHeight w:val="565" w:hRule="exact"/>
        </w:trPr>
        <w:tc>
          <w:tcPr>
            <w:tcW w:w="1105" w:type="dxa"/>
            <w:tcBorders>
              <w:top w:val="single" w:sz="12" w:space="0" w:color="000000"/>
              <w:left w:val="nil" w:sz="6" w:space="0" w:color="auto"/>
              <w:bottom w:val="single" w:sz="2" w:space="0" w:color="000000"/>
              <w:right w:val="single" w:sz="2" w:space="0" w:color="000000"/>
            </w:tcBorders>
          </w:tcPr>
          <w:p>
            <w:pPr>
              <w:pStyle w:val="TableParagraph"/>
              <w:spacing w:line="232" w:lineRule="exact" w:before="37"/>
              <w:ind w:left="53" w:right="46"/>
              <w:jc w:val="left"/>
              <w:rPr>
                <w:rFonts w:ascii="宋体" w:hAnsi="宋体" w:cs="宋体" w:eastAsia="宋体" w:hint="default"/>
                <w:sz w:val="18"/>
                <w:szCs w:val="18"/>
              </w:rPr>
            </w:pPr>
            <w:r>
              <w:rPr>
                <w:rFonts w:ascii="宋体" w:hAnsi="宋体" w:cs="宋体" w:eastAsia="宋体" w:hint="default"/>
                <w:b/>
                <w:bCs/>
                <w:sz w:val="18"/>
                <w:szCs w:val="18"/>
              </w:rPr>
              <w:t>政</w:t>
            </w:r>
            <w:r>
              <w:rPr>
                <w:rFonts w:ascii="宋体" w:hAnsi="宋体" w:cs="宋体" w:eastAsia="宋体" w:hint="default"/>
                <w:b/>
                <w:bCs/>
                <w:spacing w:val="-68"/>
                <w:sz w:val="18"/>
                <w:szCs w:val="18"/>
              </w:rPr>
              <w:t> </w:t>
            </w:r>
            <w:r>
              <w:rPr>
                <w:rFonts w:ascii="宋体" w:hAnsi="宋体" w:cs="宋体" w:eastAsia="宋体" w:hint="default"/>
                <w:b/>
                <w:bCs/>
                <w:sz w:val="18"/>
                <w:szCs w:val="18"/>
              </w:rPr>
              <w:t>府</w:t>
            </w:r>
            <w:r>
              <w:rPr>
                <w:rFonts w:ascii="宋体" w:hAnsi="宋体" w:cs="宋体" w:eastAsia="宋体" w:hint="default"/>
                <w:b/>
                <w:bCs/>
                <w:spacing w:val="-66"/>
                <w:sz w:val="18"/>
                <w:szCs w:val="18"/>
              </w:rPr>
              <w:t> </w:t>
            </w:r>
            <w:r>
              <w:rPr>
                <w:rFonts w:ascii="宋体" w:hAnsi="宋体" w:cs="宋体" w:eastAsia="宋体" w:hint="default"/>
                <w:b/>
                <w:bCs/>
                <w:sz w:val="18"/>
                <w:szCs w:val="18"/>
              </w:rPr>
              <w:t>补</w:t>
            </w:r>
            <w:r>
              <w:rPr>
                <w:rFonts w:ascii="宋体" w:hAnsi="宋体" w:cs="宋体" w:eastAsia="宋体" w:hint="default"/>
                <w:b/>
                <w:bCs/>
                <w:spacing w:val="-68"/>
                <w:sz w:val="18"/>
                <w:szCs w:val="18"/>
              </w:rPr>
              <w:t> </w:t>
            </w:r>
            <w:r>
              <w:rPr>
                <w:rFonts w:ascii="宋体" w:hAnsi="宋体" w:cs="宋体" w:eastAsia="宋体" w:hint="default"/>
                <w:b/>
                <w:bCs/>
                <w:sz w:val="18"/>
                <w:szCs w:val="18"/>
              </w:rPr>
              <w:t>助</w:t>
            </w:r>
            <w:r>
              <w:rPr>
                <w:rFonts w:ascii="宋体" w:hAnsi="宋体" w:cs="宋体" w:eastAsia="宋体" w:hint="default"/>
                <w:b/>
                <w:bCs/>
                <w:spacing w:val="-66"/>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0"/>
              <w:ind w:left="34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913"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92" w:right="91"/>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380"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326" w:right="50" w:hanging="269"/>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3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0"/>
              <w:ind w:left="32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68"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130" w:right="85" w:hanging="44"/>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276" w:hRule="exact"/>
        </w:trPr>
        <w:tc>
          <w:tcPr>
            <w:tcW w:w="1105" w:type="dxa"/>
            <w:tcBorders>
              <w:top w:val="single" w:sz="2" w:space="0" w:color="000000"/>
              <w:left w:val="nil" w:sz="6" w:space="0" w:color="auto"/>
              <w:bottom w:val="nil" w:sz="6" w:space="0" w:color="auto"/>
              <w:right w:val="single" w:sz="2"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宋体" w:hAnsi="宋体" w:cs="宋体" w:eastAsia="宋体" w:hint="default"/>
                <w:sz w:val="18"/>
                <w:szCs w:val="18"/>
              </w:rPr>
              <w:t>100</w:t>
            </w:r>
            <w:r>
              <w:rPr>
                <w:rFonts w:ascii="宋体" w:hAnsi="宋体" w:cs="宋体" w:eastAsia="宋体" w:hint="default"/>
                <w:spacing w:val="-49"/>
                <w:sz w:val="18"/>
                <w:szCs w:val="18"/>
              </w:rPr>
              <w:t> </w:t>
            </w:r>
            <w:r>
              <w:rPr>
                <w:rFonts w:ascii="宋体" w:hAnsi="宋体" w:cs="宋体" w:eastAsia="宋体" w:hint="default"/>
                <w:sz w:val="18"/>
                <w:szCs w:val="18"/>
              </w:rPr>
              <w:t>公</w:t>
            </w:r>
          </w:p>
        </w:tc>
        <w:tc>
          <w:tcPr>
            <w:tcW w:w="1412" w:type="dxa"/>
            <w:tcBorders>
              <w:top w:val="single" w:sz="2" w:space="0" w:color="000000"/>
              <w:left w:val="single" w:sz="2" w:space="0" w:color="000000"/>
              <w:bottom w:val="nil" w:sz="6" w:space="0" w:color="auto"/>
              <w:right w:val="single" w:sz="2" w:space="0" w:color="000000"/>
            </w:tcBorders>
          </w:tcPr>
          <w:p>
            <w:pPr/>
          </w:p>
        </w:tc>
        <w:tc>
          <w:tcPr>
            <w:tcW w:w="913" w:type="dxa"/>
            <w:vMerge w:val="restart"/>
            <w:tcBorders>
              <w:top w:val="single" w:sz="2" w:space="0" w:color="000000"/>
              <w:left w:val="single" w:sz="2" w:space="0" w:color="000000"/>
              <w:right w:val="single" w:sz="2" w:space="0" w:color="000000"/>
            </w:tcBorders>
          </w:tcPr>
          <w:p>
            <w:pPr/>
          </w:p>
        </w:tc>
        <w:tc>
          <w:tcPr>
            <w:tcW w:w="1380" w:type="dxa"/>
            <w:tcBorders>
              <w:top w:val="single" w:sz="2" w:space="0" w:color="000000"/>
              <w:left w:val="single" w:sz="2" w:space="0" w:color="000000"/>
              <w:bottom w:val="nil" w:sz="6" w:space="0" w:color="auto"/>
              <w:right w:val="single" w:sz="2" w:space="0" w:color="000000"/>
            </w:tcBorders>
          </w:tcPr>
          <w:p>
            <w:pPr/>
          </w:p>
        </w:tc>
        <w:tc>
          <w:tcPr>
            <w:tcW w:w="1368" w:type="dxa"/>
            <w:tcBorders>
              <w:top w:val="single" w:sz="2" w:space="0" w:color="000000"/>
              <w:left w:val="single" w:sz="2" w:space="0" w:color="000000"/>
              <w:bottom w:val="nil" w:sz="6" w:space="0" w:color="auto"/>
              <w:right w:val="single" w:sz="2" w:space="0" w:color="000000"/>
            </w:tcBorders>
          </w:tcPr>
          <w:p>
            <w:pPr/>
          </w:p>
        </w:tc>
        <w:tc>
          <w:tcPr>
            <w:tcW w:w="1377" w:type="dxa"/>
            <w:tcBorders>
              <w:top w:val="single" w:sz="2" w:space="0" w:color="000000"/>
              <w:left w:val="single" w:sz="2" w:space="0" w:color="000000"/>
              <w:bottom w:val="nil" w:sz="6" w:space="0" w:color="auto"/>
              <w:right w:val="single" w:sz="2" w:space="0" w:color="000000"/>
            </w:tcBorders>
          </w:tcPr>
          <w:p>
            <w:pPr/>
          </w:p>
        </w:tc>
        <w:tc>
          <w:tcPr>
            <w:tcW w:w="1168" w:type="dxa"/>
            <w:tcBorders>
              <w:top w:val="single" w:sz="2" w:space="0" w:color="000000"/>
              <w:left w:val="single" w:sz="2" w:space="0" w:color="000000"/>
              <w:bottom w:val="nil" w:sz="6" w:space="0" w:color="auto"/>
              <w:right w:val="nil" w:sz="6" w:space="0" w:color="auto"/>
            </w:tcBorders>
          </w:tcPr>
          <w:p>
            <w:pPr/>
          </w:p>
        </w:tc>
      </w:tr>
      <w:tr>
        <w:trPr>
          <w:trHeight w:val="467"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里</w:t>
            </w:r>
            <w:r>
              <w:rPr>
                <w:rFonts w:ascii="宋体" w:hAnsi="宋体" w:cs="宋体" w:eastAsia="宋体" w:hint="default"/>
                <w:spacing w:val="-53"/>
                <w:sz w:val="18"/>
                <w:szCs w:val="18"/>
              </w:rPr>
              <w:t> </w:t>
            </w:r>
            <w:r>
              <w:rPr>
                <w:rFonts w:ascii="宋体" w:hAnsi="宋体" w:cs="宋体" w:eastAsia="宋体" w:hint="default"/>
                <w:sz w:val="18"/>
                <w:szCs w:val="18"/>
              </w:rPr>
              <w:t>500KV</w:t>
            </w:r>
            <w:r>
              <w:rPr>
                <w:rFonts w:ascii="宋体" w:hAnsi="宋体" w:cs="宋体" w:eastAsia="宋体" w:hint="default"/>
                <w:spacing w:val="-50"/>
                <w:sz w:val="18"/>
                <w:szCs w:val="18"/>
              </w:rPr>
              <w:t> </w:t>
            </w:r>
            <w:r>
              <w:rPr>
                <w:rFonts w:ascii="宋体" w:hAnsi="宋体" w:cs="宋体" w:eastAsia="宋体" w:hint="default"/>
                <w:sz w:val="18"/>
                <w:szCs w:val="18"/>
              </w:rPr>
              <w:t>交</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35"/>
                <w:sz w:val="18"/>
                <w:szCs w:val="18"/>
              </w:rPr>
              <w:t> </w:t>
            </w:r>
            <w:r>
              <w:rPr>
                <w:rFonts w:ascii="宋体" w:hAnsi="宋体" w:cs="宋体" w:eastAsia="宋体" w:hint="default"/>
                <w:sz w:val="18"/>
                <w:szCs w:val="18"/>
              </w:rPr>
              <w:t>电</w:t>
            </w:r>
            <w:r>
              <w:rPr>
                <w:rFonts w:ascii="宋体" w:hAnsi="宋体" w:cs="宋体" w:eastAsia="宋体" w:hint="default"/>
                <w:spacing w:val="-33"/>
                <w:sz w:val="18"/>
                <w:szCs w:val="18"/>
              </w:rPr>
              <w:t> </w:t>
            </w:r>
            <w:r>
              <w:rPr>
                <w:rFonts w:ascii="宋体" w:hAnsi="宋体" w:cs="宋体" w:eastAsia="宋体" w:hint="default"/>
                <w:sz w:val="18"/>
                <w:szCs w:val="18"/>
              </w:rPr>
              <w:t>缆</w:t>
            </w:r>
            <w:r>
              <w:rPr>
                <w:rFonts w:ascii="宋体" w:hAnsi="宋体" w:cs="宋体" w:eastAsia="宋体" w:hint="default"/>
                <w:spacing w:val="-35"/>
                <w:sz w:val="18"/>
                <w:szCs w:val="18"/>
              </w:rPr>
              <w:t> </w:t>
            </w:r>
            <w:r>
              <w:rPr>
                <w:rFonts w:ascii="宋体" w:hAnsi="宋体" w:cs="宋体" w:eastAsia="宋体" w:hint="default"/>
                <w:sz w:val="18"/>
                <w:szCs w:val="18"/>
              </w:rPr>
              <w:t>项</w:t>
            </w:r>
          </w:p>
        </w:tc>
        <w:tc>
          <w:tcPr>
            <w:tcW w:w="1412" w:type="dxa"/>
            <w:tcBorders>
              <w:top w:val="nil" w:sz="6" w:space="0" w:color="auto"/>
              <w:left w:val="single" w:sz="2" w:space="0" w:color="000000"/>
              <w:bottom w:val="nil" w:sz="6" w:space="0" w:color="auto"/>
              <w:right w:val="single" w:sz="2"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720,000.00</w:t>
            </w:r>
          </w:p>
        </w:tc>
        <w:tc>
          <w:tcPr>
            <w:tcW w:w="913" w:type="dxa"/>
            <w:vMerge/>
            <w:tcBorders>
              <w:left w:val="single" w:sz="2" w:space="0" w:color="000000"/>
              <w:right w:val="single" w:sz="2" w:space="0" w:color="000000"/>
            </w:tcBorders>
          </w:tcPr>
          <w:p>
            <w:pPr/>
          </w:p>
        </w:tc>
        <w:tc>
          <w:tcPr>
            <w:tcW w:w="1380" w:type="dxa"/>
            <w:tcBorders>
              <w:top w:val="nil" w:sz="6" w:space="0" w:color="auto"/>
              <w:left w:val="single" w:sz="2" w:space="0" w:color="000000"/>
              <w:bottom w:val="nil" w:sz="6" w:space="0" w:color="auto"/>
              <w:right w:val="single" w:sz="2"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720,000.00</w:t>
            </w:r>
          </w:p>
        </w:tc>
        <w:tc>
          <w:tcPr>
            <w:tcW w:w="1368" w:type="dxa"/>
            <w:tcBorders>
              <w:top w:val="nil" w:sz="6" w:space="0" w:color="auto"/>
              <w:left w:val="single" w:sz="2" w:space="0" w:color="000000"/>
              <w:bottom w:val="nil" w:sz="6" w:space="0" w:color="auto"/>
              <w:right w:val="single" w:sz="2"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720,000.00</w:t>
            </w:r>
          </w:p>
        </w:tc>
        <w:tc>
          <w:tcPr>
            <w:tcW w:w="1377" w:type="dxa"/>
            <w:tcBorders>
              <w:top w:val="nil" w:sz="6" w:space="0" w:color="auto"/>
              <w:left w:val="single" w:sz="2" w:space="0" w:color="000000"/>
              <w:bottom w:val="nil" w:sz="6" w:space="0" w:color="auto"/>
              <w:right w:val="single" w:sz="2"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720,000.00</w:t>
            </w:r>
          </w:p>
        </w:tc>
        <w:tc>
          <w:tcPr>
            <w:tcW w:w="1168"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83"/>
              <w:jc w:val="right"/>
              <w:rPr>
                <w:rFonts w:ascii="宋体" w:hAnsi="宋体" w:cs="宋体" w:eastAsia="宋体" w:hint="default"/>
                <w:sz w:val="20"/>
                <w:szCs w:val="20"/>
              </w:rPr>
            </w:pPr>
            <w:r>
              <w:rPr>
                <w:rFonts w:ascii="宋体" w:hAnsi="宋体" w:cs="宋体" w:eastAsia="宋体" w:hint="default"/>
                <w:w w:val="95"/>
                <w:sz w:val="20"/>
                <w:szCs w:val="20"/>
              </w:rPr>
              <w:t>与资产相关</w:t>
            </w:r>
            <w:r>
              <w:rPr>
                <w:rFonts w:ascii="宋体" w:hAnsi="宋体" w:cs="宋体" w:eastAsia="宋体" w:hint="default"/>
                <w:sz w:val="20"/>
                <w:szCs w:val="20"/>
              </w:rPr>
            </w:r>
          </w:p>
        </w:tc>
      </w:tr>
      <w:tr>
        <w:trPr>
          <w:trHeight w:val="276" w:hRule="exact"/>
        </w:trPr>
        <w:tc>
          <w:tcPr>
            <w:tcW w:w="1105" w:type="dxa"/>
            <w:tcBorders>
              <w:top w:val="nil" w:sz="6" w:space="0" w:color="auto"/>
              <w:left w:val="nil" w:sz="6" w:space="0" w:color="auto"/>
              <w:bottom w:val="single" w:sz="2" w:space="0" w:color="000000"/>
              <w:right w:val="single" w:sz="2"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12" w:type="dxa"/>
            <w:tcBorders>
              <w:top w:val="nil" w:sz="6" w:space="0" w:color="auto"/>
              <w:left w:val="single" w:sz="2" w:space="0" w:color="000000"/>
              <w:bottom w:val="single" w:sz="2" w:space="0" w:color="000000"/>
              <w:right w:val="single" w:sz="2" w:space="0" w:color="000000"/>
            </w:tcBorders>
          </w:tcPr>
          <w:p>
            <w:pPr/>
          </w:p>
        </w:tc>
        <w:tc>
          <w:tcPr>
            <w:tcW w:w="913" w:type="dxa"/>
            <w:vMerge/>
            <w:tcBorders>
              <w:left w:val="single" w:sz="2" w:space="0" w:color="000000"/>
              <w:bottom w:val="single" w:sz="2" w:space="0" w:color="000000"/>
              <w:right w:val="single" w:sz="2" w:space="0" w:color="000000"/>
            </w:tcBorders>
          </w:tcPr>
          <w:p>
            <w:pPr/>
          </w:p>
        </w:tc>
        <w:tc>
          <w:tcPr>
            <w:tcW w:w="1380" w:type="dxa"/>
            <w:tcBorders>
              <w:top w:val="nil" w:sz="6" w:space="0" w:color="auto"/>
              <w:left w:val="single" w:sz="2" w:space="0" w:color="000000"/>
              <w:bottom w:val="single" w:sz="2" w:space="0" w:color="000000"/>
              <w:right w:val="single" w:sz="2" w:space="0" w:color="000000"/>
            </w:tcBorders>
          </w:tcPr>
          <w:p>
            <w:pPr/>
          </w:p>
        </w:tc>
        <w:tc>
          <w:tcPr>
            <w:tcW w:w="1368" w:type="dxa"/>
            <w:tcBorders>
              <w:top w:val="nil" w:sz="6" w:space="0" w:color="auto"/>
              <w:left w:val="single" w:sz="2" w:space="0" w:color="000000"/>
              <w:bottom w:val="single" w:sz="2" w:space="0" w:color="000000"/>
              <w:right w:val="single" w:sz="2" w:space="0" w:color="000000"/>
            </w:tcBorders>
          </w:tcPr>
          <w:p>
            <w:pPr/>
          </w:p>
        </w:tc>
        <w:tc>
          <w:tcPr>
            <w:tcW w:w="1377" w:type="dxa"/>
            <w:tcBorders>
              <w:top w:val="nil" w:sz="6" w:space="0" w:color="auto"/>
              <w:left w:val="single" w:sz="2" w:space="0" w:color="000000"/>
              <w:bottom w:val="single" w:sz="2" w:space="0" w:color="000000"/>
              <w:right w:val="single" w:sz="2" w:space="0" w:color="000000"/>
            </w:tcBorders>
          </w:tcPr>
          <w:p>
            <w:pPr/>
          </w:p>
        </w:tc>
        <w:tc>
          <w:tcPr>
            <w:tcW w:w="1168" w:type="dxa"/>
            <w:tcBorders>
              <w:top w:val="nil" w:sz="6" w:space="0" w:color="auto"/>
              <w:left w:val="single" w:sz="2" w:space="0" w:color="000000"/>
              <w:bottom w:val="single" w:sz="2" w:space="0" w:color="000000"/>
              <w:right w:val="nil" w:sz="6" w:space="0" w:color="auto"/>
            </w:tcBorders>
          </w:tcPr>
          <w:p>
            <w:pPr/>
          </w:p>
        </w:tc>
      </w:tr>
      <w:tr>
        <w:trPr>
          <w:trHeight w:val="277" w:hRule="exact"/>
        </w:trPr>
        <w:tc>
          <w:tcPr>
            <w:tcW w:w="1105" w:type="dxa"/>
            <w:tcBorders>
              <w:top w:val="single" w:sz="2" w:space="0" w:color="000000"/>
              <w:left w:val="nil" w:sz="6" w:space="0" w:color="auto"/>
              <w:bottom w:val="nil" w:sz="6" w:space="0" w:color="auto"/>
              <w:right w:val="single" w:sz="2" w:space="0" w:color="000000"/>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万吨</w:t>
            </w:r>
          </w:p>
        </w:tc>
        <w:tc>
          <w:tcPr>
            <w:tcW w:w="1412" w:type="dxa"/>
            <w:tcBorders>
              <w:top w:val="single" w:sz="2" w:space="0" w:color="000000"/>
              <w:left w:val="single" w:sz="2" w:space="0" w:color="000000"/>
              <w:bottom w:val="nil" w:sz="6" w:space="0" w:color="auto"/>
              <w:right w:val="single" w:sz="2" w:space="0" w:color="000000"/>
            </w:tcBorders>
          </w:tcPr>
          <w:p>
            <w:pPr/>
          </w:p>
        </w:tc>
        <w:tc>
          <w:tcPr>
            <w:tcW w:w="913" w:type="dxa"/>
            <w:vMerge w:val="restart"/>
            <w:tcBorders>
              <w:top w:val="single" w:sz="2" w:space="0" w:color="000000"/>
              <w:left w:val="single" w:sz="2" w:space="0" w:color="000000"/>
              <w:right w:val="single" w:sz="2" w:space="0" w:color="000000"/>
            </w:tcBorders>
          </w:tcPr>
          <w:p>
            <w:pPr/>
          </w:p>
        </w:tc>
        <w:tc>
          <w:tcPr>
            <w:tcW w:w="1380" w:type="dxa"/>
            <w:tcBorders>
              <w:top w:val="single" w:sz="2" w:space="0" w:color="000000"/>
              <w:left w:val="single" w:sz="2" w:space="0" w:color="000000"/>
              <w:bottom w:val="nil" w:sz="6" w:space="0" w:color="auto"/>
              <w:right w:val="single" w:sz="2" w:space="0" w:color="000000"/>
            </w:tcBorders>
          </w:tcPr>
          <w:p>
            <w:pPr/>
          </w:p>
        </w:tc>
        <w:tc>
          <w:tcPr>
            <w:tcW w:w="1368" w:type="dxa"/>
            <w:tcBorders>
              <w:top w:val="single" w:sz="2" w:space="0" w:color="000000"/>
              <w:left w:val="single" w:sz="2" w:space="0" w:color="000000"/>
              <w:bottom w:val="nil" w:sz="6" w:space="0" w:color="auto"/>
              <w:right w:val="single" w:sz="2" w:space="0" w:color="000000"/>
            </w:tcBorders>
          </w:tcPr>
          <w:p>
            <w:pPr/>
          </w:p>
        </w:tc>
        <w:tc>
          <w:tcPr>
            <w:tcW w:w="1377" w:type="dxa"/>
            <w:tcBorders>
              <w:top w:val="single" w:sz="2" w:space="0" w:color="000000"/>
              <w:left w:val="single" w:sz="2" w:space="0" w:color="000000"/>
              <w:bottom w:val="nil" w:sz="6" w:space="0" w:color="auto"/>
              <w:right w:val="single" w:sz="2" w:space="0" w:color="000000"/>
            </w:tcBorders>
          </w:tcPr>
          <w:p>
            <w:pPr/>
          </w:p>
        </w:tc>
        <w:tc>
          <w:tcPr>
            <w:tcW w:w="1168" w:type="dxa"/>
            <w:tcBorders>
              <w:top w:val="single" w:sz="2" w:space="0" w:color="000000"/>
              <w:left w:val="single" w:sz="2" w:space="0" w:color="000000"/>
              <w:bottom w:val="nil" w:sz="6" w:space="0" w:color="auto"/>
              <w:right w:val="nil" w:sz="6" w:space="0" w:color="auto"/>
            </w:tcBorders>
          </w:tcPr>
          <w:p>
            <w:pPr/>
          </w:p>
        </w:tc>
      </w:tr>
      <w:tr>
        <w:trPr>
          <w:trHeight w:val="233"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超</w:t>
            </w:r>
            <w:r>
              <w:rPr>
                <w:rFonts w:ascii="宋体" w:hAnsi="宋体" w:cs="宋体" w:eastAsia="宋体" w:hint="default"/>
                <w:spacing w:val="-35"/>
                <w:sz w:val="18"/>
                <w:szCs w:val="18"/>
              </w:rPr>
              <w:t> </w:t>
            </w:r>
            <w:r>
              <w:rPr>
                <w:rFonts w:ascii="宋体" w:hAnsi="宋体" w:cs="宋体" w:eastAsia="宋体" w:hint="default"/>
                <w:sz w:val="18"/>
                <w:szCs w:val="18"/>
              </w:rPr>
              <w:t>高</w:t>
            </w:r>
            <w:r>
              <w:rPr>
                <w:rFonts w:ascii="宋体" w:hAnsi="宋体" w:cs="宋体" w:eastAsia="宋体" w:hint="default"/>
                <w:spacing w:val="-33"/>
                <w:sz w:val="18"/>
                <w:szCs w:val="18"/>
              </w:rPr>
              <w:t> </w:t>
            </w:r>
            <w:r>
              <w:rPr>
                <w:rFonts w:ascii="宋体" w:hAnsi="宋体" w:cs="宋体" w:eastAsia="宋体" w:hint="default"/>
                <w:sz w:val="18"/>
                <w:szCs w:val="18"/>
              </w:rPr>
              <w:t>压</w:t>
            </w:r>
            <w:r>
              <w:rPr>
                <w:rFonts w:ascii="宋体" w:hAnsi="宋体" w:cs="宋体" w:eastAsia="宋体" w:hint="default"/>
                <w:spacing w:val="-35"/>
                <w:sz w:val="18"/>
                <w:szCs w:val="18"/>
              </w:rPr>
              <w:t> </w:t>
            </w:r>
            <w:r>
              <w:rPr>
                <w:rFonts w:ascii="宋体" w:hAnsi="宋体" w:cs="宋体" w:eastAsia="宋体" w:hint="default"/>
                <w:sz w:val="18"/>
                <w:szCs w:val="18"/>
              </w:rPr>
              <w:t>电</w:t>
            </w:r>
          </w:p>
        </w:tc>
        <w:tc>
          <w:tcPr>
            <w:tcW w:w="1412" w:type="dxa"/>
            <w:tcBorders>
              <w:top w:val="nil" w:sz="6" w:space="0" w:color="auto"/>
              <w:left w:val="single" w:sz="2" w:space="0" w:color="000000"/>
              <w:bottom w:val="nil" w:sz="6" w:space="0" w:color="auto"/>
              <w:right w:val="single" w:sz="2" w:space="0" w:color="000000"/>
            </w:tcBorders>
          </w:tcPr>
          <w:p>
            <w:pPr/>
          </w:p>
        </w:tc>
        <w:tc>
          <w:tcPr>
            <w:tcW w:w="913" w:type="dxa"/>
            <w:vMerge/>
            <w:tcBorders>
              <w:left w:val="single" w:sz="2" w:space="0" w:color="000000"/>
              <w:right w:val="single" w:sz="2" w:space="0" w:color="000000"/>
            </w:tcBorders>
          </w:tcPr>
          <w:p>
            <w:pPr/>
          </w:p>
        </w:tc>
        <w:tc>
          <w:tcPr>
            <w:tcW w:w="1380" w:type="dxa"/>
            <w:tcBorders>
              <w:top w:val="nil" w:sz="6" w:space="0" w:color="auto"/>
              <w:left w:val="single" w:sz="2" w:space="0" w:color="000000"/>
              <w:bottom w:val="nil" w:sz="6" w:space="0" w:color="auto"/>
              <w:right w:val="single" w:sz="2" w:space="0" w:color="000000"/>
            </w:tcBorders>
          </w:tcPr>
          <w:p>
            <w:pPr/>
          </w:p>
        </w:tc>
        <w:tc>
          <w:tcPr>
            <w:tcW w:w="1368" w:type="dxa"/>
            <w:tcBorders>
              <w:top w:val="nil" w:sz="6" w:space="0" w:color="auto"/>
              <w:left w:val="single" w:sz="2" w:space="0" w:color="000000"/>
              <w:bottom w:val="nil" w:sz="6" w:space="0" w:color="auto"/>
              <w:right w:val="single" w:sz="2" w:space="0" w:color="000000"/>
            </w:tcBorders>
          </w:tcPr>
          <w:p>
            <w:pPr/>
          </w:p>
        </w:tc>
        <w:tc>
          <w:tcPr>
            <w:tcW w:w="1377" w:type="dxa"/>
            <w:tcBorders>
              <w:top w:val="nil" w:sz="6" w:space="0" w:color="auto"/>
              <w:left w:val="single" w:sz="2" w:space="0" w:color="000000"/>
              <w:bottom w:val="nil" w:sz="6" w:space="0" w:color="auto"/>
              <w:right w:val="single" w:sz="2" w:space="0" w:color="000000"/>
            </w:tcBorders>
          </w:tcPr>
          <w:p>
            <w:pPr/>
          </w:p>
        </w:tc>
        <w:tc>
          <w:tcPr>
            <w:tcW w:w="1168" w:type="dxa"/>
            <w:tcBorders>
              <w:top w:val="nil" w:sz="6" w:space="0" w:color="auto"/>
              <w:left w:val="single" w:sz="2" w:space="0" w:color="000000"/>
              <w:bottom w:val="nil" w:sz="6" w:space="0" w:color="auto"/>
              <w:right w:val="nil" w:sz="6" w:space="0" w:color="auto"/>
            </w:tcBorders>
          </w:tcPr>
          <w:p>
            <w:pPr/>
          </w:p>
        </w:tc>
      </w:tr>
      <w:tr>
        <w:trPr>
          <w:trHeight w:val="233"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缆绝缘料”</w:t>
            </w:r>
          </w:p>
        </w:tc>
        <w:tc>
          <w:tcPr>
            <w:tcW w:w="1412"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846,000.00</w:t>
            </w:r>
          </w:p>
        </w:tc>
        <w:tc>
          <w:tcPr>
            <w:tcW w:w="913" w:type="dxa"/>
            <w:vMerge/>
            <w:tcBorders>
              <w:left w:val="single" w:sz="2" w:space="0" w:color="000000"/>
              <w:right w:val="single" w:sz="2" w:space="0" w:color="000000"/>
            </w:tcBorders>
          </w:tcPr>
          <w:p>
            <w:pPr/>
          </w:p>
        </w:tc>
        <w:tc>
          <w:tcPr>
            <w:tcW w:w="1380"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846,000.00</w:t>
            </w:r>
          </w:p>
        </w:tc>
        <w:tc>
          <w:tcPr>
            <w:tcW w:w="1368"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846,000.00</w:t>
            </w:r>
          </w:p>
        </w:tc>
        <w:tc>
          <w:tcPr>
            <w:tcW w:w="1377"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846,000.00</w:t>
            </w:r>
          </w:p>
        </w:tc>
        <w:tc>
          <w:tcPr>
            <w:tcW w:w="1168" w:type="dxa"/>
            <w:tcBorders>
              <w:top w:val="nil" w:sz="6" w:space="0" w:color="auto"/>
              <w:left w:val="single" w:sz="2" w:space="0" w:color="000000"/>
              <w:bottom w:val="nil" w:sz="6" w:space="0" w:color="auto"/>
              <w:right w:val="nil" w:sz="6" w:space="0" w:color="auto"/>
            </w:tcBorders>
          </w:tcPr>
          <w:p>
            <w:pPr>
              <w:pStyle w:val="TableParagraph"/>
              <w:spacing w:line="206" w:lineRule="exact"/>
              <w:ind w:right="13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4"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35"/>
                <w:sz w:val="18"/>
                <w:szCs w:val="18"/>
              </w:rPr>
              <w:t> </w:t>
            </w:r>
            <w:r>
              <w:rPr>
                <w:rFonts w:ascii="宋体" w:hAnsi="宋体" w:cs="宋体" w:eastAsia="宋体" w:hint="default"/>
                <w:sz w:val="18"/>
                <w:szCs w:val="18"/>
              </w:rPr>
              <w:t>目</w:t>
            </w:r>
            <w:r>
              <w:rPr>
                <w:rFonts w:ascii="宋体" w:hAnsi="宋体" w:cs="宋体" w:eastAsia="宋体" w:hint="default"/>
                <w:spacing w:val="-33"/>
                <w:sz w:val="18"/>
                <w:szCs w:val="18"/>
              </w:rPr>
              <w:t> </w:t>
            </w:r>
            <w:r>
              <w:rPr>
                <w:rFonts w:ascii="宋体" w:hAnsi="宋体" w:cs="宋体" w:eastAsia="宋体" w:hint="default"/>
                <w:sz w:val="18"/>
                <w:szCs w:val="18"/>
              </w:rPr>
              <w:t>政</w:t>
            </w:r>
            <w:r>
              <w:rPr>
                <w:rFonts w:ascii="宋体" w:hAnsi="宋体" w:cs="宋体" w:eastAsia="宋体" w:hint="default"/>
                <w:spacing w:val="-35"/>
                <w:sz w:val="18"/>
                <w:szCs w:val="18"/>
              </w:rPr>
              <w:t> </w:t>
            </w:r>
            <w:r>
              <w:rPr>
                <w:rFonts w:ascii="宋体" w:hAnsi="宋体" w:cs="宋体" w:eastAsia="宋体" w:hint="default"/>
                <w:sz w:val="18"/>
                <w:szCs w:val="18"/>
              </w:rPr>
              <w:t>府</w:t>
            </w:r>
          </w:p>
        </w:tc>
        <w:tc>
          <w:tcPr>
            <w:tcW w:w="1412" w:type="dxa"/>
            <w:tcBorders>
              <w:top w:val="nil" w:sz="6" w:space="0" w:color="auto"/>
              <w:left w:val="single" w:sz="2" w:space="0" w:color="000000"/>
              <w:bottom w:val="nil" w:sz="6" w:space="0" w:color="auto"/>
              <w:right w:val="single" w:sz="2" w:space="0" w:color="000000"/>
            </w:tcBorders>
          </w:tcPr>
          <w:p>
            <w:pPr/>
          </w:p>
        </w:tc>
        <w:tc>
          <w:tcPr>
            <w:tcW w:w="913" w:type="dxa"/>
            <w:vMerge/>
            <w:tcBorders>
              <w:left w:val="single" w:sz="2" w:space="0" w:color="000000"/>
              <w:right w:val="single" w:sz="2" w:space="0" w:color="000000"/>
            </w:tcBorders>
          </w:tcPr>
          <w:p>
            <w:pPr/>
          </w:p>
        </w:tc>
        <w:tc>
          <w:tcPr>
            <w:tcW w:w="1380" w:type="dxa"/>
            <w:tcBorders>
              <w:top w:val="nil" w:sz="6" w:space="0" w:color="auto"/>
              <w:left w:val="single" w:sz="2" w:space="0" w:color="000000"/>
              <w:bottom w:val="nil" w:sz="6" w:space="0" w:color="auto"/>
              <w:right w:val="single" w:sz="2" w:space="0" w:color="000000"/>
            </w:tcBorders>
          </w:tcPr>
          <w:p>
            <w:pPr/>
          </w:p>
        </w:tc>
        <w:tc>
          <w:tcPr>
            <w:tcW w:w="1368" w:type="dxa"/>
            <w:tcBorders>
              <w:top w:val="nil" w:sz="6" w:space="0" w:color="auto"/>
              <w:left w:val="single" w:sz="2" w:space="0" w:color="000000"/>
              <w:bottom w:val="nil" w:sz="6" w:space="0" w:color="auto"/>
              <w:right w:val="single" w:sz="2" w:space="0" w:color="000000"/>
            </w:tcBorders>
          </w:tcPr>
          <w:p>
            <w:pPr/>
          </w:p>
        </w:tc>
        <w:tc>
          <w:tcPr>
            <w:tcW w:w="1377" w:type="dxa"/>
            <w:tcBorders>
              <w:top w:val="nil" w:sz="6" w:space="0" w:color="auto"/>
              <w:left w:val="single" w:sz="2" w:space="0" w:color="000000"/>
              <w:bottom w:val="nil" w:sz="6" w:space="0" w:color="auto"/>
              <w:right w:val="single" w:sz="2" w:space="0" w:color="000000"/>
            </w:tcBorders>
          </w:tcPr>
          <w:p>
            <w:pPr/>
          </w:p>
        </w:tc>
        <w:tc>
          <w:tcPr>
            <w:tcW w:w="1168" w:type="dxa"/>
            <w:tcBorders>
              <w:top w:val="nil" w:sz="6" w:space="0" w:color="auto"/>
              <w:left w:val="single" w:sz="2" w:space="0" w:color="000000"/>
              <w:bottom w:val="nil" w:sz="6" w:space="0" w:color="auto"/>
              <w:right w:val="nil" w:sz="6" w:space="0" w:color="auto"/>
            </w:tcBorders>
          </w:tcPr>
          <w:p>
            <w:pPr/>
          </w:p>
        </w:tc>
      </w:tr>
      <w:tr>
        <w:trPr>
          <w:trHeight w:val="276" w:hRule="exact"/>
        </w:trPr>
        <w:tc>
          <w:tcPr>
            <w:tcW w:w="1105" w:type="dxa"/>
            <w:tcBorders>
              <w:top w:val="nil" w:sz="6" w:space="0" w:color="auto"/>
              <w:left w:val="nil" w:sz="6" w:space="0" w:color="auto"/>
              <w:bottom w:val="single" w:sz="2" w:space="0" w:color="000000"/>
              <w:right w:val="single" w:sz="2"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2" w:type="dxa"/>
            <w:tcBorders>
              <w:top w:val="nil" w:sz="6" w:space="0" w:color="auto"/>
              <w:left w:val="single" w:sz="2" w:space="0" w:color="000000"/>
              <w:bottom w:val="single" w:sz="2" w:space="0" w:color="000000"/>
              <w:right w:val="single" w:sz="2" w:space="0" w:color="000000"/>
            </w:tcBorders>
          </w:tcPr>
          <w:p>
            <w:pPr/>
          </w:p>
        </w:tc>
        <w:tc>
          <w:tcPr>
            <w:tcW w:w="913" w:type="dxa"/>
            <w:vMerge/>
            <w:tcBorders>
              <w:left w:val="single" w:sz="2" w:space="0" w:color="000000"/>
              <w:bottom w:val="single" w:sz="2" w:space="0" w:color="000000"/>
              <w:right w:val="single" w:sz="2" w:space="0" w:color="000000"/>
            </w:tcBorders>
          </w:tcPr>
          <w:p>
            <w:pPr/>
          </w:p>
        </w:tc>
        <w:tc>
          <w:tcPr>
            <w:tcW w:w="1380" w:type="dxa"/>
            <w:tcBorders>
              <w:top w:val="nil" w:sz="6" w:space="0" w:color="auto"/>
              <w:left w:val="single" w:sz="2" w:space="0" w:color="000000"/>
              <w:bottom w:val="single" w:sz="2" w:space="0" w:color="000000"/>
              <w:right w:val="single" w:sz="2" w:space="0" w:color="000000"/>
            </w:tcBorders>
          </w:tcPr>
          <w:p>
            <w:pPr/>
          </w:p>
        </w:tc>
        <w:tc>
          <w:tcPr>
            <w:tcW w:w="1368" w:type="dxa"/>
            <w:tcBorders>
              <w:top w:val="nil" w:sz="6" w:space="0" w:color="auto"/>
              <w:left w:val="single" w:sz="2" w:space="0" w:color="000000"/>
              <w:bottom w:val="single" w:sz="2" w:space="0" w:color="000000"/>
              <w:right w:val="single" w:sz="2" w:space="0" w:color="000000"/>
            </w:tcBorders>
          </w:tcPr>
          <w:p>
            <w:pPr/>
          </w:p>
        </w:tc>
        <w:tc>
          <w:tcPr>
            <w:tcW w:w="1377" w:type="dxa"/>
            <w:tcBorders>
              <w:top w:val="nil" w:sz="6" w:space="0" w:color="auto"/>
              <w:left w:val="single" w:sz="2" w:space="0" w:color="000000"/>
              <w:bottom w:val="single" w:sz="2" w:space="0" w:color="000000"/>
              <w:right w:val="single" w:sz="2" w:space="0" w:color="000000"/>
            </w:tcBorders>
          </w:tcPr>
          <w:p>
            <w:pPr/>
          </w:p>
        </w:tc>
        <w:tc>
          <w:tcPr>
            <w:tcW w:w="1168" w:type="dxa"/>
            <w:tcBorders>
              <w:top w:val="nil" w:sz="6" w:space="0" w:color="auto"/>
              <w:left w:val="single" w:sz="2" w:space="0" w:color="000000"/>
              <w:bottom w:val="single" w:sz="2" w:space="0" w:color="000000"/>
              <w:right w:val="nil" w:sz="6" w:space="0" w:color="auto"/>
            </w:tcBorders>
          </w:tcPr>
          <w:p>
            <w:pPr/>
          </w:p>
        </w:tc>
      </w:tr>
      <w:tr>
        <w:trPr>
          <w:trHeight w:val="414" w:hRule="exact"/>
        </w:trPr>
        <w:tc>
          <w:tcPr>
            <w:tcW w:w="11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94"/>
              <w:jc w:val="right"/>
              <w:rPr>
                <w:rFonts w:ascii="宋体" w:hAnsi="宋体" w:cs="宋体" w:eastAsia="宋体" w:hint="default"/>
                <w:sz w:val="20"/>
                <w:szCs w:val="20"/>
              </w:rPr>
            </w:pPr>
            <w:r>
              <w:rPr>
                <w:rFonts w:ascii="宋体"/>
                <w:b/>
                <w:w w:val="95"/>
                <w:sz w:val="20"/>
              </w:rPr>
              <w:t>1,566,000.00</w:t>
            </w:r>
            <w:r>
              <w:rPr>
                <w:rFonts w:ascii="宋体"/>
                <w:sz w:val="20"/>
              </w:rPr>
            </w:r>
          </w:p>
        </w:tc>
        <w:tc>
          <w:tcPr>
            <w:tcW w:w="913" w:type="dxa"/>
            <w:tcBorders>
              <w:top w:val="single" w:sz="2" w:space="0" w:color="000000"/>
              <w:left w:val="single" w:sz="2" w:space="0" w:color="000000"/>
              <w:bottom w:val="single" w:sz="12" w:space="0" w:color="000000"/>
              <w:right w:val="single" w:sz="2" w:space="0" w:color="000000"/>
            </w:tcBorders>
          </w:tcPr>
          <w:p>
            <w:pPr/>
          </w:p>
        </w:tc>
        <w:tc>
          <w:tcPr>
            <w:tcW w:w="13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78"/>
              <w:jc w:val="right"/>
              <w:rPr>
                <w:rFonts w:ascii="宋体" w:hAnsi="宋体" w:cs="宋体" w:eastAsia="宋体" w:hint="default"/>
                <w:sz w:val="20"/>
                <w:szCs w:val="20"/>
              </w:rPr>
            </w:pPr>
            <w:r>
              <w:rPr>
                <w:rFonts w:ascii="宋体"/>
                <w:b/>
                <w:w w:val="95"/>
                <w:sz w:val="20"/>
              </w:rPr>
              <w:t>1,566,000.00</w:t>
            </w:r>
            <w:r>
              <w:rPr>
                <w:rFonts w:ascii="宋体"/>
                <w:sz w:val="20"/>
              </w:rPr>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71"/>
              <w:jc w:val="right"/>
              <w:rPr>
                <w:rFonts w:ascii="宋体" w:hAnsi="宋体" w:cs="宋体" w:eastAsia="宋体" w:hint="default"/>
                <w:sz w:val="20"/>
                <w:szCs w:val="20"/>
              </w:rPr>
            </w:pPr>
            <w:r>
              <w:rPr>
                <w:rFonts w:ascii="宋体"/>
                <w:b/>
                <w:w w:val="95"/>
                <w:sz w:val="20"/>
              </w:rPr>
              <w:t>1,566,000.00</w:t>
            </w:r>
            <w:r>
              <w:rPr>
                <w:rFonts w:ascii="宋体"/>
                <w:sz w:val="20"/>
              </w:rPr>
            </w:r>
          </w:p>
        </w:tc>
        <w:tc>
          <w:tcPr>
            <w:tcW w:w="13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75"/>
              <w:jc w:val="right"/>
              <w:rPr>
                <w:rFonts w:ascii="宋体" w:hAnsi="宋体" w:cs="宋体" w:eastAsia="宋体" w:hint="default"/>
                <w:sz w:val="20"/>
                <w:szCs w:val="20"/>
              </w:rPr>
            </w:pPr>
            <w:r>
              <w:rPr>
                <w:rFonts w:ascii="宋体"/>
                <w:b/>
                <w:w w:val="95"/>
                <w:sz w:val="20"/>
              </w:rPr>
              <w:t>1,566,000.00</w:t>
            </w:r>
            <w:r>
              <w:rPr>
                <w:rFonts w:ascii="宋体"/>
                <w:sz w:val="20"/>
              </w:rPr>
            </w:r>
          </w:p>
        </w:tc>
        <w:tc>
          <w:tcPr>
            <w:tcW w:w="116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00" w:lineRule="auto"/>
        <w:ind w:left="644" w:right="767" w:firstLine="36"/>
        <w:jc w:val="left"/>
      </w:pPr>
      <w:r>
        <w:rPr>
          <w:spacing w:val="-2"/>
        </w:rPr>
        <w:t>注：“其他变动”系从递延收益转入的预计一年内结转利润表的政府补助款。</w:t>
      </w:r>
      <w:r>
        <w:rPr>
          <w:spacing w:val="-99"/>
        </w:rPr>
        <w:t> </w:t>
      </w:r>
      <w:r>
        <w:rPr>
          <w:spacing w:val="-99"/>
        </w:rPr>
      </w:r>
      <w:r>
        <w:rPr/>
        <w:t>26.</w:t>
      </w:r>
      <w:r>
        <w:rPr>
          <w:spacing w:val="-48"/>
        </w:rPr>
        <w:t> </w:t>
      </w:r>
      <w:r>
        <w:rPr/>
        <w:t>长期借款</w:t>
      </w:r>
    </w:p>
    <w:tbl>
      <w:tblPr>
        <w:tblW w:w="0" w:type="auto"/>
        <w:jc w:val="left"/>
        <w:tblInd w:w="118" w:type="dxa"/>
        <w:tblLayout w:type="fixed"/>
        <w:tblCellMar>
          <w:top w:w="0" w:type="dxa"/>
          <w:left w:w="0" w:type="dxa"/>
          <w:bottom w:w="0" w:type="dxa"/>
          <w:right w:w="0" w:type="dxa"/>
        </w:tblCellMar>
        <w:tblLook w:val="01E0"/>
      </w:tblPr>
      <w:tblGrid>
        <w:gridCol w:w="3349"/>
        <w:gridCol w:w="2687"/>
        <w:gridCol w:w="2687"/>
      </w:tblGrid>
      <w:tr>
        <w:trPr>
          <w:trHeight w:val="415" w:hRule="exact"/>
        </w:trPr>
        <w:tc>
          <w:tcPr>
            <w:tcW w:w="33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160,000,000.00</w:t>
            </w:r>
          </w:p>
        </w:tc>
        <w:tc>
          <w:tcPr>
            <w:tcW w:w="2687"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3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1"/>
              <w:jc w:val="right"/>
              <w:rPr>
                <w:rFonts w:ascii="宋体" w:hAnsi="宋体" w:cs="宋体" w:eastAsia="宋体" w:hint="default"/>
                <w:sz w:val="22"/>
                <w:szCs w:val="22"/>
              </w:rPr>
            </w:pPr>
            <w:r>
              <w:rPr>
                <w:rFonts w:ascii="宋体"/>
                <w:b/>
                <w:spacing w:val="-1"/>
                <w:sz w:val="22"/>
              </w:rPr>
              <w:t>160,000,000.00</w:t>
            </w:r>
            <w:r>
              <w:rPr>
                <w:rFonts w:ascii="宋体"/>
                <w:spacing w:val="-1"/>
                <w:sz w:val="22"/>
              </w:rPr>
            </w:r>
          </w:p>
        </w:tc>
        <w:tc>
          <w:tcPr>
            <w:tcW w:w="268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300" w:lineRule="auto"/>
        <w:ind w:left="241" w:right="400" w:firstLine="439"/>
        <w:jc w:val="both"/>
      </w:pPr>
      <w:r>
        <w:rPr/>
        <w:t>注：2015</w:t>
      </w:r>
      <w:r>
        <w:rPr>
          <w:spacing w:val="-58"/>
        </w:rPr>
        <w:t> </w:t>
      </w:r>
      <w:r>
        <w:rPr/>
        <w:t>年</w:t>
      </w:r>
      <w:r>
        <w:rPr>
          <w:spacing w:val="-61"/>
        </w:rPr>
        <w:t> </w:t>
      </w:r>
      <w:r>
        <w:rPr/>
        <w:t>12</w:t>
      </w:r>
      <w:r>
        <w:rPr>
          <w:spacing w:val="-58"/>
        </w:rPr>
        <w:t> </w:t>
      </w:r>
      <w:r>
        <w:rPr/>
        <w:t>月</w:t>
      </w:r>
      <w:r>
        <w:rPr>
          <w:spacing w:val="-61"/>
        </w:rPr>
        <w:t> </w:t>
      </w:r>
      <w:r>
        <w:rPr/>
        <w:t>15</w:t>
      </w:r>
      <w:r>
        <w:rPr>
          <w:spacing w:val="-58"/>
        </w:rPr>
        <w:t> </w:t>
      </w:r>
      <w:r>
        <w:rPr/>
        <w:t>日，本公司向进出口银行浙江省分行借款</w:t>
      </w:r>
      <w:r>
        <w:rPr>
          <w:spacing w:val="-58"/>
        </w:rPr>
        <w:t> </w:t>
      </w:r>
      <w:r>
        <w:rPr/>
        <w:t>160,000,000.00</w:t>
      </w:r>
      <w:r>
        <w:rPr>
          <w:spacing w:val="-61"/>
        </w:rPr>
        <w:t> </w:t>
      </w:r>
      <w:r>
        <w:rPr/>
        <w:t>元，</w:t>
      </w:r>
      <w:r>
        <w:rPr>
          <w:w w:val="100"/>
        </w:rPr>
        <w:t> </w:t>
      </w:r>
      <w:r>
        <w:rPr/>
        <w:t>借款期限</w:t>
      </w:r>
      <w:r>
        <w:rPr>
          <w:spacing w:val="-56"/>
        </w:rPr>
        <w:t> </w:t>
      </w:r>
      <w:r>
        <w:rPr/>
        <w:t>2015</w:t>
      </w:r>
      <w:r>
        <w:rPr>
          <w:spacing w:val="-53"/>
        </w:rPr>
        <w:t> </w:t>
      </w:r>
      <w:r>
        <w:rPr/>
        <w:t>年</w:t>
      </w:r>
      <w:r>
        <w:rPr>
          <w:spacing w:val="-56"/>
        </w:rPr>
        <w:t> </w:t>
      </w:r>
      <w:r>
        <w:rPr/>
        <w:t>12</w:t>
      </w:r>
      <w:r>
        <w:rPr>
          <w:spacing w:val="-53"/>
        </w:rPr>
        <w:t> </w:t>
      </w:r>
      <w:r>
        <w:rPr/>
        <w:t>月</w:t>
      </w:r>
      <w:r>
        <w:rPr>
          <w:spacing w:val="-56"/>
        </w:rPr>
        <w:t> </w:t>
      </w:r>
      <w:r>
        <w:rPr/>
        <w:t>15</w:t>
      </w:r>
      <w:r>
        <w:rPr>
          <w:spacing w:val="-53"/>
        </w:rPr>
        <w:t> </w:t>
      </w:r>
      <w:r>
        <w:rPr/>
        <w:t>日至</w:t>
      </w:r>
      <w:r>
        <w:rPr>
          <w:spacing w:val="-56"/>
        </w:rPr>
        <w:t> </w:t>
      </w:r>
      <w:r>
        <w:rPr/>
        <w:t>2017</w:t>
      </w:r>
      <w:r>
        <w:rPr>
          <w:spacing w:val="-56"/>
        </w:rPr>
        <w:t> </w:t>
      </w:r>
      <w:r>
        <w:rPr/>
        <w:t>年</w:t>
      </w:r>
      <w:r>
        <w:rPr>
          <w:spacing w:val="-53"/>
        </w:rPr>
        <w:t> </w:t>
      </w:r>
      <w:r>
        <w:rPr/>
        <w:t>11</w:t>
      </w:r>
      <w:r>
        <w:rPr>
          <w:spacing w:val="-53"/>
        </w:rPr>
        <w:t> </w:t>
      </w:r>
      <w:r>
        <w:rPr/>
        <w:t>月</w:t>
      </w:r>
      <w:r>
        <w:rPr>
          <w:spacing w:val="-56"/>
        </w:rPr>
        <w:t> </w:t>
      </w:r>
      <w:r>
        <w:rPr/>
        <w:t>25</w:t>
      </w:r>
      <w:r>
        <w:rPr>
          <w:spacing w:val="-53"/>
        </w:rPr>
        <w:t> </w:t>
      </w:r>
      <w:r>
        <w:rPr>
          <w:spacing w:val="-6"/>
        </w:rPr>
        <w:t>日，该项借款由万马联合控股集团有限公</w:t>
      </w:r>
      <w:r>
        <w:rPr>
          <w:w w:val="100"/>
        </w:rPr>
        <w:t> </w:t>
      </w:r>
      <w:r>
        <w:rPr/>
        <w:t>司提供连带责任还款保证，担保金额</w:t>
      </w:r>
      <w:r>
        <w:rPr>
          <w:spacing w:val="-53"/>
        </w:rPr>
        <w:t> </w:t>
      </w:r>
      <w:r>
        <w:rPr/>
        <w:t>160,000,000.00</w:t>
      </w:r>
      <w:r>
        <w:rPr>
          <w:spacing w:val="-53"/>
        </w:rPr>
        <w:t> </w:t>
      </w:r>
      <w:r>
        <w:rPr/>
        <w:t>元，由浙江万马股份有限公司提供</w:t>
      </w:r>
    </w:p>
    <w:p>
      <w:pPr>
        <w:pStyle w:val="BodyText"/>
        <w:spacing w:line="300" w:lineRule="auto" w:before="17"/>
        <w:ind w:left="241" w:right="36"/>
        <w:jc w:val="left"/>
      </w:pPr>
      <w:r>
        <w:rPr/>
        <w:t>最高额抵押担保，担保的最高额为</w:t>
      </w:r>
      <w:r>
        <w:rPr>
          <w:spacing w:val="-54"/>
        </w:rPr>
        <w:t> </w:t>
      </w:r>
      <w:r>
        <w:rPr/>
        <w:t>143,230,000.00</w:t>
      </w:r>
      <w:r>
        <w:rPr>
          <w:spacing w:val="-54"/>
        </w:rPr>
        <w:t> </w:t>
      </w:r>
      <w:r>
        <w:rPr/>
        <w:t>元。年末已抵押相关房屋建筑物账面</w:t>
      </w:r>
      <w:r>
        <w:rPr>
          <w:w w:val="100"/>
        </w:rPr>
        <w:t> </w:t>
      </w:r>
      <w:r>
        <w:rPr/>
        <w:t>原值</w:t>
      </w:r>
      <w:r>
        <w:rPr>
          <w:spacing w:val="-59"/>
        </w:rPr>
        <w:t> </w:t>
      </w:r>
      <w:r>
        <w:rPr/>
        <w:t>70,009,989.65</w:t>
      </w:r>
      <w:r>
        <w:rPr>
          <w:spacing w:val="-56"/>
        </w:rPr>
        <w:t> </w:t>
      </w:r>
      <w:r>
        <w:rPr>
          <w:spacing w:val="-6"/>
        </w:rPr>
        <w:t>元，累计折旧</w:t>
      </w:r>
      <w:r>
        <w:rPr>
          <w:spacing w:val="-56"/>
        </w:rPr>
        <w:t> </w:t>
      </w:r>
      <w:r>
        <w:rPr/>
        <w:t>20,508,511.24</w:t>
      </w:r>
      <w:r>
        <w:rPr>
          <w:spacing w:val="-59"/>
        </w:rPr>
        <w:t> </w:t>
      </w:r>
      <w:r>
        <w:rPr>
          <w:spacing w:val="-6"/>
        </w:rPr>
        <w:t>元，账面净值</w:t>
      </w:r>
      <w:r>
        <w:rPr>
          <w:spacing w:val="-59"/>
        </w:rPr>
        <w:t> </w:t>
      </w:r>
      <w:r>
        <w:rPr/>
        <w:t>49,501,478.41</w:t>
      </w:r>
      <w:r>
        <w:rPr>
          <w:spacing w:val="-56"/>
        </w:rPr>
        <w:t> </w:t>
      </w:r>
      <w:r>
        <w:rPr>
          <w:spacing w:val="-8"/>
        </w:rPr>
        <w:t>元。年末</w:t>
      </w:r>
    </w:p>
    <w:p>
      <w:pPr>
        <w:spacing w:after="0" w:line="300" w:lineRule="auto"/>
        <w:jc w:val="left"/>
        <w:sectPr>
          <w:pgSz w:w="11910" w:h="16840"/>
          <w:pgMar w:header="852" w:footer="873" w:top="1440" w:bottom="1060" w:left="1460" w:right="1280"/>
        </w:sectPr>
      </w:pPr>
    </w:p>
    <w:p>
      <w:pPr>
        <w:spacing w:line="240" w:lineRule="auto" w:before="1"/>
        <w:rPr>
          <w:rFonts w:ascii="宋体" w:hAnsi="宋体" w:cs="宋体" w:eastAsia="宋体" w:hint="default"/>
          <w:sz w:val="18"/>
          <w:szCs w:val="18"/>
        </w:rPr>
      </w:pPr>
    </w:p>
    <w:p>
      <w:pPr>
        <w:pStyle w:val="BodyText"/>
        <w:spacing w:line="300" w:lineRule="auto"/>
        <w:ind w:left="241" w:right="80"/>
        <w:jc w:val="left"/>
      </w:pPr>
      <w:r>
        <w:rPr/>
        <w:t>已抵押相关土地使用权账面原值</w:t>
      </w:r>
      <w:r>
        <w:rPr>
          <w:spacing w:val="-56"/>
        </w:rPr>
        <w:t> </w:t>
      </w:r>
      <w:r>
        <w:rPr/>
        <w:t>28,850,309.73</w:t>
      </w:r>
      <w:r>
        <w:rPr>
          <w:spacing w:val="-56"/>
        </w:rPr>
        <w:t> </w:t>
      </w:r>
      <w:r>
        <w:rPr/>
        <w:t>元，累计摊销</w:t>
      </w:r>
      <w:r>
        <w:rPr>
          <w:spacing w:val="-54"/>
        </w:rPr>
        <w:t> </w:t>
      </w:r>
      <w:r>
        <w:rPr/>
        <w:t>4,418,966.36</w:t>
      </w:r>
      <w:r>
        <w:rPr>
          <w:spacing w:val="-56"/>
        </w:rPr>
        <w:t> </w:t>
      </w:r>
      <w:r>
        <w:rPr/>
        <w:t>元，账面净</w:t>
      </w:r>
      <w:r>
        <w:rPr>
          <w:w w:val="100"/>
        </w:rPr>
        <w:t> </w:t>
      </w:r>
      <w:r>
        <w:rPr/>
        <w:t>值</w:t>
      </w:r>
      <w:r>
        <w:rPr>
          <w:spacing w:val="-62"/>
        </w:rPr>
        <w:t> </w:t>
      </w:r>
      <w:r>
        <w:rPr/>
        <w:t>24,431,343.37</w:t>
      </w:r>
      <w:r>
        <w:rPr>
          <w:spacing w:val="-59"/>
        </w:rPr>
        <w:t> </w:t>
      </w:r>
      <w:r>
        <w:rPr/>
        <w:t>元。</w:t>
      </w:r>
    </w:p>
    <w:p>
      <w:pPr>
        <w:pStyle w:val="BodyText"/>
        <w:spacing w:line="240" w:lineRule="auto" w:before="137"/>
        <w:ind w:left="644" w:right="80"/>
        <w:jc w:val="left"/>
      </w:pPr>
      <w:r>
        <w:rPr/>
        <w:t>27.</w:t>
      </w:r>
      <w:r>
        <w:rPr>
          <w:spacing w:val="-48"/>
        </w:rPr>
        <w:t> </w:t>
      </w:r>
      <w:r>
        <w:rPr/>
        <w:t>应付债券</w:t>
      </w:r>
    </w:p>
    <w:p>
      <w:pPr>
        <w:pStyle w:val="BodyText"/>
        <w:spacing w:line="240" w:lineRule="auto" w:before="177"/>
        <w:ind w:left="666" w:right="80"/>
        <w:jc w:val="left"/>
      </w:pPr>
      <w:r>
        <w:rPr/>
        <w:t>（1）</w:t>
      </w:r>
      <w:r>
        <w:rPr>
          <w:spacing w:val="9"/>
        </w:rPr>
        <w:t> </w:t>
      </w:r>
      <w:r>
        <w:rPr/>
        <w:t>应付债券分类</w:t>
      </w:r>
    </w:p>
    <w:p>
      <w:pPr>
        <w:spacing w:line="240" w:lineRule="auto" w:before="12"/>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371"/>
        <w:gridCol w:w="2676"/>
        <w:gridCol w:w="2676"/>
      </w:tblGrid>
      <w:tr>
        <w:trPr>
          <w:trHeight w:val="415" w:hRule="exact"/>
        </w:trPr>
        <w:tc>
          <w:tcPr>
            <w:tcW w:w="3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65"/>
                <w:sz w:val="22"/>
                <w:szCs w:val="22"/>
              </w:rPr>
              <w:t> </w:t>
            </w:r>
            <w:r>
              <w:rPr>
                <w:rFonts w:ascii="宋体" w:hAnsi="宋体" w:cs="宋体" w:eastAsia="宋体" w:hint="default"/>
                <w:sz w:val="22"/>
                <w:szCs w:val="22"/>
              </w:rPr>
              <w:t>年公司债券(第一期)</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298,909,148.24</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298,622,485.80</w:t>
            </w:r>
          </w:p>
        </w:tc>
      </w:tr>
      <w:tr>
        <w:trPr>
          <w:trHeight w:val="414" w:hRule="exact"/>
        </w:trPr>
        <w:tc>
          <w:tcPr>
            <w:tcW w:w="3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0"/>
              <w:jc w:val="right"/>
              <w:rPr>
                <w:rFonts w:ascii="宋体" w:hAnsi="宋体" w:cs="宋体" w:eastAsia="宋体" w:hint="default"/>
                <w:sz w:val="22"/>
                <w:szCs w:val="22"/>
              </w:rPr>
            </w:pPr>
            <w:r>
              <w:rPr>
                <w:rFonts w:ascii="宋体"/>
                <w:b/>
                <w:spacing w:val="-1"/>
                <w:sz w:val="22"/>
              </w:rPr>
              <w:t>298,909,148.24</w:t>
            </w:r>
            <w:r>
              <w:rPr>
                <w:rFonts w:ascii="宋体"/>
                <w:spacing w:val="-1"/>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2"/>
              <w:jc w:val="right"/>
              <w:rPr>
                <w:rFonts w:ascii="宋体" w:hAnsi="宋体" w:cs="宋体" w:eastAsia="宋体" w:hint="default"/>
                <w:sz w:val="22"/>
                <w:szCs w:val="22"/>
              </w:rPr>
            </w:pPr>
            <w:r>
              <w:rPr>
                <w:rFonts w:ascii="宋体"/>
                <w:b/>
                <w:spacing w:val="-1"/>
                <w:sz w:val="22"/>
              </w:rPr>
              <w:t>298,622,485.80</w:t>
            </w:r>
            <w:r>
              <w:rPr>
                <w:rFonts w:ascii="宋体"/>
                <w:spacing w:val="-1"/>
                <w:sz w:val="22"/>
              </w:rPr>
            </w:r>
          </w:p>
        </w:tc>
      </w:tr>
    </w:tbl>
    <w:p>
      <w:pPr>
        <w:spacing w:line="240" w:lineRule="auto" w:before="13"/>
        <w:rPr>
          <w:rFonts w:ascii="宋体" w:hAnsi="宋体" w:cs="宋体" w:eastAsia="宋体" w:hint="default"/>
          <w:sz w:val="7"/>
          <w:szCs w:val="7"/>
        </w:rPr>
      </w:pPr>
    </w:p>
    <w:p>
      <w:pPr>
        <w:pStyle w:val="BodyText"/>
        <w:spacing w:line="240" w:lineRule="auto"/>
        <w:ind w:left="666" w:right="80"/>
        <w:jc w:val="left"/>
      </w:pPr>
      <w:r>
        <w:rPr/>
        <w:t>（2）</w:t>
      </w:r>
      <w:r>
        <w:rPr>
          <w:spacing w:val="3"/>
        </w:rPr>
        <w:t> </w:t>
      </w:r>
      <w:r>
        <w:rPr/>
        <w:t>应付债券的增减变动（单位：万元）</w:t>
      </w:r>
    </w:p>
    <w:p>
      <w:pPr>
        <w:spacing w:line="240" w:lineRule="auto" w:before="12"/>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853"/>
        <w:gridCol w:w="758"/>
        <w:gridCol w:w="802"/>
        <w:gridCol w:w="422"/>
        <w:gridCol w:w="758"/>
        <w:gridCol w:w="1058"/>
        <w:gridCol w:w="577"/>
        <w:gridCol w:w="1017"/>
        <w:gridCol w:w="958"/>
        <w:gridCol w:w="462"/>
        <w:gridCol w:w="1058"/>
      </w:tblGrid>
      <w:tr>
        <w:trPr>
          <w:trHeight w:val="1032" w:hRule="exact"/>
        </w:trPr>
        <w:tc>
          <w:tcPr>
            <w:tcW w:w="85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87" w:right="101" w:hanging="180"/>
              <w:jc w:val="left"/>
              <w:rPr>
                <w:rFonts w:ascii="宋体" w:hAnsi="宋体" w:cs="宋体" w:eastAsia="宋体" w:hint="default"/>
                <w:sz w:val="18"/>
                <w:szCs w:val="18"/>
              </w:rPr>
            </w:pPr>
            <w:r>
              <w:rPr>
                <w:rFonts w:ascii="宋体" w:hAnsi="宋体" w:cs="宋体" w:eastAsia="宋体" w:hint="default"/>
                <w:b/>
                <w:bCs/>
                <w:sz w:val="18"/>
                <w:szCs w:val="18"/>
              </w:rPr>
              <w:t>面值总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309" w:right="123" w:hanging="180"/>
              <w:jc w:val="left"/>
              <w:rPr>
                <w:rFonts w:ascii="宋体" w:hAnsi="宋体" w:cs="宋体" w:eastAsia="宋体" w:hint="default"/>
                <w:sz w:val="18"/>
                <w:szCs w:val="18"/>
              </w:rPr>
            </w:pPr>
            <w:r>
              <w:rPr>
                <w:rFonts w:ascii="宋体" w:hAnsi="宋体" w:cs="宋体" w:eastAsia="宋体" w:hint="default"/>
                <w:b/>
                <w:bCs/>
                <w:sz w:val="18"/>
                <w:szCs w:val="18"/>
              </w:rPr>
              <w:t>发行日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422"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8"/>
              <w:ind w:left="119" w:right="115"/>
              <w:jc w:val="both"/>
              <w:rPr>
                <w:rFonts w:ascii="宋体" w:hAnsi="宋体" w:cs="宋体" w:eastAsia="宋体" w:hint="default"/>
                <w:sz w:val="18"/>
                <w:szCs w:val="18"/>
              </w:rPr>
            </w:pP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b/>
                <w:bCs/>
                <w:sz w:val="18"/>
                <w:szCs w:val="18"/>
              </w:rPr>
              <w:t>券</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85" w:right="103" w:hanging="180"/>
              <w:jc w:val="left"/>
              <w:rPr>
                <w:rFonts w:ascii="宋体" w:hAnsi="宋体" w:cs="宋体" w:eastAsia="宋体" w:hint="default"/>
                <w:sz w:val="18"/>
                <w:szCs w:val="18"/>
              </w:rPr>
            </w:pPr>
            <w:r>
              <w:rPr>
                <w:rFonts w:ascii="宋体" w:hAnsi="宋体" w:cs="宋体" w:eastAsia="宋体" w:hint="default"/>
                <w:b/>
                <w:bCs/>
                <w:sz w:val="18"/>
                <w:szCs w:val="18"/>
              </w:rPr>
              <w:t>发行金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106" w:right="103"/>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发行</w:t>
            </w:r>
            <w:r>
              <w:rPr>
                <w:rFonts w:ascii="宋体" w:hAnsi="宋体" w:cs="宋体" w:eastAsia="宋体" w:hint="default"/>
                <w:sz w:val="18"/>
                <w:szCs w:val="18"/>
              </w:rPr>
            </w:r>
          </w:p>
        </w:tc>
        <w:tc>
          <w:tcPr>
            <w:tcW w:w="10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326" w:right="52" w:hanging="272"/>
              <w:jc w:val="left"/>
              <w:rPr>
                <w:rFonts w:ascii="宋体" w:hAnsi="宋体" w:cs="宋体" w:eastAsia="宋体" w:hint="default"/>
                <w:sz w:val="18"/>
                <w:szCs w:val="18"/>
              </w:rPr>
            </w:pPr>
            <w:r>
              <w:rPr>
                <w:rFonts w:ascii="宋体" w:hAnsi="宋体" w:cs="宋体" w:eastAsia="宋体" w:hint="default"/>
                <w:b/>
                <w:bCs/>
                <w:sz w:val="18"/>
                <w:szCs w:val="18"/>
              </w:rPr>
              <w:t>按面值计提</w:t>
            </w:r>
            <w:r>
              <w:rPr>
                <w:rFonts w:ascii="宋体" w:hAnsi="宋体" w:cs="宋体" w:eastAsia="宋体" w:hint="default"/>
                <w:b/>
                <w:bCs/>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9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386" w:right="113" w:hanging="272"/>
              <w:jc w:val="left"/>
              <w:rPr>
                <w:rFonts w:ascii="宋体" w:hAnsi="宋体" w:cs="宋体" w:eastAsia="宋体" w:hint="default"/>
                <w:sz w:val="18"/>
                <w:szCs w:val="18"/>
              </w:rPr>
            </w:pPr>
            <w:r>
              <w:rPr>
                <w:rFonts w:ascii="宋体" w:hAnsi="宋体" w:cs="宋体" w:eastAsia="宋体" w:hint="default"/>
                <w:b/>
                <w:bCs/>
                <w:sz w:val="18"/>
                <w:szCs w:val="18"/>
              </w:rPr>
              <w:t>溢折价摊</w:t>
            </w:r>
            <w:r>
              <w:rPr>
                <w:rFonts w:ascii="宋体" w:hAnsi="宋体" w:cs="宋体" w:eastAsia="宋体" w:hint="default"/>
                <w:b/>
                <w:bCs/>
                <w:w w:val="99"/>
                <w:sz w:val="18"/>
                <w:szCs w:val="18"/>
              </w:rPr>
              <w:t> </w:t>
            </w:r>
            <w:r>
              <w:rPr>
                <w:rFonts w:ascii="宋体" w:hAnsi="宋体" w:cs="宋体" w:eastAsia="宋体" w:hint="default"/>
                <w:b/>
                <w:bCs/>
                <w:sz w:val="18"/>
                <w:szCs w:val="18"/>
              </w:rPr>
              <w:t>销</w:t>
            </w:r>
            <w:r>
              <w:rPr>
                <w:rFonts w:ascii="宋体" w:hAnsi="宋体" w:cs="宋体" w:eastAsia="宋体" w:hint="default"/>
                <w:sz w:val="18"/>
                <w:szCs w:val="18"/>
              </w:rPr>
            </w:r>
          </w:p>
        </w:tc>
        <w:tc>
          <w:tcPr>
            <w:tcW w:w="462"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8"/>
              <w:ind w:left="139" w:right="136"/>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偿</w:t>
            </w:r>
            <w:r>
              <w:rPr>
                <w:rFonts w:ascii="宋体" w:hAnsi="宋体" w:cs="宋体" w:eastAsia="宋体" w:hint="default"/>
                <w:b/>
                <w:bCs/>
                <w:w w:val="99"/>
                <w:sz w:val="18"/>
                <w:szCs w:val="18"/>
              </w:rPr>
              <w:t> </w:t>
            </w:r>
            <w:r>
              <w:rPr>
                <w:rFonts w:ascii="宋体" w:hAnsi="宋体" w:cs="宋体" w:eastAsia="宋体" w:hint="default"/>
                <w:b/>
                <w:bCs/>
                <w:sz w:val="18"/>
                <w:szCs w:val="18"/>
              </w:rPr>
              <w:t>还</w:t>
            </w:r>
            <w:r>
              <w:rPr>
                <w:rFonts w:ascii="宋体" w:hAnsi="宋体" w:cs="宋体" w:eastAsia="宋体" w:hint="default"/>
                <w:sz w:val="18"/>
                <w:szCs w:val="18"/>
              </w:rPr>
            </w:r>
          </w:p>
        </w:tc>
        <w:tc>
          <w:tcPr>
            <w:tcW w:w="105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1019" w:hRule="exact"/>
        </w:trPr>
        <w:tc>
          <w:tcPr>
            <w:tcW w:w="853" w:type="dxa"/>
            <w:tcBorders>
              <w:top w:val="single" w:sz="2" w:space="0" w:color="000000"/>
              <w:left w:val="nil" w:sz="6" w:space="0" w:color="auto"/>
              <w:bottom w:val="single" w:sz="2" w:space="0" w:color="000000"/>
              <w:right w:val="single" w:sz="2" w:space="0" w:color="000000"/>
            </w:tcBorders>
          </w:tcPr>
          <w:p>
            <w:pPr>
              <w:pStyle w:val="TableParagraph"/>
              <w:spacing w:line="234" w:lineRule="exact" w:before="11"/>
              <w:ind w:left="77"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z w:val="18"/>
                <w:szCs w:val="18"/>
              </w:rPr>
              <w:t>年</w:t>
            </w:r>
          </w:p>
          <w:p>
            <w:pPr>
              <w:pStyle w:val="TableParagraph"/>
              <w:spacing w:line="237" w:lineRule="auto"/>
              <w:ind w:left="77" w:right="75"/>
              <w:jc w:val="both"/>
              <w:rPr>
                <w:rFonts w:ascii="宋体" w:hAnsi="宋体" w:cs="宋体" w:eastAsia="宋体" w:hint="default"/>
                <w:sz w:val="18"/>
                <w:szCs w:val="18"/>
              </w:rPr>
            </w:pPr>
            <w:r>
              <w:rPr>
                <w:rFonts w:ascii="宋体" w:hAnsi="宋体" w:cs="宋体" w:eastAsia="宋体" w:hint="default"/>
                <w:sz w:val="18"/>
                <w:szCs w:val="18"/>
              </w:rPr>
              <w:t>公 司</w:t>
            </w:r>
            <w:r>
              <w:rPr>
                <w:rFonts w:ascii="宋体" w:hAnsi="宋体" w:cs="宋体" w:eastAsia="宋体" w:hint="default"/>
                <w:spacing w:val="-25"/>
                <w:sz w:val="18"/>
                <w:szCs w:val="18"/>
              </w:rPr>
              <w:t> </w:t>
            </w:r>
            <w:r>
              <w:rPr>
                <w:rFonts w:ascii="宋体" w:hAnsi="宋体" w:cs="宋体" w:eastAsia="宋体" w:hint="default"/>
                <w:sz w:val="18"/>
                <w:szCs w:val="18"/>
              </w:rPr>
              <w:t>债</w:t>
            </w:r>
            <w:r>
              <w:rPr>
                <w:rFonts w:ascii="宋体" w:hAnsi="宋体" w:cs="宋体" w:eastAsia="宋体" w:hint="default"/>
                <w:sz w:val="18"/>
                <w:szCs w:val="18"/>
              </w:rPr>
              <w:t> </w:t>
            </w:r>
            <w:r>
              <w:rPr>
                <w:rFonts w:ascii="宋体" w:hAnsi="宋体" w:cs="宋体" w:eastAsia="宋体" w:hint="default"/>
                <w:spacing w:val="10"/>
                <w:sz w:val="18"/>
                <w:szCs w:val="18"/>
              </w:rPr>
              <w:t>券(</w:t>
            </w:r>
            <w:r>
              <w:rPr>
                <w:rFonts w:ascii="宋体" w:hAnsi="宋体" w:cs="宋体" w:eastAsia="宋体" w:hint="default"/>
                <w:spacing w:val="-67"/>
                <w:sz w:val="18"/>
                <w:szCs w:val="18"/>
              </w:rPr>
              <w:t> </w:t>
            </w:r>
            <w:r>
              <w:rPr>
                <w:rFonts w:ascii="宋体" w:hAnsi="宋体" w:cs="宋体" w:eastAsia="宋体" w:hint="default"/>
                <w:spacing w:val="10"/>
                <w:sz w:val="18"/>
                <w:szCs w:val="18"/>
              </w:rPr>
              <w:t>第一</w:t>
            </w:r>
            <w:r>
              <w:rPr>
                <w:rFonts w:ascii="宋体" w:hAnsi="宋体" w:cs="宋体" w:eastAsia="宋体" w:hint="default"/>
                <w:sz w:val="18"/>
                <w:szCs w:val="18"/>
              </w:rPr>
              <w:t> 期)</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0" w:right="0"/>
              <w:jc w:val="center"/>
              <w:rPr>
                <w:rFonts w:ascii="宋体" w:hAnsi="宋体" w:cs="宋体" w:eastAsia="宋体" w:hint="default"/>
                <w:sz w:val="18"/>
                <w:szCs w:val="18"/>
              </w:rPr>
            </w:pPr>
            <w:r>
              <w:rPr>
                <w:rFonts w:ascii="宋体"/>
                <w:sz w:val="18"/>
              </w:rPr>
              <w:t>30,000</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26"/>
              <w:ind w:left="7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6"/>
                <w:sz w:val="18"/>
                <w:szCs w:val="18"/>
              </w:rPr>
              <w:t> </w:t>
            </w:r>
            <w:r>
              <w:rPr>
                <w:rFonts w:ascii="宋体" w:hAnsi="宋体" w:cs="宋体" w:eastAsia="宋体" w:hint="default"/>
                <w:sz w:val="18"/>
                <w:szCs w:val="18"/>
              </w:rPr>
              <w:t>年</w:t>
            </w:r>
          </w:p>
          <w:p>
            <w:pPr>
              <w:pStyle w:val="TableParagraph"/>
              <w:spacing w:line="233" w:lineRule="exact"/>
              <w:ind w:left="74" w:right="0"/>
              <w:jc w:val="left"/>
              <w:rPr>
                <w:rFonts w:ascii="宋体" w:hAnsi="宋体" w:cs="宋体" w:eastAsia="宋体" w:hint="default"/>
                <w:sz w:val="18"/>
                <w:szCs w:val="18"/>
              </w:rPr>
            </w:pPr>
            <w:r>
              <w:rPr>
                <w:rFonts w:ascii="宋体" w:hAnsi="宋体" w:cs="宋体" w:eastAsia="宋体" w:hint="default"/>
                <w:sz w:val="18"/>
                <w:szCs w:val="18"/>
              </w:rPr>
              <w:t>7 月</w:t>
            </w:r>
            <w:r>
              <w:rPr>
                <w:rFonts w:ascii="宋体" w:hAnsi="宋体" w:cs="宋体" w:eastAsia="宋体" w:hint="default"/>
                <w:spacing w:val="15"/>
                <w:sz w:val="18"/>
                <w:szCs w:val="18"/>
              </w:rPr>
              <w:t> </w:t>
            </w:r>
            <w:r>
              <w:rPr>
                <w:rFonts w:ascii="宋体" w:hAnsi="宋体" w:cs="宋体" w:eastAsia="宋体" w:hint="default"/>
                <w:sz w:val="18"/>
                <w:szCs w:val="18"/>
              </w:rPr>
              <w:t>23</w:t>
            </w:r>
          </w:p>
          <w:p>
            <w:pPr>
              <w:pStyle w:val="TableParagraph"/>
              <w:spacing w:line="234" w:lineRule="exact"/>
              <w:ind w:left="7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4" w:lineRule="exact"/>
              <w:ind w:left="41" w:right="0"/>
              <w:jc w:val="center"/>
              <w:rPr>
                <w:rFonts w:ascii="宋体" w:hAnsi="宋体" w:cs="宋体" w:eastAsia="宋体" w:hint="default"/>
                <w:sz w:val="18"/>
                <w:szCs w:val="18"/>
              </w:rPr>
            </w:pPr>
            <w:r>
              <w:rPr>
                <w:rFonts w:ascii="宋体"/>
                <w:sz w:val="18"/>
              </w:rPr>
              <w:t>5</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年</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3"/>
              <w:jc w:val="right"/>
              <w:rPr>
                <w:rFonts w:ascii="宋体" w:hAnsi="宋体" w:cs="宋体" w:eastAsia="宋体" w:hint="default"/>
                <w:sz w:val="18"/>
                <w:szCs w:val="18"/>
              </w:rPr>
            </w:pPr>
            <w:r>
              <w:rPr>
                <w:rFonts w:ascii="宋体"/>
                <w:spacing w:val="-1"/>
                <w:sz w:val="18"/>
              </w:rPr>
              <w:t>30,000</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8" w:right="0"/>
              <w:jc w:val="left"/>
              <w:rPr>
                <w:rFonts w:ascii="宋体" w:hAnsi="宋体" w:cs="宋体" w:eastAsia="宋体" w:hint="default"/>
                <w:sz w:val="18"/>
                <w:szCs w:val="18"/>
              </w:rPr>
            </w:pPr>
            <w:r>
              <w:rPr>
                <w:rFonts w:ascii="宋体"/>
                <w:sz w:val="18"/>
              </w:rPr>
              <w:t>29,862.25</w:t>
            </w:r>
          </w:p>
        </w:tc>
        <w:tc>
          <w:tcPr>
            <w:tcW w:w="577" w:type="dxa"/>
            <w:tcBorders>
              <w:top w:val="single" w:sz="2" w:space="0" w:color="000000"/>
              <w:left w:val="single" w:sz="2" w:space="0" w:color="000000"/>
              <w:bottom w:val="single" w:sz="2" w:space="0" w:color="000000"/>
              <w:right w:val="single" w:sz="2" w:space="0" w:color="000000"/>
            </w:tcBorders>
          </w:tcPr>
          <w:p>
            <w:pPr/>
          </w:p>
        </w:tc>
        <w:tc>
          <w:tcPr>
            <w:tcW w:w="10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3"/>
              <w:jc w:val="right"/>
              <w:rPr>
                <w:rFonts w:ascii="宋体" w:hAnsi="宋体" w:cs="宋体" w:eastAsia="宋体" w:hint="default"/>
                <w:sz w:val="18"/>
                <w:szCs w:val="18"/>
              </w:rPr>
            </w:pPr>
            <w:r>
              <w:rPr>
                <w:rFonts w:ascii="宋体"/>
                <w:spacing w:val="-1"/>
                <w:sz w:val="18"/>
              </w:rPr>
              <w:t>2,160.00</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3"/>
              <w:jc w:val="right"/>
              <w:rPr>
                <w:rFonts w:ascii="宋体" w:hAnsi="宋体" w:cs="宋体" w:eastAsia="宋体" w:hint="default"/>
                <w:sz w:val="18"/>
                <w:szCs w:val="18"/>
              </w:rPr>
            </w:pPr>
            <w:r>
              <w:rPr>
                <w:rFonts w:ascii="宋体"/>
                <w:spacing w:val="-1"/>
                <w:sz w:val="18"/>
              </w:rPr>
              <w:t>2,188.66</w:t>
            </w:r>
          </w:p>
        </w:tc>
        <w:tc>
          <w:tcPr>
            <w:tcW w:w="462"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6" w:right="0"/>
              <w:jc w:val="left"/>
              <w:rPr>
                <w:rFonts w:ascii="宋体" w:hAnsi="宋体" w:cs="宋体" w:eastAsia="宋体" w:hint="default"/>
                <w:sz w:val="18"/>
                <w:szCs w:val="18"/>
              </w:rPr>
            </w:pPr>
            <w:r>
              <w:rPr>
                <w:rFonts w:ascii="宋体"/>
                <w:sz w:val="18"/>
              </w:rPr>
              <w:t>29,890.91</w:t>
            </w:r>
          </w:p>
        </w:tc>
      </w:tr>
      <w:tr>
        <w:trPr>
          <w:trHeight w:val="419" w:hRule="exact"/>
        </w:trPr>
        <w:tc>
          <w:tcPr>
            <w:tcW w:w="8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65" w:right="0"/>
              <w:jc w:val="center"/>
              <w:rPr>
                <w:rFonts w:ascii="宋体" w:hAnsi="宋体" w:cs="宋体" w:eastAsia="宋体" w:hint="default"/>
                <w:sz w:val="18"/>
                <w:szCs w:val="18"/>
              </w:rPr>
            </w:pPr>
            <w:r>
              <w:rPr>
                <w:rFonts w:ascii="宋体"/>
                <w:b/>
                <w:sz w:val="18"/>
              </w:rPr>
              <w:t>30,000</w:t>
            </w:r>
            <w:r>
              <w:rPr>
                <w:rFonts w:ascii="宋体"/>
                <w:sz w:val="18"/>
              </w:rPr>
            </w:r>
          </w:p>
        </w:tc>
        <w:tc>
          <w:tcPr>
            <w:tcW w:w="802" w:type="dxa"/>
            <w:tcBorders>
              <w:top w:val="single" w:sz="2" w:space="0" w:color="000000"/>
              <w:left w:val="single" w:sz="2" w:space="0" w:color="000000"/>
              <w:bottom w:val="single" w:sz="12" w:space="0" w:color="000000"/>
              <w:right w:val="single" w:sz="2" w:space="0" w:color="000000"/>
            </w:tcBorders>
          </w:tcPr>
          <w:p>
            <w:pPr/>
          </w:p>
        </w:tc>
        <w:tc>
          <w:tcPr>
            <w:tcW w:w="422" w:type="dxa"/>
            <w:tcBorders>
              <w:top w:val="single" w:sz="2" w:space="0" w:color="000000"/>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68"/>
              <w:jc w:val="right"/>
              <w:rPr>
                <w:rFonts w:ascii="宋体" w:hAnsi="宋体" w:cs="宋体" w:eastAsia="宋体" w:hint="default"/>
                <w:sz w:val="18"/>
                <w:szCs w:val="18"/>
              </w:rPr>
            </w:pPr>
            <w:r>
              <w:rPr>
                <w:rFonts w:ascii="宋体"/>
                <w:b/>
                <w:sz w:val="18"/>
              </w:rPr>
              <w:t>30,000</w:t>
            </w:r>
            <w:r>
              <w:rPr>
                <w:rFonts w:ascii="宋体"/>
                <w:sz w:val="18"/>
              </w:rPr>
            </w: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68" w:right="0"/>
              <w:jc w:val="left"/>
              <w:rPr>
                <w:rFonts w:ascii="宋体" w:hAnsi="宋体" w:cs="宋体" w:eastAsia="宋体" w:hint="default"/>
                <w:sz w:val="18"/>
                <w:szCs w:val="18"/>
              </w:rPr>
            </w:pPr>
            <w:r>
              <w:rPr>
                <w:rFonts w:ascii="宋体"/>
                <w:b/>
                <w:sz w:val="18"/>
              </w:rPr>
              <w:t>29,862.25</w:t>
            </w:r>
            <w:r>
              <w:rPr>
                <w:rFonts w:ascii="宋体"/>
                <w:sz w:val="18"/>
              </w:rPr>
            </w:r>
          </w:p>
        </w:tc>
        <w:tc>
          <w:tcPr>
            <w:tcW w:w="577" w:type="dxa"/>
            <w:tcBorders>
              <w:top w:val="single" w:sz="2" w:space="0" w:color="000000"/>
              <w:left w:val="single" w:sz="2" w:space="0" w:color="000000"/>
              <w:bottom w:val="single" w:sz="12" w:space="0" w:color="000000"/>
              <w:right w:val="single" w:sz="2" w:space="0" w:color="000000"/>
            </w:tcBorders>
          </w:tcPr>
          <w:p>
            <w:pPr/>
          </w:p>
        </w:tc>
        <w:tc>
          <w:tcPr>
            <w:tcW w:w="10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66"/>
              <w:jc w:val="right"/>
              <w:rPr>
                <w:rFonts w:ascii="宋体" w:hAnsi="宋体" w:cs="宋体" w:eastAsia="宋体" w:hint="default"/>
                <w:sz w:val="18"/>
                <w:szCs w:val="18"/>
              </w:rPr>
            </w:pPr>
            <w:r>
              <w:rPr>
                <w:rFonts w:ascii="宋体"/>
                <w:b/>
                <w:sz w:val="18"/>
              </w:rPr>
              <w:t>2,160.00</w:t>
            </w:r>
            <w:r>
              <w:rPr>
                <w:rFonts w:ascii="宋体"/>
                <w:sz w:val="18"/>
              </w:rPr>
            </w:r>
          </w:p>
        </w:tc>
        <w:tc>
          <w:tcPr>
            <w:tcW w:w="9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68"/>
              <w:jc w:val="right"/>
              <w:rPr>
                <w:rFonts w:ascii="宋体" w:hAnsi="宋体" w:cs="宋体" w:eastAsia="宋体" w:hint="default"/>
                <w:sz w:val="18"/>
                <w:szCs w:val="18"/>
              </w:rPr>
            </w:pPr>
            <w:r>
              <w:rPr>
                <w:rFonts w:ascii="宋体"/>
                <w:b/>
                <w:w w:val="95"/>
                <w:sz w:val="18"/>
              </w:rPr>
              <w:t>2,188.66</w:t>
            </w:r>
            <w:r>
              <w:rPr>
                <w:rFonts w:ascii="宋体"/>
                <w:sz w:val="18"/>
              </w:rPr>
            </w:r>
          </w:p>
        </w:tc>
        <w:tc>
          <w:tcPr>
            <w:tcW w:w="462" w:type="dxa"/>
            <w:tcBorders>
              <w:top w:val="single" w:sz="2" w:space="0" w:color="000000"/>
              <w:left w:val="single" w:sz="2" w:space="0" w:color="000000"/>
              <w:bottom w:val="single" w:sz="12" w:space="0" w:color="000000"/>
              <w:right w:val="single" w:sz="2" w:space="0" w:color="000000"/>
            </w:tcBorders>
          </w:tcPr>
          <w:p>
            <w:pPr/>
          </w:p>
        </w:tc>
        <w:tc>
          <w:tcPr>
            <w:tcW w:w="10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166" w:right="0"/>
              <w:jc w:val="left"/>
              <w:rPr>
                <w:rFonts w:ascii="宋体" w:hAnsi="宋体" w:cs="宋体" w:eastAsia="宋体" w:hint="default"/>
                <w:sz w:val="18"/>
                <w:szCs w:val="18"/>
              </w:rPr>
            </w:pPr>
            <w:r>
              <w:rPr>
                <w:rFonts w:ascii="宋体"/>
                <w:b/>
                <w:sz w:val="18"/>
              </w:rPr>
              <w:t>29,890.91</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ind w:left="644" w:right="80"/>
        <w:jc w:val="left"/>
      </w:pPr>
      <w:r>
        <w:rPr/>
        <w:t>28.</w:t>
      </w:r>
      <w:r>
        <w:rPr>
          <w:spacing w:val="-48"/>
        </w:rPr>
        <w:t> </w:t>
      </w:r>
      <w:r>
        <w:rPr/>
        <w:t>递延收益</w:t>
      </w:r>
    </w:p>
    <w:p>
      <w:pPr>
        <w:pStyle w:val="BodyText"/>
        <w:spacing w:line="240" w:lineRule="auto" w:before="192"/>
        <w:ind w:left="666" w:right="80"/>
        <w:jc w:val="left"/>
      </w:pPr>
      <w:r>
        <w:rPr/>
        <w:t>（1）</w:t>
      </w:r>
      <w:r>
        <w:rPr>
          <w:spacing w:val="43"/>
        </w:rPr>
        <w:t> </w:t>
      </w:r>
      <w:r>
        <w:rPr/>
        <w:t>递延收益分类</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89"/>
        <w:gridCol w:w="1812"/>
        <w:gridCol w:w="1192"/>
        <w:gridCol w:w="1691"/>
        <w:gridCol w:w="1649"/>
        <w:gridCol w:w="1190"/>
      </w:tblGrid>
      <w:tr>
        <w:trPr>
          <w:trHeight w:val="415" w:hRule="exact"/>
        </w:trPr>
        <w:tc>
          <w:tcPr>
            <w:tcW w:w="11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6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1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15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0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152" w:right="0"/>
              <w:jc w:val="left"/>
              <w:rPr>
                <w:rFonts w:ascii="宋体" w:hAnsi="宋体" w:cs="宋体" w:eastAsia="宋体" w:hint="default"/>
                <w:sz w:val="22"/>
                <w:szCs w:val="22"/>
              </w:rPr>
            </w:pPr>
            <w:r>
              <w:rPr>
                <w:rFonts w:ascii="宋体" w:hAnsi="宋体" w:cs="宋体" w:eastAsia="宋体" w:hint="default"/>
                <w:b/>
                <w:bCs/>
                <w:sz w:val="22"/>
                <w:szCs w:val="22"/>
              </w:rPr>
              <w:t>形成原因</w:t>
            </w:r>
            <w:r>
              <w:rPr>
                <w:rFonts w:ascii="宋体" w:hAnsi="宋体" w:cs="宋体" w:eastAsia="宋体" w:hint="default"/>
                <w:sz w:val="22"/>
                <w:szCs w:val="22"/>
              </w:rPr>
            </w:r>
          </w:p>
        </w:tc>
      </w:tr>
      <w:tr>
        <w:trPr>
          <w:trHeight w:val="402" w:hRule="exact"/>
        </w:trPr>
        <w:tc>
          <w:tcPr>
            <w:tcW w:w="1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10,627,500.00</w:t>
            </w:r>
          </w:p>
        </w:tc>
        <w:tc>
          <w:tcPr>
            <w:tcW w:w="1192" w:type="dxa"/>
            <w:tcBorders>
              <w:top w:val="single" w:sz="2" w:space="0" w:color="000000"/>
              <w:left w:val="single" w:sz="2" w:space="0" w:color="000000"/>
              <w:bottom w:val="single" w:sz="2" w:space="0" w:color="000000"/>
              <w:right w:val="single" w:sz="2" w:space="0" w:color="000000"/>
            </w:tcBorders>
          </w:tcPr>
          <w:p>
            <w:pP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1,566,000.00</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13" w:right="0"/>
              <w:jc w:val="center"/>
              <w:rPr>
                <w:rFonts w:ascii="宋体" w:hAnsi="宋体" w:cs="宋体" w:eastAsia="宋体" w:hint="default"/>
                <w:sz w:val="22"/>
                <w:szCs w:val="22"/>
              </w:rPr>
            </w:pPr>
            <w:r>
              <w:rPr>
                <w:rFonts w:ascii="宋体"/>
                <w:sz w:val="22"/>
              </w:rPr>
              <w:t>9,061,500.00</w:t>
            </w:r>
          </w:p>
        </w:tc>
        <w:tc>
          <w:tcPr>
            <w:tcW w:w="1190"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11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10,627,500.00</w:t>
            </w:r>
            <w:r>
              <w:rPr>
                <w:rFonts w:ascii="宋体"/>
                <w:spacing w:val="-1"/>
                <w:sz w:val="22"/>
              </w:rPr>
            </w:r>
          </w:p>
        </w:tc>
        <w:tc>
          <w:tcPr>
            <w:tcW w:w="1192" w:type="dxa"/>
            <w:tcBorders>
              <w:top w:val="single" w:sz="2" w:space="0" w:color="000000"/>
              <w:left w:val="single" w:sz="2" w:space="0" w:color="000000"/>
              <w:bottom w:val="single" w:sz="12" w:space="0" w:color="000000"/>
              <w:right w:val="single" w:sz="2" w:space="0" w:color="000000"/>
            </w:tcBorders>
          </w:tcPr>
          <w:p>
            <w:pPr/>
          </w:p>
        </w:tc>
        <w:tc>
          <w:tcPr>
            <w:tcW w:w="16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1,566,000.00</w:t>
            </w:r>
            <w:r>
              <w:rPr>
                <w:rFonts w:ascii="宋体"/>
                <w:spacing w:val="-1"/>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122" w:right="0"/>
              <w:jc w:val="center"/>
              <w:rPr>
                <w:rFonts w:ascii="宋体" w:hAnsi="宋体" w:cs="宋体" w:eastAsia="宋体" w:hint="default"/>
                <w:sz w:val="22"/>
                <w:szCs w:val="22"/>
              </w:rPr>
            </w:pPr>
            <w:r>
              <w:rPr>
                <w:rFonts w:ascii="宋体"/>
                <w:b/>
                <w:sz w:val="22"/>
              </w:rPr>
              <w:t>9,061,500.00</w:t>
            </w:r>
            <w:r>
              <w:rPr>
                <w:rFonts w:ascii="宋体"/>
                <w:sz w:val="22"/>
              </w:rPr>
            </w:r>
          </w:p>
        </w:tc>
        <w:tc>
          <w:tcPr>
            <w:tcW w:w="11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（2）</w:t>
      </w:r>
      <w:r>
        <w:rPr>
          <w:spacing w:val="43"/>
        </w:rPr>
        <w:t> </w:t>
      </w:r>
      <w:r>
        <w:rPr/>
        <w:t>政府补助项目</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81"/>
        <w:gridCol w:w="1410"/>
        <w:gridCol w:w="764"/>
        <w:gridCol w:w="1317"/>
        <w:gridCol w:w="1390"/>
        <w:gridCol w:w="1417"/>
        <w:gridCol w:w="1244"/>
      </w:tblGrid>
      <w:tr>
        <w:trPr>
          <w:trHeight w:val="798" w:hRule="exact"/>
        </w:trPr>
        <w:tc>
          <w:tcPr>
            <w:tcW w:w="1181" w:type="dxa"/>
            <w:tcBorders>
              <w:top w:val="single" w:sz="12" w:space="0" w:color="000000"/>
              <w:left w:val="nil" w:sz="6" w:space="0" w:color="auto"/>
              <w:bottom w:val="single" w:sz="2" w:space="0" w:color="000000"/>
              <w:right w:val="single" w:sz="2" w:space="0" w:color="000000"/>
            </w:tcBorders>
          </w:tcPr>
          <w:p>
            <w:pPr>
              <w:pStyle w:val="TableParagraph"/>
              <w:spacing w:line="232" w:lineRule="exact" w:before="153"/>
              <w:ind w:left="53" w:right="48"/>
              <w:jc w:val="left"/>
              <w:rPr>
                <w:rFonts w:ascii="宋体" w:hAnsi="宋体" w:cs="宋体" w:eastAsia="宋体" w:hint="default"/>
                <w:sz w:val="18"/>
                <w:szCs w:val="18"/>
              </w:rPr>
            </w:pPr>
            <w:r>
              <w:rPr>
                <w:rFonts w:ascii="宋体" w:hAnsi="宋体" w:cs="宋体" w:eastAsia="宋体" w:hint="default"/>
                <w:b/>
                <w:bCs/>
                <w:sz w:val="18"/>
                <w:szCs w:val="18"/>
              </w:rPr>
              <w:t>政</w:t>
            </w:r>
            <w:r>
              <w:rPr>
                <w:rFonts w:ascii="宋体" w:hAnsi="宋体" w:cs="宋体" w:eastAsia="宋体" w:hint="default"/>
                <w:b/>
                <w:bCs/>
                <w:spacing w:val="-49"/>
                <w:sz w:val="18"/>
                <w:szCs w:val="18"/>
              </w:rPr>
              <w:t> </w:t>
            </w:r>
            <w:r>
              <w:rPr>
                <w:rFonts w:ascii="宋体" w:hAnsi="宋体" w:cs="宋体" w:eastAsia="宋体" w:hint="default"/>
                <w:b/>
                <w:bCs/>
                <w:sz w:val="18"/>
                <w:szCs w:val="18"/>
              </w:rPr>
              <w:t>府</w:t>
            </w:r>
            <w:r>
              <w:rPr>
                <w:rFonts w:ascii="宋体" w:hAnsi="宋体" w:cs="宋体" w:eastAsia="宋体" w:hint="default"/>
                <w:b/>
                <w:bCs/>
                <w:spacing w:val="-47"/>
                <w:sz w:val="18"/>
                <w:szCs w:val="18"/>
              </w:rPr>
              <w:t> </w:t>
            </w:r>
            <w:r>
              <w:rPr>
                <w:rFonts w:ascii="宋体" w:hAnsi="宋体" w:cs="宋体" w:eastAsia="宋体" w:hint="default"/>
                <w:b/>
                <w:bCs/>
                <w:sz w:val="18"/>
                <w:szCs w:val="18"/>
              </w:rPr>
              <w:t>补</w:t>
            </w:r>
            <w:r>
              <w:rPr>
                <w:rFonts w:ascii="宋体" w:hAnsi="宋体" w:cs="宋体" w:eastAsia="宋体" w:hint="default"/>
                <w:b/>
                <w:bCs/>
                <w:spacing w:val="-49"/>
                <w:sz w:val="18"/>
                <w:szCs w:val="18"/>
              </w:rPr>
              <w:t> </w:t>
            </w:r>
            <w:r>
              <w:rPr>
                <w:rFonts w:ascii="宋体" w:hAnsi="宋体" w:cs="宋体" w:eastAsia="宋体" w:hint="default"/>
                <w:b/>
                <w:bCs/>
                <w:sz w:val="18"/>
                <w:szCs w:val="18"/>
              </w:rPr>
              <w:t>助</w:t>
            </w:r>
            <w:r>
              <w:rPr>
                <w:rFonts w:ascii="宋体" w:hAnsi="宋体" w:cs="宋体" w:eastAsia="宋体" w:hint="default"/>
                <w:b/>
                <w:bCs/>
                <w:spacing w:val="-4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6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3"/>
              <w:ind w:left="109" w:right="105"/>
              <w:jc w:val="both"/>
              <w:rPr>
                <w:rFonts w:ascii="宋体" w:hAnsi="宋体" w:cs="宋体" w:eastAsia="宋体" w:hint="default"/>
                <w:sz w:val="18"/>
                <w:szCs w:val="18"/>
              </w:rPr>
            </w:pPr>
            <w:r>
              <w:rPr>
                <w:rFonts w:ascii="宋体" w:hAnsi="宋体" w:cs="宋体" w:eastAsia="宋体" w:hint="default"/>
                <w:b/>
                <w:bCs/>
                <w:sz w:val="18"/>
                <w:szCs w:val="18"/>
              </w:rPr>
              <w:t>本年新</w:t>
            </w:r>
            <w:r>
              <w:rPr>
                <w:rFonts w:ascii="宋体" w:hAnsi="宋体" w:cs="宋体" w:eastAsia="宋体" w:hint="default"/>
                <w:b/>
                <w:bCs/>
                <w:w w:val="99"/>
                <w:sz w:val="18"/>
                <w:szCs w:val="18"/>
              </w:rPr>
              <w:t> </w:t>
            </w:r>
            <w:r>
              <w:rPr>
                <w:rFonts w:ascii="宋体" w:hAnsi="宋体" w:cs="宋体" w:eastAsia="宋体" w:hint="default"/>
                <w:b/>
                <w:bCs/>
                <w:sz w:val="18"/>
                <w:szCs w:val="18"/>
              </w:rPr>
              <w:t>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31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3"/>
              <w:ind w:left="204" w:right="111" w:hanging="89"/>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44"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153"/>
              <w:ind w:left="170" w:right="122"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85" w:hRule="exact"/>
        </w:trPr>
        <w:tc>
          <w:tcPr>
            <w:tcW w:w="1181"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2"/>
              <w:ind w:left="53" w:right="48"/>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pacing w:val="-51"/>
                <w:sz w:val="18"/>
                <w:szCs w:val="18"/>
              </w:rPr>
              <w:t> </w:t>
            </w:r>
            <w:r>
              <w:rPr>
                <w:rFonts w:ascii="宋体" w:hAnsi="宋体" w:cs="宋体" w:eastAsia="宋体" w:hint="default"/>
                <w:sz w:val="18"/>
                <w:szCs w:val="18"/>
              </w:rPr>
              <w:t>公里</w:t>
            </w:r>
            <w:r>
              <w:rPr>
                <w:rFonts w:ascii="宋体" w:hAnsi="宋体" w:cs="宋体" w:eastAsia="宋体" w:hint="default"/>
                <w:sz w:val="18"/>
                <w:szCs w:val="18"/>
              </w:rPr>
              <w:t> 500KV</w:t>
            </w:r>
            <w:r>
              <w:rPr>
                <w:rFonts w:ascii="宋体" w:hAnsi="宋体" w:cs="宋体" w:eastAsia="宋体" w:hint="default"/>
                <w:spacing w:val="-34"/>
                <w:sz w:val="18"/>
                <w:szCs w:val="18"/>
              </w:rPr>
              <w:t> </w:t>
            </w:r>
            <w:r>
              <w:rPr>
                <w:rFonts w:ascii="宋体" w:hAnsi="宋体" w:cs="宋体" w:eastAsia="宋体" w:hint="default"/>
                <w:spacing w:val="8"/>
                <w:sz w:val="18"/>
                <w:szCs w:val="18"/>
              </w:rPr>
              <w:t>交联电</w:t>
            </w:r>
            <w:r>
              <w:rPr>
                <w:rFonts w:ascii="宋体" w:hAnsi="宋体" w:cs="宋体" w:eastAsia="宋体" w:hint="default"/>
                <w:sz w:val="18"/>
                <w:szCs w:val="18"/>
              </w:rPr>
              <w:t> 缆项目</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3,930,000.00</w:t>
            </w:r>
          </w:p>
        </w:tc>
        <w:tc>
          <w:tcPr>
            <w:tcW w:w="764" w:type="dxa"/>
            <w:tcBorders>
              <w:top w:val="single" w:sz="2" w:space="0" w:color="000000"/>
              <w:left w:val="single" w:sz="2" w:space="0" w:color="000000"/>
              <w:bottom w:val="single" w:sz="2" w:space="0" w:color="000000"/>
              <w:right w:val="single" w:sz="2" w:space="0" w:color="000000"/>
            </w:tcBorders>
          </w:tcPr>
          <w:p>
            <w:pPr/>
          </w:p>
        </w:tc>
        <w:tc>
          <w:tcPr>
            <w:tcW w:w="1317"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0" w:right="0"/>
              <w:jc w:val="left"/>
              <w:rPr>
                <w:rFonts w:ascii="宋体" w:hAnsi="宋体" w:cs="宋体" w:eastAsia="宋体" w:hint="default"/>
                <w:sz w:val="18"/>
                <w:szCs w:val="18"/>
              </w:rPr>
            </w:pPr>
            <w:r>
              <w:rPr>
                <w:rFonts w:ascii="宋体"/>
                <w:sz w:val="18"/>
              </w:rPr>
              <w:t>720,000.00</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3,210,000.00</w:t>
            </w: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019" w:hRule="exact"/>
        </w:trPr>
        <w:tc>
          <w:tcPr>
            <w:tcW w:w="1181"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4"/>
              <w:ind w:left="53" w:right="5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万吨超</w:t>
            </w:r>
            <w:r>
              <w:rPr>
                <w:rFonts w:ascii="宋体" w:hAnsi="宋体" w:cs="宋体" w:eastAsia="宋体" w:hint="default"/>
                <w:sz w:val="18"/>
                <w:szCs w:val="18"/>
              </w:rPr>
              <w:t> 高</w:t>
            </w:r>
            <w:r>
              <w:rPr>
                <w:rFonts w:ascii="宋体" w:hAnsi="宋体" w:cs="宋体" w:eastAsia="宋体" w:hint="default"/>
                <w:spacing w:val="-47"/>
                <w:sz w:val="18"/>
                <w:szCs w:val="18"/>
              </w:rPr>
              <w:t> </w:t>
            </w:r>
            <w:r>
              <w:rPr>
                <w:rFonts w:ascii="宋体" w:hAnsi="宋体" w:cs="宋体" w:eastAsia="宋体" w:hint="default"/>
                <w:sz w:val="18"/>
                <w:szCs w:val="18"/>
              </w:rPr>
              <w:t>压</w:t>
            </w:r>
            <w:r>
              <w:rPr>
                <w:rFonts w:ascii="宋体" w:hAnsi="宋体" w:cs="宋体" w:eastAsia="宋体" w:hint="default"/>
                <w:spacing w:val="-47"/>
                <w:sz w:val="18"/>
                <w:szCs w:val="18"/>
              </w:rPr>
              <w:t> </w:t>
            </w:r>
            <w:r>
              <w:rPr>
                <w:rFonts w:ascii="宋体" w:hAnsi="宋体" w:cs="宋体" w:eastAsia="宋体" w:hint="default"/>
                <w:sz w:val="18"/>
                <w:szCs w:val="18"/>
              </w:rPr>
              <w:t>电</w:t>
            </w:r>
            <w:r>
              <w:rPr>
                <w:rFonts w:ascii="宋体" w:hAnsi="宋体" w:cs="宋体" w:eastAsia="宋体" w:hint="default"/>
                <w:spacing w:val="-47"/>
                <w:sz w:val="18"/>
                <w:szCs w:val="18"/>
              </w:rPr>
              <w:t> </w:t>
            </w:r>
            <w:r>
              <w:rPr>
                <w:rFonts w:ascii="宋体" w:hAnsi="宋体" w:cs="宋体" w:eastAsia="宋体" w:hint="default"/>
                <w:sz w:val="18"/>
                <w:szCs w:val="18"/>
              </w:rPr>
              <w:t>缆</w:t>
            </w:r>
            <w:r>
              <w:rPr>
                <w:rFonts w:ascii="宋体" w:hAnsi="宋体" w:cs="宋体" w:eastAsia="宋体" w:hint="default"/>
                <w:spacing w:val="-47"/>
                <w:sz w:val="18"/>
                <w:szCs w:val="18"/>
              </w:rPr>
              <w:t> </w:t>
            </w:r>
            <w:r>
              <w:rPr>
                <w:rFonts w:ascii="宋体" w:hAnsi="宋体" w:cs="宋体" w:eastAsia="宋体" w:hint="default"/>
                <w:sz w:val="18"/>
                <w:szCs w:val="18"/>
              </w:rPr>
              <w:t>绝</w:t>
            </w:r>
            <w:r>
              <w:rPr>
                <w:rFonts w:ascii="宋体" w:hAnsi="宋体" w:cs="宋体" w:eastAsia="宋体" w:hint="default"/>
                <w:sz w:val="18"/>
                <w:szCs w:val="18"/>
              </w:rPr>
              <w:t> </w:t>
            </w:r>
            <w:r>
              <w:rPr>
                <w:rFonts w:ascii="宋体" w:hAnsi="宋体" w:cs="宋体" w:eastAsia="宋体" w:hint="default"/>
                <w:spacing w:val="-2"/>
                <w:sz w:val="18"/>
                <w:szCs w:val="18"/>
              </w:rPr>
              <w:t>缘料”项目政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府补助</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
              <w:jc w:val="right"/>
              <w:rPr>
                <w:rFonts w:ascii="宋体" w:hAnsi="宋体" w:cs="宋体" w:eastAsia="宋体" w:hint="default"/>
                <w:sz w:val="18"/>
                <w:szCs w:val="18"/>
              </w:rPr>
            </w:pPr>
            <w:r>
              <w:rPr>
                <w:rFonts w:ascii="宋体"/>
                <w:spacing w:val="-1"/>
                <w:sz w:val="18"/>
              </w:rPr>
              <w:t>6,697,500.00</w:t>
            </w:r>
          </w:p>
        </w:tc>
        <w:tc>
          <w:tcPr>
            <w:tcW w:w="764" w:type="dxa"/>
            <w:tcBorders>
              <w:top w:val="single" w:sz="2" w:space="0" w:color="000000"/>
              <w:left w:val="single" w:sz="2" w:space="0" w:color="000000"/>
              <w:bottom w:val="single" w:sz="2" w:space="0" w:color="000000"/>
              <w:right w:val="single" w:sz="2" w:space="0" w:color="000000"/>
            </w:tcBorders>
          </w:tcPr>
          <w:p>
            <w:pPr/>
          </w:p>
        </w:tc>
        <w:tc>
          <w:tcPr>
            <w:tcW w:w="1317"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80" w:right="0"/>
              <w:jc w:val="left"/>
              <w:rPr>
                <w:rFonts w:ascii="宋体" w:hAnsi="宋体" w:cs="宋体" w:eastAsia="宋体" w:hint="default"/>
                <w:sz w:val="18"/>
                <w:szCs w:val="18"/>
              </w:rPr>
            </w:pPr>
            <w:r>
              <w:rPr>
                <w:rFonts w:ascii="宋体"/>
                <w:sz w:val="18"/>
              </w:rPr>
              <w:t>846,000.00</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宋体" w:hAnsi="宋体" w:cs="宋体" w:eastAsia="宋体" w:hint="default"/>
                <w:sz w:val="18"/>
                <w:szCs w:val="18"/>
              </w:rPr>
            </w:pPr>
            <w:r>
              <w:rPr>
                <w:rFonts w:ascii="宋体"/>
                <w:spacing w:val="-1"/>
                <w:sz w:val="18"/>
              </w:rPr>
              <w:t>5,851,500.00</w:t>
            </w: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 w:hRule="exact"/>
        </w:trPr>
        <w:tc>
          <w:tcPr>
            <w:tcW w:w="11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38"/>
              <w:jc w:val="right"/>
              <w:rPr>
                <w:rFonts w:ascii="宋体" w:hAnsi="宋体" w:cs="宋体" w:eastAsia="宋体" w:hint="default"/>
                <w:sz w:val="18"/>
                <w:szCs w:val="18"/>
              </w:rPr>
            </w:pPr>
            <w:r>
              <w:rPr>
                <w:rFonts w:ascii="宋体"/>
                <w:b/>
                <w:w w:val="95"/>
                <w:sz w:val="18"/>
              </w:rPr>
              <w:t>10,627,500.00</w:t>
            </w:r>
            <w:r>
              <w:rPr>
                <w:rFonts w:ascii="宋体"/>
                <w:sz w:val="18"/>
              </w:rPr>
            </w:r>
          </w:p>
        </w:tc>
        <w:tc>
          <w:tcPr>
            <w:tcW w:w="764" w:type="dxa"/>
            <w:tcBorders>
              <w:top w:val="single" w:sz="2" w:space="0" w:color="000000"/>
              <w:left w:val="single" w:sz="2" w:space="0" w:color="000000"/>
              <w:bottom w:val="single" w:sz="12" w:space="0" w:color="000000"/>
              <w:right w:val="single" w:sz="2" w:space="0" w:color="000000"/>
            </w:tcBorders>
          </w:tcPr>
          <w:p>
            <w:pPr/>
          </w:p>
        </w:tc>
        <w:tc>
          <w:tcPr>
            <w:tcW w:w="1317" w:type="dxa"/>
            <w:tcBorders>
              <w:top w:val="single" w:sz="2" w:space="0" w:color="000000"/>
              <w:left w:val="single" w:sz="2" w:space="0" w:color="000000"/>
              <w:bottom w:val="single" w:sz="12" w:space="0" w:color="000000"/>
              <w:right w:val="single" w:sz="2" w:space="0" w:color="000000"/>
            </w:tcBorders>
          </w:tcPr>
          <w:p>
            <w:pP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b/>
                <w:sz w:val="18"/>
              </w:rPr>
              <w:t>1,566,000.00</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40"/>
              <w:jc w:val="right"/>
              <w:rPr>
                <w:rFonts w:ascii="宋体" w:hAnsi="宋体" w:cs="宋体" w:eastAsia="宋体" w:hint="default"/>
                <w:sz w:val="18"/>
                <w:szCs w:val="18"/>
              </w:rPr>
            </w:pPr>
            <w:r>
              <w:rPr>
                <w:rFonts w:ascii="宋体"/>
                <w:b/>
                <w:w w:val="95"/>
                <w:sz w:val="18"/>
              </w:rPr>
              <w:t>9,061,500.00</w:t>
            </w:r>
            <w:r>
              <w:rPr>
                <w:rFonts w:ascii="宋体"/>
                <w:sz w:val="18"/>
              </w:rPr>
            </w:r>
          </w:p>
        </w:tc>
        <w:tc>
          <w:tcPr>
            <w:tcW w:w="124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680" w:right="80"/>
        <w:jc w:val="left"/>
      </w:pPr>
      <w:r>
        <w:rPr>
          <w:spacing w:val="-1"/>
          <w:w w:val="100"/>
        </w:rPr>
        <w:t>注</w:t>
      </w:r>
      <w:r>
        <w:rPr>
          <w:spacing w:val="-123"/>
          <w:w w:val="100"/>
        </w:rPr>
        <w:t>：</w:t>
      </w:r>
      <w:r>
        <w:rPr>
          <w:spacing w:val="-3"/>
          <w:w w:val="100"/>
        </w:rPr>
        <w:t>“</w:t>
      </w:r>
      <w:r>
        <w:rPr>
          <w:spacing w:val="-1"/>
          <w:w w:val="100"/>
        </w:rPr>
        <w:t>其</w:t>
      </w:r>
      <w:r>
        <w:rPr>
          <w:spacing w:val="-3"/>
          <w:w w:val="100"/>
        </w:rPr>
        <w:t>他</w:t>
      </w:r>
      <w:r>
        <w:rPr>
          <w:spacing w:val="-1"/>
          <w:w w:val="100"/>
        </w:rPr>
        <w:t>变动</w:t>
      </w:r>
      <w:r>
        <w:rPr>
          <w:spacing w:val="-63"/>
          <w:w w:val="100"/>
        </w:rPr>
        <w:t>”</w:t>
      </w:r>
      <w:r>
        <w:rPr>
          <w:spacing w:val="-1"/>
          <w:w w:val="100"/>
        </w:rPr>
        <w:t>系</w:t>
      </w:r>
      <w:r>
        <w:rPr>
          <w:spacing w:val="-3"/>
          <w:w w:val="100"/>
        </w:rPr>
        <w:t>结</w:t>
      </w:r>
      <w:r>
        <w:rPr>
          <w:spacing w:val="-1"/>
          <w:w w:val="100"/>
        </w:rPr>
        <w:t>转到</w:t>
      </w:r>
      <w:r>
        <w:rPr>
          <w:spacing w:val="-3"/>
          <w:w w:val="100"/>
        </w:rPr>
        <w:t>其</w:t>
      </w:r>
      <w:r>
        <w:rPr>
          <w:spacing w:val="-1"/>
          <w:w w:val="100"/>
        </w:rPr>
        <w:t>他流</w:t>
      </w:r>
      <w:r>
        <w:rPr>
          <w:spacing w:val="-3"/>
          <w:w w:val="100"/>
        </w:rPr>
        <w:t>动</w:t>
      </w:r>
      <w:r>
        <w:rPr>
          <w:spacing w:val="-1"/>
          <w:w w:val="100"/>
        </w:rPr>
        <w:t>负债</w:t>
      </w:r>
      <w:r>
        <w:rPr>
          <w:spacing w:val="-3"/>
          <w:w w:val="100"/>
        </w:rPr>
        <w:t>项</w:t>
      </w:r>
      <w:r>
        <w:rPr>
          <w:spacing w:val="-1"/>
          <w:w w:val="100"/>
        </w:rPr>
        <w:t>目的</w:t>
      </w:r>
      <w:r>
        <w:rPr>
          <w:spacing w:val="-3"/>
          <w:w w:val="100"/>
        </w:rPr>
        <w:t>预</w:t>
      </w:r>
      <w:r>
        <w:rPr>
          <w:spacing w:val="-1"/>
          <w:w w:val="100"/>
        </w:rPr>
        <w:t>计一</w:t>
      </w:r>
      <w:r>
        <w:rPr>
          <w:spacing w:val="-3"/>
          <w:w w:val="100"/>
        </w:rPr>
        <w:t>年</w:t>
      </w:r>
      <w:r>
        <w:rPr>
          <w:spacing w:val="-1"/>
          <w:w w:val="100"/>
        </w:rPr>
        <w:t>内结</w:t>
      </w:r>
      <w:r>
        <w:rPr>
          <w:spacing w:val="-3"/>
          <w:w w:val="100"/>
        </w:rPr>
        <w:t>转</w:t>
      </w:r>
      <w:r>
        <w:rPr>
          <w:spacing w:val="-1"/>
          <w:w w:val="100"/>
        </w:rPr>
        <w:t>利润</w:t>
      </w:r>
      <w:r>
        <w:rPr>
          <w:spacing w:val="-3"/>
          <w:w w:val="100"/>
        </w:rPr>
        <w:t>表</w:t>
      </w:r>
      <w:r>
        <w:rPr>
          <w:spacing w:val="-1"/>
          <w:w w:val="100"/>
        </w:rPr>
        <w:t>的政</w:t>
      </w:r>
      <w:r>
        <w:rPr>
          <w:spacing w:val="-3"/>
          <w:w w:val="100"/>
        </w:rPr>
        <w:t>府</w:t>
      </w:r>
      <w:r>
        <w:rPr>
          <w:spacing w:val="-1"/>
          <w:w w:val="100"/>
        </w:rPr>
        <w:t>补助</w:t>
      </w:r>
      <w:r>
        <w:rPr>
          <w:spacing w:val="-3"/>
          <w:w w:val="100"/>
        </w:rPr>
        <w:t>款</w:t>
      </w:r>
      <w:r>
        <w:rPr>
          <w:w w:val="100"/>
        </w:rPr>
        <w:t>。</w:t>
      </w:r>
    </w:p>
    <w:p>
      <w:pPr>
        <w:spacing w:after="0" w:line="240" w:lineRule="auto"/>
        <w:jc w:val="left"/>
        <w:sectPr>
          <w:pgSz w:w="11910" w:h="16840"/>
          <w:pgMar w:header="852" w:footer="873" w:top="1440" w:bottom="1060" w:left="1460" w:right="1460"/>
        </w:sectPr>
      </w:pPr>
    </w:p>
    <w:p>
      <w:pPr>
        <w:spacing w:line="240" w:lineRule="auto" w:before="1"/>
        <w:rPr>
          <w:rFonts w:ascii="宋体" w:hAnsi="宋体" w:cs="宋体" w:eastAsia="宋体" w:hint="default"/>
          <w:sz w:val="18"/>
          <w:szCs w:val="18"/>
        </w:rPr>
      </w:pPr>
    </w:p>
    <w:p>
      <w:pPr>
        <w:pStyle w:val="BodyText"/>
        <w:spacing w:line="240" w:lineRule="auto"/>
        <w:ind w:left="644" w:right="80"/>
        <w:jc w:val="left"/>
      </w:pPr>
      <w:r>
        <w:rPr/>
        <w:t>29.</w:t>
      </w:r>
      <w:r>
        <w:rPr>
          <w:spacing w:val="-46"/>
        </w:rPr>
        <w:t> </w:t>
      </w:r>
      <w:r>
        <w:rPr/>
        <w:t>股本</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59"/>
        <w:gridCol w:w="1559"/>
        <w:gridCol w:w="987"/>
        <w:gridCol w:w="567"/>
        <w:gridCol w:w="700"/>
        <w:gridCol w:w="1253"/>
        <w:gridCol w:w="1202"/>
        <w:gridCol w:w="1496"/>
      </w:tblGrid>
      <w:tr>
        <w:trPr>
          <w:trHeight w:val="415" w:hRule="exact"/>
        </w:trPr>
        <w:tc>
          <w:tcPr>
            <w:tcW w:w="959"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4709"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452" w:right="0"/>
              <w:jc w:val="left"/>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sz w:val="18"/>
                <w:szCs w:val="18"/>
              </w:rPr>
            </w:r>
          </w:p>
        </w:tc>
        <w:tc>
          <w:tcPr>
            <w:tcW w:w="1496"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959" w:type="dxa"/>
            <w:vMerge/>
            <w:tcBorders>
              <w:left w:val="nil" w:sz="6" w:space="0" w:color="auto"/>
              <w:bottom w:val="single" w:sz="2" w:space="0" w:color="000000"/>
              <w:right w:val="single" w:sz="2" w:space="0" w:color="000000"/>
            </w:tcBorders>
          </w:tcPr>
          <w:p>
            <w:pPr/>
          </w:p>
        </w:tc>
        <w:tc>
          <w:tcPr>
            <w:tcW w:w="1559" w:type="dxa"/>
            <w:vMerge/>
            <w:tcBorders>
              <w:left w:val="single" w:sz="2" w:space="0" w:color="000000"/>
              <w:bottom w:val="single" w:sz="2" w:space="0" w:color="000000"/>
              <w:right w:val="single" w:sz="2" w:space="0" w:color="000000"/>
            </w:tcBorders>
          </w:tcPr>
          <w:p>
            <w:pP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66" w:right="72" w:hanging="89"/>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96" w:type="dxa"/>
            <w:vMerge/>
            <w:tcBorders>
              <w:left w:val="single" w:sz="2" w:space="0" w:color="000000"/>
              <w:bottom w:val="single" w:sz="2" w:space="0" w:color="000000"/>
              <w:right w:val="nil" w:sz="6" w:space="0" w:color="auto"/>
            </w:tcBorders>
          </w:tcPr>
          <w:p>
            <w:pPr/>
          </w:p>
        </w:tc>
      </w:tr>
      <w:tr>
        <w:trPr>
          <w:trHeight w:val="414" w:hRule="exact"/>
        </w:trPr>
        <w:tc>
          <w:tcPr>
            <w:tcW w:w="9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41" w:right="0"/>
              <w:jc w:val="left"/>
              <w:rPr>
                <w:rFonts w:ascii="宋体" w:hAnsi="宋体" w:cs="宋体" w:eastAsia="宋体" w:hint="default"/>
                <w:sz w:val="18"/>
                <w:szCs w:val="18"/>
              </w:rPr>
            </w:pPr>
            <w:r>
              <w:rPr>
                <w:rFonts w:ascii="宋体"/>
                <w:sz w:val="18"/>
              </w:rPr>
              <w:t>939,635,488.00</w:t>
            </w:r>
          </w:p>
        </w:tc>
        <w:tc>
          <w:tcPr>
            <w:tcW w:w="987" w:type="dxa"/>
            <w:tcBorders>
              <w:top w:val="single" w:sz="2" w:space="0" w:color="000000"/>
              <w:left w:val="single" w:sz="2" w:space="0" w:color="000000"/>
              <w:bottom w:val="single" w:sz="12" w:space="0" w:color="000000"/>
              <w:right w:val="single" w:sz="2" w:space="0" w:color="000000"/>
            </w:tcBorders>
          </w:tcPr>
          <w:p>
            <w:pPr/>
          </w:p>
        </w:tc>
        <w:tc>
          <w:tcPr>
            <w:tcW w:w="567" w:type="dxa"/>
            <w:tcBorders>
              <w:top w:val="single" w:sz="2" w:space="0" w:color="000000"/>
              <w:left w:val="single" w:sz="2" w:space="0" w:color="000000"/>
              <w:bottom w:val="single" w:sz="12" w:space="0" w:color="000000"/>
              <w:right w:val="single" w:sz="2" w:space="0" w:color="000000"/>
            </w:tcBorders>
          </w:tcPr>
          <w:p>
            <w:pPr/>
          </w:p>
        </w:tc>
        <w:tc>
          <w:tcPr>
            <w:tcW w:w="700" w:type="dxa"/>
            <w:tcBorders>
              <w:top w:val="single" w:sz="2" w:space="0" w:color="000000"/>
              <w:left w:val="single" w:sz="2" w:space="0" w:color="000000"/>
              <w:bottom w:val="single" w:sz="12" w:space="0" w:color="000000"/>
              <w:right w:val="single" w:sz="2" w:space="0" w:color="000000"/>
            </w:tcBorders>
          </w:tcPr>
          <w:p>
            <w:pPr/>
          </w:p>
        </w:tc>
        <w:tc>
          <w:tcPr>
            <w:tcW w:w="1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sz w:val="18"/>
              </w:rPr>
              <w:t>-310,000.00</w:t>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-310,000.00</w:t>
            </w:r>
          </w:p>
        </w:tc>
        <w:tc>
          <w:tcPr>
            <w:tcW w:w="14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left="179" w:right="0"/>
              <w:jc w:val="left"/>
              <w:rPr>
                <w:rFonts w:ascii="宋体" w:hAnsi="宋体" w:cs="宋体" w:eastAsia="宋体" w:hint="default"/>
                <w:sz w:val="18"/>
                <w:szCs w:val="18"/>
              </w:rPr>
            </w:pPr>
            <w:r>
              <w:rPr>
                <w:rFonts w:ascii="宋体"/>
                <w:sz w:val="18"/>
              </w:rPr>
              <w:t>939,325,488.00</w:t>
            </w:r>
          </w:p>
        </w:tc>
      </w:tr>
    </w:tbl>
    <w:p>
      <w:pPr>
        <w:spacing w:line="240" w:lineRule="auto" w:before="2"/>
        <w:rPr>
          <w:rFonts w:ascii="宋体" w:hAnsi="宋体" w:cs="宋体" w:eastAsia="宋体" w:hint="default"/>
          <w:sz w:val="9"/>
          <w:szCs w:val="9"/>
        </w:rPr>
      </w:pPr>
    </w:p>
    <w:p>
      <w:pPr>
        <w:pStyle w:val="BodyText"/>
        <w:spacing w:line="300" w:lineRule="auto"/>
        <w:ind w:left="241" w:right="80" w:firstLine="439"/>
        <w:jc w:val="left"/>
      </w:pPr>
      <w:r>
        <w:rPr>
          <w:spacing w:val="-2"/>
        </w:rPr>
        <w:t>注：2015</w:t>
      </w:r>
      <w:r>
        <w:rPr>
          <w:spacing w:val="-50"/>
        </w:rPr>
        <w:t> </w:t>
      </w:r>
      <w:r>
        <w:rPr/>
        <w:t>年</w:t>
      </w:r>
      <w:r>
        <w:rPr>
          <w:spacing w:val="-46"/>
        </w:rPr>
        <w:t> </w:t>
      </w:r>
      <w:r>
        <w:rPr/>
        <w:t>5</w:t>
      </w:r>
      <w:r>
        <w:rPr>
          <w:spacing w:val="-50"/>
        </w:rPr>
        <w:t> </w:t>
      </w:r>
      <w:r>
        <w:rPr/>
        <w:t>月</w:t>
      </w:r>
      <w:r>
        <w:rPr>
          <w:spacing w:val="-46"/>
        </w:rPr>
        <w:t> </w:t>
      </w:r>
      <w:r>
        <w:rPr/>
        <w:t>27</w:t>
      </w:r>
      <w:r>
        <w:rPr>
          <w:spacing w:val="-46"/>
        </w:rPr>
        <w:t> </w:t>
      </w:r>
      <w:r>
        <w:rPr>
          <w:spacing w:val="-3"/>
        </w:rPr>
        <w:t>日，本公司第三届董事会第二十七次会议决议通过《关于回购注</w:t>
      </w:r>
      <w:r>
        <w:rPr>
          <w:w w:val="100"/>
        </w:rPr>
        <w:t> </w:t>
      </w:r>
      <w:r>
        <w:rPr>
          <w:spacing w:val="-2"/>
        </w:rPr>
        <w:t>销已离职激励对象已获授但尚未解锁限制性股票的议案》，原激励对象周天雷、乔文艺、</w:t>
      </w:r>
      <w:r>
        <w:rPr>
          <w:spacing w:val="-57"/>
        </w:rPr>
        <w:t> </w:t>
      </w:r>
      <w:r>
        <w:rPr>
          <w:spacing w:val="-57"/>
        </w:rPr>
      </w:r>
      <w:r>
        <w:rPr/>
        <w:t>包晓英、赵方臣因离职已不符合激励条件，按照激励计划的规定，以 2.27</w:t>
      </w:r>
      <w:r>
        <w:rPr>
          <w:spacing w:val="19"/>
        </w:rPr>
        <w:t> </w:t>
      </w:r>
      <w:r>
        <w:rPr/>
        <w:t>元/股的价格</w:t>
      </w:r>
    </w:p>
    <w:p>
      <w:pPr>
        <w:pStyle w:val="BodyText"/>
        <w:spacing w:line="300" w:lineRule="auto" w:before="17"/>
        <w:ind w:left="241" w:right="80"/>
        <w:jc w:val="left"/>
      </w:pPr>
      <w:r>
        <w:rPr>
          <w:spacing w:val="7"/>
        </w:rPr>
        <w:t>回购首期授予的周天雷、乔文艺、包晓英</w:t>
      </w:r>
      <w:r>
        <w:rPr>
          <w:spacing w:val="-13"/>
        </w:rPr>
        <w:t> </w:t>
      </w:r>
      <w:r>
        <w:rPr/>
        <w:t>3</w:t>
      </w:r>
      <w:r>
        <w:rPr>
          <w:spacing w:val="-10"/>
        </w:rPr>
        <w:t> </w:t>
      </w:r>
      <w:r>
        <w:rPr>
          <w:spacing w:val="7"/>
        </w:rPr>
        <w:t>位激励对象已获授但尚未解锁的全部股份</w:t>
      </w:r>
      <w:r>
        <w:rPr>
          <w:spacing w:val="-99"/>
        </w:rPr>
        <w:t> </w:t>
      </w:r>
      <w:r>
        <w:rPr>
          <w:spacing w:val="-99"/>
        </w:rPr>
      </w:r>
      <w:r>
        <w:rPr/>
        <w:t>210,000</w:t>
      </w:r>
      <w:r>
        <w:rPr>
          <w:spacing w:val="-63"/>
        </w:rPr>
        <w:t> </w:t>
      </w:r>
      <w:r>
        <w:rPr>
          <w:spacing w:val="-26"/>
        </w:rPr>
        <w:t>股，以</w:t>
      </w:r>
      <w:r>
        <w:rPr>
          <w:spacing w:val="-10"/>
        </w:rPr>
        <w:t> </w:t>
      </w:r>
      <w:r>
        <w:rPr/>
        <w:t>3.43</w:t>
      </w:r>
      <w:r>
        <w:rPr>
          <w:spacing w:val="-63"/>
        </w:rPr>
        <w:t> </w:t>
      </w:r>
      <w:r>
        <w:rPr/>
        <w:t>元/股的价格回购预留激励对象赵方臣已获授但尚未解锁的全部股份</w:t>
      </w:r>
    </w:p>
    <w:p>
      <w:pPr>
        <w:pStyle w:val="BodyText"/>
        <w:spacing w:line="240" w:lineRule="auto" w:before="17"/>
        <w:ind w:left="241" w:right="80"/>
        <w:jc w:val="left"/>
      </w:pPr>
      <w:r>
        <w:rPr/>
        <w:t>100,000</w:t>
      </w:r>
      <w:r>
        <w:rPr>
          <w:spacing w:val="-59"/>
        </w:rPr>
        <w:t> </w:t>
      </w:r>
      <w:r>
        <w:rPr/>
        <w:t>股，回购日为</w:t>
      </w:r>
      <w:r>
        <w:rPr>
          <w:spacing w:val="-56"/>
        </w:rPr>
        <w:t> </w:t>
      </w:r>
      <w:r>
        <w:rPr/>
        <w:t>2015</w:t>
      </w:r>
      <w:r>
        <w:rPr>
          <w:spacing w:val="-56"/>
        </w:rPr>
        <w:t> </w:t>
      </w:r>
      <w:r>
        <w:rPr/>
        <w:t>年</w:t>
      </w:r>
      <w:r>
        <w:rPr>
          <w:spacing w:val="-59"/>
        </w:rPr>
        <w:t> </w:t>
      </w:r>
      <w:r>
        <w:rPr/>
        <w:t>5</w:t>
      </w:r>
      <w:r>
        <w:rPr>
          <w:spacing w:val="-56"/>
        </w:rPr>
        <w:t> </w:t>
      </w:r>
      <w:r>
        <w:rPr/>
        <w:t>月</w:t>
      </w:r>
      <w:r>
        <w:rPr>
          <w:spacing w:val="-56"/>
        </w:rPr>
        <w:t> </w:t>
      </w:r>
      <w:r>
        <w:rPr/>
        <w:t>27</w:t>
      </w:r>
      <w:r>
        <w:rPr>
          <w:spacing w:val="-59"/>
        </w:rPr>
        <w:t> </w:t>
      </w:r>
      <w:r>
        <w:rPr/>
        <w:t>日。</w:t>
      </w:r>
    </w:p>
    <w:p>
      <w:pPr>
        <w:pStyle w:val="BodyText"/>
        <w:spacing w:line="240" w:lineRule="auto" w:before="192"/>
        <w:ind w:left="644" w:right="80"/>
        <w:jc w:val="left"/>
      </w:pPr>
      <w:r>
        <w:rPr/>
        <w:t>30.</w:t>
      </w:r>
      <w:r>
        <w:rPr>
          <w:spacing w:val="-48"/>
        </w:rPr>
        <w:t> </w:t>
      </w:r>
      <w:r>
        <w:rPr/>
        <w:t>资本公积</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19"/>
        <w:gridCol w:w="1935"/>
        <w:gridCol w:w="1568"/>
        <w:gridCol w:w="1549"/>
        <w:gridCol w:w="1952"/>
      </w:tblGrid>
      <w:tr>
        <w:trPr>
          <w:trHeight w:val="415" w:hRule="exact"/>
        </w:trPr>
        <w:tc>
          <w:tcPr>
            <w:tcW w:w="17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52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5"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3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9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532"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7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778,856,358.18</w:t>
            </w:r>
          </w:p>
        </w:tc>
        <w:tc>
          <w:tcPr>
            <w:tcW w:w="1568"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339" w:right="0"/>
              <w:jc w:val="left"/>
              <w:rPr>
                <w:rFonts w:ascii="宋体" w:hAnsi="宋体" w:cs="宋体" w:eastAsia="宋体" w:hint="default"/>
                <w:sz w:val="22"/>
                <w:szCs w:val="22"/>
              </w:rPr>
            </w:pPr>
            <w:r>
              <w:rPr>
                <w:rFonts w:ascii="宋体"/>
                <w:sz w:val="22"/>
              </w:rPr>
              <w:t>514,579.00</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778,341,779.18</w:t>
            </w:r>
          </w:p>
        </w:tc>
      </w:tr>
      <w:tr>
        <w:trPr>
          <w:trHeight w:val="402" w:hRule="exact"/>
        </w:trPr>
        <w:tc>
          <w:tcPr>
            <w:tcW w:w="17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其他资本公积</w:t>
            </w:r>
          </w:p>
        </w:tc>
        <w:tc>
          <w:tcPr>
            <w:tcW w:w="1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7,933,700.00</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34" w:right="0"/>
              <w:jc w:val="center"/>
              <w:rPr>
                <w:rFonts w:ascii="宋体" w:hAnsi="宋体" w:cs="宋体" w:eastAsia="宋体" w:hint="default"/>
                <w:sz w:val="22"/>
                <w:szCs w:val="22"/>
              </w:rPr>
            </w:pPr>
            <w:r>
              <w:rPr>
                <w:rFonts w:ascii="宋体"/>
                <w:sz w:val="22"/>
              </w:rPr>
              <w:t>3,681,400.00</w:t>
            </w:r>
          </w:p>
        </w:tc>
        <w:tc>
          <w:tcPr>
            <w:tcW w:w="1549"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11,615,100.00</w:t>
            </w:r>
          </w:p>
        </w:tc>
      </w:tr>
      <w:tr>
        <w:trPr>
          <w:trHeight w:val="414" w:hRule="exact"/>
        </w:trPr>
        <w:tc>
          <w:tcPr>
            <w:tcW w:w="17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89"/>
              <w:jc w:val="right"/>
              <w:rPr>
                <w:rFonts w:ascii="宋体" w:hAnsi="宋体" w:cs="宋体" w:eastAsia="宋体" w:hint="default"/>
                <w:sz w:val="22"/>
                <w:szCs w:val="22"/>
              </w:rPr>
            </w:pPr>
            <w:r>
              <w:rPr>
                <w:rFonts w:ascii="宋体"/>
                <w:b/>
                <w:spacing w:val="-1"/>
                <w:sz w:val="22"/>
              </w:rPr>
              <w:t>786,790,058.18</w:t>
            </w:r>
            <w:r>
              <w:rPr>
                <w:rFonts w:ascii="宋体"/>
                <w:spacing w:val="-1"/>
                <w:sz w:val="22"/>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43" w:right="0"/>
              <w:jc w:val="center"/>
              <w:rPr>
                <w:rFonts w:ascii="宋体" w:hAnsi="宋体" w:cs="宋体" w:eastAsia="宋体" w:hint="default"/>
                <w:sz w:val="22"/>
                <w:szCs w:val="22"/>
              </w:rPr>
            </w:pPr>
            <w:r>
              <w:rPr>
                <w:rFonts w:ascii="宋体"/>
                <w:b/>
                <w:sz w:val="22"/>
              </w:rPr>
              <w:t>3,681,400.00</w:t>
            </w:r>
            <w:r>
              <w:rPr>
                <w:rFonts w:ascii="宋体"/>
                <w:sz w:val="22"/>
              </w:rPr>
            </w:r>
          </w:p>
        </w:tc>
        <w:tc>
          <w:tcPr>
            <w:tcW w:w="15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339" w:right="0"/>
              <w:jc w:val="left"/>
              <w:rPr>
                <w:rFonts w:ascii="宋体" w:hAnsi="宋体" w:cs="宋体" w:eastAsia="宋体" w:hint="default"/>
                <w:sz w:val="22"/>
                <w:szCs w:val="22"/>
              </w:rPr>
            </w:pPr>
            <w:r>
              <w:rPr>
                <w:rFonts w:ascii="宋体"/>
                <w:b/>
                <w:sz w:val="22"/>
              </w:rPr>
              <w:t>514,579.00</w:t>
            </w:r>
            <w:r>
              <w:rPr>
                <w:rFonts w:ascii="宋体"/>
                <w:sz w:val="22"/>
              </w:rPr>
            </w:r>
          </w:p>
        </w:tc>
        <w:tc>
          <w:tcPr>
            <w:tcW w:w="19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789,956,879.18</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400" w:lineRule="auto"/>
        <w:ind w:left="644" w:right="1825" w:firstLine="36"/>
        <w:jc w:val="left"/>
      </w:pPr>
      <w:r>
        <w:rPr>
          <w:spacing w:val="-2"/>
        </w:rPr>
        <w:t>注：其他资本公积为股权激励形成，详见本附注十二、股份支付。</w:t>
      </w:r>
      <w:r>
        <w:rPr>
          <w:spacing w:val="-105"/>
        </w:rPr>
        <w:t> </w:t>
      </w:r>
      <w:r>
        <w:rPr>
          <w:spacing w:val="-105"/>
        </w:rPr>
      </w:r>
      <w:r>
        <w:rPr/>
        <w:t>31.</w:t>
      </w:r>
      <w:r>
        <w:rPr>
          <w:spacing w:val="-48"/>
        </w:rPr>
        <w:t> </w:t>
      </w:r>
      <w:r>
        <w:rPr/>
        <w:t>盈余公积</w:t>
      </w:r>
    </w:p>
    <w:tbl>
      <w:tblPr>
        <w:tblW w:w="0" w:type="auto"/>
        <w:jc w:val="left"/>
        <w:tblInd w:w="118" w:type="dxa"/>
        <w:tblLayout w:type="fixed"/>
        <w:tblCellMar>
          <w:top w:w="0" w:type="dxa"/>
          <w:left w:w="0" w:type="dxa"/>
          <w:bottom w:w="0" w:type="dxa"/>
          <w:right w:w="0" w:type="dxa"/>
        </w:tblCellMar>
        <w:tblLook w:val="01E0"/>
      </w:tblPr>
      <w:tblGrid>
        <w:gridCol w:w="1720"/>
        <w:gridCol w:w="1950"/>
        <w:gridCol w:w="1860"/>
        <w:gridCol w:w="1290"/>
        <w:gridCol w:w="1903"/>
      </w:tblGrid>
      <w:tr>
        <w:trPr>
          <w:trHeight w:val="415" w:hRule="exact"/>
        </w:trPr>
        <w:tc>
          <w:tcPr>
            <w:tcW w:w="17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531"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8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8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2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0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9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50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133,228,009.23</w:t>
            </w:r>
          </w:p>
        </w:tc>
        <w:tc>
          <w:tcPr>
            <w:tcW w:w="18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24,840,357.53</w:t>
            </w:r>
          </w:p>
        </w:tc>
        <w:tc>
          <w:tcPr>
            <w:tcW w:w="1290" w:type="dxa"/>
            <w:tcBorders>
              <w:top w:val="single" w:sz="2" w:space="0" w:color="000000"/>
              <w:left w:val="single" w:sz="2" w:space="0" w:color="000000"/>
              <w:bottom w:val="single" w:sz="2" w:space="0" w:color="000000"/>
              <w:right w:val="single" w:sz="2" w:space="0" w:color="000000"/>
            </w:tcBorders>
          </w:tcPr>
          <w:p>
            <w:pP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158,068,366.76</w:t>
            </w:r>
          </w:p>
        </w:tc>
      </w:tr>
      <w:tr>
        <w:trPr>
          <w:trHeight w:val="414" w:hRule="exact"/>
        </w:trPr>
        <w:tc>
          <w:tcPr>
            <w:tcW w:w="17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133,228,009.23</w:t>
            </w:r>
            <w:r>
              <w:rPr>
                <w:rFonts w:ascii="宋体"/>
                <w:spacing w:val="-1"/>
                <w:sz w:val="22"/>
              </w:rPr>
            </w:r>
          </w:p>
        </w:tc>
        <w:tc>
          <w:tcPr>
            <w:tcW w:w="18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24,840,357.53</w:t>
            </w:r>
            <w:r>
              <w:rPr>
                <w:rFonts w:ascii="宋体"/>
                <w:spacing w:val="-1"/>
                <w:sz w:val="22"/>
              </w:rPr>
            </w:r>
          </w:p>
        </w:tc>
        <w:tc>
          <w:tcPr>
            <w:tcW w:w="1290" w:type="dxa"/>
            <w:tcBorders>
              <w:top w:val="single" w:sz="2" w:space="0" w:color="000000"/>
              <w:left w:val="single" w:sz="2" w:space="0" w:color="000000"/>
              <w:bottom w:val="single" w:sz="12" w:space="0" w:color="000000"/>
              <w:right w:val="single" w:sz="2" w:space="0" w:color="000000"/>
            </w:tcBorders>
          </w:tcPr>
          <w:p>
            <w:pPr/>
          </w:p>
        </w:tc>
        <w:tc>
          <w:tcPr>
            <w:tcW w:w="19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158,068,366.76</w:t>
            </w:r>
            <w:r>
              <w:rPr>
                <w:rFonts w:ascii="宋体"/>
                <w:spacing w:val="-1"/>
                <w:sz w:val="22"/>
              </w:rPr>
            </w:r>
          </w:p>
        </w:tc>
      </w:tr>
    </w:tbl>
    <w:p>
      <w:pPr>
        <w:spacing w:line="240" w:lineRule="auto" w:before="1"/>
        <w:rPr>
          <w:rFonts w:ascii="宋体" w:hAnsi="宋体" w:cs="宋体" w:eastAsia="宋体" w:hint="default"/>
          <w:sz w:val="10"/>
          <w:szCs w:val="10"/>
        </w:rPr>
      </w:pPr>
    </w:p>
    <w:p>
      <w:pPr>
        <w:pStyle w:val="BodyText"/>
        <w:spacing w:line="300" w:lineRule="auto"/>
        <w:ind w:left="241" w:right="80" w:firstLine="439"/>
        <w:jc w:val="left"/>
      </w:pPr>
      <w:r>
        <w:rPr>
          <w:spacing w:val="-4"/>
        </w:rPr>
        <w:t>注：盈余公积本年增加为按本公司、万马高分子公司、天屹通信公司、万马新能源公</w:t>
      </w:r>
      <w:r>
        <w:rPr>
          <w:w w:val="100"/>
        </w:rPr>
        <w:t> </w:t>
      </w:r>
      <w:r>
        <w:rPr>
          <w:spacing w:val="-2"/>
        </w:rPr>
        <w:t>司、万马专缆公司以及万马电缆公司本年净利润的</w:t>
      </w:r>
      <w:r>
        <w:rPr>
          <w:spacing w:val="-8"/>
        </w:rPr>
        <w:t> </w:t>
      </w:r>
      <w:r>
        <w:rPr>
          <w:spacing w:val="-2"/>
        </w:rPr>
        <w:t>10%计提的法定盈余公积。</w:t>
      </w:r>
    </w:p>
    <w:p>
      <w:pPr>
        <w:pStyle w:val="BodyText"/>
        <w:spacing w:line="240" w:lineRule="auto" w:before="137"/>
        <w:ind w:left="644" w:right="80"/>
        <w:jc w:val="left"/>
      </w:pPr>
      <w:r>
        <w:rPr/>
        <w:t>32.</w:t>
      </w:r>
      <w:r>
        <w:rPr>
          <w:spacing w:val="-48"/>
        </w:rPr>
        <w:t> </w:t>
      </w:r>
      <w:r>
        <w:rPr/>
        <w:t>未分配利润</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503"/>
        <w:gridCol w:w="2109"/>
        <w:gridCol w:w="2111"/>
      </w:tblGrid>
      <w:tr>
        <w:trPr>
          <w:trHeight w:val="415" w:hRule="exact"/>
        </w:trPr>
        <w:tc>
          <w:tcPr>
            <w:tcW w:w="45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1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402" w:hRule="exact"/>
        </w:trPr>
        <w:tc>
          <w:tcPr>
            <w:tcW w:w="45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上年年末余额</w:t>
            </w:r>
            <w:r>
              <w:rPr>
                <w:rFonts w:ascii="宋体" w:hAnsi="宋体" w:cs="宋体" w:eastAsia="宋体" w:hint="default"/>
                <w:sz w:val="22"/>
                <w:szCs w:val="22"/>
              </w:rPr>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857,886,642.34</w:t>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690,247,501.52</w:t>
            </w:r>
          </w:p>
        </w:tc>
      </w:tr>
      <w:tr>
        <w:trPr>
          <w:trHeight w:val="402" w:hRule="exact"/>
        </w:trPr>
        <w:tc>
          <w:tcPr>
            <w:tcW w:w="45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109" w:type="dxa"/>
            <w:tcBorders>
              <w:top w:val="single" w:sz="2" w:space="0" w:color="000000"/>
              <w:left w:val="single" w:sz="2" w:space="0" w:color="000000"/>
              <w:bottom w:val="single" w:sz="2" w:space="0" w:color="000000"/>
              <w:right w:val="single" w:sz="2" w:space="0" w:color="000000"/>
            </w:tcBorders>
          </w:tcPr>
          <w:p>
            <w:pPr/>
          </w:p>
        </w:tc>
        <w:tc>
          <w:tcPr>
            <w:tcW w:w="211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5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本年年初余额</w:t>
            </w:r>
            <w:r>
              <w:rPr>
                <w:rFonts w:ascii="宋体" w:hAnsi="宋体" w:cs="宋体" w:eastAsia="宋体" w:hint="default"/>
                <w:sz w:val="22"/>
                <w:szCs w:val="22"/>
              </w:rPr>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857,886,642.34</w:t>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690,247,501.52</w:t>
            </w:r>
          </w:p>
        </w:tc>
      </w:tr>
      <w:tr>
        <w:trPr>
          <w:trHeight w:val="402" w:hRule="exact"/>
        </w:trPr>
        <w:tc>
          <w:tcPr>
            <w:tcW w:w="45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加：本年归属于母公司所有者的净利润</w:t>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271,891,782.76</w:t>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235,406,336.63</w:t>
            </w:r>
          </w:p>
        </w:tc>
      </w:tr>
      <w:tr>
        <w:trPr>
          <w:trHeight w:val="402" w:hRule="exact"/>
        </w:trPr>
        <w:tc>
          <w:tcPr>
            <w:tcW w:w="45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24,840,357.53</w:t>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20,831,921.41</w:t>
            </w:r>
          </w:p>
        </w:tc>
      </w:tr>
      <w:tr>
        <w:trPr>
          <w:trHeight w:val="402" w:hRule="exact"/>
        </w:trPr>
        <w:tc>
          <w:tcPr>
            <w:tcW w:w="45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547"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46,966,274.40</w:t>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46,935,274.40</w:t>
            </w:r>
          </w:p>
        </w:tc>
      </w:tr>
      <w:tr>
        <w:trPr>
          <w:trHeight w:val="414" w:hRule="exact"/>
        </w:trPr>
        <w:tc>
          <w:tcPr>
            <w:tcW w:w="45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本年年末余额</w:t>
            </w:r>
            <w:r>
              <w:rPr>
                <w:rFonts w:ascii="宋体" w:hAnsi="宋体" w:cs="宋体" w:eastAsia="宋体" w:hint="default"/>
                <w:sz w:val="22"/>
                <w:szCs w:val="22"/>
              </w:rPr>
            </w:r>
          </w:p>
        </w:tc>
        <w:tc>
          <w:tcPr>
            <w:tcW w:w="21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1,057,971,793.17</w:t>
            </w:r>
            <w:r>
              <w:rPr>
                <w:rFonts w:ascii="宋体"/>
                <w:spacing w:val="-1"/>
                <w:sz w:val="22"/>
              </w:rPr>
            </w:r>
          </w:p>
        </w:tc>
        <w:tc>
          <w:tcPr>
            <w:tcW w:w="21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857,886,642.34</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852" w:footer="873" w:top="1440" w:bottom="1060" w:left="1460" w:right="1460"/>
        </w:sectPr>
      </w:pPr>
    </w:p>
    <w:p>
      <w:pPr>
        <w:spacing w:line="240" w:lineRule="auto" w:before="1"/>
        <w:rPr>
          <w:rFonts w:ascii="宋体" w:hAnsi="宋体" w:cs="宋体" w:eastAsia="宋体" w:hint="default"/>
          <w:sz w:val="18"/>
          <w:szCs w:val="18"/>
        </w:rPr>
      </w:pPr>
    </w:p>
    <w:p>
      <w:pPr>
        <w:pStyle w:val="BodyText"/>
        <w:spacing w:line="240" w:lineRule="auto"/>
        <w:ind w:left="644" w:right="80"/>
        <w:jc w:val="left"/>
      </w:pPr>
      <w:r>
        <w:rPr/>
        <w:t>33.</w:t>
      </w:r>
      <w:r>
        <w:rPr>
          <w:spacing w:val="-52"/>
        </w:rPr>
        <w:t> </w:t>
      </w:r>
      <w:r>
        <w:rPr/>
        <w:t>营业收入、营业成本</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384"/>
        <w:gridCol w:w="1843"/>
        <w:gridCol w:w="1842"/>
        <w:gridCol w:w="1834"/>
        <w:gridCol w:w="1820"/>
      </w:tblGrid>
      <w:tr>
        <w:trPr>
          <w:trHeight w:val="415" w:hRule="exact"/>
        </w:trPr>
        <w:tc>
          <w:tcPr>
            <w:tcW w:w="1384"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5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1384" w:type="dxa"/>
            <w:vMerge/>
            <w:tcBorders>
              <w:left w:val="nil" w:sz="6" w:space="0" w:color="auto"/>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6,819,377,973.09</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5,806,483,877.46</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5,832,085,316.06</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4,977,155,099.00</w:t>
            </w: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27,769,668.39</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18"/>
                <w:szCs w:val="18"/>
              </w:rPr>
            </w:pPr>
            <w:r>
              <w:rPr>
                <w:rFonts w:ascii="宋体"/>
                <w:spacing w:val="-1"/>
                <w:sz w:val="18"/>
              </w:rPr>
              <w:t>23,030,240.24</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18"/>
                <w:szCs w:val="18"/>
              </w:rPr>
            </w:pPr>
            <w:r>
              <w:rPr>
                <w:rFonts w:ascii="宋体"/>
                <w:spacing w:val="-1"/>
                <w:sz w:val="18"/>
              </w:rPr>
              <w:t>14,864,922.19</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11,498,680.38</w:t>
            </w:r>
          </w:p>
        </w:tc>
      </w:tr>
      <w:tr>
        <w:trPr>
          <w:trHeight w:val="414" w:hRule="exact"/>
        </w:trPr>
        <w:tc>
          <w:tcPr>
            <w:tcW w:w="1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w w:val="95"/>
                <w:sz w:val="18"/>
              </w:rPr>
              <w:t>6,847,147,641.48</w:t>
            </w:r>
            <w:r>
              <w:rPr>
                <w:rFonts w:ascii="宋体"/>
                <w:sz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w w:val="95"/>
                <w:sz w:val="18"/>
              </w:rPr>
              <w:t>5,829,514,117.70</w:t>
            </w:r>
            <w:r>
              <w:rPr>
                <w:rFonts w:ascii="宋体"/>
                <w:sz w:val="18"/>
              </w:rPr>
            </w: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w w:val="95"/>
                <w:sz w:val="18"/>
              </w:rPr>
              <w:t>5,846,950,238.25</w:t>
            </w:r>
            <w:r>
              <w:rPr>
                <w:rFonts w:ascii="宋体"/>
                <w:sz w:val="18"/>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b/>
                <w:w w:val="95"/>
                <w:sz w:val="18"/>
              </w:rPr>
              <w:t>4,988,653,779.38</w:t>
            </w:r>
            <w:r>
              <w:rPr>
                <w:rFonts w:ascii="宋体"/>
                <w:sz w:val="18"/>
              </w:rPr>
            </w:r>
          </w:p>
        </w:tc>
      </w:tr>
    </w:tbl>
    <w:p>
      <w:pPr>
        <w:spacing w:line="240" w:lineRule="auto" w:before="3"/>
        <w:rPr>
          <w:rFonts w:ascii="宋体" w:hAnsi="宋体" w:cs="宋体" w:eastAsia="宋体" w:hint="default"/>
          <w:sz w:val="9"/>
          <w:szCs w:val="9"/>
        </w:rPr>
      </w:pPr>
    </w:p>
    <w:p>
      <w:pPr>
        <w:pStyle w:val="BodyText"/>
        <w:spacing w:line="240" w:lineRule="auto"/>
        <w:ind w:left="644" w:right="80"/>
        <w:jc w:val="left"/>
      </w:pPr>
      <w:r>
        <w:rPr/>
        <w:t>34.</w:t>
      </w:r>
      <w:r>
        <w:rPr>
          <w:spacing w:val="-50"/>
        </w:rPr>
        <w:t> </w:t>
      </w:r>
      <w:r>
        <w:rPr/>
        <w:t>营业税金及附加</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6"/>
        <w:gridCol w:w="2464"/>
        <w:gridCol w:w="2463"/>
      </w:tblGrid>
      <w:tr>
        <w:trPr>
          <w:trHeight w:val="415" w:hRule="exact"/>
        </w:trPr>
        <w:tc>
          <w:tcPr>
            <w:tcW w:w="37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68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670,066.83</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331,292.26</w:t>
            </w:r>
          </w:p>
        </w:tc>
      </w:tr>
      <w:tr>
        <w:trPr>
          <w:trHeight w:val="402" w:hRule="exact"/>
        </w:trPr>
        <w:tc>
          <w:tcPr>
            <w:tcW w:w="3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10,648,001.51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8,503,472.38</w:t>
            </w:r>
          </w:p>
        </w:tc>
      </w:tr>
      <w:tr>
        <w:trPr>
          <w:trHeight w:val="402" w:hRule="exact"/>
        </w:trPr>
        <w:tc>
          <w:tcPr>
            <w:tcW w:w="3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7,866,729.33</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6,264,689.84</w:t>
            </w:r>
          </w:p>
        </w:tc>
      </w:tr>
      <w:tr>
        <w:trPr>
          <w:trHeight w:val="402" w:hRule="exact"/>
        </w:trPr>
        <w:tc>
          <w:tcPr>
            <w:tcW w:w="3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水利建设基金</w:t>
            </w:r>
          </w:p>
        </w:tc>
        <w:tc>
          <w:tcPr>
            <w:tcW w:w="2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6,378,622.91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5,716,582.59</w:t>
            </w:r>
          </w:p>
        </w:tc>
      </w:tr>
      <w:tr>
        <w:trPr>
          <w:trHeight w:val="414" w:hRule="exact"/>
        </w:trPr>
        <w:tc>
          <w:tcPr>
            <w:tcW w:w="37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1"/>
              <w:jc w:val="right"/>
              <w:rPr>
                <w:rFonts w:ascii="宋体" w:hAnsi="宋体" w:cs="宋体" w:eastAsia="宋体" w:hint="default"/>
                <w:sz w:val="22"/>
                <w:szCs w:val="22"/>
              </w:rPr>
            </w:pPr>
            <w:r>
              <w:rPr>
                <w:rFonts w:ascii="宋体"/>
                <w:b/>
                <w:spacing w:val="-1"/>
                <w:sz w:val="22"/>
              </w:rPr>
              <w:t>25,563,420.58</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20,816,037.07</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80"/>
        <w:jc w:val="left"/>
      </w:pPr>
      <w:r>
        <w:rPr/>
        <w:t>35.</w:t>
      </w:r>
      <w:r>
        <w:rPr>
          <w:spacing w:val="-48"/>
        </w:rPr>
        <w:t> </w:t>
      </w:r>
      <w:r>
        <w:rPr/>
        <w:t>销售费用</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中标服务费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60,176,289.16</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75,135,152.07</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运费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94,322,465.62</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53,692,205.27</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79,983,190.88</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26,426,369.06</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25,159,659.95</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16,786,236.17</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29,773,108.36</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18,603,327.94</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14,835,249.31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12,607,402.97</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电缆安装费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17,684,315.42</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25,396,442.03</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销售管理费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14,161,100.09</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5,986,651.55</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1,321,381.97</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992,416.52</w:t>
            </w:r>
          </w:p>
        </w:tc>
      </w:tr>
      <w:tr>
        <w:trPr>
          <w:trHeight w:val="414"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337,416,760.76</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235,626,203.58</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80"/>
        <w:jc w:val="left"/>
      </w:pPr>
      <w:r>
        <w:rPr/>
        <w:t>36.</w:t>
      </w:r>
      <w:r>
        <w:rPr>
          <w:spacing w:val="-48"/>
        </w:rPr>
        <w:t> </w:t>
      </w:r>
      <w:r>
        <w:rPr/>
        <w:t>管理费用</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研究开发费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210,537,095.81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213,067,247.87</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77,889,868.27</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58,008,710.71</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8,404,478.92</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8,139,379.49</w:t>
            </w:r>
          </w:p>
        </w:tc>
      </w:tr>
      <w:tr>
        <w:trPr>
          <w:trHeight w:val="412"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9,499,858.74</w:t>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7,772,445.53</w:t>
            </w:r>
          </w:p>
        </w:tc>
      </w:tr>
    </w:tbl>
    <w:p>
      <w:pPr>
        <w:spacing w:after="0" w:line="240" w:lineRule="auto"/>
        <w:jc w:val="right"/>
        <w:rPr>
          <w:rFonts w:ascii="宋体" w:hAnsi="宋体" w:cs="宋体" w:eastAsia="宋体" w:hint="default"/>
          <w:sz w:val="22"/>
          <w:szCs w:val="22"/>
        </w:rPr>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7,295,017.71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5,869,862.74</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4,054,544.53</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3,227,669.77</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3,058,302.04</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3,221,364.65</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车辆使用费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2,591,381.19</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2,545,491.74</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1,267,582.25</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481,893.53</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3,129,437.91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1,651,597.70</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审计审核费</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2,570,765.73</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1,019,301.15</w:t>
            </w:r>
          </w:p>
        </w:tc>
      </w:tr>
      <w:tr>
        <w:trPr>
          <w:trHeight w:val="414"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1"/>
              <w:jc w:val="right"/>
              <w:rPr>
                <w:rFonts w:ascii="宋体" w:hAnsi="宋体" w:cs="宋体" w:eastAsia="宋体" w:hint="default"/>
                <w:sz w:val="22"/>
                <w:szCs w:val="22"/>
              </w:rPr>
            </w:pPr>
            <w:r>
              <w:rPr>
                <w:rFonts w:ascii="宋体"/>
                <w:b/>
                <w:spacing w:val="-1"/>
                <w:sz w:val="22"/>
              </w:rPr>
              <w:t>330,298,333.10</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305,004,964.88</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80"/>
        <w:jc w:val="left"/>
      </w:pPr>
      <w:r>
        <w:rPr/>
        <w:t>37.</w:t>
      </w:r>
      <w:r>
        <w:rPr>
          <w:spacing w:val="-48"/>
        </w:rPr>
        <w:t> </w:t>
      </w:r>
      <w:r>
        <w:rPr/>
        <w:t>财务费用</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47,685,409.82</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55,970,695.73</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10,282,955.85</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11,016,259.11</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-7,451,822.48</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84,107.51</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8,258,535.66</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6,171,582.04</w:t>
            </w:r>
          </w:p>
        </w:tc>
      </w:tr>
      <w:tr>
        <w:trPr>
          <w:trHeight w:val="414"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1"/>
              <w:jc w:val="right"/>
              <w:rPr>
                <w:rFonts w:ascii="宋体" w:hAnsi="宋体" w:cs="宋体" w:eastAsia="宋体" w:hint="default"/>
                <w:sz w:val="22"/>
                <w:szCs w:val="22"/>
              </w:rPr>
            </w:pPr>
            <w:r>
              <w:rPr>
                <w:rFonts w:ascii="宋体"/>
                <w:b/>
                <w:spacing w:val="-1"/>
                <w:sz w:val="22"/>
              </w:rPr>
              <w:t>38,209,167.15</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51,210,126.17</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80"/>
        <w:jc w:val="left"/>
      </w:pPr>
      <w:r>
        <w:rPr/>
        <w:t>38.</w:t>
      </w:r>
      <w:r>
        <w:rPr>
          <w:spacing w:val="-50"/>
        </w:rPr>
        <w:t> </w:t>
      </w:r>
      <w:r>
        <w:rPr/>
        <w:t>资产减值损失</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8,000,853.61</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16,789,006.53</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6,204,265.16</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5,349,511.18</w:t>
            </w:r>
          </w:p>
        </w:tc>
      </w:tr>
      <w:tr>
        <w:trPr>
          <w:trHeight w:val="414"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1"/>
              <w:jc w:val="right"/>
              <w:rPr>
                <w:rFonts w:ascii="宋体" w:hAnsi="宋体" w:cs="宋体" w:eastAsia="宋体" w:hint="default"/>
                <w:sz w:val="22"/>
                <w:szCs w:val="22"/>
              </w:rPr>
            </w:pPr>
            <w:r>
              <w:rPr>
                <w:rFonts w:ascii="宋体"/>
                <w:b/>
                <w:spacing w:val="-1"/>
                <w:sz w:val="22"/>
              </w:rPr>
              <w:t>14,205,118.77</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22,138,517.71</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80"/>
        <w:jc w:val="left"/>
      </w:pPr>
      <w:r>
        <w:rPr/>
        <w:t>39.</w:t>
      </w:r>
      <w:r>
        <w:rPr>
          <w:spacing w:val="-50"/>
        </w:rPr>
        <w:t> </w:t>
      </w:r>
      <w:r>
        <w:rPr/>
        <w:t>公允价值变动收益</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6"/>
        <w:gridCol w:w="2464"/>
        <w:gridCol w:w="2463"/>
      </w:tblGrid>
      <w:tr>
        <w:trPr>
          <w:trHeight w:val="415" w:hRule="exact"/>
        </w:trPr>
        <w:tc>
          <w:tcPr>
            <w:tcW w:w="37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8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远期结售汇期末浮盈</w:t>
            </w:r>
          </w:p>
        </w:tc>
        <w:tc>
          <w:tcPr>
            <w:tcW w:w="2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-49,522.32</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-752,264.63</w:t>
            </w:r>
          </w:p>
        </w:tc>
      </w:tr>
      <w:tr>
        <w:trPr>
          <w:trHeight w:val="402" w:hRule="exact"/>
        </w:trPr>
        <w:tc>
          <w:tcPr>
            <w:tcW w:w="37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期货合约期末浮盈</w:t>
            </w:r>
          </w:p>
        </w:tc>
        <w:tc>
          <w:tcPr>
            <w:tcW w:w="2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-50,150.00</w:t>
            </w:r>
          </w:p>
        </w:tc>
        <w:tc>
          <w:tcPr>
            <w:tcW w:w="2463"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7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-99,672.32</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7"/>
              <w:jc w:val="right"/>
              <w:rPr>
                <w:rFonts w:ascii="宋体" w:hAnsi="宋体" w:cs="宋体" w:eastAsia="宋体" w:hint="default"/>
                <w:sz w:val="22"/>
                <w:szCs w:val="22"/>
              </w:rPr>
            </w:pPr>
            <w:r>
              <w:rPr>
                <w:rFonts w:ascii="宋体"/>
                <w:b/>
                <w:spacing w:val="-1"/>
                <w:sz w:val="22"/>
              </w:rPr>
              <w:t>-752,264.63</w:t>
            </w:r>
            <w:r>
              <w:rPr>
                <w:rFonts w:ascii="宋体"/>
                <w:spacing w:val="-1"/>
                <w:sz w:val="22"/>
              </w:rPr>
            </w:r>
          </w:p>
        </w:tc>
      </w:tr>
    </w:tbl>
    <w:p>
      <w:pPr>
        <w:spacing w:line="240" w:lineRule="auto" w:before="4"/>
        <w:rPr>
          <w:rFonts w:ascii="宋体" w:hAnsi="宋体" w:cs="宋体" w:eastAsia="宋体" w:hint="default"/>
          <w:sz w:val="9"/>
          <w:szCs w:val="9"/>
        </w:rPr>
      </w:pPr>
    </w:p>
    <w:p>
      <w:pPr>
        <w:pStyle w:val="BodyText"/>
        <w:spacing w:line="240" w:lineRule="auto"/>
        <w:ind w:left="644" w:right="80"/>
        <w:jc w:val="left"/>
      </w:pPr>
      <w:r>
        <w:rPr/>
        <w:t>40.</w:t>
      </w:r>
      <w:r>
        <w:rPr>
          <w:spacing w:val="-48"/>
        </w:rPr>
        <w:t> </w:t>
      </w:r>
      <w:r>
        <w:rPr/>
        <w:t>投资收益</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-912,562.89</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527,096.61</w:t>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远期结售汇交割收益</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553,437.88</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341,022.47</w:t>
            </w:r>
          </w:p>
        </w:tc>
      </w:tr>
      <w:tr>
        <w:trPr>
          <w:trHeight w:val="412"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期货投资收益</w:t>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124,318.60</w:t>
            </w:r>
          </w:p>
        </w:tc>
        <w:tc>
          <w:tcPr>
            <w:tcW w:w="246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52"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338" w:type="dxa"/>
        <w:tblLayout w:type="fixed"/>
        <w:tblCellMar>
          <w:top w:w="0" w:type="dxa"/>
          <w:left w:w="0" w:type="dxa"/>
          <w:bottom w:w="0" w:type="dxa"/>
          <w:right w:w="0" w:type="dxa"/>
        </w:tblCellMar>
        <w:tblLook w:val="01E0"/>
      </w:tblPr>
      <w:tblGrid>
        <w:gridCol w:w="3797"/>
        <w:gridCol w:w="2463"/>
        <w:gridCol w:w="2463"/>
      </w:tblGrid>
      <w:tr>
        <w:trPr>
          <w:trHeight w:val="415" w:hRule="exact"/>
        </w:trPr>
        <w:tc>
          <w:tcPr>
            <w:tcW w:w="3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7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银行理财收益</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3,270,689.11</w:t>
            </w:r>
          </w:p>
        </w:tc>
        <w:tc>
          <w:tcPr>
            <w:tcW w:w="246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处置长期股权投资收益</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11,781.00</w:t>
            </w:r>
          </w:p>
        </w:tc>
        <w:tc>
          <w:tcPr>
            <w:tcW w:w="2463"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3,047,663.70</w:t>
            </w:r>
            <w:r>
              <w:rPr>
                <w:rFonts w:ascii="宋体"/>
                <w:spacing w:val="-1"/>
                <w:sz w:val="22"/>
              </w:rPr>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1252" w:right="0"/>
              <w:jc w:val="left"/>
              <w:rPr>
                <w:rFonts w:ascii="宋体" w:hAnsi="宋体" w:cs="宋体" w:eastAsia="宋体" w:hint="default"/>
                <w:sz w:val="22"/>
                <w:szCs w:val="22"/>
              </w:rPr>
            </w:pPr>
            <w:r>
              <w:rPr>
                <w:rFonts w:ascii="宋体"/>
                <w:b/>
                <w:sz w:val="22"/>
              </w:rPr>
              <w:t>868,119.08</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864" w:right="0"/>
        <w:jc w:val="left"/>
      </w:pPr>
      <w:r>
        <w:rPr/>
        <w:t>41.</w:t>
      </w:r>
      <w:r>
        <w:rPr>
          <w:spacing w:val="-48"/>
        </w:rPr>
        <w:t> </w:t>
      </w:r>
      <w:r>
        <w:rPr/>
        <w:t>营业外收入</w:t>
      </w:r>
    </w:p>
    <w:p>
      <w:pPr>
        <w:pStyle w:val="BodyText"/>
        <w:spacing w:line="240" w:lineRule="auto" w:before="192"/>
        <w:ind w:left="886" w:right="0"/>
        <w:jc w:val="left"/>
      </w:pPr>
      <w:r>
        <w:rPr/>
        <w:t>（1）</w:t>
      </w:r>
      <w:r>
        <w:rPr>
          <w:spacing w:val="9"/>
        </w:rPr>
        <w:t> </w:t>
      </w:r>
      <w:r>
        <w:rPr/>
        <w:t>营业外收入明细</w:t>
      </w:r>
    </w:p>
    <w:p>
      <w:pPr>
        <w:spacing w:line="240" w:lineRule="auto" w:before="4"/>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178"/>
        <w:gridCol w:w="2005"/>
        <w:gridCol w:w="2005"/>
        <w:gridCol w:w="2005"/>
      </w:tblGrid>
      <w:tr>
        <w:trPr>
          <w:trHeight w:val="669" w:hRule="exact"/>
        </w:trPr>
        <w:tc>
          <w:tcPr>
            <w:tcW w:w="31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48"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0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5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c>
          <w:tcPr>
            <w:tcW w:w="2005"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7"/>
              <w:ind w:left="449" w:right="113" w:hanging="329"/>
              <w:jc w:val="left"/>
              <w:rPr>
                <w:rFonts w:ascii="宋体" w:hAnsi="宋体" w:cs="宋体" w:eastAsia="宋体" w:hint="default"/>
                <w:sz w:val="22"/>
                <w:szCs w:val="22"/>
              </w:rPr>
            </w:pPr>
            <w:r>
              <w:rPr>
                <w:rFonts w:ascii="宋体" w:hAnsi="宋体" w:cs="宋体" w:eastAsia="宋体" w:hint="default"/>
                <w:b/>
                <w:bCs/>
                <w:sz w:val="22"/>
                <w:szCs w:val="22"/>
              </w:rPr>
              <w:t>计入本年非经常性</w:t>
            </w:r>
            <w:r>
              <w:rPr>
                <w:rFonts w:ascii="宋体" w:hAnsi="宋体" w:cs="宋体" w:eastAsia="宋体" w:hint="default"/>
                <w:b/>
                <w:bCs/>
                <w:w w:val="100"/>
                <w:sz w:val="22"/>
                <w:szCs w:val="22"/>
              </w:rPr>
              <w:t> </w:t>
            </w:r>
            <w:r>
              <w:rPr>
                <w:rFonts w:ascii="宋体" w:hAnsi="宋体" w:cs="宋体" w:eastAsia="宋体" w:hint="default"/>
                <w:b/>
                <w:bCs/>
                <w:sz w:val="22"/>
                <w:szCs w:val="22"/>
              </w:rPr>
              <w:t>损益的金额</w:t>
            </w:r>
            <w:r>
              <w:rPr>
                <w:rFonts w:ascii="宋体" w:hAnsi="宋体" w:cs="宋体" w:eastAsia="宋体" w:hint="default"/>
                <w:sz w:val="22"/>
                <w:szCs w:val="22"/>
              </w:rPr>
            </w:r>
          </w:p>
        </w:tc>
      </w:tr>
      <w:tr>
        <w:trPr>
          <w:trHeight w:val="402"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5,745.32</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236,007.11</w:t>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5,745.32</w:t>
            </w:r>
          </w:p>
        </w:tc>
      </w:tr>
      <w:tr>
        <w:trPr>
          <w:trHeight w:val="402"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326"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5,745.32</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236,007.11</w:t>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5,745.32</w:t>
            </w:r>
          </w:p>
        </w:tc>
      </w:tr>
      <w:tr>
        <w:trPr>
          <w:trHeight w:val="402"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13,013,478.92</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11,547,179.86</w:t>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13,013,478.92</w:t>
            </w:r>
          </w:p>
        </w:tc>
      </w:tr>
      <w:tr>
        <w:trPr>
          <w:trHeight w:val="402"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增值税退税收入</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28,641,699.40</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27,465,572.41</w:t>
            </w:r>
          </w:p>
        </w:tc>
        <w:tc>
          <w:tcPr>
            <w:tcW w:w="200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1,464,791.04</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1,105,458.44</w:t>
            </w:r>
          </w:p>
        </w:tc>
        <w:tc>
          <w:tcPr>
            <w:tcW w:w="2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1,464,791.04</w:t>
            </w:r>
          </w:p>
        </w:tc>
      </w:tr>
      <w:tr>
        <w:trPr>
          <w:trHeight w:val="414" w:hRule="exact"/>
        </w:trPr>
        <w:tc>
          <w:tcPr>
            <w:tcW w:w="3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43,125,714.68</w:t>
            </w:r>
            <w:r>
              <w:rPr>
                <w:rFonts w:ascii="宋体"/>
                <w:spacing w:val="-1"/>
                <w:sz w:val="22"/>
              </w:rPr>
            </w:r>
          </w:p>
        </w:tc>
        <w:tc>
          <w:tcPr>
            <w:tcW w:w="20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40,354,217.82</w:t>
            </w:r>
            <w:r>
              <w:rPr>
                <w:rFonts w:ascii="宋体"/>
                <w:spacing w:val="-1"/>
                <w:sz w:val="22"/>
              </w:rPr>
            </w:r>
          </w:p>
        </w:tc>
        <w:tc>
          <w:tcPr>
            <w:tcW w:w="20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4"/>
              <w:jc w:val="right"/>
              <w:rPr>
                <w:rFonts w:ascii="宋体" w:hAnsi="宋体" w:cs="宋体" w:eastAsia="宋体" w:hint="default"/>
                <w:sz w:val="22"/>
                <w:szCs w:val="22"/>
              </w:rPr>
            </w:pPr>
            <w:r>
              <w:rPr>
                <w:rFonts w:ascii="宋体"/>
                <w:b/>
                <w:spacing w:val="-1"/>
                <w:sz w:val="22"/>
              </w:rPr>
              <w:t>14,484,015.28</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852" w:footer="873" w:top="1440" w:bottom="1060" w:left="1240" w:right="1220"/>
        </w:sectPr>
      </w:pPr>
    </w:p>
    <w:p>
      <w:pPr>
        <w:spacing w:line="240" w:lineRule="auto" w:before="9"/>
        <w:rPr>
          <w:rFonts w:ascii="宋体" w:hAnsi="宋体" w:cs="宋体" w:eastAsia="宋体" w:hint="default"/>
          <w:sz w:val="25"/>
          <w:szCs w:val="25"/>
        </w:rPr>
      </w:pPr>
    </w:p>
    <w:p>
      <w:pPr>
        <w:spacing w:before="44"/>
        <w:ind w:left="0" w:right="188" w:firstLine="0"/>
        <w:jc w:val="right"/>
        <w:rPr>
          <w:rFonts w:ascii="宋体" w:hAnsi="宋体" w:cs="宋体" w:eastAsia="宋体" w:hint="default"/>
          <w:sz w:val="18"/>
          <w:szCs w:val="18"/>
        </w:rPr>
      </w:pPr>
      <w:r>
        <w:rPr/>
        <w:pict>
          <v:shape style="position:absolute;margin-left:56.759998pt;margin-top:-12.6583pt;width:117pt;height:25.32pt;mso-position-horizontal-relative:page;mso-position-vertical-relative:paragraph;z-index:1480" type="#_x0000_t75" stroked="false">
            <v:imagedata r:id="rId28" o:title=""/>
          </v:shape>
        </w:pict>
      </w: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3"/>
          <w:szCs w:val="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728.8pt;height:.5pt;mso-position-horizontal-relative:char;mso-position-vertical-relative:line" coordorigin="0,0" coordsize="14576,10">
            <v:group style="position:absolute;left:5;top:5;width:14566;height:2" coordorigin="5,5" coordsize="14566,2">
              <v:shape style="position:absolute;left:5;top:5;width:14566;height:2" coordorigin="5,5" coordsize="14566,0" path="m5,5l14571,5e" filled="false" stroked="true" strokeweight=".47998pt" strokecolor="#4f80bd">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BodyText"/>
        <w:spacing w:line="240" w:lineRule="auto"/>
        <w:ind w:left="540" w:right="0"/>
        <w:jc w:val="left"/>
      </w:pPr>
      <w:r>
        <w:rPr/>
        <w:t>（2）</w:t>
      </w:r>
      <w:r>
        <w:rPr>
          <w:spacing w:val="9"/>
        </w:rPr>
        <w:t> </w:t>
      </w:r>
      <w:r>
        <w:rPr/>
        <w:t>政府补助明细</w:t>
      </w:r>
    </w:p>
    <w:p>
      <w:pPr>
        <w:spacing w:line="240" w:lineRule="auto" w:before="9"/>
        <w:rPr>
          <w:rFonts w:ascii="宋体" w:hAnsi="宋体" w:cs="宋体" w:eastAsia="宋体" w:hint="default"/>
          <w:sz w:val="11"/>
          <w:szCs w:val="11"/>
        </w:rPr>
      </w:pPr>
    </w:p>
    <w:tbl>
      <w:tblPr>
        <w:tblW w:w="0" w:type="auto"/>
        <w:jc w:val="left"/>
        <w:tblInd w:w="275" w:type="dxa"/>
        <w:tblLayout w:type="fixed"/>
        <w:tblCellMar>
          <w:top w:w="0" w:type="dxa"/>
          <w:left w:w="0" w:type="dxa"/>
          <w:bottom w:w="0" w:type="dxa"/>
          <w:right w:w="0" w:type="dxa"/>
        </w:tblCellMar>
        <w:tblLook w:val="01E0"/>
      </w:tblPr>
      <w:tblGrid>
        <w:gridCol w:w="2234"/>
        <w:gridCol w:w="1416"/>
        <w:gridCol w:w="1416"/>
        <w:gridCol w:w="7943"/>
        <w:gridCol w:w="1205"/>
      </w:tblGrid>
      <w:tr>
        <w:trPr>
          <w:trHeight w:val="565" w:hRule="exact"/>
        </w:trPr>
        <w:tc>
          <w:tcPr>
            <w:tcW w:w="2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9"/>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9"/>
              <w:ind w:left="25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9"/>
              <w:ind w:left="25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79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205"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8"/>
              <w:ind w:left="150" w:right="10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45"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5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48"/>
              <w:jc w:val="right"/>
              <w:rPr>
                <w:rFonts w:ascii="宋体" w:hAnsi="宋体" w:cs="宋体" w:eastAsia="宋体" w:hint="default"/>
                <w:sz w:val="18"/>
                <w:szCs w:val="18"/>
              </w:rPr>
            </w:pPr>
            <w:r>
              <w:rPr>
                <w:rFonts w:ascii="宋体"/>
                <w:spacing w:val="-1"/>
                <w:sz w:val="18"/>
              </w:rPr>
              <w:t>1,566,000.00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48"/>
              <w:jc w:val="right"/>
              <w:rPr>
                <w:rFonts w:ascii="宋体" w:hAnsi="宋体" w:cs="宋体" w:eastAsia="宋体" w:hint="default"/>
                <w:sz w:val="18"/>
                <w:szCs w:val="18"/>
              </w:rPr>
            </w:pPr>
            <w:r>
              <w:rPr>
                <w:rFonts w:ascii="宋体"/>
                <w:spacing w:val="-1"/>
                <w:sz w:val="18"/>
              </w:rPr>
              <w:t>1,566,000.00</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51" w:right="0"/>
              <w:jc w:val="left"/>
              <w:rPr>
                <w:rFonts w:ascii="宋体" w:hAnsi="宋体" w:cs="宋体" w:eastAsia="宋体" w:hint="default"/>
                <w:sz w:val="18"/>
                <w:szCs w:val="18"/>
              </w:rPr>
            </w:pPr>
            <w:r>
              <w:rPr>
                <w:rFonts w:ascii="宋体" w:hAnsi="宋体" w:cs="宋体" w:eastAsia="宋体" w:hint="default"/>
                <w:sz w:val="18"/>
                <w:szCs w:val="18"/>
              </w:rPr>
              <w:t>系其他流动负债结转的“预计一年内结转的政府补助款”</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5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水利建设基金减免款</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3,398,333.00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1"/>
              <w:ind w:left="51" w:right="0"/>
              <w:jc w:val="left"/>
              <w:rPr>
                <w:rFonts w:ascii="宋体" w:hAnsi="宋体" w:cs="宋体" w:eastAsia="宋体" w:hint="default"/>
                <w:sz w:val="18"/>
                <w:szCs w:val="18"/>
              </w:rPr>
            </w:pPr>
            <w:r>
              <w:rPr>
                <w:rFonts w:ascii="宋体" w:hAnsi="宋体" w:cs="宋体" w:eastAsia="宋体" w:hint="default"/>
                <w:spacing w:val="-2"/>
                <w:sz w:val="18"/>
                <w:szCs w:val="18"/>
              </w:rPr>
              <w:t>浙江省财政厅、浙江省地方税务局《关于印发&lt;浙江省地方水利建设基金征收和减免管理办法&gt;的通知</w:t>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（浙财综【2012】130</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科技创新发展专项补助</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1,795,000.00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51" w:right="49"/>
              <w:jc w:val="left"/>
              <w:rPr>
                <w:rFonts w:ascii="宋体" w:hAnsi="宋体" w:cs="宋体" w:eastAsia="宋体" w:hint="default"/>
                <w:sz w:val="18"/>
                <w:szCs w:val="18"/>
              </w:rPr>
            </w:pPr>
            <w:r>
              <w:rPr>
                <w:rFonts w:ascii="宋体" w:hAnsi="宋体" w:cs="宋体" w:eastAsia="宋体" w:hint="default"/>
                <w:sz w:val="18"/>
                <w:szCs w:val="18"/>
              </w:rPr>
              <w:t>浙江杭州青山湖科技城管理委员会经济发展局《关于下达</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年第二批青山湖科技城杭州市科技创</w:t>
            </w:r>
            <w:r>
              <w:rPr>
                <w:rFonts w:ascii="宋体" w:hAnsi="宋体" w:cs="宋体" w:eastAsia="宋体" w:hint="default"/>
                <w:sz w:val="18"/>
                <w:szCs w:val="18"/>
              </w:rPr>
              <w:t> 新发展专项补助经费的通知》（青科委经【2015】4</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城镇土地使用税减免款</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1,315,648.70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51" w:right="46"/>
              <w:jc w:val="left"/>
              <w:rPr>
                <w:rFonts w:ascii="宋体" w:hAnsi="宋体" w:cs="宋体" w:eastAsia="宋体" w:hint="default"/>
                <w:sz w:val="18"/>
                <w:szCs w:val="18"/>
              </w:rPr>
            </w:pPr>
            <w:r>
              <w:rPr>
                <w:rFonts w:ascii="宋体" w:hAnsi="宋体" w:cs="宋体" w:eastAsia="宋体" w:hint="default"/>
                <w:spacing w:val="-2"/>
                <w:sz w:val="18"/>
                <w:szCs w:val="18"/>
              </w:rPr>
              <w:t>临安市地方税务局《关于开展调整城镇土地使用税政策促进土地集约节约利用试点工作的通知》（临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地税优批【2015】787</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1"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50"/>
              <w:jc w:val="left"/>
              <w:rPr>
                <w:rFonts w:ascii="宋体" w:hAnsi="宋体" w:cs="宋体" w:eastAsia="宋体" w:hint="default"/>
                <w:sz w:val="18"/>
                <w:szCs w:val="18"/>
              </w:rPr>
            </w:pPr>
            <w:r>
              <w:rPr>
                <w:rFonts w:ascii="宋体" w:hAnsi="宋体" w:cs="宋体" w:eastAsia="宋体" w:hint="default"/>
                <w:spacing w:val="12"/>
                <w:sz w:val="18"/>
                <w:szCs w:val="18"/>
              </w:rPr>
              <w:t>工业和科技统筹资金机器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换人等项目资助资金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48"/>
              <w:jc w:val="right"/>
              <w:rPr>
                <w:rFonts w:ascii="宋体" w:hAnsi="宋体" w:cs="宋体" w:eastAsia="宋体" w:hint="default"/>
                <w:sz w:val="18"/>
                <w:szCs w:val="18"/>
              </w:rPr>
            </w:pPr>
            <w:r>
              <w:rPr>
                <w:rFonts w:ascii="宋体"/>
                <w:spacing w:val="-1"/>
                <w:sz w:val="18"/>
              </w:rPr>
              <w:t>1,095,000.00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51" w:right="49"/>
              <w:jc w:val="left"/>
              <w:rPr>
                <w:rFonts w:ascii="宋体" w:hAnsi="宋体" w:cs="宋体" w:eastAsia="宋体" w:hint="default"/>
                <w:sz w:val="18"/>
                <w:szCs w:val="18"/>
              </w:rPr>
            </w:pPr>
            <w:r>
              <w:rPr>
                <w:rFonts w:ascii="宋体" w:hAnsi="宋体" w:cs="宋体" w:eastAsia="宋体" w:hint="default"/>
                <w:sz w:val="18"/>
                <w:szCs w:val="18"/>
              </w:rPr>
              <w:t>杭州市财政局、杭州市经济和信息化委员会《关于下达</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年工业和科技统筹资金机器换人等项目</w:t>
            </w:r>
            <w:r>
              <w:rPr>
                <w:rFonts w:ascii="宋体" w:hAnsi="宋体" w:cs="宋体" w:eastAsia="宋体" w:hint="default"/>
                <w:sz w:val="18"/>
                <w:szCs w:val="18"/>
              </w:rPr>
              <w:t> 资助资金的通知》（杭财企【2014】1024</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53" w:right="0"/>
              <w:jc w:val="left"/>
              <w:rPr>
                <w:rFonts w:ascii="宋体" w:hAnsi="宋体" w:cs="宋体" w:eastAsia="宋体" w:hint="default"/>
                <w:sz w:val="18"/>
                <w:szCs w:val="18"/>
              </w:rPr>
            </w:pPr>
            <w:r>
              <w:rPr>
                <w:rFonts w:ascii="宋体" w:hAnsi="宋体" w:cs="宋体" w:eastAsia="宋体" w:hint="default"/>
                <w:sz w:val="18"/>
                <w:szCs w:val="18"/>
              </w:rPr>
              <w:t>工业强市财政补助</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8"/>
              <w:jc w:val="right"/>
              <w:rPr>
                <w:rFonts w:ascii="宋体" w:hAnsi="宋体" w:cs="宋体" w:eastAsia="宋体" w:hint="default"/>
                <w:sz w:val="18"/>
                <w:szCs w:val="18"/>
              </w:rPr>
            </w:pPr>
            <w:r>
              <w:rPr>
                <w:rFonts w:ascii="宋体"/>
                <w:spacing w:val="-1"/>
                <w:sz w:val="18"/>
              </w:rPr>
              <w:t>768,000.00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8"/>
              <w:jc w:val="right"/>
              <w:rPr>
                <w:rFonts w:ascii="宋体" w:hAnsi="宋体" w:cs="宋体" w:eastAsia="宋体" w:hint="default"/>
                <w:sz w:val="18"/>
                <w:szCs w:val="18"/>
              </w:rPr>
            </w:pPr>
            <w:r>
              <w:rPr>
                <w:rFonts w:ascii="宋体"/>
                <w:spacing w:val="-1"/>
                <w:sz w:val="18"/>
              </w:rPr>
              <w:t>1,655,000.00</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51" w:right="139"/>
              <w:jc w:val="left"/>
              <w:rPr>
                <w:rFonts w:ascii="宋体" w:hAnsi="宋体" w:cs="宋体" w:eastAsia="宋体" w:hint="default"/>
                <w:sz w:val="18"/>
                <w:szCs w:val="18"/>
              </w:rPr>
            </w:pPr>
            <w:r>
              <w:rPr>
                <w:rFonts w:ascii="宋体" w:hAnsi="宋体" w:cs="宋体" w:eastAsia="宋体" w:hint="default"/>
                <w:spacing w:val="-8"/>
                <w:sz w:val="18"/>
                <w:szCs w:val="18"/>
              </w:rPr>
              <w:t>中共临安市委、临安市人民政府《印发&lt;关于进一步加快建设工业强市的若干意见&gt;的通知》临委【2013</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33</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45" w:right="151"/>
              <w:jc w:val="righ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25"/>
                <w:position w:val="12"/>
                <w:sz w:val="18"/>
                <w:szCs w:val="18"/>
              </w:rPr>
              <w:t> </w:t>
            </w: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53" w:right="0"/>
              <w:jc w:val="left"/>
              <w:rPr>
                <w:rFonts w:ascii="宋体" w:hAnsi="宋体" w:cs="宋体" w:eastAsia="宋体" w:hint="default"/>
                <w:sz w:val="18"/>
                <w:szCs w:val="18"/>
              </w:rPr>
            </w:pPr>
            <w:r>
              <w:rPr>
                <w:rFonts w:ascii="宋体" w:hAnsi="宋体" w:cs="宋体" w:eastAsia="宋体" w:hint="default"/>
                <w:sz w:val="18"/>
                <w:szCs w:val="18"/>
              </w:rPr>
              <w:t>社会保险财政补贴</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8"/>
              <w:jc w:val="right"/>
              <w:rPr>
                <w:rFonts w:ascii="宋体" w:hAnsi="宋体" w:cs="宋体" w:eastAsia="宋体" w:hint="default"/>
                <w:sz w:val="18"/>
                <w:szCs w:val="18"/>
              </w:rPr>
            </w:pPr>
            <w:r>
              <w:rPr>
                <w:rFonts w:ascii="宋体"/>
                <w:spacing w:val="-1"/>
                <w:sz w:val="18"/>
              </w:rPr>
              <w:t>669,400.00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8"/>
              <w:jc w:val="right"/>
              <w:rPr>
                <w:rFonts w:ascii="宋体" w:hAnsi="宋体" w:cs="宋体" w:eastAsia="宋体" w:hint="default"/>
                <w:sz w:val="18"/>
                <w:szCs w:val="18"/>
              </w:rPr>
            </w:pPr>
            <w:r>
              <w:rPr>
                <w:rFonts w:ascii="宋体"/>
                <w:spacing w:val="-1"/>
                <w:sz w:val="18"/>
              </w:rPr>
              <w:t>1,881,039.00</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51" w:right="49"/>
              <w:jc w:val="left"/>
              <w:rPr>
                <w:rFonts w:ascii="宋体" w:hAnsi="宋体" w:cs="宋体" w:eastAsia="宋体" w:hint="default"/>
                <w:sz w:val="18"/>
                <w:szCs w:val="18"/>
              </w:rPr>
            </w:pPr>
            <w:r>
              <w:rPr>
                <w:rFonts w:ascii="宋体" w:hAnsi="宋体" w:cs="宋体" w:eastAsia="宋体" w:hint="default"/>
                <w:sz w:val="18"/>
                <w:szCs w:val="18"/>
              </w:rPr>
              <w:t>临安市民政局《关于申报</w:t>
            </w:r>
            <w:r>
              <w:rPr>
                <w:rFonts w:ascii="宋体" w:hAnsi="宋体" w:cs="宋体" w:eastAsia="宋体" w:hint="default"/>
                <w:spacing w:val="-35"/>
                <w:sz w:val="18"/>
                <w:szCs w:val="18"/>
              </w:rPr>
              <w:t> </w:t>
            </w: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年度财政补贴与奖励的通知》（临民福【2015】2</w:t>
            </w:r>
            <w:r>
              <w:rPr>
                <w:rFonts w:ascii="宋体" w:hAnsi="宋体" w:cs="宋体" w:eastAsia="宋体" w:hint="default"/>
                <w:spacing w:val="-34"/>
                <w:sz w:val="18"/>
                <w:szCs w:val="18"/>
              </w:rPr>
              <w:t> </w:t>
            </w:r>
            <w:r>
              <w:rPr>
                <w:rFonts w:ascii="宋体" w:hAnsi="宋体" w:cs="宋体" w:eastAsia="宋体" w:hint="default"/>
                <w:sz w:val="18"/>
                <w:szCs w:val="18"/>
              </w:rPr>
              <w:t>号）、临安市民政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局《关于申报</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年度财政补贴与奖励的通知》（临民福【2014】1</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19"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3"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
              <w:jc w:val="right"/>
              <w:rPr>
                <w:rFonts w:ascii="宋体" w:hAnsi="宋体" w:cs="宋体" w:eastAsia="宋体" w:hint="default"/>
                <w:sz w:val="18"/>
                <w:szCs w:val="18"/>
              </w:rPr>
            </w:pPr>
            <w:r>
              <w:rPr>
                <w:rFonts w:ascii="宋体"/>
                <w:spacing w:val="-1"/>
                <w:sz w:val="18"/>
              </w:rPr>
              <w:t>1,790,500.00</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4"/>
              <w:ind w:left="51" w:right="50"/>
              <w:jc w:val="both"/>
              <w:rPr>
                <w:rFonts w:ascii="宋体" w:hAnsi="宋体" w:cs="宋体" w:eastAsia="宋体" w:hint="default"/>
                <w:sz w:val="18"/>
                <w:szCs w:val="18"/>
              </w:rPr>
            </w:pPr>
            <w:r>
              <w:rPr>
                <w:rFonts w:ascii="宋体" w:hAnsi="宋体" w:cs="宋体" w:eastAsia="宋体" w:hint="default"/>
                <w:sz w:val="18"/>
                <w:szCs w:val="18"/>
              </w:rPr>
              <w:t>浙江省财政厅、浙江省经济和信息化委员会《关于拨付</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年工业转型升级技术改造项目财政补助</w:t>
            </w:r>
            <w:r>
              <w:rPr>
                <w:rFonts w:ascii="宋体" w:hAnsi="宋体" w:cs="宋体" w:eastAsia="宋体" w:hint="default"/>
                <w:sz w:val="18"/>
                <w:szCs w:val="18"/>
              </w:rPr>
              <w:t> 资金的通知》（浙财企【2013】250</w:t>
            </w:r>
            <w:r>
              <w:rPr>
                <w:rFonts w:ascii="宋体" w:hAnsi="宋体" w:cs="宋体" w:eastAsia="宋体" w:hint="default"/>
                <w:spacing w:val="-12"/>
                <w:sz w:val="18"/>
                <w:szCs w:val="18"/>
              </w:rPr>
              <w:t> </w:t>
            </w:r>
            <w:r>
              <w:rPr>
                <w:rFonts w:ascii="宋体" w:hAnsi="宋体" w:cs="宋体" w:eastAsia="宋体" w:hint="default"/>
                <w:sz w:val="18"/>
                <w:szCs w:val="18"/>
              </w:rPr>
              <w:t>号）、临安市财政厅、临安市经济和信息化局《关于下达</w:t>
            </w:r>
            <w:r>
              <w:rPr>
                <w:rFonts w:ascii="宋体" w:hAnsi="宋体" w:cs="宋体" w:eastAsia="宋体" w:hint="default"/>
                <w:spacing w:val="-19"/>
                <w:sz w:val="18"/>
                <w:szCs w:val="18"/>
              </w:rPr>
              <w:t> </w:t>
            </w:r>
            <w:r>
              <w:rPr>
                <w:rFonts w:ascii="宋体" w:hAnsi="宋体" w:cs="宋体" w:eastAsia="宋体" w:hint="default"/>
                <w:sz w:val="18"/>
                <w:szCs w:val="18"/>
              </w:rPr>
              <w:t>2012</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年度省工业强市奖励资金的通知》（临财企【2013】617</w:t>
            </w:r>
            <w:r>
              <w:rPr>
                <w:rFonts w:ascii="宋体" w:hAnsi="宋体" w:cs="宋体" w:eastAsia="宋体" w:hint="default"/>
                <w:spacing w:val="-28"/>
                <w:sz w:val="18"/>
                <w:szCs w:val="18"/>
              </w:rPr>
              <w:t> </w:t>
            </w:r>
            <w:r>
              <w:rPr>
                <w:rFonts w:ascii="宋体" w:hAnsi="宋体" w:cs="宋体" w:eastAsia="宋体" w:hint="default"/>
                <w:spacing w:val="-2"/>
                <w:sz w:val="18"/>
                <w:szCs w:val="18"/>
              </w:rPr>
              <w:t>号）、临安市财政局、经信局《关于要求审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定兑现</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年度工业资助奖励项目及资金的请示》（临经信综【2014】132</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50"/>
              <w:jc w:val="left"/>
              <w:rPr>
                <w:rFonts w:ascii="宋体" w:hAnsi="宋体" w:cs="宋体" w:eastAsia="宋体" w:hint="default"/>
                <w:sz w:val="18"/>
                <w:szCs w:val="18"/>
              </w:rPr>
            </w:pPr>
            <w:r>
              <w:rPr>
                <w:rFonts w:ascii="宋体" w:hAnsi="宋体" w:cs="宋体" w:eastAsia="宋体" w:hint="default"/>
                <w:spacing w:val="12"/>
                <w:sz w:val="18"/>
                <w:szCs w:val="18"/>
              </w:rPr>
              <w:t>工业统筹重大创新项目资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助资金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48"/>
              <w:jc w:val="right"/>
              <w:rPr>
                <w:rFonts w:ascii="宋体" w:hAnsi="宋体" w:cs="宋体" w:eastAsia="宋体" w:hint="default"/>
                <w:sz w:val="18"/>
                <w:szCs w:val="18"/>
              </w:rPr>
            </w:pPr>
            <w:r>
              <w:rPr>
                <w:rFonts w:ascii="宋体"/>
                <w:spacing w:val="-1"/>
                <w:sz w:val="18"/>
              </w:rPr>
              <w:t>1,499,200.00</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51" w:right="49"/>
              <w:jc w:val="left"/>
              <w:rPr>
                <w:rFonts w:ascii="宋体" w:hAnsi="宋体" w:cs="宋体" w:eastAsia="宋体" w:hint="default"/>
                <w:sz w:val="18"/>
                <w:szCs w:val="18"/>
              </w:rPr>
            </w:pPr>
            <w:r>
              <w:rPr>
                <w:rFonts w:ascii="宋体" w:hAnsi="宋体" w:cs="宋体" w:eastAsia="宋体" w:hint="default"/>
                <w:sz w:val="18"/>
                <w:szCs w:val="18"/>
              </w:rPr>
              <w:t>杭州市财政局、杭州市经济和信息化委员会《关于下达</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年杭州市工业统筹资金中大创新等项目</w:t>
            </w:r>
            <w:r>
              <w:rPr>
                <w:rFonts w:ascii="宋体" w:hAnsi="宋体" w:cs="宋体" w:eastAsia="宋体" w:hint="default"/>
                <w:sz w:val="18"/>
                <w:szCs w:val="18"/>
              </w:rPr>
              <w:t> 资助资金的通知》（杭财企【2013】1550</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53" w:right="0"/>
              <w:jc w:val="left"/>
              <w:rPr>
                <w:rFonts w:ascii="宋体" w:hAnsi="宋体" w:cs="宋体" w:eastAsia="宋体" w:hint="default"/>
                <w:sz w:val="18"/>
                <w:szCs w:val="18"/>
              </w:rPr>
            </w:pPr>
            <w:r>
              <w:rPr>
                <w:rFonts w:ascii="宋体" w:hAnsi="宋体" w:cs="宋体" w:eastAsia="宋体" w:hint="default"/>
                <w:sz w:val="18"/>
                <w:szCs w:val="18"/>
              </w:rPr>
              <w:t>残疾人就业保障金退还</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48"/>
              <w:jc w:val="right"/>
              <w:rPr>
                <w:rFonts w:ascii="宋体" w:hAnsi="宋体" w:cs="宋体" w:eastAsia="宋体" w:hint="default"/>
                <w:sz w:val="18"/>
                <w:szCs w:val="18"/>
              </w:rPr>
            </w:pPr>
            <w:r>
              <w:rPr>
                <w:rFonts w:ascii="宋体"/>
                <w:spacing w:val="-1"/>
                <w:sz w:val="18"/>
              </w:rPr>
              <w:t>547,482.86</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51" w:right="56"/>
              <w:jc w:val="left"/>
              <w:rPr>
                <w:rFonts w:ascii="宋体" w:hAnsi="宋体" w:cs="宋体" w:eastAsia="宋体" w:hint="default"/>
                <w:sz w:val="18"/>
                <w:szCs w:val="18"/>
              </w:rPr>
            </w:pPr>
            <w:r>
              <w:rPr>
                <w:rFonts w:ascii="宋体" w:hAnsi="宋体" w:cs="宋体" w:eastAsia="宋体" w:hint="default"/>
                <w:sz w:val="18"/>
                <w:szCs w:val="18"/>
              </w:rPr>
              <w:t>临安市再就业领导小组办公室《关于退还</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年度残疾人就业保障金的通知》（临残联【2014】15</w:t>
            </w:r>
            <w:r>
              <w:rPr>
                <w:rFonts w:ascii="宋体" w:hAnsi="宋体" w:cs="宋体" w:eastAsia="宋体" w:hint="default"/>
                <w:sz w:val="18"/>
                <w:szCs w:val="18"/>
              </w:rPr>
              <w:t> 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50"/>
              <w:jc w:val="left"/>
              <w:rPr>
                <w:rFonts w:ascii="宋体" w:hAnsi="宋体" w:cs="宋体" w:eastAsia="宋体" w:hint="default"/>
                <w:sz w:val="18"/>
                <w:szCs w:val="18"/>
              </w:rPr>
            </w:pPr>
            <w:r>
              <w:rPr>
                <w:rFonts w:ascii="宋体" w:hAnsi="宋体" w:cs="宋体" w:eastAsia="宋体" w:hint="default"/>
                <w:spacing w:val="12"/>
                <w:sz w:val="18"/>
                <w:szCs w:val="18"/>
              </w:rPr>
              <w:t>政策引导类专项项目经费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资助</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48"/>
              <w:jc w:val="right"/>
              <w:rPr>
                <w:rFonts w:ascii="宋体" w:hAnsi="宋体" w:cs="宋体" w:eastAsia="宋体" w:hint="default"/>
                <w:sz w:val="18"/>
                <w:szCs w:val="18"/>
              </w:rPr>
            </w:pPr>
            <w:r>
              <w:rPr>
                <w:rFonts w:ascii="宋体"/>
                <w:spacing w:val="-1"/>
                <w:sz w:val="18"/>
              </w:rPr>
              <w:t>500,000.00</w:t>
            </w:r>
          </w:p>
        </w:tc>
        <w:tc>
          <w:tcPr>
            <w:tcW w:w="7943"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0"/>
              <w:ind w:left="51" w:right="0"/>
              <w:jc w:val="left"/>
              <w:rPr>
                <w:rFonts w:ascii="宋体" w:hAnsi="宋体" w:cs="宋体" w:eastAsia="宋体" w:hint="default"/>
                <w:sz w:val="18"/>
                <w:szCs w:val="18"/>
              </w:rPr>
            </w:pPr>
            <w:r>
              <w:rPr>
                <w:rFonts w:ascii="宋体" w:hAnsi="宋体" w:cs="宋体" w:eastAsia="宋体" w:hint="default"/>
                <w:spacing w:val="3"/>
                <w:sz w:val="18"/>
                <w:szCs w:val="18"/>
              </w:rPr>
              <w:t>科学技术部《关于下达 </w:t>
            </w: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pacing w:val="3"/>
                <w:sz w:val="18"/>
                <w:szCs w:val="18"/>
              </w:rPr>
              <w:t>年度政策引导类计划专项相关项目课题经费预算的通知》（国科发财</w:t>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【2014】295</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5"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48"/>
              <w:jc w:val="right"/>
              <w:rPr>
                <w:rFonts w:ascii="宋体" w:hAnsi="宋体" w:cs="宋体" w:eastAsia="宋体" w:hint="default"/>
                <w:sz w:val="18"/>
                <w:szCs w:val="18"/>
              </w:rPr>
            </w:pPr>
            <w:r>
              <w:rPr>
                <w:rFonts w:ascii="宋体"/>
                <w:spacing w:val="-1"/>
                <w:sz w:val="18"/>
              </w:rPr>
              <w:t>2,406,097.22</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48"/>
              <w:jc w:val="right"/>
              <w:rPr>
                <w:rFonts w:ascii="宋体" w:hAnsi="宋体" w:cs="宋体" w:eastAsia="宋体" w:hint="default"/>
                <w:sz w:val="18"/>
                <w:szCs w:val="18"/>
              </w:rPr>
            </w:pPr>
            <w:r>
              <w:rPr>
                <w:rFonts w:ascii="宋体"/>
                <w:spacing w:val="-1"/>
                <w:sz w:val="18"/>
              </w:rPr>
              <w:t>2,107,958.00</w:t>
            </w:r>
          </w:p>
        </w:tc>
        <w:tc>
          <w:tcPr>
            <w:tcW w:w="7943" w:type="dxa"/>
            <w:tcBorders>
              <w:top w:val="single" w:sz="2" w:space="0" w:color="000000"/>
              <w:left w:val="single" w:sz="2" w:space="0" w:color="000000"/>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5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2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36"/>
              <w:jc w:val="right"/>
              <w:rPr>
                <w:rFonts w:ascii="宋体" w:hAnsi="宋体" w:cs="宋体" w:eastAsia="宋体" w:hint="default"/>
                <w:sz w:val="18"/>
                <w:szCs w:val="18"/>
              </w:rPr>
            </w:pPr>
            <w:r>
              <w:rPr>
                <w:rFonts w:ascii="宋体"/>
                <w:b/>
                <w:w w:val="95"/>
                <w:sz w:val="18"/>
              </w:rPr>
              <w:t>13,013,478.92</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36"/>
              <w:jc w:val="right"/>
              <w:rPr>
                <w:rFonts w:ascii="宋体" w:hAnsi="宋体" w:cs="宋体" w:eastAsia="宋体" w:hint="default"/>
                <w:sz w:val="18"/>
                <w:szCs w:val="18"/>
              </w:rPr>
            </w:pPr>
            <w:r>
              <w:rPr>
                <w:rFonts w:ascii="宋体"/>
                <w:b/>
                <w:w w:val="95"/>
                <w:sz w:val="18"/>
              </w:rPr>
              <w:t>11,547,179.86</w:t>
            </w:r>
            <w:r>
              <w:rPr>
                <w:rFonts w:ascii="宋体"/>
                <w:sz w:val="18"/>
              </w:rPr>
            </w:r>
          </w:p>
        </w:tc>
        <w:tc>
          <w:tcPr>
            <w:tcW w:w="7943" w:type="dxa"/>
            <w:tcBorders>
              <w:top w:val="single" w:sz="2" w:space="0" w:color="000000"/>
              <w:left w:val="single" w:sz="2" w:space="0" w:color="000000"/>
              <w:bottom w:val="single" w:sz="12" w:space="0" w:color="000000"/>
              <w:right w:val="single" w:sz="2" w:space="0" w:color="000000"/>
            </w:tcBorders>
          </w:tcPr>
          <w:p>
            <w:pPr/>
          </w:p>
        </w:tc>
        <w:tc>
          <w:tcPr>
            <w:tcW w:w="120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6"/>
        <w:ind w:left="544" w:right="632"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137  </w:t>
      </w:r>
      <w:r>
        <w:rPr>
          <w:rFonts w:ascii="宋体" w:hAnsi="宋体" w:cs="宋体" w:eastAsia="宋体" w:hint="default"/>
          <w:spacing w:val="-35"/>
          <w:sz w:val="18"/>
          <w:szCs w:val="18"/>
        </w:rPr>
        <w:t>页</w:t>
      </w:r>
      <w:r>
        <w:rPr>
          <w:rFonts w:ascii="Times New Roman" w:hAnsi="Times New Roman" w:cs="Times New Roman" w:eastAsia="Times New Roman" w:hint="default"/>
          <w:spacing w:val="-35"/>
          <w:position w:val="1"/>
          <w:sz w:val="18"/>
          <w:szCs w:val="18"/>
        </w:rPr>
        <w:t>/           </w:t>
      </w:r>
      <w:r>
        <w:rPr>
          <w:rFonts w:ascii="宋体" w:hAnsi="宋体" w:cs="宋体" w:eastAsia="宋体" w:hint="default"/>
          <w:sz w:val="18"/>
          <w:szCs w:val="18"/>
        </w:rPr>
        <w:t>共</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167</w:t>
      </w:r>
    </w:p>
    <w:p>
      <w:pPr>
        <w:spacing w:after="0"/>
        <w:jc w:val="center"/>
        <w:rPr>
          <w:rFonts w:ascii="Times New Roman" w:hAnsi="Times New Roman" w:cs="Times New Roman" w:eastAsia="Times New Roman" w:hint="default"/>
          <w:sz w:val="18"/>
          <w:szCs w:val="18"/>
        </w:rPr>
        <w:sectPr>
          <w:headerReference w:type="default" r:id="rId43"/>
          <w:footerReference w:type="default" r:id="rId44"/>
          <w:pgSz w:w="16840" w:h="11910" w:orient="landscape"/>
          <w:pgMar w:header="0" w:footer="0" w:top="760" w:bottom="280" w:left="1020" w:right="1020"/>
        </w:sectPr>
      </w:pPr>
    </w:p>
    <w:p>
      <w:pPr>
        <w:spacing w:line="240" w:lineRule="auto" w:before="6"/>
        <w:rPr>
          <w:rFonts w:ascii="Times New Roman" w:hAnsi="Times New Roman" w:cs="Times New Roman" w:eastAsia="Times New Roman" w:hint="default"/>
          <w:sz w:val="20"/>
          <w:szCs w:val="20"/>
        </w:rPr>
      </w:pPr>
    </w:p>
    <w:p>
      <w:pPr>
        <w:pStyle w:val="BodyText"/>
        <w:spacing w:line="240" w:lineRule="auto"/>
        <w:ind w:left="644" w:right="80"/>
        <w:jc w:val="left"/>
      </w:pPr>
      <w:r>
        <w:rPr/>
        <w:t>42.</w:t>
      </w:r>
      <w:r>
        <w:rPr>
          <w:spacing w:val="-48"/>
        </w:rPr>
        <w:t> </w:t>
      </w:r>
      <w:r>
        <w:rPr/>
        <w:t>营业外支出</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84"/>
        <w:gridCol w:w="1879"/>
        <w:gridCol w:w="1881"/>
        <w:gridCol w:w="1879"/>
      </w:tblGrid>
      <w:tr>
        <w:trPr>
          <w:trHeight w:val="669" w:hRule="exact"/>
        </w:trPr>
        <w:tc>
          <w:tcPr>
            <w:tcW w:w="30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8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8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87"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c>
          <w:tcPr>
            <w:tcW w:w="1879"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7"/>
              <w:ind w:left="277" w:right="161" w:hanging="111"/>
              <w:jc w:val="left"/>
              <w:rPr>
                <w:rFonts w:ascii="宋体" w:hAnsi="宋体" w:cs="宋体" w:eastAsia="宋体" w:hint="default"/>
                <w:sz w:val="22"/>
                <w:szCs w:val="22"/>
              </w:rPr>
            </w:pPr>
            <w:r>
              <w:rPr>
                <w:rFonts w:ascii="宋体" w:hAnsi="宋体" w:cs="宋体" w:eastAsia="宋体" w:hint="default"/>
                <w:b/>
                <w:bCs/>
                <w:sz w:val="22"/>
                <w:szCs w:val="22"/>
              </w:rPr>
              <w:t>计入本年非经常</w:t>
            </w:r>
            <w:r>
              <w:rPr>
                <w:rFonts w:ascii="宋体" w:hAnsi="宋体" w:cs="宋体" w:eastAsia="宋体" w:hint="default"/>
                <w:b/>
                <w:bCs/>
                <w:w w:val="100"/>
                <w:sz w:val="22"/>
                <w:szCs w:val="22"/>
              </w:rPr>
              <w:t> </w:t>
            </w:r>
            <w:r>
              <w:rPr>
                <w:rFonts w:ascii="宋体" w:hAnsi="宋体" w:cs="宋体" w:eastAsia="宋体" w:hint="default"/>
                <w:b/>
                <w:bCs/>
                <w:sz w:val="22"/>
                <w:szCs w:val="22"/>
              </w:rPr>
              <w:t>性损益的金额</w:t>
            </w:r>
            <w:r>
              <w:rPr>
                <w:rFonts w:ascii="宋体" w:hAnsi="宋体" w:cs="宋体" w:eastAsia="宋体" w:hint="default"/>
                <w:sz w:val="22"/>
                <w:szCs w:val="22"/>
              </w:rPr>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756,681.73</w:t>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286,956.86</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756,681.73</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326"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756,681.73</w:t>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286,956.86</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756,681.73</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350,000.00</w:t>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350,000.00</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350,000.00</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罚款支出</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1,499,766.18</w:t>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1,247,674.90</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1,499,766.18</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244,741.09</w:t>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35,734.47</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244,741.09</w:t>
            </w:r>
          </w:p>
        </w:tc>
      </w:tr>
      <w:tr>
        <w:trPr>
          <w:trHeight w:val="414" w:hRule="exact"/>
        </w:trPr>
        <w:tc>
          <w:tcPr>
            <w:tcW w:w="30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3"/>
              <w:jc w:val="right"/>
              <w:rPr>
                <w:rFonts w:ascii="宋体" w:hAnsi="宋体" w:cs="宋体" w:eastAsia="宋体" w:hint="default"/>
                <w:sz w:val="22"/>
                <w:szCs w:val="22"/>
              </w:rPr>
            </w:pPr>
            <w:r>
              <w:rPr>
                <w:rFonts w:ascii="宋体"/>
                <w:b/>
                <w:spacing w:val="-1"/>
                <w:sz w:val="22"/>
              </w:rPr>
              <w:t>2,851,189.00</w:t>
            </w:r>
            <w:r>
              <w:rPr>
                <w:rFonts w:ascii="宋体"/>
                <w:spacing w:val="-1"/>
                <w:sz w:val="22"/>
              </w:rPr>
            </w:r>
          </w:p>
        </w:tc>
        <w:tc>
          <w:tcPr>
            <w:tcW w:w="18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2"/>
              <w:jc w:val="right"/>
              <w:rPr>
                <w:rFonts w:ascii="宋体" w:hAnsi="宋体" w:cs="宋体" w:eastAsia="宋体" w:hint="default"/>
                <w:sz w:val="22"/>
                <w:szCs w:val="22"/>
              </w:rPr>
            </w:pPr>
            <w:r>
              <w:rPr>
                <w:rFonts w:ascii="宋体"/>
                <w:b/>
                <w:spacing w:val="-1"/>
                <w:sz w:val="22"/>
              </w:rPr>
              <w:t>1,920,366.23</w:t>
            </w:r>
            <w:r>
              <w:rPr>
                <w:rFonts w:ascii="宋体"/>
                <w:spacing w:val="-1"/>
                <w:sz w:val="22"/>
              </w:rPr>
            </w:r>
          </w:p>
        </w:tc>
        <w:tc>
          <w:tcPr>
            <w:tcW w:w="18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4"/>
              <w:jc w:val="right"/>
              <w:rPr>
                <w:rFonts w:ascii="宋体" w:hAnsi="宋体" w:cs="宋体" w:eastAsia="宋体" w:hint="default"/>
                <w:sz w:val="22"/>
                <w:szCs w:val="22"/>
              </w:rPr>
            </w:pPr>
            <w:r>
              <w:rPr>
                <w:rFonts w:ascii="宋体"/>
                <w:b/>
                <w:spacing w:val="-1"/>
                <w:sz w:val="22"/>
              </w:rPr>
              <w:t>2,851,189.00</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644" w:right="80"/>
        <w:jc w:val="left"/>
      </w:pPr>
      <w:r>
        <w:rPr/>
        <w:t>43.</w:t>
      </w:r>
      <w:r>
        <w:rPr>
          <w:spacing w:val="-48"/>
        </w:rPr>
        <w:t> </w:t>
      </w:r>
      <w:r>
        <w:rPr/>
        <w:t>所得税费用</w:t>
      </w:r>
    </w:p>
    <w:p>
      <w:pPr>
        <w:pStyle w:val="BodyText"/>
        <w:spacing w:line="240" w:lineRule="auto" w:before="192"/>
        <w:ind w:left="666" w:right="80"/>
        <w:jc w:val="left"/>
      </w:pPr>
      <w:r>
        <w:rPr/>
        <w:t>（1）</w:t>
      </w:r>
      <w:r>
        <w:rPr>
          <w:spacing w:val="11"/>
        </w:rPr>
        <w:t> </w:t>
      </w:r>
      <w:r>
        <w:rPr/>
        <w:t>所得税费用</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077"/>
        <w:gridCol w:w="2324"/>
        <w:gridCol w:w="2322"/>
      </w:tblGrid>
      <w:tr>
        <w:trPr>
          <w:trHeight w:val="415" w:hRule="exact"/>
        </w:trPr>
        <w:tc>
          <w:tcPr>
            <w:tcW w:w="40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08"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3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07"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0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当年所得税费用</w:t>
            </w:r>
          </w:p>
        </w:tc>
        <w:tc>
          <w:tcPr>
            <w:tcW w:w="23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39,813,007.46</w:t>
            </w:r>
          </w:p>
        </w:tc>
        <w:tc>
          <w:tcPr>
            <w:tcW w:w="23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30,925,829.69</w:t>
            </w:r>
          </w:p>
        </w:tc>
      </w:tr>
      <w:tr>
        <w:trPr>
          <w:trHeight w:val="402" w:hRule="exact"/>
        </w:trPr>
        <w:tc>
          <w:tcPr>
            <w:tcW w:w="40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递延所得税费用</w:t>
            </w:r>
          </w:p>
        </w:tc>
        <w:tc>
          <w:tcPr>
            <w:tcW w:w="23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-840,292.39</w:t>
            </w:r>
          </w:p>
        </w:tc>
        <w:tc>
          <w:tcPr>
            <w:tcW w:w="23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-5,647,814.21</w:t>
            </w:r>
          </w:p>
        </w:tc>
      </w:tr>
      <w:tr>
        <w:trPr>
          <w:trHeight w:val="414" w:hRule="exact"/>
        </w:trPr>
        <w:tc>
          <w:tcPr>
            <w:tcW w:w="40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1"/>
              <w:jc w:val="right"/>
              <w:rPr>
                <w:rFonts w:ascii="宋体" w:hAnsi="宋体" w:cs="宋体" w:eastAsia="宋体" w:hint="default"/>
                <w:sz w:val="22"/>
                <w:szCs w:val="22"/>
              </w:rPr>
            </w:pPr>
            <w:r>
              <w:rPr>
                <w:rFonts w:ascii="宋体"/>
                <w:b/>
                <w:spacing w:val="-1"/>
                <w:sz w:val="22"/>
              </w:rPr>
              <w:t>38,972,715.07</w:t>
            </w:r>
            <w:r>
              <w:rPr>
                <w:rFonts w:ascii="宋体"/>
                <w:spacing w:val="-1"/>
                <w:sz w:val="22"/>
              </w:rPr>
            </w:r>
          </w:p>
        </w:tc>
        <w:tc>
          <w:tcPr>
            <w:tcW w:w="23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4"/>
              <w:jc w:val="right"/>
              <w:rPr>
                <w:rFonts w:ascii="宋体" w:hAnsi="宋体" w:cs="宋体" w:eastAsia="宋体" w:hint="default"/>
                <w:sz w:val="22"/>
                <w:szCs w:val="22"/>
              </w:rPr>
            </w:pPr>
            <w:r>
              <w:rPr>
                <w:rFonts w:ascii="宋体"/>
                <w:b/>
                <w:spacing w:val="-1"/>
                <w:sz w:val="22"/>
              </w:rPr>
              <w:t>25,278,015.48</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666" w:right="80"/>
        <w:jc w:val="left"/>
      </w:pPr>
      <w:r>
        <w:rPr/>
        <w:t>（2）</w:t>
      </w:r>
      <w:r>
        <w:rPr>
          <w:spacing w:val="5"/>
        </w:rPr>
        <w:t> </w:t>
      </w:r>
      <w:r>
        <w:rPr/>
        <w:t>会计利润与所得税费用调整过程</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345"/>
        <w:gridCol w:w="2378"/>
      </w:tblGrid>
      <w:tr>
        <w:trPr>
          <w:trHeight w:val="415" w:hRule="exact"/>
        </w:trPr>
        <w:tc>
          <w:tcPr>
            <w:tcW w:w="63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37"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315,163,240.48</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按法定/适用税率计算的所得税费用</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47,274,486.07</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子公司适用不同税率的影响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2,123,054.49</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调整以前期间所得税的影响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2,450,606.66</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非应税收入的影响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-4,159,370.48</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不可抵扣的成本、费用和损失的影响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2,478,616.62</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使用前期未确认递延所得税资产的可抵扣亏损的影响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-350,260.24</w:t>
            </w:r>
          </w:p>
        </w:tc>
      </w:tr>
      <w:tr>
        <w:trPr>
          <w:trHeight w:val="655"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1"/>
              <w:ind w:left="108" w:right="102"/>
              <w:jc w:val="left"/>
              <w:rPr>
                <w:rFonts w:ascii="宋体" w:hAnsi="宋体" w:cs="宋体" w:eastAsia="宋体" w:hint="default"/>
                <w:sz w:val="22"/>
                <w:szCs w:val="22"/>
              </w:rPr>
            </w:pPr>
            <w:r>
              <w:rPr>
                <w:rFonts w:ascii="宋体" w:hAnsi="宋体" w:cs="宋体" w:eastAsia="宋体" w:hint="default"/>
                <w:spacing w:val="4"/>
                <w:sz w:val="22"/>
                <w:szCs w:val="22"/>
              </w:rPr>
              <w:t>本年未确认递延所得税资产的可抵扣暂时性差异或可抵扣亏损</w:t>
            </w:r>
            <w:r>
              <w:rPr>
                <w:rFonts w:ascii="宋体" w:hAnsi="宋体" w:cs="宋体" w:eastAsia="宋体" w:hint="default"/>
                <w:spacing w:val="-34"/>
                <w:sz w:val="22"/>
                <w:szCs w:val="22"/>
              </w:rPr>
              <w:t> </w:t>
            </w:r>
            <w:r>
              <w:rPr>
                <w:rFonts w:ascii="宋体" w:hAnsi="宋体" w:cs="宋体" w:eastAsia="宋体" w:hint="default"/>
                <w:spacing w:val="-34"/>
                <w:sz w:val="22"/>
                <w:szCs w:val="22"/>
              </w:rPr>
            </w:r>
            <w:r>
              <w:rPr>
                <w:rFonts w:ascii="宋体" w:hAnsi="宋体" w:cs="宋体" w:eastAsia="宋体" w:hint="default"/>
                <w:sz w:val="22"/>
                <w:szCs w:val="22"/>
              </w:rPr>
              <w:t>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4"/>
              <w:jc w:val="right"/>
              <w:rPr>
                <w:rFonts w:ascii="宋体" w:hAnsi="宋体" w:cs="宋体" w:eastAsia="宋体" w:hint="default"/>
                <w:sz w:val="22"/>
                <w:szCs w:val="22"/>
              </w:rPr>
            </w:pPr>
            <w:r>
              <w:rPr>
                <w:rFonts w:ascii="宋体"/>
                <w:spacing w:val="-2"/>
                <w:sz w:val="22"/>
              </w:rPr>
              <w:t>1,997,937.28</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福利企业残疾人加计扣除的影响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-4,205,744.06</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研发费用加计扣除的影响</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-8,636,611.27</w:t>
            </w:r>
          </w:p>
        </w:tc>
      </w:tr>
      <w:tr>
        <w:trPr>
          <w:trHeight w:val="402" w:hRule="exact"/>
        </w:trPr>
        <w:tc>
          <w:tcPr>
            <w:tcW w:w="63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78"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63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23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38,972,715.07</w:t>
            </w:r>
          </w:p>
        </w:tc>
      </w:tr>
    </w:tbl>
    <w:p>
      <w:pPr>
        <w:spacing w:after="0" w:line="240" w:lineRule="auto"/>
        <w:jc w:val="right"/>
        <w:rPr>
          <w:rFonts w:ascii="宋体" w:hAnsi="宋体" w:cs="宋体" w:eastAsia="宋体" w:hint="default"/>
          <w:sz w:val="22"/>
          <w:szCs w:val="22"/>
        </w:rPr>
        <w:sectPr>
          <w:footerReference w:type="default" r:id="rId45"/>
          <w:pgSz w:w="11910" w:h="16840"/>
          <w:pgMar w:footer="873" w:header="0" w:top="1440" w:bottom="1060" w:left="1460" w:right="1460"/>
          <w:pgNumType w:start="138"/>
        </w:sectPr>
      </w:pPr>
    </w:p>
    <w:p>
      <w:pPr>
        <w:spacing w:line="240" w:lineRule="auto" w:before="1"/>
        <w:rPr>
          <w:rFonts w:ascii="宋体" w:hAnsi="宋体" w:cs="宋体" w:eastAsia="宋体" w:hint="default"/>
          <w:sz w:val="18"/>
          <w:szCs w:val="18"/>
        </w:rPr>
      </w:pPr>
    </w:p>
    <w:p>
      <w:pPr>
        <w:pStyle w:val="BodyText"/>
        <w:spacing w:line="240" w:lineRule="auto"/>
        <w:ind w:left="644" w:right="80"/>
        <w:jc w:val="left"/>
      </w:pPr>
      <w:r>
        <w:rPr/>
        <w:t>44.</w:t>
      </w:r>
      <w:r>
        <w:rPr>
          <w:spacing w:val="-50"/>
        </w:rPr>
        <w:t> </w:t>
      </w:r>
      <w:r>
        <w:rPr/>
        <w:t>现金流量表项目</w:t>
      </w:r>
    </w:p>
    <w:p>
      <w:pPr>
        <w:pStyle w:val="BodyText"/>
        <w:spacing w:line="400" w:lineRule="auto" w:before="192"/>
        <w:ind w:left="940" w:right="3243" w:hanging="274"/>
        <w:jc w:val="left"/>
      </w:pPr>
      <w:r>
        <w:rPr/>
        <w:t>（1） 收到/支付的其他与经营/筹资活动有关的现金</w:t>
      </w:r>
      <w:r>
        <w:rPr>
          <w:w w:val="100"/>
        </w:rPr>
        <w:t> </w:t>
      </w:r>
      <w:r>
        <w:rPr/>
        <w:t>1）</w:t>
      </w:r>
      <w:r>
        <w:rPr>
          <w:spacing w:val="-50"/>
        </w:rPr>
        <w:t> </w:t>
      </w:r>
      <w:r>
        <w:rPr/>
        <w:t>收到的其他与经营活动有关的现金</w:t>
      </w: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8,100,604.06</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10,378,019.84</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财政补助</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6,907,271.29</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9,668,354.37</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保证金及押金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5,942,807.22</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3,663,850.58</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收到往来款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2,393,263.04</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2,350,781.44</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388,819.62</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709,254.76</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23,732,765.23</w:t>
            </w:r>
            <w:r>
              <w:rPr>
                <w:rFonts w:ascii="宋体"/>
                <w:spacing w:val="-1"/>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26,770,260.99</w:t>
            </w:r>
            <w:r>
              <w:rPr>
                <w:rFonts w:ascii="宋体"/>
                <w:spacing w:val="-1"/>
                <w:sz w:val="22"/>
              </w:rPr>
            </w:r>
          </w:p>
        </w:tc>
      </w:tr>
    </w:tbl>
    <w:p>
      <w:pPr>
        <w:spacing w:line="240" w:lineRule="auto" w:before="3"/>
        <w:rPr>
          <w:rFonts w:ascii="宋体" w:hAnsi="宋体" w:cs="宋体" w:eastAsia="宋体" w:hint="default"/>
          <w:sz w:val="10"/>
          <w:szCs w:val="10"/>
        </w:rPr>
      </w:pPr>
    </w:p>
    <w:p>
      <w:pPr>
        <w:pStyle w:val="BodyText"/>
        <w:spacing w:line="240" w:lineRule="auto"/>
        <w:ind w:left="937" w:right="80"/>
        <w:jc w:val="left"/>
      </w:pPr>
      <w:r>
        <w:rPr/>
        <w:t>2）</w:t>
      </w:r>
      <w:r>
        <w:rPr>
          <w:spacing w:val="-48"/>
        </w:rPr>
        <w:t> </w:t>
      </w:r>
      <w:r>
        <w:rPr/>
        <w:t>支付的其他与经营活动有关的现金</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期间费用</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265,784,748.38</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236,411,777.77</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21,867,662.07</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19,452,226.82</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保证金及押金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8,821,677.46</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19,900,584.09</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业务员备用金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1,507,594.56</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14,994,444.49</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695,441.38</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875,461.78</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298,677,123.85</w:t>
            </w:r>
            <w:r>
              <w:rPr>
                <w:rFonts w:ascii="宋体"/>
                <w:spacing w:val="-1"/>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291,634,494.95</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937" w:right="80"/>
        <w:jc w:val="left"/>
      </w:pPr>
      <w:r>
        <w:rPr/>
        <w:t>3）</w:t>
      </w:r>
      <w:r>
        <w:rPr>
          <w:spacing w:val="-48"/>
        </w:rPr>
        <w:t> </w:t>
      </w:r>
      <w:r>
        <w:rPr/>
        <w:t>收到的其他与投资活动有关的现金</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银行理财产品赎回</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641" w:right="0"/>
              <w:jc w:val="left"/>
              <w:rPr>
                <w:rFonts w:ascii="宋体" w:hAnsi="宋体" w:cs="宋体" w:eastAsia="宋体" w:hint="default"/>
                <w:sz w:val="22"/>
                <w:szCs w:val="22"/>
              </w:rPr>
            </w:pPr>
            <w:r>
              <w:rPr>
                <w:rFonts w:ascii="宋体"/>
                <w:sz w:val="22"/>
              </w:rPr>
              <w:t>166,500,000.00</w:t>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641" w:right="0"/>
              <w:jc w:val="left"/>
              <w:rPr>
                <w:rFonts w:ascii="宋体" w:hAnsi="宋体" w:cs="宋体" w:eastAsia="宋体" w:hint="default"/>
                <w:sz w:val="22"/>
                <w:szCs w:val="22"/>
              </w:rPr>
            </w:pPr>
            <w:r>
              <w:rPr>
                <w:rFonts w:ascii="宋体"/>
                <w:b/>
                <w:sz w:val="22"/>
              </w:rPr>
              <w:t>166,500,000.00</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9"/>
          <w:szCs w:val="9"/>
        </w:rPr>
      </w:pPr>
    </w:p>
    <w:p>
      <w:pPr>
        <w:pStyle w:val="BodyText"/>
        <w:spacing w:line="240" w:lineRule="auto"/>
        <w:ind w:left="937" w:right="80"/>
        <w:jc w:val="left"/>
      </w:pPr>
      <w:r>
        <w:rPr/>
        <w:t>4）</w:t>
      </w:r>
      <w:r>
        <w:rPr>
          <w:spacing w:val="-48"/>
        </w:rPr>
        <w:t> </w:t>
      </w:r>
      <w:r>
        <w:rPr/>
        <w:t>支付的其他与投资活动有关的现金</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银行理财产品申购</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426,100,000.00</w:t>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委托贷款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3,675,000.00</w:t>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0"/>
              <w:jc w:val="right"/>
              <w:rPr>
                <w:rFonts w:ascii="宋体" w:hAnsi="宋体" w:cs="宋体" w:eastAsia="宋体" w:hint="default"/>
                <w:sz w:val="22"/>
                <w:szCs w:val="22"/>
              </w:rPr>
            </w:pPr>
            <w:r>
              <w:rPr>
                <w:rFonts w:ascii="宋体"/>
                <w:b/>
                <w:spacing w:val="-1"/>
                <w:sz w:val="22"/>
              </w:rPr>
              <w:t>429,775,000.00</w:t>
            </w:r>
            <w:r>
              <w:rPr>
                <w:rFonts w:ascii="宋体"/>
                <w:spacing w:val="-1"/>
                <w:sz w:val="22"/>
              </w:rPr>
            </w:r>
          </w:p>
        </w:tc>
        <w:tc>
          <w:tcPr>
            <w:tcW w:w="22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9"/>
          <w:szCs w:val="9"/>
        </w:rPr>
      </w:pPr>
    </w:p>
    <w:p>
      <w:pPr>
        <w:pStyle w:val="BodyText"/>
        <w:spacing w:line="240" w:lineRule="auto"/>
        <w:ind w:left="937" w:right="80"/>
        <w:jc w:val="left"/>
      </w:pPr>
      <w:r>
        <w:rPr/>
        <w:t>5）</w:t>
      </w:r>
      <w:r>
        <w:rPr>
          <w:spacing w:val="-48"/>
        </w:rPr>
        <w:t> </w:t>
      </w:r>
      <w:r>
        <w:rPr/>
        <w:t>收到的其他与筹资活动有关的现金</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12"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三个月以上到期的银行保证金减少额</w:t>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749" w:right="0"/>
              <w:jc w:val="left"/>
              <w:rPr>
                <w:rFonts w:ascii="宋体" w:hAnsi="宋体" w:cs="宋体" w:eastAsia="宋体" w:hint="default"/>
                <w:sz w:val="22"/>
                <w:szCs w:val="22"/>
              </w:rPr>
            </w:pPr>
            <w:r>
              <w:rPr>
                <w:rFonts w:ascii="宋体"/>
                <w:sz w:val="22"/>
              </w:rPr>
              <w:t>41,795,657.02</w:t>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1191" w:right="0"/>
              <w:jc w:val="left"/>
              <w:rPr>
                <w:rFonts w:ascii="宋体" w:hAnsi="宋体" w:cs="宋体" w:eastAsia="宋体" w:hint="default"/>
                <w:sz w:val="22"/>
                <w:szCs w:val="22"/>
              </w:rPr>
            </w:pPr>
            <w:r>
              <w:rPr>
                <w:rFonts w:ascii="宋体"/>
                <w:sz w:val="22"/>
              </w:rPr>
              <w:t>92,000.00</w:t>
            </w:r>
          </w:p>
        </w:tc>
      </w:tr>
    </w:tbl>
    <w:p>
      <w:pPr>
        <w:spacing w:after="0" w:line="240" w:lineRule="auto"/>
        <w:jc w:val="left"/>
        <w:rPr>
          <w:rFonts w:ascii="宋体" w:hAnsi="宋体" w:cs="宋体" w:eastAsia="宋体" w:hint="default"/>
          <w:sz w:val="22"/>
          <w:szCs w:val="22"/>
        </w:rPr>
        <w:sectPr>
          <w:pgSz w:w="11910" w:h="16840"/>
          <w:pgMar w:header="0"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749" w:right="0"/>
              <w:jc w:val="left"/>
              <w:rPr>
                <w:rFonts w:ascii="宋体" w:hAnsi="宋体" w:cs="宋体" w:eastAsia="宋体" w:hint="default"/>
                <w:sz w:val="22"/>
                <w:szCs w:val="22"/>
              </w:rPr>
            </w:pPr>
            <w:r>
              <w:rPr>
                <w:rFonts w:ascii="宋体"/>
                <w:b/>
                <w:sz w:val="22"/>
              </w:rPr>
              <w:t>41,795,657.02</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1191" w:right="0"/>
              <w:jc w:val="left"/>
              <w:rPr>
                <w:rFonts w:ascii="宋体" w:hAnsi="宋体" w:cs="宋体" w:eastAsia="宋体" w:hint="default"/>
                <w:sz w:val="22"/>
                <w:szCs w:val="22"/>
              </w:rPr>
            </w:pPr>
            <w:r>
              <w:rPr>
                <w:rFonts w:ascii="宋体"/>
                <w:b/>
                <w:sz w:val="22"/>
              </w:rPr>
              <w:t>92,000.00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937" w:right="80"/>
        <w:jc w:val="left"/>
      </w:pPr>
      <w:r>
        <w:rPr/>
        <w:t>6）</w:t>
      </w:r>
      <w:r>
        <w:rPr>
          <w:spacing w:val="-48"/>
        </w:rPr>
        <w:t> </w:t>
      </w:r>
      <w:r>
        <w:rPr/>
        <w:t>支付的其他与筹资活动有关的现金</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1"/>
        <w:gridCol w:w="2292"/>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三个月以上到期的银行保证金增加额</w:t>
            </w:r>
          </w:p>
        </w:tc>
        <w:tc>
          <w:tcPr>
            <w:tcW w:w="2291"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58,161,116.85</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银行借款保理费用</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788,173.43</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591,218.48</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788,173.43</w:t>
            </w:r>
            <w:r>
              <w:rPr>
                <w:rFonts w:ascii="宋体"/>
                <w:spacing w:val="-1"/>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58,752,335.33</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（2）</w:t>
      </w:r>
      <w:r>
        <w:rPr>
          <w:spacing w:val="7"/>
        </w:rPr>
        <w:t> </w:t>
      </w:r>
      <w:r>
        <w:rPr/>
        <w:t>合并现金流量表补充资料</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931"/>
        <w:gridCol w:w="1896"/>
        <w:gridCol w:w="1896"/>
      </w:tblGrid>
      <w:tr>
        <w:trPr>
          <w:trHeight w:val="415" w:hRule="exact"/>
        </w:trPr>
        <w:tc>
          <w:tcPr>
            <w:tcW w:w="49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8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58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276,190,525.41</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50"/>
              <w:jc w:val="right"/>
              <w:rPr>
                <w:rFonts w:ascii="宋体" w:hAnsi="宋体" w:cs="宋体" w:eastAsia="宋体" w:hint="default"/>
                <w:sz w:val="18"/>
                <w:szCs w:val="18"/>
              </w:rPr>
            </w:pPr>
            <w:r>
              <w:rPr>
                <w:rFonts w:ascii="宋体"/>
                <w:spacing w:val="-1"/>
                <w:sz w:val="18"/>
              </w:rPr>
              <w:t>236,772,300.02</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14,205,118.77</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2"/>
              <w:jc w:val="right"/>
              <w:rPr>
                <w:rFonts w:ascii="宋体" w:hAnsi="宋体" w:cs="宋体" w:eastAsia="宋体" w:hint="default"/>
                <w:sz w:val="18"/>
                <w:szCs w:val="18"/>
              </w:rPr>
            </w:pPr>
            <w:r>
              <w:rPr>
                <w:rFonts w:ascii="宋体"/>
                <w:spacing w:val="-1"/>
                <w:sz w:val="18"/>
              </w:rPr>
              <w:t>22,138,517.71</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80,327,208.76</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52"/>
              <w:jc w:val="right"/>
              <w:rPr>
                <w:rFonts w:ascii="宋体" w:hAnsi="宋体" w:cs="宋体" w:eastAsia="宋体" w:hint="default"/>
                <w:sz w:val="18"/>
                <w:szCs w:val="18"/>
              </w:rPr>
            </w:pPr>
            <w:r>
              <w:rPr>
                <w:rFonts w:ascii="宋体"/>
                <w:spacing w:val="-1"/>
                <w:sz w:val="18"/>
              </w:rPr>
              <w:t>72,964,104.39</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4,166,965.26</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3,401,923.65</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1,740,978.34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50"/>
              <w:jc w:val="right"/>
              <w:rPr>
                <w:rFonts w:ascii="宋体" w:hAnsi="宋体" w:cs="宋体" w:eastAsia="宋体" w:hint="default"/>
                <w:sz w:val="18"/>
                <w:szCs w:val="18"/>
              </w:rPr>
            </w:pPr>
            <w:r>
              <w:rPr>
                <w:rFonts w:ascii="宋体"/>
                <w:spacing w:val="-1"/>
                <w:sz w:val="18"/>
              </w:rPr>
              <w:t>1,414,181.98</w:t>
            </w:r>
          </w:p>
        </w:tc>
      </w:tr>
      <w:tr>
        <w:trPr>
          <w:trHeight w:val="55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53" w:right="139"/>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tabs>
                <w:tab w:pos="884" w:val="left" w:leader="none"/>
              </w:tabs>
              <w:spacing w:line="240" w:lineRule="auto" w:before="8"/>
              <w:ind w:left="-145" w:right="0"/>
              <w:jc w:val="left"/>
              <w:rPr>
                <w:rFonts w:ascii="宋体" w:hAnsi="宋体" w:cs="宋体" w:eastAsia="宋体" w:hint="default"/>
                <w:sz w:val="18"/>
                <w:szCs w:val="18"/>
              </w:rPr>
            </w:pPr>
            <w:r>
              <w:rPr>
                <w:rFonts w:ascii="宋体" w:hAnsi="宋体" w:cs="宋体" w:eastAsia="宋体" w:hint="default"/>
                <w:position w:val="12"/>
                <w:sz w:val="18"/>
                <w:szCs w:val="18"/>
              </w:rPr>
              <w:t>”</w:t>
              <w:tab/>
            </w:r>
            <w:r>
              <w:rPr>
                <w:rFonts w:ascii="宋体" w:hAnsi="宋体" w:cs="宋体" w:eastAsia="宋体" w:hint="default"/>
                <w:sz w:val="18"/>
                <w:szCs w:val="18"/>
              </w:rPr>
              <w:t>750,936.41</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52"/>
              <w:jc w:val="right"/>
              <w:rPr>
                <w:rFonts w:ascii="宋体" w:hAnsi="宋体" w:cs="宋体" w:eastAsia="宋体" w:hint="default"/>
                <w:sz w:val="18"/>
                <w:szCs w:val="18"/>
              </w:rPr>
            </w:pPr>
            <w:r>
              <w:rPr>
                <w:rFonts w:ascii="宋体"/>
                <w:spacing w:val="-1"/>
                <w:sz w:val="18"/>
              </w:rPr>
              <w:t>50,949.75</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固定资产报废损失（收益以“-”填列）</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公允价值变动损益（收益以“-”填列）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99,672.32</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0"/>
              <w:jc w:val="right"/>
              <w:rPr>
                <w:rFonts w:ascii="宋体" w:hAnsi="宋体" w:cs="宋体" w:eastAsia="宋体" w:hint="default"/>
                <w:sz w:val="18"/>
                <w:szCs w:val="18"/>
              </w:rPr>
            </w:pPr>
            <w:r>
              <w:rPr>
                <w:rFonts w:ascii="宋体"/>
                <w:spacing w:val="-1"/>
                <w:sz w:val="18"/>
              </w:rPr>
              <w:t>752,264.63</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财务费用（收益以“-”填列）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40,143,342.13</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2"/>
              <w:jc w:val="right"/>
              <w:rPr>
                <w:rFonts w:ascii="宋体" w:hAnsi="宋体" w:cs="宋体" w:eastAsia="宋体" w:hint="default"/>
                <w:sz w:val="18"/>
                <w:szCs w:val="18"/>
              </w:rPr>
            </w:pPr>
            <w:r>
              <w:rPr>
                <w:rFonts w:ascii="宋体"/>
                <w:spacing w:val="-1"/>
                <w:sz w:val="18"/>
              </w:rPr>
              <w:t>62,445,900.25</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投资损失（收益以“-”填列）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-3,047,663.70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2"/>
              <w:jc w:val="right"/>
              <w:rPr>
                <w:rFonts w:ascii="宋体" w:hAnsi="宋体" w:cs="宋体" w:eastAsia="宋体" w:hint="default"/>
                <w:sz w:val="18"/>
                <w:szCs w:val="18"/>
              </w:rPr>
            </w:pPr>
            <w:r>
              <w:rPr>
                <w:rFonts w:ascii="宋体"/>
                <w:spacing w:val="-1"/>
                <w:sz w:val="18"/>
              </w:rPr>
              <w:t>-868,119.08</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-417,179.78</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2"/>
              <w:jc w:val="right"/>
              <w:rPr>
                <w:rFonts w:ascii="宋体" w:hAnsi="宋体" w:cs="宋体" w:eastAsia="宋体" w:hint="default"/>
                <w:sz w:val="18"/>
                <w:szCs w:val="18"/>
              </w:rPr>
            </w:pPr>
            <w:r>
              <w:rPr>
                <w:rFonts w:ascii="宋体"/>
                <w:spacing w:val="-1"/>
                <w:sz w:val="18"/>
              </w:rPr>
              <w:t>-5,445,988.91</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-423,112.61</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2"/>
              <w:jc w:val="right"/>
              <w:rPr>
                <w:rFonts w:ascii="宋体" w:hAnsi="宋体" w:cs="宋体" w:eastAsia="宋体" w:hint="default"/>
                <w:sz w:val="18"/>
                <w:szCs w:val="18"/>
              </w:rPr>
            </w:pPr>
            <w:r>
              <w:rPr>
                <w:rFonts w:ascii="宋体"/>
                <w:spacing w:val="-1"/>
                <w:sz w:val="18"/>
              </w:rPr>
              <w:t>-201,825.29</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存货的减少（增加以“-”填列）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-87,302,887.46</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-48,273,065.79</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-68,397,693.94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2"/>
              <w:jc w:val="right"/>
              <w:rPr>
                <w:rFonts w:ascii="宋体" w:hAnsi="宋体" w:cs="宋体" w:eastAsia="宋体" w:hint="default"/>
                <w:sz w:val="18"/>
                <w:szCs w:val="18"/>
              </w:rPr>
            </w:pPr>
            <w:r>
              <w:rPr>
                <w:rFonts w:ascii="宋体"/>
                <w:spacing w:val="-1"/>
                <w:sz w:val="18"/>
              </w:rPr>
              <w:t>-404,303,431.89</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经营性应付项目的增加（减少以“-”填列）</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10,428,556.85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307,088,495.54</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pacing w:val="-1"/>
                <w:sz w:val="18"/>
              </w:rPr>
              <w:t>268,464,766.76</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247,936,206.96</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12" w:hRule="exact"/>
        </w:trPr>
        <w:tc>
          <w:tcPr>
            <w:tcW w:w="49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1896" w:type="dxa"/>
            <w:tcBorders>
              <w:top w:val="single" w:sz="2" w:space="0" w:color="000000"/>
              <w:left w:val="single" w:sz="2" w:space="0" w:color="000000"/>
              <w:bottom w:val="single" w:sz="12" w:space="0" w:color="000000"/>
              <w:right w:val="single" w:sz="2" w:space="0" w:color="000000"/>
            </w:tcBorders>
          </w:tcPr>
          <w:p>
            <w:pPr/>
          </w:p>
        </w:tc>
        <w:tc>
          <w:tcPr>
            <w:tcW w:w="1896"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46"/>
          <w:pgSz w:w="11910" w:h="16840"/>
          <w:pgMar w:footer="873" w:header="0" w:top="1440" w:bottom="1060" w:left="1460" w:right="1460"/>
          <w:pgNumType w:start="14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4931"/>
        <w:gridCol w:w="1896"/>
        <w:gridCol w:w="1896"/>
      </w:tblGrid>
      <w:tr>
        <w:trPr>
          <w:trHeight w:val="415" w:hRule="exact"/>
        </w:trPr>
        <w:tc>
          <w:tcPr>
            <w:tcW w:w="49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79" w:right="0"/>
              <w:jc w:val="left"/>
              <w:rPr>
                <w:rFonts w:ascii="宋体" w:hAnsi="宋体" w:cs="宋体" w:eastAsia="宋体" w:hint="default"/>
                <w:sz w:val="18"/>
                <w:szCs w:val="18"/>
              </w:rPr>
            </w:pPr>
            <w:r>
              <w:rPr>
                <w:rFonts w:ascii="宋体"/>
                <w:sz w:val="18"/>
              </w:rPr>
              <w:t>686,700,238.94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0"/>
              <w:jc w:val="right"/>
              <w:rPr>
                <w:rFonts w:ascii="宋体" w:hAnsi="宋体" w:cs="宋体" w:eastAsia="宋体" w:hint="default"/>
                <w:sz w:val="18"/>
                <w:szCs w:val="18"/>
              </w:rPr>
            </w:pPr>
            <w:r>
              <w:rPr>
                <w:rFonts w:ascii="宋体"/>
                <w:spacing w:val="-1"/>
                <w:sz w:val="18"/>
              </w:rPr>
              <w:t>697,559,427.25</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79" w:right="0"/>
              <w:jc w:val="left"/>
              <w:rPr>
                <w:rFonts w:ascii="宋体" w:hAnsi="宋体" w:cs="宋体" w:eastAsia="宋体" w:hint="default"/>
                <w:sz w:val="18"/>
                <w:szCs w:val="18"/>
              </w:rPr>
            </w:pPr>
            <w:r>
              <w:rPr>
                <w:rFonts w:ascii="宋体"/>
                <w:sz w:val="18"/>
              </w:rPr>
              <w:t>697,559,427.25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633,780,505.23</w:t>
            </w: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49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579" w:right="0"/>
              <w:jc w:val="left"/>
              <w:rPr>
                <w:rFonts w:ascii="宋体" w:hAnsi="宋体" w:cs="宋体" w:eastAsia="宋体" w:hint="default"/>
                <w:sz w:val="18"/>
                <w:szCs w:val="18"/>
              </w:rPr>
            </w:pPr>
            <w:r>
              <w:rPr>
                <w:rFonts w:ascii="宋体"/>
                <w:sz w:val="18"/>
              </w:rPr>
              <w:t>-10,859,188.31</w:t>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52"/>
              <w:jc w:val="right"/>
              <w:rPr>
                <w:rFonts w:ascii="宋体" w:hAnsi="宋体" w:cs="宋体" w:eastAsia="宋体" w:hint="default"/>
                <w:sz w:val="18"/>
                <w:szCs w:val="18"/>
              </w:rPr>
            </w:pPr>
            <w:r>
              <w:rPr>
                <w:rFonts w:ascii="宋体"/>
                <w:spacing w:val="-1"/>
                <w:sz w:val="18"/>
              </w:rPr>
              <w:t>63,778,922.02</w:t>
            </w: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（3）</w:t>
      </w:r>
      <w:r>
        <w:rPr>
          <w:spacing w:val="9"/>
        </w:rPr>
        <w:t> </w:t>
      </w:r>
      <w:r>
        <w:rPr/>
        <w:t>现金和现金等价物</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929"/>
        <w:gridCol w:w="1896"/>
        <w:gridCol w:w="1898"/>
      </w:tblGrid>
      <w:tr>
        <w:trPr>
          <w:trHeight w:val="415" w:hRule="exact"/>
        </w:trPr>
        <w:tc>
          <w:tcPr>
            <w:tcW w:w="4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8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5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686,700,238.94</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697,559,427.25</w:t>
            </w: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65,199.64</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81,814.17</w:t>
            </w: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82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629,374,213.41</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450,657,970.30</w:t>
            </w: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82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57,260,825.89</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246,819,642.78</w:t>
            </w: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686,700,238.94</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697,559,427.25</w:t>
            </w:r>
          </w:p>
        </w:tc>
      </w:tr>
      <w:tr>
        <w:trPr>
          <w:trHeight w:val="564" w:hRule="exact"/>
        </w:trPr>
        <w:tc>
          <w:tcPr>
            <w:tcW w:w="4929"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6"/>
              <w:ind w:left="108" w:right="10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w:t>
            </w:r>
          </w:p>
        </w:tc>
        <w:tc>
          <w:tcPr>
            <w:tcW w:w="1896" w:type="dxa"/>
            <w:tcBorders>
              <w:top w:val="single" w:sz="2" w:space="0" w:color="000000"/>
              <w:left w:val="single" w:sz="2" w:space="0" w:color="000000"/>
              <w:bottom w:val="single" w:sz="12" w:space="0" w:color="000000"/>
              <w:right w:val="single" w:sz="2" w:space="0" w:color="000000"/>
            </w:tcBorders>
          </w:tcPr>
          <w:p>
            <w:pPr/>
          </w:p>
        </w:tc>
        <w:tc>
          <w:tcPr>
            <w:tcW w:w="189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00" w:lineRule="auto"/>
        <w:ind w:left="644" w:right="1825"/>
        <w:jc w:val="left"/>
      </w:pPr>
      <w:r>
        <w:rPr/>
        <w:t>45.</w:t>
      </w:r>
      <w:r>
        <w:rPr>
          <w:spacing w:val="-47"/>
        </w:rPr>
        <w:t> </w:t>
      </w:r>
      <w:r>
        <w:rPr/>
        <w:t>所有者权益变动表项目</w:t>
      </w:r>
      <w:r>
        <w:rPr>
          <w:w w:val="100"/>
        </w:rPr>
        <w:t> </w:t>
      </w:r>
      <w:r>
        <w:rPr>
          <w:spacing w:val="-2"/>
        </w:rPr>
        <w:t>所有者权益变动表中“其他”项详见“六、30.资本公积”所述。</w:t>
      </w:r>
      <w:r>
        <w:rPr>
          <w:spacing w:val="-69"/>
        </w:rPr>
        <w:t> </w:t>
      </w:r>
      <w:r>
        <w:rPr>
          <w:spacing w:val="-69"/>
        </w:rPr>
      </w:r>
      <w:r>
        <w:rPr/>
        <w:t>46.</w:t>
      </w:r>
      <w:r>
        <w:rPr>
          <w:spacing w:val="-54"/>
        </w:rPr>
        <w:t> </w:t>
      </w:r>
      <w:r>
        <w:rPr/>
        <w:t>所有权或使用权受到限制的资产</w:t>
      </w:r>
    </w:p>
    <w:tbl>
      <w:tblPr>
        <w:tblW w:w="0" w:type="auto"/>
        <w:jc w:val="left"/>
        <w:tblInd w:w="118" w:type="dxa"/>
        <w:tblLayout w:type="fixed"/>
        <w:tblCellMar>
          <w:top w:w="0" w:type="dxa"/>
          <w:left w:w="0" w:type="dxa"/>
          <w:bottom w:w="0" w:type="dxa"/>
          <w:right w:w="0" w:type="dxa"/>
        </w:tblCellMar>
        <w:tblLook w:val="01E0"/>
      </w:tblPr>
      <w:tblGrid>
        <w:gridCol w:w="1527"/>
        <w:gridCol w:w="1842"/>
        <w:gridCol w:w="5354"/>
      </w:tblGrid>
      <w:tr>
        <w:trPr>
          <w:trHeight w:val="415" w:hRule="exact"/>
        </w:trPr>
        <w:tc>
          <w:tcPr>
            <w:tcW w:w="1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59" w:right="0"/>
              <w:jc w:val="left"/>
              <w:rPr>
                <w:rFonts w:ascii="宋体" w:hAnsi="宋体" w:cs="宋体" w:eastAsia="宋体" w:hint="default"/>
                <w:sz w:val="22"/>
                <w:szCs w:val="22"/>
              </w:rPr>
            </w:pPr>
            <w:r>
              <w:rPr>
                <w:rFonts w:ascii="宋体" w:hAnsi="宋体" w:cs="宋体" w:eastAsia="宋体" w:hint="default"/>
                <w:b/>
                <w:bCs/>
                <w:sz w:val="22"/>
                <w:szCs w:val="22"/>
              </w:rPr>
              <w:t>年末账面价值</w:t>
            </w:r>
            <w:r>
              <w:rPr>
                <w:rFonts w:ascii="宋体" w:hAnsi="宋体" w:cs="宋体" w:eastAsia="宋体" w:hint="default"/>
                <w:sz w:val="22"/>
                <w:szCs w:val="22"/>
              </w:rPr>
            </w:r>
          </w:p>
        </w:tc>
        <w:tc>
          <w:tcPr>
            <w:tcW w:w="53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z w:val="22"/>
                <w:szCs w:val="22"/>
              </w:rPr>
              <w:t>受限原因</w:t>
            </w:r>
            <w:r>
              <w:rPr>
                <w:rFonts w:ascii="宋体" w:hAnsi="宋体" w:cs="宋体" w:eastAsia="宋体" w:hint="default"/>
                <w:sz w:val="22"/>
                <w:szCs w:val="22"/>
              </w:rPr>
            </w: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108,340,501.39</w:t>
            </w:r>
          </w:p>
        </w:tc>
        <w:tc>
          <w:tcPr>
            <w:tcW w:w="5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银行承兑汇票保证金、保函保证金以及信用证保证金</w:t>
            </w: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24,353,757.54</w:t>
            </w:r>
          </w:p>
        </w:tc>
        <w:tc>
          <w:tcPr>
            <w:tcW w:w="5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票据质押</w:t>
            </w: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182,543,242.82</w:t>
            </w:r>
          </w:p>
        </w:tc>
        <w:tc>
          <w:tcPr>
            <w:tcW w:w="5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借款抵押</w:t>
            </w:r>
          </w:p>
        </w:tc>
      </w:tr>
      <w:tr>
        <w:trPr>
          <w:trHeight w:val="414" w:hRule="exact"/>
        </w:trPr>
        <w:tc>
          <w:tcPr>
            <w:tcW w:w="1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85,937,414.25</w:t>
            </w:r>
          </w:p>
        </w:tc>
        <w:tc>
          <w:tcPr>
            <w:tcW w:w="53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借款抵押</w:t>
            </w:r>
          </w:p>
        </w:tc>
      </w:tr>
    </w:tbl>
    <w:p>
      <w:pPr>
        <w:spacing w:line="240" w:lineRule="auto" w:before="1"/>
        <w:rPr>
          <w:rFonts w:ascii="宋体" w:hAnsi="宋体" w:cs="宋体" w:eastAsia="宋体" w:hint="default"/>
          <w:sz w:val="10"/>
          <w:szCs w:val="10"/>
        </w:rPr>
      </w:pPr>
    </w:p>
    <w:p>
      <w:pPr>
        <w:pStyle w:val="BodyText"/>
        <w:spacing w:line="240" w:lineRule="auto"/>
        <w:ind w:left="644" w:right="80"/>
        <w:jc w:val="left"/>
      </w:pPr>
      <w:r>
        <w:rPr/>
        <w:t>47.</w:t>
      </w:r>
      <w:r>
        <w:rPr>
          <w:spacing w:val="-50"/>
        </w:rPr>
        <w:t> </w:t>
      </w:r>
      <w:r>
        <w:rPr/>
        <w:t>外币货币性项目</w:t>
      </w:r>
    </w:p>
    <w:p>
      <w:pPr>
        <w:pStyle w:val="BodyText"/>
        <w:spacing w:line="240" w:lineRule="auto" w:before="192"/>
        <w:ind w:left="666" w:right="80"/>
        <w:jc w:val="left"/>
      </w:pPr>
      <w:r>
        <w:rPr/>
        <w:t>（1）</w:t>
      </w:r>
      <w:r>
        <w:rPr>
          <w:spacing w:val="9"/>
        </w:rPr>
        <w:t> </w:t>
      </w:r>
      <w:r>
        <w:rPr/>
        <w:t>外币货币性项目</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376"/>
        <w:gridCol w:w="2114"/>
        <w:gridCol w:w="1855"/>
        <w:gridCol w:w="2378"/>
      </w:tblGrid>
      <w:tr>
        <w:trPr>
          <w:trHeight w:val="415" w:hRule="exact"/>
        </w:trPr>
        <w:tc>
          <w:tcPr>
            <w:tcW w:w="2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94" w:right="0"/>
              <w:jc w:val="left"/>
              <w:rPr>
                <w:rFonts w:ascii="宋体" w:hAnsi="宋体" w:cs="宋体" w:eastAsia="宋体" w:hint="default"/>
                <w:sz w:val="22"/>
                <w:szCs w:val="22"/>
              </w:rPr>
            </w:pPr>
            <w:r>
              <w:rPr>
                <w:rFonts w:ascii="宋体" w:hAnsi="宋体" w:cs="宋体" w:eastAsia="宋体" w:hint="default"/>
                <w:b/>
                <w:bCs/>
                <w:sz w:val="22"/>
                <w:szCs w:val="22"/>
              </w:rPr>
              <w:t>年末外币余额</w:t>
            </w:r>
            <w:r>
              <w:rPr>
                <w:rFonts w:ascii="宋体" w:hAnsi="宋体" w:cs="宋体" w:eastAsia="宋体" w:hint="default"/>
                <w:sz w:val="22"/>
                <w:szCs w:val="22"/>
              </w:rPr>
            </w:r>
          </w:p>
        </w:tc>
        <w:tc>
          <w:tcPr>
            <w:tcW w:w="18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83"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23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95" w:right="0"/>
              <w:jc w:val="left"/>
              <w:rPr>
                <w:rFonts w:ascii="宋体" w:hAnsi="宋体" w:cs="宋体" w:eastAsia="宋体" w:hint="default"/>
                <w:sz w:val="22"/>
                <w:szCs w:val="22"/>
              </w:rPr>
            </w:pPr>
            <w:r>
              <w:rPr>
                <w:rFonts w:ascii="宋体" w:hAnsi="宋体" w:cs="宋体" w:eastAsia="宋体" w:hint="default"/>
                <w:b/>
                <w:bCs/>
                <w:sz w:val="22"/>
                <w:szCs w:val="22"/>
              </w:rPr>
              <w:t>年末折算人民币余额</w:t>
            </w:r>
            <w:r>
              <w:rPr>
                <w:rFonts w:ascii="宋体" w:hAnsi="宋体" w:cs="宋体" w:eastAsia="宋体" w:hint="default"/>
                <w:sz w:val="22"/>
                <w:szCs w:val="22"/>
              </w:rPr>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54,846,309.01</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8,345,369.29</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6.4936</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54,191,490.01</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768"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1"/>
                <w:sz w:val="22"/>
              </w:rPr>
              <w:t>0.04</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1"/>
                <w:sz w:val="22"/>
              </w:rPr>
              <w:t>7.0952</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1"/>
                <w:sz w:val="22"/>
              </w:rPr>
              <w:t>0.28</w:t>
            </w:r>
          </w:p>
        </w:tc>
      </w:tr>
      <w:tr>
        <w:trPr>
          <w:trHeight w:val="412" w:hRule="exact"/>
        </w:trPr>
        <w:tc>
          <w:tcPr>
            <w:tcW w:w="2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768" w:right="0"/>
              <w:jc w:val="left"/>
              <w:rPr>
                <w:rFonts w:ascii="宋体" w:hAnsi="宋体" w:cs="宋体" w:eastAsia="宋体" w:hint="default"/>
                <w:sz w:val="22"/>
                <w:szCs w:val="22"/>
              </w:rPr>
            </w:pPr>
            <w:r>
              <w:rPr>
                <w:rFonts w:ascii="宋体" w:hAnsi="宋体" w:cs="宋体" w:eastAsia="宋体" w:hint="default"/>
                <w:sz w:val="22"/>
                <w:szCs w:val="22"/>
              </w:rPr>
              <w:t>瑞士法郎</w:t>
            </w:r>
          </w:p>
        </w:tc>
        <w:tc>
          <w:tcPr>
            <w:tcW w:w="2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0.27</w:t>
            </w:r>
          </w:p>
        </w:tc>
        <w:tc>
          <w:tcPr>
            <w:tcW w:w="18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6.4018</w:t>
            </w:r>
          </w:p>
        </w:tc>
        <w:tc>
          <w:tcPr>
            <w:tcW w:w="23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1.73</w:t>
            </w:r>
          </w:p>
        </w:tc>
      </w:tr>
    </w:tbl>
    <w:p>
      <w:pPr>
        <w:spacing w:after="0" w:line="240" w:lineRule="auto"/>
        <w:jc w:val="right"/>
        <w:rPr>
          <w:rFonts w:ascii="宋体" w:hAnsi="宋体" w:cs="宋体" w:eastAsia="宋体" w:hint="default"/>
          <w:sz w:val="22"/>
          <w:szCs w:val="22"/>
        </w:rPr>
        <w:sectPr>
          <w:pgSz w:w="11910" w:h="16840"/>
          <w:pgMar w:header="0"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376"/>
        <w:gridCol w:w="2114"/>
        <w:gridCol w:w="1855"/>
        <w:gridCol w:w="2378"/>
      </w:tblGrid>
      <w:tr>
        <w:trPr>
          <w:trHeight w:val="415" w:hRule="exact"/>
        </w:trPr>
        <w:tc>
          <w:tcPr>
            <w:tcW w:w="2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94" w:right="0"/>
              <w:jc w:val="left"/>
              <w:rPr>
                <w:rFonts w:ascii="宋体" w:hAnsi="宋体" w:cs="宋体" w:eastAsia="宋体" w:hint="default"/>
                <w:sz w:val="22"/>
                <w:szCs w:val="22"/>
              </w:rPr>
            </w:pPr>
            <w:r>
              <w:rPr>
                <w:rFonts w:ascii="宋体" w:hAnsi="宋体" w:cs="宋体" w:eastAsia="宋体" w:hint="default"/>
                <w:b/>
                <w:bCs/>
                <w:sz w:val="22"/>
                <w:szCs w:val="22"/>
              </w:rPr>
              <w:t>年末外币余额</w:t>
            </w:r>
            <w:r>
              <w:rPr>
                <w:rFonts w:ascii="宋体" w:hAnsi="宋体" w:cs="宋体" w:eastAsia="宋体" w:hint="default"/>
                <w:sz w:val="22"/>
                <w:szCs w:val="22"/>
              </w:rPr>
            </w:r>
          </w:p>
        </w:tc>
        <w:tc>
          <w:tcPr>
            <w:tcW w:w="18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83"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23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95" w:right="0"/>
              <w:jc w:val="left"/>
              <w:rPr>
                <w:rFonts w:ascii="宋体" w:hAnsi="宋体" w:cs="宋体" w:eastAsia="宋体" w:hint="default"/>
                <w:sz w:val="22"/>
                <w:szCs w:val="22"/>
              </w:rPr>
            </w:pPr>
            <w:r>
              <w:rPr>
                <w:rFonts w:ascii="宋体" w:hAnsi="宋体" w:cs="宋体" w:eastAsia="宋体" w:hint="default"/>
                <w:b/>
                <w:bCs/>
                <w:sz w:val="22"/>
                <w:szCs w:val="22"/>
              </w:rPr>
              <w:t>年末折算人民币余额</w:t>
            </w:r>
            <w:r>
              <w:rPr>
                <w:rFonts w:ascii="宋体" w:hAnsi="宋体" w:cs="宋体" w:eastAsia="宋体" w:hint="default"/>
                <w:sz w:val="22"/>
                <w:szCs w:val="22"/>
              </w:rPr>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right="1161"/>
              <w:jc w:val="right"/>
              <w:rPr>
                <w:rFonts w:ascii="宋体" w:hAnsi="宋体" w:cs="宋体" w:eastAsia="宋体" w:hint="default"/>
                <w:sz w:val="22"/>
                <w:szCs w:val="22"/>
              </w:rPr>
            </w:pPr>
            <w:r>
              <w:rPr>
                <w:rFonts w:ascii="宋体" w:hAnsi="宋体" w:cs="宋体" w:eastAsia="宋体" w:hint="default"/>
                <w:spacing w:val="-1"/>
                <w:sz w:val="22"/>
                <w:szCs w:val="22"/>
              </w:rPr>
              <w:t>港币</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781,591.06</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0.8378</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654,816.99</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28,333,464.77</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4,351,420.98</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6.4936</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28,256,387.27</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right="1161"/>
              <w:jc w:val="right"/>
              <w:rPr>
                <w:rFonts w:ascii="宋体" w:hAnsi="宋体" w:cs="宋体" w:eastAsia="宋体" w:hint="default"/>
                <w:sz w:val="22"/>
                <w:szCs w:val="22"/>
              </w:rPr>
            </w:pPr>
            <w:r>
              <w:rPr>
                <w:rFonts w:ascii="宋体" w:hAnsi="宋体" w:cs="宋体" w:eastAsia="宋体" w:hint="default"/>
                <w:spacing w:val="-1"/>
                <w:sz w:val="22"/>
                <w:szCs w:val="22"/>
              </w:rPr>
              <w:t>欧元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10,863.33</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7.0952</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77,077.50</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1,897,177.95</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288,695.00</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6.4936</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1,874,669.85</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right="1161"/>
              <w:jc w:val="right"/>
              <w:rPr>
                <w:rFonts w:ascii="宋体" w:hAnsi="宋体" w:cs="宋体" w:eastAsia="宋体" w:hint="default"/>
                <w:sz w:val="22"/>
                <w:szCs w:val="22"/>
              </w:rPr>
            </w:pPr>
            <w:r>
              <w:rPr>
                <w:rFonts w:ascii="宋体" w:hAnsi="宋体" w:cs="宋体" w:eastAsia="宋体" w:hint="default"/>
                <w:spacing w:val="-1"/>
                <w:sz w:val="22"/>
                <w:szCs w:val="22"/>
              </w:rPr>
              <w:t>港币</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26,866.36</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0.8378</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22,508.10</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6,033,301.16</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929,115.00</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6.4936</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6,033,301.16</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6,886,537.35</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1,060,511.48</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6.4936</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6,886,537.35</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796,868.05</w:t>
            </w:r>
          </w:p>
        </w:tc>
      </w:tr>
      <w:tr>
        <w:trPr>
          <w:trHeight w:val="402" w:hRule="exact"/>
        </w:trPr>
        <w:tc>
          <w:tcPr>
            <w:tcW w:w="2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121,639.72</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6.4936</w:t>
            </w:r>
          </w:p>
        </w:tc>
        <w:tc>
          <w:tcPr>
            <w:tcW w:w="2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789,879.70</w:t>
            </w:r>
          </w:p>
        </w:tc>
      </w:tr>
      <w:tr>
        <w:trPr>
          <w:trHeight w:val="414" w:hRule="exact"/>
        </w:trPr>
        <w:tc>
          <w:tcPr>
            <w:tcW w:w="2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right="1161"/>
              <w:jc w:val="right"/>
              <w:rPr>
                <w:rFonts w:ascii="宋体" w:hAnsi="宋体" w:cs="宋体" w:eastAsia="宋体" w:hint="default"/>
                <w:sz w:val="22"/>
                <w:szCs w:val="22"/>
              </w:rPr>
            </w:pPr>
            <w:r>
              <w:rPr>
                <w:rFonts w:ascii="宋体" w:hAnsi="宋体" w:cs="宋体" w:eastAsia="宋体" w:hint="default"/>
                <w:spacing w:val="-1"/>
                <w:sz w:val="22"/>
                <w:szCs w:val="22"/>
              </w:rPr>
              <w:t>欧元</w:t>
            </w:r>
          </w:p>
        </w:tc>
        <w:tc>
          <w:tcPr>
            <w:tcW w:w="2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984.94</w:t>
            </w:r>
          </w:p>
        </w:tc>
        <w:tc>
          <w:tcPr>
            <w:tcW w:w="18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7.0952</w:t>
            </w:r>
          </w:p>
        </w:tc>
        <w:tc>
          <w:tcPr>
            <w:tcW w:w="23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6,988.35</w:t>
            </w:r>
          </w:p>
        </w:tc>
      </w:tr>
    </w:tbl>
    <w:p>
      <w:pPr>
        <w:spacing w:line="240" w:lineRule="auto" w:before="3"/>
        <w:rPr>
          <w:rFonts w:ascii="宋体" w:hAnsi="宋体" w:cs="宋体" w:eastAsia="宋体" w:hint="default"/>
          <w:sz w:val="9"/>
          <w:szCs w:val="9"/>
        </w:rPr>
      </w:pPr>
    </w:p>
    <w:p>
      <w:pPr>
        <w:pStyle w:val="BodyText"/>
        <w:spacing w:line="240" w:lineRule="auto"/>
        <w:ind w:left="666" w:right="80"/>
        <w:jc w:val="left"/>
      </w:pPr>
      <w:r>
        <w:rPr/>
        <w:t>（2）</w:t>
      </w:r>
      <w:r>
        <w:rPr>
          <w:spacing w:val="9"/>
        </w:rPr>
        <w:t> </w:t>
      </w:r>
      <w:r>
        <w:rPr/>
        <w:t>境外经营实体</w:t>
      </w:r>
    </w:p>
    <w:p>
      <w:pPr>
        <w:pStyle w:val="BodyText"/>
        <w:spacing w:line="300" w:lineRule="auto" w:before="192"/>
        <w:ind w:left="241" w:right="80" w:firstLine="439"/>
        <w:jc w:val="left"/>
      </w:pPr>
      <w:r>
        <w:rPr/>
        <w:t>HONG KONG STEED INTERNATIONAL</w:t>
      </w:r>
      <w:r>
        <w:rPr>
          <w:spacing w:val="2"/>
        </w:rPr>
        <w:t> </w:t>
      </w:r>
      <w:r>
        <w:rPr/>
        <w:t>DEVELOPMENT（香港骐骥国际发展有限公司），系</w:t>
      </w:r>
      <w:r>
        <w:rPr>
          <w:w w:val="100"/>
        </w:rPr>
        <w:t> </w:t>
      </w:r>
      <w:r>
        <w:rPr/>
        <w:t>本集团注册在香港的全资子公司。公司主要经营地：香港；记账本位币：人民币。</w:t>
      </w:r>
    </w:p>
    <w:p>
      <w:pPr>
        <w:tabs>
          <w:tab w:pos="1141" w:val="left" w:leader="none"/>
        </w:tabs>
        <w:spacing w:line="400" w:lineRule="auto" w:before="137"/>
        <w:ind w:left="680" w:right="5644" w:firstLine="19"/>
        <w:jc w:val="left"/>
        <w:rPr>
          <w:rFonts w:ascii="宋体" w:hAnsi="宋体" w:cs="宋体" w:eastAsia="宋体" w:hint="default"/>
          <w:sz w:val="22"/>
          <w:szCs w:val="22"/>
        </w:rPr>
      </w:pPr>
      <w:r>
        <w:rPr>
          <w:rFonts w:ascii="宋体" w:hAnsi="宋体" w:cs="宋体" w:eastAsia="宋体" w:hint="default"/>
          <w:b/>
          <w:bCs/>
          <w:sz w:val="22"/>
          <w:szCs w:val="22"/>
        </w:rPr>
        <w:t>七</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81"/>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范</w:t>
      </w:r>
      <w:r>
        <w:rPr>
          <w:rFonts w:ascii="宋体" w:hAnsi="宋体" w:cs="宋体" w:eastAsia="宋体" w:hint="default"/>
          <w:b/>
          <w:bCs/>
          <w:spacing w:val="-71"/>
          <w:sz w:val="22"/>
          <w:szCs w:val="22"/>
        </w:rPr>
        <w:t> </w:t>
      </w:r>
      <w:r>
        <w:rPr>
          <w:rFonts w:ascii="宋体" w:hAnsi="宋体" w:cs="宋体" w:eastAsia="宋体" w:hint="default"/>
          <w:b/>
          <w:bCs/>
          <w:sz w:val="22"/>
          <w:szCs w:val="22"/>
        </w:rPr>
        <w:t>围</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变</w:t>
      </w:r>
      <w:r>
        <w:rPr>
          <w:rFonts w:ascii="宋体" w:hAnsi="宋体" w:cs="宋体" w:eastAsia="宋体" w:hint="default"/>
          <w:b/>
          <w:bCs/>
          <w:spacing w:val="-71"/>
          <w:sz w:val="22"/>
          <w:szCs w:val="22"/>
        </w:rPr>
        <w:t> </w:t>
      </w:r>
      <w:r>
        <w:rPr>
          <w:rFonts w:ascii="宋体" w:hAnsi="宋体" w:cs="宋体" w:eastAsia="宋体" w:hint="default"/>
          <w:b/>
          <w:bCs/>
          <w:sz w:val="22"/>
          <w:szCs w:val="22"/>
        </w:rPr>
        <w:t>化</w:t>
      </w:r>
      <w:r>
        <w:rPr>
          <w:rFonts w:ascii="宋体" w:hAnsi="宋体" w:cs="宋体" w:eastAsia="宋体" w:hint="default"/>
          <w:b/>
          <w:bCs/>
          <w:w w:val="100"/>
          <w:sz w:val="22"/>
          <w:szCs w:val="22"/>
        </w:rPr>
        <w:t> </w:t>
      </w:r>
      <w:r>
        <w:rPr>
          <w:rFonts w:ascii="宋体" w:hAnsi="宋体" w:cs="宋体" w:eastAsia="宋体" w:hint="default"/>
          <w:spacing w:val="-1"/>
          <w:sz w:val="22"/>
          <w:szCs w:val="22"/>
        </w:rPr>
        <w:t>1.</w:t>
        <w:tab/>
      </w:r>
      <w:r>
        <w:rPr>
          <w:rFonts w:ascii="宋体" w:hAnsi="宋体" w:cs="宋体" w:eastAsia="宋体" w:hint="default"/>
          <w:spacing w:val="-2"/>
          <w:sz w:val="22"/>
          <w:szCs w:val="22"/>
        </w:rPr>
        <w:t>非同一控制下企业合并</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无。</w:t>
      </w:r>
    </w:p>
    <w:p>
      <w:pPr>
        <w:pStyle w:val="BodyText"/>
        <w:tabs>
          <w:tab w:pos="1141" w:val="left" w:leader="none"/>
        </w:tabs>
        <w:spacing w:line="400" w:lineRule="auto" w:before="44"/>
        <w:ind w:left="680" w:right="5865"/>
        <w:jc w:val="left"/>
      </w:pPr>
      <w:r>
        <w:rPr>
          <w:spacing w:val="-1"/>
        </w:rPr>
        <w:t>2.</w:t>
        <w:tab/>
      </w:r>
      <w:r>
        <w:rPr>
          <w:spacing w:val="-2"/>
        </w:rPr>
        <w:t>同一控制下企业合并</w:t>
      </w:r>
      <w:r>
        <w:rPr>
          <w:spacing w:val="-97"/>
        </w:rPr>
        <w:t> </w:t>
      </w:r>
      <w:r>
        <w:rPr>
          <w:spacing w:val="-97"/>
        </w:rPr>
      </w:r>
      <w:r>
        <w:rPr/>
        <w:t>无。</w:t>
      </w:r>
    </w:p>
    <w:p>
      <w:pPr>
        <w:pStyle w:val="BodyText"/>
        <w:tabs>
          <w:tab w:pos="1141" w:val="left" w:leader="none"/>
        </w:tabs>
        <w:spacing w:line="400" w:lineRule="auto" w:before="44"/>
        <w:ind w:left="680" w:right="6964"/>
        <w:jc w:val="left"/>
      </w:pPr>
      <w:r>
        <w:rPr>
          <w:spacing w:val="-1"/>
        </w:rPr>
        <w:t>3.</w:t>
        <w:tab/>
      </w:r>
      <w:r>
        <w:rPr>
          <w:spacing w:val="-2"/>
        </w:rPr>
        <w:t>反向收购</w:t>
      </w:r>
      <w:r>
        <w:rPr>
          <w:spacing w:val="-103"/>
        </w:rPr>
        <w:t> </w:t>
      </w:r>
      <w:r>
        <w:rPr>
          <w:spacing w:val="-103"/>
        </w:rPr>
      </w:r>
      <w:r>
        <w:rPr/>
        <w:t>无。</w:t>
      </w:r>
    </w:p>
    <w:p>
      <w:pPr>
        <w:pStyle w:val="BodyText"/>
        <w:tabs>
          <w:tab w:pos="1141" w:val="left" w:leader="none"/>
        </w:tabs>
        <w:spacing w:line="400" w:lineRule="auto" w:before="44"/>
        <w:ind w:left="680" w:right="6743"/>
        <w:jc w:val="left"/>
      </w:pPr>
      <w:r>
        <w:rPr>
          <w:spacing w:val="-1"/>
        </w:rPr>
        <w:t>4.</w:t>
        <w:tab/>
      </w:r>
      <w:r>
        <w:rPr>
          <w:spacing w:val="-2"/>
        </w:rPr>
        <w:t>处置子公司</w:t>
      </w:r>
      <w:r>
        <w:rPr>
          <w:spacing w:val="-101"/>
        </w:rPr>
        <w:t> </w:t>
      </w:r>
      <w:r>
        <w:rPr>
          <w:spacing w:val="-101"/>
        </w:rPr>
      </w:r>
      <w:r>
        <w:rPr/>
        <w:t>无。</w:t>
      </w:r>
    </w:p>
    <w:p>
      <w:pPr>
        <w:pStyle w:val="BodyText"/>
        <w:tabs>
          <w:tab w:pos="1141" w:val="left" w:leader="none"/>
        </w:tabs>
        <w:spacing w:line="400" w:lineRule="auto" w:before="44"/>
        <w:ind w:left="680" w:right="2145"/>
        <w:jc w:val="left"/>
      </w:pPr>
      <w:r>
        <w:rPr>
          <w:spacing w:val="-1"/>
        </w:rPr>
        <w:t>5.</w:t>
        <w:tab/>
      </w:r>
      <w:r>
        <w:rPr>
          <w:spacing w:val="-2"/>
        </w:rPr>
        <w:t>其他原因的合并范围变动</w:t>
      </w:r>
      <w:r>
        <w:rPr>
          <w:spacing w:val="-93"/>
        </w:rPr>
        <w:t> </w:t>
      </w:r>
      <w:r>
        <w:rPr>
          <w:spacing w:val="-93"/>
        </w:rPr>
      </w:r>
      <w:r>
        <w:rPr/>
        <w:t>本年合并范围内新增万马联合新能源投资有限公司共</w:t>
      </w:r>
      <w:r>
        <w:rPr>
          <w:spacing w:val="-65"/>
        </w:rPr>
        <w:t> </w:t>
      </w:r>
      <w:r>
        <w:rPr/>
        <w:t>1</w:t>
      </w:r>
      <w:r>
        <w:rPr>
          <w:spacing w:val="-62"/>
        </w:rPr>
        <w:t> </w:t>
      </w:r>
      <w:r>
        <w:rPr/>
        <w:t>家公司。</w:t>
      </w:r>
    </w:p>
    <w:p>
      <w:pPr>
        <w:pStyle w:val="BodyText"/>
        <w:spacing w:line="300" w:lineRule="auto" w:before="44"/>
        <w:ind w:left="241" w:right="80" w:firstLine="439"/>
        <w:jc w:val="left"/>
      </w:pPr>
      <w:r>
        <w:rPr/>
        <w:t>2015</w:t>
      </w:r>
      <w:r>
        <w:rPr>
          <w:spacing w:val="-48"/>
        </w:rPr>
        <w:t> </w:t>
      </w:r>
      <w:r>
        <w:rPr/>
        <w:t>年</w:t>
      </w:r>
      <w:r>
        <w:rPr>
          <w:spacing w:val="-45"/>
        </w:rPr>
        <w:t> </w:t>
      </w:r>
      <w:r>
        <w:rPr/>
        <w:t>11</w:t>
      </w:r>
      <w:r>
        <w:rPr>
          <w:spacing w:val="-48"/>
        </w:rPr>
        <w:t> </w:t>
      </w:r>
      <w:r>
        <w:rPr/>
        <w:t>月</w:t>
      </w:r>
      <w:r>
        <w:rPr>
          <w:spacing w:val="-45"/>
        </w:rPr>
        <w:t> </w:t>
      </w:r>
      <w:r>
        <w:rPr/>
        <w:t>6</w:t>
      </w:r>
      <w:r>
        <w:rPr>
          <w:spacing w:val="-45"/>
        </w:rPr>
        <w:t> </w:t>
      </w:r>
      <w:r>
        <w:rPr>
          <w:spacing w:val="-3"/>
        </w:rPr>
        <w:t>日，本公司新设控股子公司“万马联合新能源投资有限公司”，取得</w:t>
      </w:r>
      <w:r>
        <w:rPr>
          <w:w w:val="100"/>
        </w:rPr>
        <w:t> </w:t>
      </w:r>
      <w:r>
        <w:rPr/>
        <w:t>杭州市西湖区市场监督管理局颁发的统一社会信用代码为</w:t>
      </w:r>
      <w:r>
        <w:rPr>
          <w:spacing w:val="-55"/>
        </w:rPr>
        <w:t> </w:t>
      </w:r>
      <w:r>
        <w:rPr/>
        <w:t>91330106MA27W7H33R</w:t>
      </w:r>
      <w:r>
        <w:rPr>
          <w:spacing w:val="-51"/>
        </w:rPr>
        <w:t> </w:t>
      </w:r>
      <w:r>
        <w:rPr/>
        <w:t>的营业执</w:t>
      </w:r>
    </w:p>
    <w:p>
      <w:pPr>
        <w:spacing w:after="0" w:line="300" w:lineRule="auto"/>
        <w:jc w:val="left"/>
        <w:sectPr>
          <w:pgSz w:w="11910" w:h="16840"/>
          <w:pgMar w:header="0" w:footer="873" w:top="1440" w:bottom="1060" w:left="1460" w:right="1460"/>
        </w:sectPr>
      </w:pPr>
    </w:p>
    <w:p>
      <w:pPr>
        <w:spacing w:line="240" w:lineRule="auto" w:before="1"/>
        <w:rPr>
          <w:rFonts w:ascii="宋体" w:hAnsi="宋体" w:cs="宋体" w:eastAsia="宋体" w:hint="default"/>
          <w:sz w:val="18"/>
          <w:szCs w:val="18"/>
        </w:rPr>
      </w:pPr>
    </w:p>
    <w:p>
      <w:pPr>
        <w:pStyle w:val="BodyText"/>
        <w:spacing w:line="300" w:lineRule="auto"/>
        <w:ind w:left="241" w:right="237"/>
        <w:jc w:val="both"/>
      </w:pPr>
      <w:r>
        <w:rPr>
          <w:spacing w:val="-3"/>
        </w:rPr>
        <w:t>照，公司设立时注册资本</w:t>
      </w:r>
      <w:r>
        <w:rPr>
          <w:spacing w:val="-39"/>
        </w:rPr>
        <w:t> </w:t>
      </w:r>
      <w:r>
        <w:rPr/>
        <w:t>10,000.00</w:t>
      </w:r>
      <w:r>
        <w:rPr>
          <w:spacing w:val="-34"/>
        </w:rPr>
        <w:t> </w:t>
      </w:r>
      <w:r>
        <w:rPr>
          <w:spacing w:val="-5"/>
        </w:rPr>
        <w:t>万元；法定代表人：何若虚；注册地址：杭州市西湖</w:t>
      </w:r>
      <w:r>
        <w:rPr>
          <w:spacing w:val="-99"/>
        </w:rPr>
        <w:t> </w:t>
      </w:r>
      <w:r>
        <w:rPr>
          <w:spacing w:val="-99"/>
        </w:rPr>
      </w:r>
      <w:r>
        <w:rPr/>
        <w:t>区天际大厦</w:t>
      </w:r>
      <w:r>
        <w:rPr>
          <w:spacing w:val="-52"/>
        </w:rPr>
        <w:t> </w:t>
      </w:r>
      <w:r>
        <w:rPr/>
        <w:t>1102</w:t>
      </w:r>
      <w:r>
        <w:rPr>
          <w:spacing w:val="-52"/>
        </w:rPr>
        <w:t> </w:t>
      </w:r>
      <w:r>
        <w:rPr/>
        <w:t>室；公司经营范围：服务：实业投资，投资管理，投资咨询（除证券、</w:t>
      </w:r>
      <w:r>
        <w:rPr>
          <w:spacing w:val="-108"/>
        </w:rPr>
        <w:t> </w:t>
      </w:r>
      <w:r>
        <w:rPr>
          <w:spacing w:val="-108"/>
        </w:rPr>
      </w:r>
      <w:r>
        <w:rPr/>
        <w:t>期货）（依法须经批准的项目，经相关部门批准后方可开展经营活动）。</w:t>
      </w:r>
    </w:p>
    <w:p>
      <w:pPr>
        <w:pStyle w:val="BodyText"/>
        <w:spacing w:line="300" w:lineRule="auto" w:before="137"/>
        <w:ind w:left="241" w:right="237" w:firstLine="439"/>
        <w:jc w:val="both"/>
      </w:pPr>
      <w:r>
        <w:rPr/>
        <w:t>2015</w:t>
      </w:r>
      <w:r>
        <w:rPr>
          <w:spacing w:val="-43"/>
        </w:rPr>
        <w:t> </w:t>
      </w:r>
      <w:r>
        <w:rPr/>
        <w:t>年</w:t>
      </w:r>
      <w:r>
        <w:rPr>
          <w:spacing w:val="-40"/>
        </w:rPr>
        <w:t> </w:t>
      </w:r>
      <w:r>
        <w:rPr/>
        <w:t>12</w:t>
      </w:r>
      <w:r>
        <w:rPr>
          <w:spacing w:val="-40"/>
        </w:rPr>
        <w:t> </w:t>
      </w:r>
      <w:r>
        <w:rPr/>
        <w:t>月</w:t>
      </w:r>
      <w:r>
        <w:rPr>
          <w:spacing w:val="-40"/>
        </w:rPr>
        <w:t> </w:t>
      </w:r>
      <w:r>
        <w:rPr/>
        <w:t>29</w:t>
      </w:r>
      <w:r>
        <w:rPr>
          <w:spacing w:val="-43"/>
        </w:rPr>
        <w:t> </w:t>
      </w:r>
      <w:r>
        <w:rPr/>
        <w:t>日，国开发展基金有限公司（以下简称“国开基金”）、本公司、</w:t>
      </w:r>
      <w:r>
        <w:rPr>
          <w:w w:val="100"/>
        </w:rPr>
        <w:t> </w:t>
      </w:r>
      <w:r>
        <w:rPr>
          <w:spacing w:val="-4"/>
        </w:rPr>
        <w:t>本公司之子公司万马联合新能源投资有限公司（以下简称“新能源投资公司”）三方签署</w:t>
      </w:r>
    </w:p>
    <w:p>
      <w:pPr>
        <w:pStyle w:val="BodyText"/>
        <w:spacing w:line="300" w:lineRule="auto" w:before="17"/>
        <w:ind w:left="241" w:right="237"/>
        <w:jc w:val="both"/>
      </w:pPr>
      <w:r>
        <w:rPr/>
        <w:t>《国开发展基金投资合同》，并经本公司于</w:t>
      </w:r>
      <w:r>
        <w:rPr>
          <w:spacing w:val="-54"/>
        </w:rPr>
        <w:t> </w:t>
      </w:r>
      <w:r>
        <w:rPr/>
        <w:t>2015</w:t>
      </w:r>
      <w:r>
        <w:rPr>
          <w:spacing w:val="-57"/>
        </w:rPr>
        <w:t> </w:t>
      </w:r>
      <w:r>
        <w:rPr/>
        <w:t>年</w:t>
      </w:r>
      <w:r>
        <w:rPr>
          <w:spacing w:val="-54"/>
        </w:rPr>
        <w:t> </w:t>
      </w:r>
      <w:r>
        <w:rPr/>
        <w:t>12</w:t>
      </w:r>
      <w:r>
        <w:rPr>
          <w:spacing w:val="-54"/>
        </w:rPr>
        <w:t> </w:t>
      </w:r>
      <w:r>
        <w:rPr/>
        <w:t>月</w:t>
      </w:r>
      <w:r>
        <w:rPr>
          <w:spacing w:val="-54"/>
        </w:rPr>
        <w:t> </w:t>
      </w:r>
      <w:r>
        <w:rPr/>
        <w:t>30</w:t>
      </w:r>
      <w:r>
        <w:rPr>
          <w:spacing w:val="-54"/>
        </w:rPr>
        <w:t> </w:t>
      </w:r>
      <w:r>
        <w:rPr/>
        <w:t>日召开的第三届董事会第三</w:t>
      </w:r>
      <w:r>
        <w:rPr>
          <w:w w:val="100"/>
        </w:rPr>
        <w:t> </w:t>
      </w:r>
      <w:r>
        <w:rPr>
          <w:spacing w:val="-4"/>
        </w:rPr>
        <w:t>十七次会议审计通过，国开基金以人民币</w:t>
      </w:r>
      <w:r>
        <w:rPr>
          <w:spacing w:val="-40"/>
        </w:rPr>
        <w:t> </w:t>
      </w:r>
      <w:r>
        <w:rPr/>
        <w:t>10,000.00</w:t>
      </w:r>
      <w:r>
        <w:rPr>
          <w:spacing w:val="-44"/>
        </w:rPr>
        <w:t> </w:t>
      </w:r>
      <w:r>
        <w:rPr>
          <w:spacing w:val="-4"/>
        </w:rPr>
        <w:t>万元对新能源投资公司进行增资。同</w:t>
      </w:r>
      <w:r>
        <w:rPr>
          <w:spacing w:val="-102"/>
        </w:rPr>
        <w:t> </w:t>
      </w:r>
      <w:r>
        <w:rPr>
          <w:spacing w:val="-102"/>
        </w:rPr>
      </w:r>
      <w:r>
        <w:rPr>
          <w:spacing w:val="-5"/>
        </w:rPr>
        <w:t>时，本公司以人民币</w:t>
      </w:r>
      <w:r>
        <w:rPr>
          <w:spacing w:val="-37"/>
        </w:rPr>
        <w:t> </w:t>
      </w:r>
      <w:r>
        <w:rPr/>
        <w:t>10,500.00</w:t>
      </w:r>
      <w:r>
        <w:rPr>
          <w:spacing w:val="-41"/>
        </w:rPr>
        <w:t> </w:t>
      </w:r>
      <w:r>
        <w:rPr>
          <w:spacing w:val="-4"/>
        </w:rPr>
        <w:t>万元对新能源投资公司追加投资，本次增资完成后，新能</w:t>
      </w:r>
      <w:r>
        <w:rPr>
          <w:spacing w:val="-99"/>
        </w:rPr>
        <w:t> </w:t>
      </w:r>
      <w:r>
        <w:rPr>
          <w:spacing w:val="-99"/>
        </w:rPr>
      </w:r>
      <w:r>
        <w:rPr>
          <w:spacing w:val="2"/>
        </w:rPr>
        <w:t>源投资公司的注册资本将由</w:t>
      </w:r>
      <w:r>
        <w:rPr>
          <w:spacing w:val="-47"/>
        </w:rPr>
        <w:t> </w:t>
      </w:r>
      <w:r>
        <w:rPr/>
        <w:t>10,000.00</w:t>
      </w:r>
      <w:r>
        <w:rPr>
          <w:spacing w:val="-49"/>
        </w:rPr>
        <w:t> </w:t>
      </w:r>
      <w:r>
        <w:rPr>
          <w:spacing w:val="2"/>
        </w:rPr>
        <w:t>万元变更为</w:t>
      </w:r>
      <w:r>
        <w:rPr>
          <w:spacing w:val="-47"/>
        </w:rPr>
        <w:t> </w:t>
      </w:r>
      <w:r>
        <w:rPr/>
        <w:t>30,500.00</w:t>
      </w:r>
      <w:r>
        <w:rPr>
          <w:spacing w:val="-47"/>
        </w:rPr>
        <w:t> </w:t>
      </w:r>
      <w:r>
        <w:rPr>
          <w:spacing w:val="2"/>
        </w:rPr>
        <w:t>万元。截止</w:t>
      </w:r>
      <w:r>
        <w:rPr>
          <w:spacing w:val="-47"/>
        </w:rPr>
        <w:t> </w:t>
      </w:r>
      <w:r>
        <w:rPr/>
        <w:t>2015</w:t>
      </w:r>
      <w:r>
        <w:rPr>
          <w:spacing w:val="-47"/>
        </w:rPr>
        <w:t> </w:t>
      </w:r>
      <w:r>
        <w:rPr/>
        <w:t>年</w:t>
      </w:r>
      <w:r>
        <w:rPr>
          <w:spacing w:val="-47"/>
        </w:rPr>
        <w:t> </w:t>
      </w:r>
      <w:r>
        <w:rPr/>
        <w:t>12</w:t>
      </w:r>
      <w:r>
        <w:rPr>
          <w:spacing w:val="-49"/>
        </w:rPr>
        <w:t> </w:t>
      </w:r>
      <w:r>
        <w:rPr/>
        <w:t>月</w:t>
      </w:r>
      <w:r>
        <w:rPr>
          <w:spacing w:val="-107"/>
        </w:rPr>
        <w:t> </w:t>
      </w:r>
      <w:r>
        <w:rPr>
          <w:spacing w:val="-107"/>
        </w:rPr>
      </w:r>
      <w:r>
        <w:rPr/>
        <w:t>31</w:t>
      </w:r>
      <w:r>
        <w:rPr>
          <w:spacing w:val="-54"/>
        </w:rPr>
        <w:t> </w:t>
      </w:r>
      <w:r>
        <w:rPr/>
        <w:t>日，本公司已缴付注册资本</w:t>
      </w:r>
      <w:r>
        <w:rPr>
          <w:spacing w:val="-58"/>
        </w:rPr>
        <w:t> </w:t>
      </w:r>
      <w:r>
        <w:rPr/>
        <w:t>20,500.00</w:t>
      </w:r>
      <w:r>
        <w:rPr>
          <w:spacing w:val="-54"/>
        </w:rPr>
        <w:t> </w:t>
      </w:r>
      <w:r>
        <w:rPr/>
        <w:t>万元，持股比例</w:t>
      </w:r>
      <w:r>
        <w:rPr>
          <w:spacing w:val="-52"/>
        </w:rPr>
        <w:t> </w:t>
      </w:r>
      <w:r>
        <w:rPr/>
        <w:t>67.20%；国开发展基金有限公</w:t>
      </w:r>
      <w:r>
        <w:rPr>
          <w:w w:val="100"/>
        </w:rPr>
        <w:t> </w:t>
      </w:r>
      <w:r>
        <w:rPr/>
        <w:t>司缴付注册资本</w:t>
      </w:r>
      <w:r>
        <w:rPr>
          <w:spacing w:val="-63"/>
        </w:rPr>
        <w:t> </w:t>
      </w:r>
      <w:r>
        <w:rPr/>
        <w:t>10,000.00</w:t>
      </w:r>
      <w:r>
        <w:rPr>
          <w:spacing w:val="-61"/>
        </w:rPr>
        <w:t> </w:t>
      </w:r>
      <w:r>
        <w:rPr/>
        <w:t>万元，持股比例</w:t>
      </w:r>
      <w:r>
        <w:rPr>
          <w:spacing w:val="-63"/>
        </w:rPr>
        <w:t> </w:t>
      </w:r>
      <w:r>
        <w:rPr/>
        <w:t>32.80%。</w:t>
      </w:r>
    </w:p>
    <w:p>
      <w:pPr>
        <w:pStyle w:val="BodyText"/>
        <w:spacing w:line="300" w:lineRule="auto" w:before="137"/>
        <w:ind w:left="241" w:right="237" w:firstLine="439"/>
        <w:jc w:val="both"/>
      </w:pPr>
      <w:r>
        <w:rPr/>
        <w:t>国开基金本次投资的期限为“自增资款缴付完成之日起</w:t>
      </w:r>
      <w:r>
        <w:rPr>
          <w:spacing w:val="-50"/>
        </w:rPr>
        <w:t> </w:t>
      </w:r>
      <w:r>
        <w:rPr/>
        <w:t>10</w:t>
      </w:r>
      <w:r>
        <w:rPr>
          <w:spacing w:val="-50"/>
        </w:rPr>
        <w:t> </w:t>
      </w:r>
      <w:r>
        <w:rPr/>
        <w:t>年”。在投资期限内，本</w:t>
      </w:r>
      <w:r>
        <w:rPr>
          <w:w w:val="100"/>
        </w:rPr>
        <w:t> </w:t>
      </w:r>
      <w:r>
        <w:rPr>
          <w:spacing w:val="-4"/>
        </w:rPr>
        <w:t>公司和新能源投资公司承诺，国开基金每年通过现金分红、回购溢价等方式取得投资收益</w:t>
      </w:r>
      <w:r>
        <w:rPr>
          <w:spacing w:val="-51"/>
        </w:rPr>
        <w:t> </w:t>
      </w:r>
      <w:r>
        <w:rPr>
          <w:spacing w:val="-51"/>
        </w:rPr>
      </w:r>
      <w:r>
        <w:rPr/>
        <w:t>应按照 </w:t>
      </w:r>
      <w:r>
        <w:rPr>
          <w:spacing w:val="-3"/>
        </w:rPr>
        <w:t>1.2%/年的投资收益率计算投资收益。投资期限届满后，本公司有义务按照国开基</w:t>
      </w:r>
      <w:r>
        <w:rPr>
          <w:spacing w:val="-94"/>
        </w:rPr>
        <w:t> </w:t>
      </w:r>
      <w:r>
        <w:rPr>
          <w:spacing w:val="-94"/>
        </w:rPr>
      </w:r>
      <w:r>
        <w:rPr>
          <w:spacing w:val="-4"/>
        </w:rPr>
        <w:t>金要求回购有关股权，本公司在每个回购交割日前应该支付的股权转让对价按每次退出时</w:t>
      </w:r>
      <w:r>
        <w:rPr>
          <w:spacing w:val="-51"/>
        </w:rPr>
        <w:t> </w:t>
      </w:r>
      <w:r>
        <w:rPr>
          <w:spacing w:val="-51"/>
        </w:rPr>
      </w:r>
      <w:r>
        <w:rPr/>
        <w:t>标的股权实际投资额为定价基础确定，回购计划如下：</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817"/>
        <w:gridCol w:w="3953"/>
        <w:gridCol w:w="3953"/>
      </w:tblGrid>
      <w:tr>
        <w:trPr>
          <w:trHeight w:val="417" w:hRule="exact"/>
        </w:trPr>
        <w:tc>
          <w:tcPr>
            <w:tcW w:w="8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39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回购交割日</w:t>
            </w:r>
            <w:r>
              <w:rPr>
                <w:rFonts w:ascii="宋体" w:hAnsi="宋体" w:cs="宋体" w:eastAsia="宋体" w:hint="default"/>
                <w:sz w:val="22"/>
                <w:szCs w:val="22"/>
              </w:rPr>
            </w:r>
          </w:p>
        </w:tc>
        <w:tc>
          <w:tcPr>
            <w:tcW w:w="39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股权转让对价</w:t>
            </w:r>
            <w:r>
              <w:rPr>
                <w:rFonts w:ascii="宋体" w:hAnsi="宋体" w:cs="宋体" w:eastAsia="宋体" w:hint="default"/>
                <w:sz w:val="22"/>
                <w:szCs w:val="22"/>
              </w:rPr>
            </w:r>
          </w:p>
        </w:tc>
      </w:tr>
      <w:tr>
        <w:trPr>
          <w:trHeight w:val="407" w:hRule="exact"/>
        </w:trPr>
        <w:tc>
          <w:tcPr>
            <w:tcW w:w="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 w:right="0"/>
              <w:jc w:val="center"/>
              <w:rPr>
                <w:rFonts w:ascii="宋体" w:hAnsi="宋体" w:cs="宋体" w:eastAsia="宋体" w:hint="default"/>
                <w:sz w:val="22"/>
                <w:szCs w:val="22"/>
              </w:rPr>
            </w:pPr>
            <w:r>
              <w:rPr>
                <w:rFonts w:ascii="宋体"/>
                <w:w w:val="100"/>
                <w:sz w:val="22"/>
              </w:rPr>
              <w:t>1</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2023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28</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3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宋体" w:hAnsi="宋体" w:cs="宋体" w:eastAsia="宋体" w:hint="default"/>
                <w:sz w:val="22"/>
                <w:szCs w:val="22"/>
              </w:rPr>
              <w:t>3,000</w:t>
            </w:r>
            <w:r>
              <w:rPr>
                <w:rFonts w:ascii="宋体" w:hAnsi="宋体" w:cs="宋体" w:eastAsia="宋体" w:hint="default"/>
                <w:spacing w:val="-59"/>
                <w:sz w:val="22"/>
                <w:szCs w:val="22"/>
              </w:rPr>
              <w:t> </w:t>
            </w:r>
            <w:r>
              <w:rPr>
                <w:rFonts w:ascii="宋体" w:hAnsi="宋体" w:cs="宋体" w:eastAsia="宋体" w:hint="default"/>
                <w:sz w:val="22"/>
                <w:szCs w:val="22"/>
              </w:rPr>
              <w:t>万元</w:t>
            </w:r>
          </w:p>
        </w:tc>
      </w:tr>
      <w:tr>
        <w:trPr>
          <w:trHeight w:val="407" w:hRule="exact"/>
        </w:trPr>
        <w:tc>
          <w:tcPr>
            <w:tcW w:w="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22"/>
                <w:szCs w:val="22"/>
              </w:rPr>
            </w:pPr>
            <w:r>
              <w:rPr>
                <w:rFonts w:ascii="宋体"/>
                <w:w w:val="100"/>
                <w:sz w:val="22"/>
              </w:rPr>
              <w:t>2</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sz w:val="22"/>
                <w:szCs w:val="22"/>
              </w:rPr>
              <w:t>2024</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28</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3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宋体" w:hAnsi="宋体" w:cs="宋体" w:eastAsia="宋体" w:hint="default"/>
                <w:sz w:val="22"/>
                <w:szCs w:val="22"/>
              </w:rPr>
              <w:t>3,000</w:t>
            </w:r>
            <w:r>
              <w:rPr>
                <w:rFonts w:ascii="宋体" w:hAnsi="宋体" w:cs="宋体" w:eastAsia="宋体" w:hint="default"/>
                <w:spacing w:val="-59"/>
                <w:sz w:val="22"/>
                <w:szCs w:val="22"/>
              </w:rPr>
              <w:t> </w:t>
            </w:r>
            <w:r>
              <w:rPr>
                <w:rFonts w:ascii="宋体" w:hAnsi="宋体" w:cs="宋体" w:eastAsia="宋体" w:hint="default"/>
                <w:sz w:val="22"/>
                <w:szCs w:val="22"/>
              </w:rPr>
              <w:t>万元</w:t>
            </w:r>
          </w:p>
        </w:tc>
      </w:tr>
      <w:tr>
        <w:trPr>
          <w:trHeight w:val="417" w:hRule="exact"/>
        </w:trPr>
        <w:tc>
          <w:tcPr>
            <w:tcW w:w="8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22"/>
                <w:szCs w:val="22"/>
              </w:rPr>
            </w:pPr>
            <w:r>
              <w:rPr>
                <w:rFonts w:ascii="宋体"/>
                <w:w w:val="100"/>
                <w:sz w:val="22"/>
              </w:rPr>
              <w:t>3</w:t>
            </w:r>
          </w:p>
        </w:tc>
        <w:tc>
          <w:tcPr>
            <w:tcW w:w="3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sz w:val="22"/>
                <w:szCs w:val="22"/>
              </w:rPr>
              <w:t>2025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28</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39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宋体" w:hAnsi="宋体" w:cs="宋体" w:eastAsia="宋体" w:hint="default"/>
                <w:sz w:val="22"/>
                <w:szCs w:val="22"/>
              </w:rPr>
              <w:t>4,000</w:t>
            </w:r>
            <w:r>
              <w:rPr>
                <w:rFonts w:ascii="宋体" w:hAnsi="宋体" w:cs="宋体" w:eastAsia="宋体" w:hint="default"/>
                <w:spacing w:val="-59"/>
                <w:sz w:val="22"/>
                <w:szCs w:val="22"/>
              </w:rPr>
              <w:t> </w:t>
            </w:r>
            <w:r>
              <w:rPr>
                <w:rFonts w:ascii="宋体" w:hAnsi="宋体" w:cs="宋体" w:eastAsia="宋体" w:hint="default"/>
                <w:sz w:val="22"/>
                <w:szCs w:val="22"/>
              </w:rPr>
              <w:t>万元</w:t>
            </w:r>
          </w:p>
        </w:tc>
      </w:tr>
    </w:tbl>
    <w:p>
      <w:pPr>
        <w:spacing w:line="240" w:lineRule="auto" w:before="4"/>
        <w:rPr>
          <w:rFonts w:ascii="宋体" w:hAnsi="宋体" w:cs="宋体" w:eastAsia="宋体" w:hint="default"/>
          <w:sz w:val="9"/>
          <w:szCs w:val="9"/>
        </w:rPr>
      </w:pPr>
    </w:p>
    <w:p>
      <w:pPr>
        <w:pStyle w:val="BodyText"/>
        <w:spacing w:line="300" w:lineRule="auto"/>
        <w:ind w:left="241" w:right="237" w:firstLine="439"/>
        <w:jc w:val="both"/>
      </w:pPr>
      <w:r>
        <w:rPr>
          <w:spacing w:val="-4"/>
        </w:rPr>
        <w:t>为保障本公司和新能源投资公司对国开基金投资收益、回购本金的支付义务，浙江万</w:t>
      </w:r>
      <w:r>
        <w:rPr>
          <w:w w:val="100"/>
        </w:rPr>
        <w:t> </w:t>
      </w:r>
      <w:r>
        <w:rPr/>
        <w:t>马电气电缆集团有限公司以其持有的本公司</w:t>
      </w:r>
      <w:r>
        <w:rPr>
          <w:spacing w:val="-52"/>
        </w:rPr>
        <w:t> </w:t>
      </w:r>
      <w:r>
        <w:rPr/>
        <w:t>1,500.00</w:t>
      </w:r>
      <w:r>
        <w:rPr>
          <w:spacing w:val="-52"/>
        </w:rPr>
        <w:t> </w:t>
      </w:r>
      <w:r>
        <w:rPr/>
        <w:t>万股流通股票向国开基金提供质押</w:t>
      </w:r>
      <w:r>
        <w:rPr>
          <w:spacing w:val="-108"/>
        </w:rPr>
        <w:t> </w:t>
      </w:r>
      <w:r>
        <w:rPr>
          <w:spacing w:val="-108"/>
        </w:rPr>
      </w:r>
      <w:r>
        <w:rPr/>
        <w:t>担保(其中</w:t>
      </w:r>
      <w:r>
        <w:rPr>
          <w:spacing w:val="-54"/>
        </w:rPr>
        <w:t> </w:t>
      </w:r>
      <w:r>
        <w:rPr/>
        <w:t>1,000.00</w:t>
      </w:r>
      <w:r>
        <w:rPr>
          <w:spacing w:val="-54"/>
        </w:rPr>
        <w:t> </w:t>
      </w:r>
      <w:r>
        <w:rPr/>
        <w:t>万股已办理股权质押登记手续，质押登记日为</w:t>
      </w:r>
      <w:r>
        <w:rPr>
          <w:spacing w:val="-54"/>
        </w:rPr>
        <w:t> </w:t>
      </w:r>
      <w:r>
        <w:rPr/>
        <w:t>2016</w:t>
      </w:r>
      <w:r>
        <w:rPr>
          <w:spacing w:val="-54"/>
        </w:rPr>
        <w:t> </w:t>
      </w:r>
      <w:r>
        <w:rPr/>
        <w:t>年</w:t>
      </w:r>
      <w:r>
        <w:rPr>
          <w:spacing w:val="-54"/>
        </w:rPr>
        <w:t> </w:t>
      </w:r>
      <w:r>
        <w:rPr/>
        <w:t>1</w:t>
      </w:r>
      <w:r>
        <w:rPr>
          <w:spacing w:val="-54"/>
        </w:rPr>
        <w:t> </w:t>
      </w:r>
      <w:r>
        <w:rPr/>
        <w:t>月</w:t>
      </w:r>
      <w:r>
        <w:rPr>
          <w:spacing w:val="-54"/>
        </w:rPr>
        <w:t> </w:t>
      </w:r>
      <w:r>
        <w:rPr/>
        <w:t>8</w:t>
      </w:r>
      <w:r>
        <w:rPr>
          <w:spacing w:val="-54"/>
        </w:rPr>
        <w:t> </w:t>
      </w:r>
      <w:r>
        <w:rPr/>
        <w:t>日；剩</w:t>
      </w:r>
      <w:r>
        <w:rPr>
          <w:w w:val="100"/>
        </w:rPr>
        <w:t> </w:t>
      </w:r>
      <w:r>
        <w:rPr/>
        <w:t>余的</w:t>
      </w:r>
      <w:r>
        <w:rPr>
          <w:spacing w:val="-60"/>
        </w:rPr>
        <w:t> </w:t>
      </w:r>
      <w:r>
        <w:rPr/>
        <w:t>500.00</w:t>
      </w:r>
      <w:r>
        <w:rPr>
          <w:spacing w:val="-60"/>
        </w:rPr>
        <w:t> </w:t>
      </w:r>
      <w:r>
        <w:rPr/>
        <w:t>万股尚未办理股权质押登记)</w:t>
      </w:r>
      <w:r>
        <w:rPr>
          <w:spacing w:val="-4"/>
        </w:rPr>
        <w:t> </w:t>
      </w:r>
      <w:r>
        <w:rPr/>
        <w:t>。</w:t>
      </w:r>
    </w:p>
    <w:p>
      <w:pPr>
        <w:spacing w:line="400" w:lineRule="auto" w:before="137"/>
        <w:ind w:left="808" w:right="5293" w:hanging="106"/>
        <w:jc w:val="left"/>
        <w:rPr>
          <w:rFonts w:ascii="宋体" w:hAnsi="宋体" w:cs="宋体" w:eastAsia="宋体" w:hint="default"/>
          <w:sz w:val="22"/>
          <w:szCs w:val="22"/>
        </w:rPr>
      </w:pPr>
      <w:r>
        <w:rPr>
          <w:rFonts w:ascii="宋体" w:hAnsi="宋体" w:cs="宋体" w:eastAsia="宋体" w:hint="default"/>
          <w:b/>
          <w:bCs/>
          <w:sz w:val="22"/>
          <w:szCs w:val="22"/>
        </w:rPr>
        <w:t>八</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8"/>
          <w:sz w:val="22"/>
          <w:szCs w:val="22"/>
        </w:rPr>
        <w:t> </w:t>
      </w:r>
      <w:r>
        <w:rPr>
          <w:rFonts w:ascii="宋体" w:hAnsi="宋体" w:cs="宋体" w:eastAsia="宋体" w:hint="default"/>
          <w:b/>
          <w:bCs/>
          <w:sz w:val="22"/>
          <w:szCs w:val="22"/>
        </w:rPr>
        <w:t>在</w:t>
      </w:r>
      <w:r>
        <w:rPr>
          <w:rFonts w:ascii="宋体" w:hAnsi="宋体" w:cs="宋体" w:eastAsia="宋体" w:hint="default"/>
          <w:b/>
          <w:bCs/>
          <w:spacing w:val="-71"/>
          <w:sz w:val="22"/>
          <w:szCs w:val="22"/>
        </w:rPr>
        <w:t> </w:t>
      </w:r>
      <w:r>
        <w:rPr>
          <w:rFonts w:ascii="宋体" w:hAnsi="宋体" w:cs="宋体" w:eastAsia="宋体" w:hint="default"/>
          <w:b/>
          <w:bCs/>
          <w:sz w:val="22"/>
          <w:szCs w:val="22"/>
        </w:rPr>
        <w:t>其</w:t>
      </w:r>
      <w:r>
        <w:rPr>
          <w:rFonts w:ascii="宋体" w:hAnsi="宋体" w:cs="宋体" w:eastAsia="宋体" w:hint="default"/>
          <w:b/>
          <w:bCs/>
          <w:spacing w:val="-73"/>
          <w:sz w:val="22"/>
          <w:szCs w:val="22"/>
        </w:rPr>
        <w:t> </w:t>
      </w:r>
      <w:r>
        <w:rPr>
          <w:rFonts w:ascii="宋体" w:hAnsi="宋体" w:cs="宋体" w:eastAsia="宋体" w:hint="default"/>
          <w:b/>
          <w:bCs/>
          <w:sz w:val="22"/>
          <w:szCs w:val="22"/>
        </w:rPr>
        <w:t>他</w:t>
      </w:r>
      <w:r>
        <w:rPr>
          <w:rFonts w:ascii="宋体" w:hAnsi="宋体" w:cs="宋体" w:eastAsia="宋体" w:hint="default"/>
          <w:b/>
          <w:bCs/>
          <w:spacing w:val="-71"/>
          <w:sz w:val="22"/>
          <w:szCs w:val="22"/>
        </w:rPr>
        <w:t> </w:t>
      </w:r>
      <w:r>
        <w:rPr>
          <w:rFonts w:ascii="宋体" w:hAnsi="宋体" w:cs="宋体" w:eastAsia="宋体" w:hint="default"/>
          <w:b/>
          <w:bCs/>
          <w:sz w:val="22"/>
          <w:szCs w:val="22"/>
        </w:rPr>
        <w:t>主</w:t>
      </w:r>
      <w:r>
        <w:rPr>
          <w:rFonts w:ascii="宋体" w:hAnsi="宋体" w:cs="宋体" w:eastAsia="宋体" w:hint="default"/>
          <w:b/>
          <w:bCs/>
          <w:spacing w:val="-71"/>
          <w:sz w:val="22"/>
          <w:szCs w:val="22"/>
        </w:rPr>
        <w:t> </w:t>
      </w:r>
      <w:r>
        <w:rPr>
          <w:rFonts w:ascii="宋体" w:hAnsi="宋体" w:cs="宋体" w:eastAsia="宋体" w:hint="default"/>
          <w:b/>
          <w:bCs/>
          <w:sz w:val="22"/>
          <w:szCs w:val="22"/>
        </w:rPr>
        <w:t>体</w:t>
      </w:r>
      <w:r>
        <w:rPr>
          <w:rFonts w:ascii="宋体" w:hAnsi="宋体" w:cs="宋体" w:eastAsia="宋体" w:hint="default"/>
          <w:b/>
          <w:bCs/>
          <w:spacing w:val="-73"/>
          <w:sz w:val="22"/>
          <w:szCs w:val="22"/>
        </w:rPr>
        <w:t> </w:t>
      </w:r>
      <w:r>
        <w:rPr>
          <w:rFonts w:ascii="宋体" w:hAnsi="宋体" w:cs="宋体" w:eastAsia="宋体" w:hint="default"/>
          <w:b/>
          <w:bCs/>
          <w:sz w:val="22"/>
          <w:szCs w:val="22"/>
        </w:rPr>
        <w:t>中</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1"/>
          <w:sz w:val="22"/>
          <w:szCs w:val="22"/>
        </w:rPr>
        <w:t> </w:t>
      </w:r>
      <w:r>
        <w:rPr>
          <w:rFonts w:ascii="宋体" w:hAnsi="宋体" w:cs="宋体" w:eastAsia="宋体" w:hint="default"/>
          <w:b/>
          <w:bCs/>
          <w:sz w:val="22"/>
          <w:szCs w:val="22"/>
        </w:rPr>
        <w:t>权</w:t>
      </w:r>
      <w:r>
        <w:rPr>
          <w:rFonts w:ascii="宋体" w:hAnsi="宋体" w:cs="宋体" w:eastAsia="宋体" w:hint="default"/>
          <w:b/>
          <w:bCs/>
          <w:spacing w:val="-71"/>
          <w:sz w:val="22"/>
          <w:szCs w:val="22"/>
        </w:rPr>
        <w:t> </w:t>
      </w:r>
      <w:r>
        <w:rPr>
          <w:rFonts w:ascii="宋体" w:hAnsi="宋体" w:cs="宋体" w:eastAsia="宋体" w:hint="default"/>
          <w:b/>
          <w:bCs/>
          <w:sz w:val="22"/>
          <w:szCs w:val="22"/>
        </w:rPr>
        <w:t>益</w:t>
      </w:r>
      <w:r>
        <w:rPr>
          <w:rFonts w:ascii="宋体" w:hAnsi="宋体" w:cs="宋体" w:eastAsia="宋体" w:hint="default"/>
          <w:b/>
          <w:bCs/>
          <w:w w:val="100"/>
          <w:sz w:val="22"/>
          <w:szCs w:val="22"/>
        </w:rPr>
        <w:t> </w:t>
      </w:r>
      <w:r>
        <w:rPr>
          <w:rFonts w:ascii="宋体" w:hAnsi="宋体" w:cs="宋体" w:eastAsia="宋体" w:hint="default"/>
          <w:sz w:val="22"/>
          <w:szCs w:val="22"/>
        </w:rPr>
        <w:t>1.</w:t>
      </w:r>
      <w:r>
        <w:rPr>
          <w:rFonts w:ascii="宋体" w:hAnsi="宋体" w:cs="宋体" w:eastAsia="宋体" w:hint="default"/>
          <w:spacing w:val="-1"/>
          <w:sz w:val="22"/>
          <w:szCs w:val="22"/>
        </w:rPr>
        <w:t> </w:t>
      </w:r>
      <w:r>
        <w:rPr>
          <w:rFonts w:ascii="宋体" w:hAnsi="宋体" w:cs="宋体" w:eastAsia="宋体" w:hint="default"/>
          <w:sz w:val="22"/>
          <w:szCs w:val="22"/>
        </w:rPr>
        <w:t>在子公司中的权益</w:t>
      </w:r>
    </w:p>
    <w:p>
      <w:pPr>
        <w:pStyle w:val="BodyText"/>
        <w:spacing w:line="240" w:lineRule="auto" w:before="44"/>
        <w:ind w:left="673" w:right="80"/>
        <w:jc w:val="left"/>
      </w:pPr>
      <w:r>
        <w:rPr/>
        <w:t>（1）</w:t>
      </w:r>
      <w:r>
        <w:rPr>
          <w:spacing w:val="36"/>
        </w:rPr>
        <w:t> </w:t>
      </w:r>
      <w:r>
        <w:rPr/>
        <w:t>企业集团的构成</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08"/>
        <w:gridCol w:w="993"/>
        <w:gridCol w:w="993"/>
        <w:gridCol w:w="2551"/>
        <w:gridCol w:w="710"/>
        <w:gridCol w:w="708"/>
        <w:gridCol w:w="960"/>
      </w:tblGrid>
      <w:tr>
        <w:trPr>
          <w:trHeight w:val="415" w:hRule="exact"/>
        </w:trPr>
        <w:tc>
          <w:tcPr>
            <w:tcW w:w="1808"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93"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402" w:right="129" w:hanging="269"/>
              <w:jc w:val="left"/>
              <w:rPr>
                <w:rFonts w:ascii="宋体" w:hAnsi="宋体" w:cs="宋体" w:eastAsia="宋体" w:hint="default"/>
                <w:sz w:val="18"/>
                <w:szCs w:val="18"/>
              </w:rPr>
            </w:pPr>
            <w:r>
              <w:rPr>
                <w:rFonts w:ascii="宋体" w:hAnsi="宋体" w:cs="宋体" w:eastAsia="宋体" w:hint="default"/>
                <w:b/>
                <w:bCs/>
                <w:sz w:val="18"/>
                <w:szCs w:val="18"/>
              </w:rPr>
              <w:t>主要经营</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993"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551"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60" w:type="dxa"/>
            <w:vMerge w:val="restart"/>
            <w:tcBorders>
              <w:top w:val="single" w:sz="1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02" w:hRule="exact"/>
        </w:trPr>
        <w:tc>
          <w:tcPr>
            <w:tcW w:w="1808" w:type="dxa"/>
            <w:vMerge/>
            <w:tcBorders>
              <w:left w:val="nil" w:sz="6" w:space="0" w:color="auto"/>
              <w:bottom w:val="single" w:sz="2" w:space="0" w:color="000000"/>
              <w:right w:val="single" w:sz="2" w:space="0" w:color="000000"/>
            </w:tcBorders>
          </w:tcPr>
          <w:p>
            <w:pPr/>
          </w:p>
        </w:tc>
        <w:tc>
          <w:tcPr>
            <w:tcW w:w="993" w:type="dxa"/>
            <w:vMerge/>
            <w:tcBorders>
              <w:left w:val="single" w:sz="2" w:space="0" w:color="000000"/>
              <w:bottom w:val="single" w:sz="2" w:space="0" w:color="000000"/>
              <w:right w:val="single" w:sz="2" w:space="0" w:color="000000"/>
            </w:tcBorders>
          </w:tcPr>
          <w:p>
            <w:pPr/>
          </w:p>
        </w:tc>
        <w:tc>
          <w:tcPr>
            <w:tcW w:w="993" w:type="dxa"/>
            <w:vMerge/>
            <w:tcBorders>
              <w:left w:val="single" w:sz="2" w:space="0" w:color="000000"/>
              <w:bottom w:val="single" w:sz="2" w:space="0" w:color="000000"/>
              <w:right w:val="single" w:sz="2" w:space="0" w:color="000000"/>
            </w:tcBorders>
          </w:tcPr>
          <w:p>
            <w:pPr/>
          </w:p>
        </w:tc>
        <w:tc>
          <w:tcPr>
            <w:tcW w:w="2551" w:type="dxa"/>
            <w:vMerge/>
            <w:tcBorders>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60" w:type="dxa"/>
            <w:vMerge/>
            <w:tcBorders>
              <w:left w:val="single" w:sz="2" w:space="0" w:color="000000"/>
              <w:bottom w:val="single" w:sz="2" w:space="0" w:color="000000"/>
              <w:right w:val="nil" w:sz="6" w:space="0" w:color="auto"/>
            </w:tcBorders>
          </w:tcPr>
          <w:p>
            <w:pP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浙江万马高分子材料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33"/>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51"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80.00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20.00</w:t>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6"/>
              <w:ind w:left="207" w:right="118" w:hanging="92"/>
              <w:jc w:val="left"/>
              <w:rPr>
                <w:rFonts w:ascii="宋体" w:hAnsi="宋体" w:cs="宋体" w:eastAsia="宋体" w:hint="default"/>
                <w:sz w:val="18"/>
                <w:szCs w:val="18"/>
              </w:rPr>
            </w:pPr>
            <w:r>
              <w:rPr>
                <w:rFonts w:ascii="宋体" w:hAnsi="宋体" w:cs="宋体" w:eastAsia="宋体" w:hint="default"/>
                <w:sz w:val="18"/>
                <w:szCs w:val="18"/>
              </w:rPr>
              <w:t>同一控制 下合并</w:t>
            </w: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浙江万马天屹通信线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缆有限公司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33"/>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51" w:right="0"/>
              <w:jc w:val="left"/>
              <w:rPr>
                <w:rFonts w:ascii="宋体" w:hAnsi="宋体" w:cs="宋体" w:eastAsia="宋体" w:hint="default"/>
                <w:sz w:val="18"/>
                <w:szCs w:val="18"/>
              </w:rPr>
            </w:pPr>
            <w:r>
              <w:rPr>
                <w:rFonts w:ascii="宋体" w:hAnsi="宋体" w:cs="宋体" w:eastAsia="宋体" w:hint="default"/>
                <w:sz w:val="18"/>
                <w:szCs w:val="18"/>
              </w:rPr>
              <w:t>生产销售通信电缆</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100.00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6"/>
              <w:ind w:left="207" w:right="118" w:hanging="92"/>
              <w:jc w:val="left"/>
              <w:rPr>
                <w:rFonts w:ascii="宋体" w:hAnsi="宋体" w:cs="宋体" w:eastAsia="宋体" w:hint="default"/>
                <w:sz w:val="18"/>
                <w:szCs w:val="18"/>
              </w:rPr>
            </w:pPr>
            <w:r>
              <w:rPr>
                <w:rFonts w:ascii="宋体" w:hAnsi="宋体" w:cs="宋体" w:eastAsia="宋体" w:hint="default"/>
                <w:sz w:val="18"/>
                <w:szCs w:val="18"/>
              </w:rPr>
              <w:t>同一控制 下合并</w:t>
            </w:r>
          </w:p>
        </w:tc>
      </w:tr>
      <w:tr>
        <w:trPr>
          <w:trHeight w:val="562" w:hRule="exact"/>
        </w:trPr>
        <w:tc>
          <w:tcPr>
            <w:tcW w:w="1808"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浙江万马集团特种电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子电缆有限公司</w:t>
            </w:r>
          </w:p>
        </w:tc>
        <w:tc>
          <w:tcPr>
            <w:tcW w:w="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33"/>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51" w:right="0"/>
              <w:jc w:val="left"/>
              <w:rPr>
                <w:rFonts w:ascii="宋体" w:hAnsi="宋体" w:cs="宋体" w:eastAsia="宋体" w:hint="default"/>
                <w:sz w:val="18"/>
                <w:szCs w:val="18"/>
              </w:rPr>
            </w:pPr>
            <w:r>
              <w:rPr>
                <w:rFonts w:ascii="宋体" w:hAnsi="宋体" w:cs="宋体" w:eastAsia="宋体" w:hint="default"/>
                <w:sz w:val="18"/>
                <w:szCs w:val="18"/>
              </w:rPr>
              <w:t>生产销售电线电缆</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100.00</w:t>
            </w:r>
          </w:p>
        </w:tc>
        <w:tc>
          <w:tcPr>
            <w:tcW w:w="708"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nil" w:sz="6" w:space="0" w:color="auto"/>
            </w:tcBorders>
          </w:tcPr>
          <w:p>
            <w:pPr>
              <w:pStyle w:val="TableParagraph"/>
              <w:spacing w:line="232" w:lineRule="exact" w:before="36"/>
              <w:ind w:left="116" w:right="118"/>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bl>
    <w:p>
      <w:pPr>
        <w:spacing w:after="0" w:line="232" w:lineRule="exact"/>
        <w:jc w:val="left"/>
        <w:rPr>
          <w:rFonts w:ascii="宋体" w:hAnsi="宋体" w:cs="宋体" w:eastAsia="宋体" w:hint="default"/>
          <w:sz w:val="18"/>
          <w:szCs w:val="18"/>
        </w:rPr>
        <w:sectPr>
          <w:pgSz w:w="11910" w:h="16840"/>
          <w:pgMar w:header="0"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1808"/>
        <w:gridCol w:w="993"/>
        <w:gridCol w:w="993"/>
        <w:gridCol w:w="2551"/>
        <w:gridCol w:w="710"/>
        <w:gridCol w:w="708"/>
        <w:gridCol w:w="960"/>
      </w:tblGrid>
      <w:tr>
        <w:trPr>
          <w:trHeight w:val="415" w:hRule="exact"/>
        </w:trPr>
        <w:tc>
          <w:tcPr>
            <w:tcW w:w="1808"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93" w:type="dxa"/>
            <w:vMerge w:val="restart"/>
            <w:tcBorders>
              <w:top w:val="single" w:sz="12" w:space="0" w:color="000000"/>
              <w:left w:val="single" w:sz="2" w:space="0" w:color="000000"/>
              <w:right w:val="single" w:sz="2" w:space="0" w:color="000000"/>
            </w:tcBorders>
          </w:tcPr>
          <w:p>
            <w:pPr>
              <w:pStyle w:val="TableParagraph"/>
              <w:spacing w:line="240" w:lineRule="auto" w:before="137"/>
              <w:ind w:left="402" w:right="129" w:hanging="269"/>
              <w:jc w:val="left"/>
              <w:rPr>
                <w:rFonts w:ascii="宋体" w:hAnsi="宋体" w:cs="宋体" w:eastAsia="宋体" w:hint="default"/>
                <w:sz w:val="18"/>
                <w:szCs w:val="18"/>
              </w:rPr>
            </w:pPr>
            <w:r>
              <w:rPr>
                <w:rFonts w:ascii="宋体" w:hAnsi="宋体" w:cs="宋体" w:eastAsia="宋体" w:hint="default"/>
                <w:b/>
                <w:bCs/>
                <w:sz w:val="18"/>
                <w:szCs w:val="18"/>
              </w:rPr>
              <w:t>主要经营</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993"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551"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60" w:type="dxa"/>
            <w:vMerge w:val="restart"/>
            <w:tcBorders>
              <w:top w:val="single" w:sz="12" w:space="0" w:color="000000"/>
              <w:left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02" w:hRule="exact"/>
        </w:trPr>
        <w:tc>
          <w:tcPr>
            <w:tcW w:w="1808" w:type="dxa"/>
            <w:vMerge/>
            <w:tcBorders>
              <w:left w:val="nil" w:sz="6" w:space="0" w:color="auto"/>
              <w:bottom w:val="single" w:sz="2" w:space="0" w:color="000000"/>
              <w:right w:val="single" w:sz="2" w:space="0" w:color="000000"/>
            </w:tcBorders>
          </w:tcPr>
          <w:p>
            <w:pPr/>
          </w:p>
        </w:tc>
        <w:tc>
          <w:tcPr>
            <w:tcW w:w="993" w:type="dxa"/>
            <w:vMerge/>
            <w:tcBorders>
              <w:left w:val="single" w:sz="2" w:space="0" w:color="000000"/>
              <w:bottom w:val="single" w:sz="2" w:space="0" w:color="000000"/>
              <w:right w:val="single" w:sz="2" w:space="0" w:color="000000"/>
            </w:tcBorders>
          </w:tcPr>
          <w:p>
            <w:pPr/>
          </w:p>
        </w:tc>
        <w:tc>
          <w:tcPr>
            <w:tcW w:w="993" w:type="dxa"/>
            <w:vMerge/>
            <w:tcBorders>
              <w:left w:val="single" w:sz="2" w:space="0" w:color="000000"/>
              <w:bottom w:val="single" w:sz="2" w:space="0" w:color="000000"/>
              <w:right w:val="single" w:sz="2" w:space="0" w:color="000000"/>
            </w:tcBorders>
          </w:tcPr>
          <w:p>
            <w:pPr/>
          </w:p>
        </w:tc>
        <w:tc>
          <w:tcPr>
            <w:tcW w:w="2551" w:type="dxa"/>
            <w:vMerge/>
            <w:tcBorders>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71"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960" w:type="dxa"/>
            <w:vMerge/>
            <w:tcBorders>
              <w:left w:val="single" w:sz="2" w:space="0" w:color="000000"/>
              <w:bottom w:val="single" w:sz="2" w:space="0" w:color="000000"/>
              <w:right w:val="nil" w:sz="6" w:space="0" w:color="auto"/>
            </w:tcBorders>
          </w:tcPr>
          <w:p>
            <w:pP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浙江万马新能源有限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3"/>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1" w:right="0"/>
              <w:jc w:val="left"/>
              <w:rPr>
                <w:rFonts w:ascii="宋体" w:hAnsi="宋体" w:cs="宋体" w:eastAsia="宋体" w:hint="default"/>
                <w:sz w:val="18"/>
                <w:szCs w:val="18"/>
              </w:rPr>
            </w:pPr>
            <w:r>
              <w:rPr>
                <w:rFonts w:ascii="宋体" w:hAnsi="宋体" w:cs="宋体" w:eastAsia="宋体" w:hint="default"/>
                <w:sz w:val="18"/>
                <w:szCs w:val="18"/>
              </w:rPr>
              <w:t>生产销售汽车充电设备</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70.00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香港骐骥国际发展有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3"/>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51" w:right="-26"/>
              <w:jc w:val="left"/>
              <w:rPr>
                <w:rFonts w:ascii="宋体" w:hAnsi="宋体" w:cs="宋体" w:eastAsia="宋体" w:hint="default"/>
                <w:sz w:val="18"/>
                <w:szCs w:val="18"/>
              </w:rPr>
            </w:pPr>
            <w:r>
              <w:rPr>
                <w:rFonts w:ascii="宋体" w:hAnsi="宋体" w:cs="宋体" w:eastAsia="宋体" w:hint="default"/>
                <w:sz w:val="18"/>
                <w:szCs w:val="18"/>
              </w:rPr>
              <w:t>电解铜、铝、锌、高分子材料、 同轴电缆等进出口贸易业务</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100.00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浙江万马专用线缆科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3"/>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1" w:right="0"/>
              <w:jc w:val="left"/>
              <w:rPr>
                <w:rFonts w:ascii="宋体" w:hAnsi="宋体" w:cs="宋体" w:eastAsia="宋体" w:hint="default"/>
                <w:sz w:val="18"/>
                <w:szCs w:val="18"/>
              </w:rPr>
            </w:pPr>
            <w:r>
              <w:rPr>
                <w:rFonts w:ascii="宋体" w:hAnsi="宋体" w:cs="宋体" w:eastAsia="宋体" w:hint="default"/>
                <w:sz w:val="18"/>
                <w:szCs w:val="18"/>
              </w:rPr>
              <w:t>生产销售特种电缆</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88.55</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浙江万马电缆有限公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3"/>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1" w:right="0"/>
              <w:jc w:val="left"/>
              <w:rPr>
                <w:rFonts w:ascii="宋体" w:hAnsi="宋体" w:cs="宋体" w:eastAsia="宋体" w:hint="default"/>
                <w:sz w:val="18"/>
                <w:szCs w:val="18"/>
              </w:rPr>
            </w:pPr>
            <w:r>
              <w:rPr>
                <w:rFonts w:ascii="宋体" w:hAnsi="宋体" w:cs="宋体" w:eastAsia="宋体" w:hint="default"/>
                <w:sz w:val="18"/>
                <w:szCs w:val="18"/>
              </w:rPr>
              <w:t>生产销售</w:t>
            </w:r>
            <w:r>
              <w:rPr>
                <w:rFonts w:ascii="宋体" w:hAnsi="宋体" w:cs="宋体" w:eastAsia="宋体" w:hint="default"/>
                <w:spacing w:val="-46"/>
                <w:sz w:val="18"/>
                <w:szCs w:val="18"/>
              </w:rPr>
              <w:t> </w:t>
            </w:r>
            <w:r>
              <w:rPr>
                <w:rFonts w:ascii="宋体" w:hAnsi="宋体" w:cs="宋体" w:eastAsia="宋体" w:hint="default"/>
                <w:sz w:val="18"/>
                <w:szCs w:val="18"/>
              </w:rPr>
              <w:t>3KV</w:t>
            </w:r>
            <w:r>
              <w:rPr>
                <w:rFonts w:ascii="宋体" w:hAnsi="宋体" w:cs="宋体" w:eastAsia="宋体" w:hint="default"/>
                <w:spacing w:val="-47"/>
                <w:sz w:val="18"/>
                <w:szCs w:val="18"/>
              </w:rPr>
              <w:t> </w:t>
            </w:r>
            <w:r>
              <w:rPr>
                <w:rFonts w:ascii="宋体" w:hAnsi="宋体" w:cs="宋体" w:eastAsia="宋体" w:hint="default"/>
                <w:sz w:val="18"/>
                <w:szCs w:val="18"/>
              </w:rPr>
              <w:t>以下电缆</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100.00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1"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浙江万马光伏有限公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3"/>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1" w:right="0"/>
              <w:jc w:val="left"/>
              <w:rPr>
                <w:rFonts w:ascii="宋体" w:hAnsi="宋体" w:cs="宋体" w:eastAsia="宋体" w:hint="default"/>
                <w:sz w:val="18"/>
                <w:szCs w:val="18"/>
              </w:rPr>
            </w:pPr>
            <w:r>
              <w:rPr>
                <w:rFonts w:ascii="宋体" w:hAnsi="宋体" w:cs="宋体" w:eastAsia="宋体" w:hint="default"/>
                <w:sz w:val="18"/>
                <w:szCs w:val="18"/>
              </w:rPr>
              <w:t>新能源领域开发、光伏发电</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100.00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53" w:right="51"/>
              <w:jc w:val="left"/>
              <w:rPr>
                <w:rFonts w:ascii="宋体" w:hAnsi="宋体" w:cs="宋体" w:eastAsia="宋体" w:hint="default"/>
                <w:sz w:val="18"/>
                <w:szCs w:val="18"/>
              </w:rPr>
            </w:pPr>
            <w:r>
              <w:rPr>
                <w:rFonts w:ascii="宋体" w:hAnsi="宋体" w:cs="宋体" w:eastAsia="宋体" w:hint="default"/>
                <w:spacing w:val="8"/>
                <w:sz w:val="18"/>
                <w:szCs w:val="18"/>
              </w:rPr>
              <w:t>浙江爱充网络科技有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33"/>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互联网技术开发</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64" w:hRule="exact"/>
        </w:trPr>
        <w:tc>
          <w:tcPr>
            <w:tcW w:w="1808"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7"/>
              <w:ind w:left="53" w:right="51"/>
              <w:jc w:val="left"/>
              <w:rPr>
                <w:rFonts w:ascii="宋体" w:hAnsi="宋体" w:cs="宋体" w:eastAsia="宋体" w:hint="default"/>
                <w:sz w:val="18"/>
                <w:szCs w:val="18"/>
              </w:rPr>
            </w:pPr>
            <w:r>
              <w:rPr>
                <w:rFonts w:ascii="宋体" w:hAnsi="宋体" w:cs="宋体" w:eastAsia="宋体" w:hint="default"/>
                <w:spacing w:val="8"/>
                <w:sz w:val="18"/>
                <w:szCs w:val="18"/>
              </w:rPr>
              <w:t>万马新能源投资有限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133"/>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34" w:lineRule="exact" w:before="13"/>
              <w:ind w:left="51" w:right="0"/>
              <w:jc w:val="left"/>
              <w:rPr>
                <w:rFonts w:ascii="宋体" w:hAnsi="宋体" w:cs="宋体" w:eastAsia="宋体" w:hint="default"/>
                <w:sz w:val="18"/>
                <w:szCs w:val="18"/>
              </w:rPr>
            </w:pPr>
            <w:r>
              <w:rPr>
                <w:rFonts w:ascii="宋体" w:hAnsi="宋体" w:cs="宋体" w:eastAsia="宋体" w:hint="default"/>
                <w:spacing w:val="-6"/>
                <w:sz w:val="18"/>
                <w:szCs w:val="18"/>
              </w:rPr>
              <w:t>实业投资、投资管理、投资咨询</w:t>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（除证券、期货）</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67.20</w:t>
            </w:r>
          </w:p>
        </w:tc>
        <w:tc>
          <w:tcPr>
            <w:tcW w:w="708"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sz w:val="9"/>
          <w:szCs w:val="9"/>
        </w:rPr>
      </w:pPr>
    </w:p>
    <w:p>
      <w:pPr>
        <w:pStyle w:val="BodyText"/>
        <w:spacing w:line="240" w:lineRule="auto"/>
        <w:ind w:left="673" w:right="80"/>
        <w:jc w:val="left"/>
      </w:pPr>
      <w:r>
        <w:rPr/>
        <w:t>（2）</w:t>
      </w:r>
      <w:r>
        <w:rPr>
          <w:spacing w:val="34"/>
        </w:rPr>
        <w:t> </w:t>
      </w:r>
      <w:r>
        <w:rPr/>
        <w:t>重要的非全资子公司</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42"/>
        <w:gridCol w:w="1136"/>
        <w:gridCol w:w="1547"/>
        <w:gridCol w:w="1549"/>
        <w:gridCol w:w="1549"/>
      </w:tblGrid>
      <w:tr>
        <w:trPr>
          <w:trHeight w:val="817" w:hRule="exact"/>
        </w:trPr>
        <w:tc>
          <w:tcPr>
            <w:tcW w:w="29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159" w:right="110" w:hanging="44"/>
              <w:jc w:val="left"/>
              <w:rPr>
                <w:rFonts w:ascii="宋体" w:hAnsi="宋体" w:cs="宋体" w:eastAsia="宋体" w:hint="default"/>
                <w:sz w:val="18"/>
                <w:szCs w:val="18"/>
              </w:rPr>
            </w:pPr>
            <w:r>
              <w:rPr>
                <w:rFonts w:ascii="宋体" w:hAnsi="宋体" w:cs="宋体" w:eastAsia="宋体" w:hint="default"/>
                <w:b/>
                <w:bCs/>
                <w:sz w:val="18"/>
                <w:szCs w:val="18"/>
              </w:rPr>
              <w:t>少数股东持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sz w:val="18"/>
                <w:szCs w:val="18"/>
              </w:rPr>
            </w:r>
          </w:p>
        </w:tc>
        <w:tc>
          <w:tcPr>
            <w:tcW w:w="15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319" w:right="136" w:hanging="180"/>
              <w:jc w:val="left"/>
              <w:rPr>
                <w:rFonts w:ascii="宋体" w:hAnsi="宋体" w:cs="宋体" w:eastAsia="宋体" w:hint="default"/>
                <w:sz w:val="18"/>
                <w:szCs w:val="18"/>
              </w:rPr>
            </w:pPr>
            <w:r>
              <w:rPr>
                <w:rFonts w:ascii="宋体" w:hAnsi="宋体" w:cs="宋体" w:eastAsia="宋体" w:hint="default"/>
                <w:b/>
                <w:bCs/>
                <w:sz w:val="18"/>
                <w:szCs w:val="18"/>
              </w:rPr>
              <w:t>本年归属于少数</w:t>
            </w:r>
            <w:r>
              <w:rPr>
                <w:rFonts w:ascii="宋体" w:hAnsi="宋体" w:cs="宋体" w:eastAsia="宋体" w:hint="default"/>
                <w:b/>
                <w:bCs/>
                <w:w w:val="99"/>
                <w:sz w:val="18"/>
                <w:szCs w:val="18"/>
              </w:rPr>
              <w:t> </w:t>
            </w:r>
            <w:r>
              <w:rPr>
                <w:rFonts w:ascii="宋体" w:hAnsi="宋体" w:cs="宋体" w:eastAsia="宋体" w:hint="default"/>
                <w:b/>
                <w:bCs/>
                <w:sz w:val="18"/>
                <w:szCs w:val="18"/>
              </w:rPr>
              <w:t>股东的损益</w:t>
            </w:r>
            <w:r>
              <w:rPr>
                <w:rFonts w:ascii="宋体" w:hAnsi="宋体" w:cs="宋体" w:eastAsia="宋体" w:hint="default"/>
                <w:sz w:val="18"/>
                <w:szCs w:val="18"/>
              </w:rPr>
            </w:r>
          </w:p>
        </w:tc>
        <w:tc>
          <w:tcPr>
            <w:tcW w:w="1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140" w:right="137"/>
              <w:jc w:val="left"/>
              <w:rPr>
                <w:rFonts w:ascii="宋体" w:hAnsi="宋体" w:cs="宋体" w:eastAsia="宋体" w:hint="default"/>
                <w:sz w:val="18"/>
                <w:szCs w:val="18"/>
              </w:rPr>
            </w:pPr>
            <w:r>
              <w:rPr>
                <w:rFonts w:ascii="宋体" w:hAnsi="宋体" w:cs="宋体" w:eastAsia="宋体" w:hint="default"/>
                <w:b/>
                <w:bCs/>
                <w:sz w:val="18"/>
                <w:szCs w:val="18"/>
              </w:rPr>
              <w:t>本年向少数股东</w:t>
            </w:r>
            <w:r>
              <w:rPr>
                <w:rFonts w:ascii="宋体" w:hAnsi="宋体" w:cs="宋体" w:eastAsia="宋体" w:hint="default"/>
                <w:b/>
                <w:bCs/>
                <w:w w:val="99"/>
                <w:sz w:val="18"/>
                <w:szCs w:val="18"/>
              </w:rPr>
              <w:t> </w:t>
            </w: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5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501" w:right="138" w:hanging="360"/>
              <w:jc w:val="left"/>
              <w:rPr>
                <w:rFonts w:ascii="宋体" w:hAnsi="宋体" w:cs="宋体" w:eastAsia="宋体" w:hint="default"/>
                <w:sz w:val="18"/>
                <w:szCs w:val="18"/>
              </w:rPr>
            </w:pPr>
            <w:r>
              <w:rPr>
                <w:rFonts w:ascii="宋体" w:hAnsi="宋体" w:cs="宋体" w:eastAsia="宋体" w:hint="default"/>
                <w:b/>
                <w:bCs/>
                <w:sz w:val="18"/>
                <w:szCs w:val="18"/>
              </w:rPr>
              <w:t>年末少数股东权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益余额</w:t>
            </w:r>
            <w:r>
              <w:rPr>
                <w:rFonts w:ascii="宋体" w:hAnsi="宋体" w:cs="宋体" w:eastAsia="宋体" w:hint="default"/>
                <w:sz w:val="18"/>
                <w:szCs w:val="18"/>
              </w:rPr>
            </w:r>
          </w:p>
        </w:tc>
      </w:tr>
      <w:tr>
        <w:trPr>
          <w:trHeight w:val="402" w:hRule="exact"/>
        </w:trPr>
        <w:tc>
          <w:tcPr>
            <w:tcW w:w="2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49"/>
              <w:jc w:val="right"/>
              <w:rPr>
                <w:rFonts w:ascii="宋体" w:hAnsi="宋体" w:cs="宋体" w:eastAsia="宋体" w:hint="default"/>
                <w:sz w:val="18"/>
                <w:szCs w:val="18"/>
              </w:rPr>
            </w:pPr>
            <w:r>
              <w:rPr>
                <w:rFonts w:ascii="宋体"/>
                <w:spacing w:val="-1"/>
                <w:sz w:val="18"/>
              </w:rPr>
              <w:t>30.00</w:t>
            </w:r>
          </w:p>
        </w:tc>
        <w:tc>
          <w:tcPr>
            <w:tcW w:w="15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48"/>
              <w:jc w:val="right"/>
              <w:rPr>
                <w:rFonts w:ascii="宋体" w:hAnsi="宋体" w:cs="宋体" w:eastAsia="宋体" w:hint="default"/>
                <w:sz w:val="18"/>
                <w:szCs w:val="18"/>
              </w:rPr>
            </w:pPr>
            <w:r>
              <w:rPr>
                <w:rFonts w:ascii="宋体"/>
                <w:spacing w:val="-1"/>
                <w:sz w:val="18"/>
              </w:rPr>
              <w:t>3,498,532.18</w:t>
            </w:r>
          </w:p>
        </w:tc>
        <w:tc>
          <w:tcPr>
            <w:tcW w:w="1549"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2"/>
              <w:jc w:val="right"/>
              <w:rPr>
                <w:rFonts w:ascii="宋体" w:hAnsi="宋体" w:cs="宋体" w:eastAsia="宋体" w:hint="default"/>
                <w:sz w:val="18"/>
                <w:szCs w:val="18"/>
              </w:rPr>
            </w:pPr>
            <w:r>
              <w:rPr>
                <w:rFonts w:ascii="宋体"/>
                <w:spacing w:val="-1"/>
                <w:sz w:val="18"/>
              </w:rPr>
              <w:t>16,384,258.90</w:t>
            </w:r>
          </w:p>
        </w:tc>
      </w:tr>
      <w:tr>
        <w:trPr>
          <w:trHeight w:val="402" w:hRule="exact"/>
        </w:trPr>
        <w:tc>
          <w:tcPr>
            <w:tcW w:w="2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11.45</w:t>
            </w:r>
          </w:p>
        </w:tc>
        <w:tc>
          <w:tcPr>
            <w:tcW w:w="15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pacing w:val="-1"/>
                <w:sz w:val="18"/>
              </w:rPr>
              <w:t>800,210.47</w:t>
            </w:r>
          </w:p>
        </w:tc>
        <w:tc>
          <w:tcPr>
            <w:tcW w:w="1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sz w:val="18"/>
              </w:rPr>
              <w:t>340,000.00</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5,379,205.49</w:t>
            </w:r>
          </w:p>
        </w:tc>
      </w:tr>
      <w:tr>
        <w:trPr>
          <w:trHeight w:val="414" w:hRule="exact"/>
        </w:trPr>
        <w:tc>
          <w:tcPr>
            <w:tcW w:w="2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49"/>
              <w:jc w:val="right"/>
              <w:rPr>
                <w:rFonts w:ascii="宋体" w:hAnsi="宋体" w:cs="宋体" w:eastAsia="宋体" w:hint="default"/>
                <w:sz w:val="18"/>
                <w:szCs w:val="18"/>
              </w:rPr>
            </w:pPr>
            <w:r>
              <w:rPr>
                <w:rFonts w:ascii="宋体"/>
                <w:spacing w:val="-1"/>
                <w:sz w:val="18"/>
              </w:rPr>
              <w:t>32.80</w:t>
            </w:r>
          </w:p>
        </w:tc>
        <w:tc>
          <w:tcPr>
            <w:tcW w:w="1547" w:type="dxa"/>
            <w:tcBorders>
              <w:top w:val="single" w:sz="2" w:space="0" w:color="000000"/>
              <w:left w:val="single" w:sz="2" w:space="0" w:color="000000"/>
              <w:bottom w:val="single" w:sz="12" w:space="0" w:color="000000"/>
              <w:right w:val="single" w:sz="2" w:space="0" w:color="000000"/>
            </w:tcBorders>
          </w:tcPr>
          <w:p>
            <w:pPr/>
          </w:p>
        </w:tc>
        <w:tc>
          <w:tcPr>
            <w:tcW w:w="1549" w:type="dxa"/>
            <w:tcBorders>
              <w:top w:val="single" w:sz="2" w:space="0" w:color="000000"/>
              <w:left w:val="single" w:sz="2" w:space="0" w:color="000000"/>
              <w:bottom w:val="single" w:sz="12" w:space="0" w:color="000000"/>
              <w:right w:val="single" w:sz="2" w:space="0" w:color="000000"/>
            </w:tcBorders>
          </w:tcPr>
          <w:p>
            <w:pP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50"/>
              <w:jc w:val="right"/>
              <w:rPr>
                <w:rFonts w:ascii="宋体" w:hAnsi="宋体" w:cs="宋体" w:eastAsia="宋体" w:hint="default"/>
                <w:sz w:val="18"/>
                <w:szCs w:val="18"/>
              </w:rPr>
            </w:pPr>
            <w:r>
              <w:rPr>
                <w:rFonts w:ascii="宋体"/>
                <w:spacing w:val="-1"/>
                <w:sz w:val="18"/>
              </w:rPr>
              <w:t>100,000,000.00</w:t>
            </w:r>
          </w:p>
        </w:tc>
      </w:tr>
    </w:tbl>
    <w:p>
      <w:pPr>
        <w:spacing w:line="240" w:lineRule="auto" w:before="2"/>
        <w:rPr>
          <w:rFonts w:ascii="宋体" w:hAnsi="宋体" w:cs="宋体" w:eastAsia="宋体" w:hint="default"/>
          <w:sz w:val="9"/>
          <w:szCs w:val="9"/>
        </w:rPr>
      </w:pPr>
    </w:p>
    <w:p>
      <w:pPr>
        <w:pStyle w:val="BodyText"/>
        <w:spacing w:line="300" w:lineRule="auto"/>
        <w:ind w:left="241" w:right="80" w:firstLine="439"/>
        <w:jc w:val="left"/>
      </w:pPr>
      <w:r>
        <w:rPr>
          <w:spacing w:val="-4"/>
        </w:rPr>
        <w:t>注：万马联合新能源投资有限公司本期未确认归属于少数股东的损益，主要系少数股</w:t>
      </w:r>
      <w:r>
        <w:rPr>
          <w:w w:val="100"/>
        </w:rPr>
        <w:t> </w:t>
      </w:r>
      <w:r>
        <w:rPr>
          <w:spacing w:val="-2"/>
        </w:rPr>
        <w:t>东每年根据实际投资的</w:t>
      </w:r>
      <w:r>
        <w:rPr>
          <w:spacing w:val="-18"/>
        </w:rPr>
        <w:t> </w:t>
      </w:r>
      <w:r>
        <w:rPr>
          <w:spacing w:val="-2"/>
        </w:rPr>
        <w:t>1.2%年化收益率获取固定的收益。</w:t>
      </w:r>
    </w:p>
    <w:p>
      <w:pPr>
        <w:spacing w:after="0" w:line="300" w:lineRule="auto"/>
        <w:jc w:val="left"/>
        <w:sectPr>
          <w:pgSz w:w="11910" w:h="16840"/>
          <w:pgMar w:header="0" w:footer="873" w:top="1440" w:bottom="1060" w:left="1460" w:right="1460"/>
        </w:sectPr>
      </w:pPr>
    </w:p>
    <w:p>
      <w:pPr>
        <w:spacing w:line="240" w:lineRule="auto" w:before="9"/>
        <w:rPr>
          <w:rFonts w:ascii="宋体" w:hAnsi="宋体" w:cs="宋体" w:eastAsia="宋体" w:hint="default"/>
          <w:sz w:val="25"/>
          <w:szCs w:val="25"/>
        </w:rPr>
      </w:pPr>
    </w:p>
    <w:p>
      <w:pPr>
        <w:spacing w:before="44"/>
        <w:ind w:left="0" w:right="188" w:firstLine="0"/>
        <w:jc w:val="right"/>
        <w:rPr>
          <w:rFonts w:ascii="宋体" w:hAnsi="宋体" w:cs="宋体" w:eastAsia="宋体" w:hint="default"/>
          <w:sz w:val="18"/>
          <w:szCs w:val="18"/>
        </w:rPr>
      </w:pPr>
      <w:r>
        <w:rPr/>
        <w:pict>
          <v:shape style="position:absolute;margin-left:56.759998pt;margin-top:-12.6583pt;width:117pt;height:25.32pt;mso-position-horizontal-relative:page;mso-position-vertical-relative:paragraph;z-index:1528" type="#_x0000_t75" stroked="false">
            <v:imagedata r:id="rId28" o:title=""/>
          </v:shape>
        </w:pict>
      </w: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3"/>
          <w:szCs w:val="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728.8pt;height:.5pt;mso-position-horizontal-relative:char;mso-position-vertical-relative:line" coordorigin="0,0" coordsize="14576,10">
            <v:group style="position:absolute;left:5;top:5;width:14566;height:2" coordorigin="5,5" coordsize="14566,2">
              <v:shape style="position:absolute;left:5;top:5;width:14566;height:2" coordorigin="5,5" coordsize="14566,0" path="m5,5l14571,5e" filled="false" stroked="true" strokeweight=".47998pt" strokecolor="#4f80bd">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BodyText"/>
        <w:spacing w:line="240" w:lineRule="auto"/>
        <w:ind w:left="544" w:right="0"/>
        <w:jc w:val="left"/>
      </w:pPr>
      <w:r>
        <w:rPr/>
        <w:t>（3）</w:t>
      </w:r>
      <w:r>
        <w:rPr>
          <w:spacing w:val="32"/>
        </w:rPr>
        <w:t> </w:t>
      </w:r>
      <w:r>
        <w:rPr/>
        <w:t>重要非全资子公司的主要财务信息</w:t>
      </w:r>
    </w:p>
    <w:p>
      <w:pPr>
        <w:spacing w:line="240" w:lineRule="auto" w:before="4"/>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3314"/>
        <w:gridCol w:w="1868"/>
        <w:gridCol w:w="1711"/>
        <w:gridCol w:w="1868"/>
        <w:gridCol w:w="2024"/>
        <w:gridCol w:w="1558"/>
        <w:gridCol w:w="1871"/>
      </w:tblGrid>
      <w:tr>
        <w:trPr>
          <w:trHeight w:val="385" w:hRule="exact"/>
        </w:trPr>
        <w:tc>
          <w:tcPr>
            <w:tcW w:w="3314"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900"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97" w:hRule="exact"/>
        </w:trPr>
        <w:tc>
          <w:tcPr>
            <w:tcW w:w="3314" w:type="dxa"/>
            <w:vMerge/>
            <w:tcBorders>
              <w:left w:val="nil" w:sz="6" w:space="0" w:color="auto"/>
              <w:bottom w:val="single" w:sz="2" w:space="0" w:color="000000"/>
              <w:right w:val="single" w:sz="2" w:space="0" w:color="000000"/>
            </w:tcBorders>
          </w:tcPr>
          <w:p>
            <w:pP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649"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27"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8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397" w:hRule="exact"/>
        </w:trPr>
        <w:tc>
          <w:tcPr>
            <w:tcW w:w="3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8"/>
              <w:jc w:val="right"/>
              <w:rPr>
                <w:rFonts w:ascii="宋体" w:hAnsi="宋体" w:cs="宋体" w:eastAsia="宋体" w:hint="default"/>
                <w:sz w:val="18"/>
                <w:szCs w:val="18"/>
              </w:rPr>
            </w:pPr>
            <w:r>
              <w:rPr>
                <w:rFonts w:ascii="宋体"/>
                <w:spacing w:val="-1"/>
                <w:sz w:val="18"/>
              </w:rPr>
              <w:t>94,629,371.26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6"/>
              <w:jc w:val="right"/>
              <w:rPr>
                <w:rFonts w:ascii="宋体" w:hAnsi="宋体" w:cs="宋体" w:eastAsia="宋体" w:hint="default"/>
                <w:sz w:val="18"/>
                <w:szCs w:val="18"/>
              </w:rPr>
            </w:pPr>
            <w:r>
              <w:rPr>
                <w:rFonts w:ascii="宋体"/>
                <w:spacing w:val="-1"/>
                <w:sz w:val="18"/>
              </w:rPr>
              <w:t>1,731,425.97</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
                <w:sz w:val="18"/>
              </w:rPr>
              <w:t>96,360,797.23</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
                <w:sz w:val="18"/>
              </w:rPr>
              <w:t>41,746,600.92</w:t>
            </w:r>
          </w:p>
        </w:tc>
        <w:tc>
          <w:tcPr>
            <w:tcW w:w="1558" w:type="dxa"/>
            <w:tcBorders>
              <w:top w:val="single" w:sz="2" w:space="0" w:color="000000"/>
              <w:left w:val="single" w:sz="2" w:space="0" w:color="000000"/>
              <w:bottom w:val="single" w:sz="2" w:space="0" w:color="000000"/>
              <w:right w:val="single" w:sz="2" w:space="0" w:color="000000"/>
            </w:tcBorders>
          </w:tcPr>
          <w:p>
            <w:pPr/>
          </w:p>
        </w:tc>
        <w:tc>
          <w:tcPr>
            <w:tcW w:w="18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69"/>
              <w:jc w:val="right"/>
              <w:rPr>
                <w:rFonts w:ascii="宋体" w:hAnsi="宋体" w:cs="宋体" w:eastAsia="宋体" w:hint="default"/>
                <w:sz w:val="18"/>
                <w:szCs w:val="18"/>
              </w:rPr>
            </w:pPr>
            <w:r>
              <w:rPr>
                <w:rFonts w:ascii="宋体"/>
                <w:spacing w:val="-1"/>
                <w:sz w:val="18"/>
              </w:rPr>
              <w:t>41,746,600.92</w:t>
            </w:r>
          </w:p>
        </w:tc>
      </w:tr>
      <w:tr>
        <w:trPr>
          <w:trHeight w:val="397" w:hRule="exact"/>
        </w:trPr>
        <w:tc>
          <w:tcPr>
            <w:tcW w:w="3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6"/>
              <w:jc w:val="right"/>
              <w:rPr>
                <w:rFonts w:ascii="宋体" w:hAnsi="宋体" w:cs="宋体" w:eastAsia="宋体" w:hint="default"/>
                <w:sz w:val="18"/>
                <w:szCs w:val="18"/>
              </w:rPr>
            </w:pPr>
            <w:r>
              <w:rPr>
                <w:rFonts w:ascii="宋体"/>
                <w:spacing w:val="-1"/>
                <w:sz w:val="18"/>
              </w:rPr>
              <w:t>158,571,428.67</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8"/>
              <w:jc w:val="right"/>
              <w:rPr>
                <w:rFonts w:ascii="宋体" w:hAnsi="宋体" w:cs="宋体" w:eastAsia="宋体" w:hint="default"/>
                <w:sz w:val="18"/>
                <w:szCs w:val="18"/>
              </w:rPr>
            </w:pPr>
            <w:r>
              <w:rPr>
                <w:rFonts w:ascii="宋体"/>
                <w:spacing w:val="-1"/>
                <w:sz w:val="18"/>
              </w:rPr>
              <w:t>19,826,011.78</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pacing w:val="-1"/>
                <w:sz w:val="18"/>
              </w:rPr>
              <w:t>178,397,440.45</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5"/>
              <w:jc w:val="right"/>
              <w:rPr>
                <w:rFonts w:ascii="宋体" w:hAnsi="宋体" w:cs="宋体" w:eastAsia="宋体" w:hint="default"/>
                <w:sz w:val="18"/>
                <w:szCs w:val="18"/>
              </w:rPr>
            </w:pPr>
            <w:r>
              <w:rPr>
                <w:rFonts w:ascii="宋体"/>
                <w:spacing w:val="-1"/>
                <w:sz w:val="18"/>
              </w:rPr>
              <w:t>130,301,607.64</w:t>
            </w:r>
          </w:p>
        </w:tc>
        <w:tc>
          <w:tcPr>
            <w:tcW w:w="1558" w:type="dxa"/>
            <w:tcBorders>
              <w:top w:val="single" w:sz="2" w:space="0" w:color="000000"/>
              <w:left w:val="single" w:sz="2" w:space="0" w:color="000000"/>
              <w:bottom w:val="single" w:sz="2" w:space="0" w:color="000000"/>
              <w:right w:val="single" w:sz="2" w:space="0" w:color="000000"/>
            </w:tcBorders>
          </w:tcPr>
          <w:p>
            <w:pPr/>
          </w:p>
        </w:tc>
        <w:tc>
          <w:tcPr>
            <w:tcW w:w="18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69"/>
              <w:jc w:val="right"/>
              <w:rPr>
                <w:rFonts w:ascii="宋体" w:hAnsi="宋体" w:cs="宋体" w:eastAsia="宋体" w:hint="default"/>
                <w:sz w:val="18"/>
                <w:szCs w:val="18"/>
              </w:rPr>
            </w:pPr>
            <w:r>
              <w:rPr>
                <w:rFonts w:ascii="宋体"/>
                <w:spacing w:val="-1"/>
                <w:sz w:val="18"/>
              </w:rPr>
              <w:t>130,301,607.64</w:t>
            </w:r>
          </w:p>
        </w:tc>
      </w:tr>
      <w:tr>
        <w:trPr>
          <w:trHeight w:val="409" w:hRule="exact"/>
        </w:trPr>
        <w:tc>
          <w:tcPr>
            <w:tcW w:w="33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66"/>
              <w:jc w:val="right"/>
              <w:rPr>
                <w:rFonts w:ascii="宋体" w:hAnsi="宋体" w:cs="宋体" w:eastAsia="宋体" w:hint="default"/>
                <w:sz w:val="18"/>
                <w:szCs w:val="18"/>
              </w:rPr>
            </w:pPr>
            <w:r>
              <w:rPr>
                <w:rFonts w:ascii="宋体"/>
                <w:spacing w:val="-1"/>
                <w:sz w:val="18"/>
              </w:rPr>
              <w:t>304,885,339.44</w:t>
            </w:r>
          </w:p>
        </w:tc>
        <w:tc>
          <w:tcPr>
            <w:tcW w:w="1711" w:type="dxa"/>
            <w:tcBorders>
              <w:top w:val="single" w:sz="2" w:space="0" w:color="000000"/>
              <w:left w:val="single" w:sz="2" w:space="0" w:color="000000"/>
              <w:bottom w:val="single" w:sz="12" w:space="0" w:color="000000"/>
              <w:right w:val="single" w:sz="2" w:space="0" w:color="000000"/>
            </w:tcBorders>
          </w:tcPr>
          <w:p>
            <w:pPr/>
          </w:p>
        </w:tc>
        <w:tc>
          <w:tcPr>
            <w:tcW w:w="1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spacing w:val="-1"/>
                <w:sz w:val="18"/>
              </w:rPr>
              <w:t>304,885,339.44</w:t>
            </w:r>
          </w:p>
        </w:tc>
        <w:tc>
          <w:tcPr>
            <w:tcW w:w="20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65"/>
              <w:jc w:val="right"/>
              <w:rPr>
                <w:rFonts w:ascii="宋体" w:hAnsi="宋体" w:cs="宋体" w:eastAsia="宋体" w:hint="default"/>
                <w:sz w:val="18"/>
                <w:szCs w:val="18"/>
              </w:rPr>
            </w:pPr>
            <w:r>
              <w:rPr>
                <w:rFonts w:ascii="宋体"/>
                <w:spacing w:val="-1"/>
                <w:sz w:val="18"/>
              </w:rPr>
              <w:t>212,412.81</w:t>
            </w:r>
          </w:p>
        </w:tc>
        <w:tc>
          <w:tcPr>
            <w:tcW w:w="1558" w:type="dxa"/>
            <w:tcBorders>
              <w:top w:val="single" w:sz="2" w:space="0" w:color="000000"/>
              <w:left w:val="single" w:sz="2" w:space="0" w:color="000000"/>
              <w:bottom w:val="single" w:sz="12" w:space="0" w:color="000000"/>
              <w:right w:val="single" w:sz="2" w:space="0" w:color="000000"/>
            </w:tcBorders>
          </w:tcPr>
          <w:p>
            <w:pPr/>
          </w:p>
        </w:tc>
        <w:tc>
          <w:tcPr>
            <w:tcW w:w="18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69"/>
              <w:jc w:val="right"/>
              <w:rPr>
                <w:rFonts w:ascii="宋体" w:hAnsi="宋体" w:cs="宋体" w:eastAsia="宋体" w:hint="default"/>
                <w:sz w:val="18"/>
                <w:szCs w:val="18"/>
              </w:rPr>
            </w:pPr>
            <w:r>
              <w:rPr>
                <w:rFonts w:ascii="宋体"/>
                <w:spacing w:val="-1"/>
                <w:sz w:val="18"/>
              </w:rPr>
              <w:t>212,412.81</w:t>
            </w:r>
          </w:p>
        </w:tc>
      </w:tr>
    </w:tbl>
    <w:p>
      <w:pPr>
        <w:spacing w:line="240" w:lineRule="auto" w:before="3"/>
        <w:rPr>
          <w:rFonts w:ascii="宋体" w:hAnsi="宋体" w:cs="宋体" w:eastAsia="宋体" w:hint="default"/>
          <w:sz w:val="9"/>
          <w:szCs w:val="9"/>
        </w:rPr>
      </w:pPr>
    </w:p>
    <w:p>
      <w:pPr>
        <w:pStyle w:val="BodyText"/>
        <w:spacing w:line="240" w:lineRule="auto"/>
        <w:ind w:left="554" w:right="0"/>
        <w:jc w:val="left"/>
      </w:pPr>
      <w:r>
        <w:rPr/>
        <w:t>（续表）</w:t>
      </w:r>
    </w:p>
    <w:p>
      <w:pPr>
        <w:spacing w:line="240" w:lineRule="auto" w:before="3"/>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3318"/>
        <w:gridCol w:w="1865"/>
        <w:gridCol w:w="1711"/>
        <w:gridCol w:w="1865"/>
        <w:gridCol w:w="2021"/>
        <w:gridCol w:w="1555"/>
        <w:gridCol w:w="1879"/>
      </w:tblGrid>
      <w:tr>
        <w:trPr>
          <w:trHeight w:val="475" w:hRule="exact"/>
        </w:trPr>
        <w:tc>
          <w:tcPr>
            <w:tcW w:w="3318"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96"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318" w:type="dxa"/>
            <w:vMerge/>
            <w:tcBorders>
              <w:left w:val="nil" w:sz="6" w:space="0" w:color="auto"/>
              <w:bottom w:val="single" w:sz="2" w:space="0" w:color="000000"/>
              <w:right w:val="single" w:sz="2" w:space="0" w:color="000000"/>
            </w:tcBorders>
          </w:tcPr>
          <w:p>
            <w:pP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7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40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70"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25"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577"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411" w:hRule="exact"/>
        </w:trPr>
        <w:tc>
          <w:tcPr>
            <w:tcW w:w="3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620" w:right="0"/>
              <w:jc w:val="left"/>
              <w:rPr>
                <w:rFonts w:ascii="宋体" w:hAnsi="宋体" w:cs="宋体" w:eastAsia="宋体" w:hint="default"/>
                <w:sz w:val="18"/>
                <w:szCs w:val="18"/>
              </w:rPr>
            </w:pPr>
            <w:r>
              <w:rPr>
                <w:rFonts w:ascii="宋体"/>
                <w:sz w:val="18"/>
              </w:rPr>
              <w:t>27,399,397.68</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spacing w:val="-1"/>
                <w:sz w:val="18"/>
              </w:rPr>
              <w:t>2,576,107.73</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spacing w:val="-1"/>
                <w:sz w:val="18"/>
              </w:rPr>
              <w:t>29,975,505.41</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spacing w:val="-1"/>
                <w:sz w:val="18"/>
              </w:rPr>
              <w:t>7,023,083.03</w:t>
            </w:r>
          </w:p>
        </w:tc>
        <w:tc>
          <w:tcPr>
            <w:tcW w:w="1555"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69"/>
              <w:jc w:val="right"/>
              <w:rPr>
                <w:rFonts w:ascii="宋体" w:hAnsi="宋体" w:cs="宋体" w:eastAsia="宋体" w:hint="default"/>
                <w:sz w:val="18"/>
                <w:szCs w:val="18"/>
              </w:rPr>
            </w:pPr>
            <w:r>
              <w:rPr>
                <w:rFonts w:ascii="宋体"/>
                <w:spacing w:val="-1"/>
                <w:sz w:val="18"/>
              </w:rPr>
              <w:t>7,023,083.03</w:t>
            </w:r>
          </w:p>
        </w:tc>
      </w:tr>
      <w:tr>
        <w:trPr>
          <w:trHeight w:val="423" w:hRule="exact"/>
        </w:trPr>
        <w:tc>
          <w:tcPr>
            <w:tcW w:w="33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529" w:right="0"/>
              <w:jc w:val="left"/>
              <w:rPr>
                <w:rFonts w:ascii="宋体" w:hAnsi="宋体" w:cs="宋体" w:eastAsia="宋体" w:hint="default"/>
                <w:sz w:val="18"/>
                <w:szCs w:val="18"/>
              </w:rPr>
            </w:pPr>
            <w:r>
              <w:rPr>
                <w:rFonts w:ascii="宋体"/>
                <w:sz w:val="18"/>
              </w:rPr>
              <w:t>132,657,045.67</w:t>
            </w:r>
          </w:p>
        </w:tc>
        <w:tc>
          <w:tcPr>
            <w:tcW w:w="1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67"/>
              <w:jc w:val="right"/>
              <w:rPr>
                <w:rFonts w:ascii="宋体" w:hAnsi="宋体" w:cs="宋体" w:eastAsia="宋体" w:hint="default"/>
                <w:sz w:val="18"/>
                <w:szCs w:val="18"/>
              </w:rPr>
            </w:pPr>
            <w:r>
              <w:rPr>
                <w:rFonts w:ascii="宋体"/>
                <w:spacing w:val="-1"/>
                <w:sz w:val="18"/>
              </w:rPr>
              <w:t>20,962,569.05</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67"/>
              <w:jc w:val="right"/>
              <w:rPr>
                <w:rFonts w:ascii="宋体" w:hAnsi="宋体" w:cs="宋体" w:eastAsia="宋体" w:hint="default"/>
                <w:sz w:val="18"/>
                <w:szCs w:val="18"/>
              </w:rPr>
            </w:pPr>
            <w:r>
              <w:rPr>
                <w:rFonts w:ascii="宋体"/>
                <w:spacing w:val="-1"/>
                <w:sz w:val="18"/>
              </w:rPr>
              <w:t>153,619,614.72</w:t>
            </w:r>
          </w:p>
        </w:tc>
        <w:tc>
          <w:tcPr>
            <w:tcW w:w="2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67"/>
              <w:jc w:val="right"/>
              <w:rPr>
                <w:rFonts w:ascii="宋体" w:hAnsi="宋体" w:cs="宋体" w:eastAsia="宋体" w:hint="default"/>
                <w:sz w:val="18"/>
                <w:szCs w:val="18"/>
              </w:rPr>
            </w:pPr>
            <w:r>
              <w:rPr>
                <w:rFonts w:ascii="宋体"/>
                <w:spacing w:val="-1"/>
                <w:sz w:val="18"/>
              </w:rPr>
              <w:t>109,745,385.89</w:t>
            </w:r>
          </w:p>
        </w:tc>
        <w:tc>
          <w:tcPr>
            <w:tcW w:w="1555" w:type="dxa"/>
            <w:tcBorders>
              <w:top w:val="single" w:sz="2" w:space="0" w:color="000000"/>
              <w:left w:val="single" w:sz="2" w:space="0" w:color="000000"/>
              <w:bottom w:val="single" w:sz="12" w:space="0" w:color="000000"/>
              <w:right w:val="single" w:sz="2" w:space="0" w:color="000000"/>
            </w:tcBorders>
          </w:tcPr>
          <w:p>
            <w:pPr/>
          </w:p>
        </w:tc>
        <w:tc>
          <w:tcPr>
            <w:tcW w:w="18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69"/>
              <w:jc w:val="right"/>
              <w:rPr>
                <w:rFonts w:ascii="宋体" w:hAnsi="宋体" w:cs="宋体" w:eastAsia="宋体" w:hint="default"/>
                <w:sz w:val="18"/>
                <w:szCs w:val="18"/>
              </w:rPr>
            </w:pPr>
            <w:r>
              <w:rPr>
                <w:rFonts w:ascii="宋体"/>
                <w:spacing w:val="-1"/>
                <w:sz w:val="18"/>
              </w:rPr>
              <w:t>109,745,385.89</w:t>
            </w:r>
          </w:p>
        </w:tc>
      </w:tr>
    </w:tbl>
    <w:p>
      <w:pPr>
        <w:spacing w:line="240" w:lineRule="auto" w:before="1"/>
        <w:rPr>
          <w:rFonts w:ascii="宋体" w:hAnsi="宋体" w:cs="宋体" w:eastAsia="宋体" w:hint="default"/>
          <w:sz w:val="9"/>
          <w:szCs w:val="9"/>
        </w:rPr>
      </w:pPr>
    </w:p>
    <w:p>
      <w:pPr>
        <w:pStyle w:val="BodyText"/>
        <w:spacing w:line="240" w:lineRule="auto"/>
        <w:ind w:left="554" w:right="0"/>
        <w:jc w:val="left"/>
      </w:pPr>
      <w:r>
        <w:rPr/>
        <w:t>（续表）</w:t>
      </w:r>
    </w:p>
    <w:p>
      <w:pPr>
        <w:spacing w:line="240" w:lineRule="auto" w:before="4"/>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2343"/>
        <w:gridCol w:w="1496"/>
        <w:gridCol w:w="1396"/>
        <w:gridCol w:w="1396"/>
        <w:gridCol w:w="1772"/>
        <w:gridCol w:w="1531"/>
        <w:gridCol w:w="1296"/>
        <w:gridCol w:w="1296"/>
        <w:gridCol w:w="1688"/>
      </w:tblGrid>
      <w:tr>
        <w:trPr>
          <w:trHeight w:val="415" w:hRule="exact"/>
        </w:trPr>
        <w:tc>
          <w:tcPr>
            <w:tcW w:w="2343"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06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581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2343" w:type="dxa"/>
            <w:vMerge/>
            <w:tcBorders>
              <w:left w:val="nil" w:sz="6" w:space="0" w:color="auto"/>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426"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55"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hAnsi="宋体" w:cs="宋体" w:eastAsia="宋体" w:hint="default"/>
                <w:b/>
                <w:bCs/>
                <w:w w:val="95"/>
                <w:sz w:val="18"/>
                <w:szCs w:val="18"/>
              </w:rPr>
              <w:t>经营活动现金流量</w:t>
            </w:r>
            <w:r>
              <w:rPr>
                <w:rFonts w:ascii="宋体" w:hAnsi="宋体" w:cs="宋体" w:eastAsia="宋体" w:hint="default"/>
                <w:sz w:val="18"/>
                <w:szCs w:val="18"/>
              </w:rPr>
            </w:r>
          </w:p>
        </w:tc>
      </w:tr>
      <w:tr>
        <w:trPr>
          <w:trHeight w:val="402" w:hRule="exact"/>
        </w:trPr>
        <w:tc>
          <w:tcPr>
            <w:tcW w:w="2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70,256,164.50</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11,661,773.93</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11,661,773.93</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pacing w:val="-1"/>
                <w:sz w:val="18"/>
              </w:rPr>
              <w:t>-27,543,876.08</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29,815,202.72</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6" w:right="0"/>
              <w:jc w:val="center"/>
              <w:rPr>
                <w:rFonts w:ascii="宋体" w:hAnsi="宋体" w:cs="宋体" w:eastAsia="宋体" w:hint="default"/>
                <w:sz w:val="18"/>
                <w:szCs w:val="18"/>
              </w:rPr>
            </w:pPr>
            <w:r>
              <w:rPr>
                <w:rFonts w:ascii="宋体"/>
                <w:sz w:val="18"/>
              </w:rPr>
              <w:t>3,423,227.89</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58" w:right="0"/>
              <w:jc w:val="left"/>
              <w:rPr>
                <w:rFonts w:ascii="宋体" w:hAnsi="宋体" w:cs="宋体" w:eastAsia="宋体" w:hint="default"/>
                <w:sz w:val="18"/>
                <w:szCs w:val="18"/>
              </w:rPr>
            </w:pPr>
            <w:r>
              <w:rPr>
                <w:rFonts w:ascii="宋体"/>
                <w:sz w:val="18"/>
              </w:rPr>
              <w:t>3,423,227.89</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0"/>
              <w:jc w:val="right"/>
              <w:rPr>
                <w:rFonts w:ascii="宋体" w:hAnsi="宋体" w:cs="宋体" w:eastAsia="宋体" w:hint="default"/>
                <w:sz w:val="18"/>
                <w:szCs w:val="18"/>
              </w:rPr>
            </w:pPr>
            <w:r>
              <w:rPr>
                <w:rFonts w:ascii="宋体"/>
                <w:spacing w:val="-1"/>
                <w:sz w:val="18"/>
              </w:rPr>
              <w:t>666,357.55</w:t>
            </w:r>
          </w:p>
        </w:tc>
      </w:tr>
      <w:tr>
        <w:trPr>
          <w:trHeight w:val="607" w:hRule="exact"/>
        </w:trPr>
        <w:tc>
          <w:tcPr>
            <w:tcW w:w="2343"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64"/>
              <w:ind w:left="53" w:right="51"/>
              <w:jc w:val="left"/>
              <w:rPr>
                <w:rFonts w:ascii="宋体" w:hAnsi="宋体" w:cs="宋体" w:eastAsia="宋体" w:hint="default"/>
                <w:sz w:val="18"/>
                <w:szCs w:val="18"/>
              </w:rPr>
            </w:pPr>
            <w:r>
              <w:rPr>
                <w:rFonts w:ascii="宋体" w:hAnsi="宋体" w:cs="宋体" w:eastAsia="宋体" w:hint="default"/>
                <w:spacing w:val="5"/>
                <w:sz w:val="18"/>
                <w:szCs w:val="18"/>
              </w:rPr>
              <w:t>浙江万马专用线缆科技有限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8"/>
              <w:jc w:val="right"/>
              <w:rPr>
                <w:rFonts w:ascii="宋体" w:hAnsi="宋体" w:cs="宋体" w:eastAsia="宋体" w:hint="default"/>
                <w:sz w:val="18"/>
                <w:szCs w:val="18"/>
              </w:rPr>
            </w:pPr>
            <w:r>
              <w:rPr>
                <w:rFonts w:ascii="宋体"/>
                <w:spacing w:val="-1"/>
                <w:sz w:val="18"/>
              </w:rPr>
              <w:t>175,431,342.66</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7"/>
              <w:jc w:val="right"/>
              <w:rPr>
                <w:rFonts w:ascii="宋体" w:hAnsi="宋体" w:cs="宋体" w:eastAsia="宋体" w:hint="default"/>
                <w:sz w:val="18"/>
                <w:szCs w:val="18"/>
              </w:rPr>
            </w:pPr>
            <w:r>
              <w:rPr>
                <w:rFonts w:ascii="宋体"/>
                <w:spacing w:val="-1"/>
                <w:sz w:val="18"/>
              </w:rPr>
              <w:t>7,621,603.98</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9"/>
              <w:jc w:val="right"/>
              <w:rPr>
                <w:rFonts w:ascii="宋体" w:hAnsi="宋体" w:cs="宋体" w:eastAsia="宋体" w:hint="default"/>
                <w:sz w:val="18"/>
                <w:szCs w:val="18"/>
              </w:rPr>
            </w:pPr>
            <w:r>
              <w:rPr>
                <w:rFonts w:ascii="宋体"/>
                <w:spacing w:val="-1"/>
                <w:sz w:val="18"/>
              </w:rPr>
              <w:t>7,621,603.98</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7"/>
              <w:jc w:val="right"/>
              <w:rPr>
                <w:rFonts w:ascii="宋体" w:hAnsi="宋体" w:cs="宋体" w:eastAsia="宋体" w:hint="default"/>
                <w:sz w:val="18"/>
                <w:szCs w:val="18"/>
              </w:rPr>
            </w:pPr>
            <w:r>
              <w:rPr>
                <w:rFonts w:ascii="宋体"/>
                <w:spacing w:val="-1"/>
                <w:sz w:val="18"/>
              </w:rPr>
              <w:t>8,139,379.53</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9"/>
              <w:jc w:val="right"/>
              <w:rPr>
                <w:rFonts w:ascii="宋体" w:hAnsi="宋体" w:cs="宋体" w:eastAsia="宋体" w:hint="default"/>
                <w:sz w:val="18"/>
                <w:szCs w:val="18"/>
              </w:rPr>
            </w:pPr>
            <w:r>
              <w:rPr>
                <w:rFonts w:ascii="宋体"/>
                <w:spacing w:val="-1"/>
                <w:sz w:val="18"/>
              </w:rPr>
              <w:t>93,011,087.61</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106" w:right="0"/>
              <w:jc w:val="center"/>
              <w:rPr>
                <w:rFonts w:ascii="宋体" w:hAnsi="宋体" w:cs="宋体" w:eastAsia="宋体" w:hint="default"/>
                <w:sz w:val="18"/>
                <w:szCs w:val="18"/>
              </w:rPr>
            </w:pPr>
            <w:r>
              <w:rPr>
                <w:rFonts w:ascii="宋体"/>
                <w:sz w:val="18"/>
              </w:rPr>
              <w:t>3,874,228.83</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158" w:right="0"/>
              <w:jc w:val="left"/>
              <w:rPr>
                <w:rFonts w:ascii="宋体" w:hAnsi="宋体" w:cs="宋体" w:eastAsia="宋体" w:hint="default"/>
                <w:sz w:val="18"/>
                <w:szCs w:val="18"/>
              </w:rPr>
            </w:pPr>
            <w:r>
              <w:rPr>
                <w:rFonts w:ascii="宋体"/>
                <w:sz w:val="18"/>
              </w:rPr>
              <w:t>3,874,228.83</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-14,391,718.52</w:t>
            </w:r>
          </w:p>
        </w:tc>
      </w:tr>
      <w:tr>
        <w:trPr>
          <w:trHeight w:val="619" w:hRule="exact"/>
        </w:trPr>
        <w:tc>
          <w:tcPr>
            <w:tcW w:w="2343"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64"/>
              <w:ind w:left="53" w:right="51"/>
              <w:jc w:val="left"/>
              <w:rPr>
                <w:rFonts w:ascii="宋体" w:hAnsi="宋体" w:cs="宋体" w:eastAsia="宋体" w:hint="default"/>
                <w:sz w:val="18"/>
                <w:szCs w:val="18"/>
              </w:rPr>
            </w:pPr>
            <w:r>
              <w:rPr>
                <w:rFonts w:ascii="宋体" w:hAnsi="宋体" w:cs="宋体" w:eastAsia="宋体" w:hint="default"/>
                <w:spacing w:val="5"/>
                <w:sz w:val="18"/>
                <w:szCs w:val="18"/>
              </w:rPr>
              <w:t>万马联合新能源投资有限公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496" w:type="dxa"/>
            <w:tcBorders>
              <w:top w:val="single" w:sz="2" w:space="0" w:color="000000"/>
              <w:left w:val="single" w:sz="2" w:space="0" w:color="000000"/>
              <w:bottom w:val="single" w:sz="12" w:space="0" w:color="000000"/>
              <w:right w:val="single" w:sz="2" w:space="0" w:color="000000"/>
            </w:tcBorders>
          </w:tcPr>
          <w:p>
            <w:pPr/>
          </w:p>
        </w:tc>
        <w:tc>
          <w:tcPr>
            <w:tcW w:w="1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49"/>
              <w:jc w:val="right"/>
              <w:rPr>
                <w:rFonts w:ascii="宋体" w:hAnsi="宋体" w:cs="宋体" w:eastAsia="宋体" w:hint="default"/>
                <w:sz w:val="18"/>
                <w:szCs w:val="18"/>
              </w:rPr>
            </w:pPr>
            <w:r>
              <w:rPr>
                <w:rFonts w:ascii="宋体"/>
                <w:spacing w:val="-1"/>
                <w:sz w:val="18"/>
              </w:rPr>
              <w:t>-327,073.37</w:t>
            </w:r>
          </w:p>
        </w:tc>
        <w:tc>
          <w:tcPr>
            <w:tcW w:w="1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49"/>
              <w:jc w:val="right"/>
              <w:rPr>
                <w:rFonts w:ascii="宋体" w:hAnsi="宋体" w:cs="宋体" w:eastAsia="宋体" w:hint="default"/>
                <w:sz w:val="18"/>
                <w:szCs w:val="18"/>
              </w:rPr>
            </w:pPr>
            <w:r>
              <w:rPr>
                <w:rFonts w:ascii="宋体"/>
                <w:spacing w:val="-1"/>
                <w:sz w:val="18"/>
              </w:rPr>
              <w:t>-327,073.37</w:t>
            </w:r>
          </w:p>
        </w:tc>
        <w:tc>
          <w:tcPr>
            <w:tcW w:w="1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49"/>
              <w:jc w:val="right"/>
              <w:rPr>
                <w:rFonts w:ascii="宋体" w:hAnsi="宋体" w:cs="宋体" w:eastAsia="宋体" w:hint="default"/>
                <w:sz w:val="18"/>
                <w:szCs w:val="18"/>
              </w:rPr>
            </w:pPr>
            <w:r>
              <w:rPr>
                <w:rFonts w:ascii="宋体"/>
                <w:spacing w:val="-1"/>
                <w:sz w:val="18"/>
              </w:rPr>
              <w:t>-114,660.56</w:t>
            </w:r>
          </w:p>
        </w:tc>
        <w:tc>
          <w:tcPr>
            <w:tcW w:w="1531" w:type="dxa"/>
            <w:tcBorders>
              <w:top w:val="single" w:sz="2" w:space="0" w:color="000000"/>
              <w:left w:val="single" w:sz="2" w:space="0" w:color="000000"/>
              <w:bottom w:val="single" w:sz="12" w:space="0" w:color="000000"/>
              <w:right w:val="single" w:sz="2" w:space="0" w:color="000000"/>
            </w:tcBorders>
          </w:tcPr>
          <w:p>
            <w:pPr/>
          </w:p>
        </w:tc>
        <w:tc>
          <w:tcPr>
            <w:tcW w:w="1296" w:type="dxa"/>
            <w:tcBorders>
              <w:top w:val="single" w:sz="2" w:space="0" w:color="000000"/>
              <w:left w:val="single" w:sz="2" w:space="0" w:color="000000"/>
              <w:bottom w:val="single" w:sz="12" w:space="0" w:color="000000"/>
              <w:right w:val="single" w:sz="2" w:space="0" w:color="000000"/>
            </w:tcBorders>
          </w:tcPr>
          <w:p>
            <w:pPr/>
          </w:p>
        </w:tc>
        <w:tc>
          <w:tcPr>
            <w:tcW w:w="1296" w:type="dxa"/>
            <w:tcBorders>
              <w:top w:val="single" w:sz="2" w:space="0" w:color="000000"/>
              <w:left w:val="single" w:sz="2" w:space="0" w:color="000000"/>
              <w:bottom w:val="single" w:sz="12" w:space="0" w:color="000000"/>
              <w:right w:val="single" w:sz="2" w:space="0" w:color="000000"/>
            </w:tcBorders>
          </w:tcPr>
          <w:p>
            <w:pPr/>
          </w:p>
        </w:tc>
        <w:tc>
          <w:tcPr>
            <w:tcW w:w="168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6"/>
        <w:ind w:left="544" w:right="544"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145  </w:t>
      </w:r>
      <w:r>
        <w:rPr>
          <w:rFonts w:ascii="宋体" w:hAnsi="宋体" w:cs="宋体" w:eastAsia="宋体" w:hint="default"/>
          <w:spacing w:val="10"/>
          <w:sz w:val="18"/>
          <w:szCs w:val="18"/>
        </w:rPr>
        <w:t>页</w:t>
      </w:r>
      <w:r>
        <w:rPr>
          <w:rFonts w:ascii="Times New Roman" w:hAnsi="Times New Roman" w:cs="Times New Roman" w:eastAsia="Times New Roman" w:hint="default"/>
          <w:spacing w:val="10"/>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7"/>
          <w:footerReference w:type="default" r:id="rId48"/>
          <w:pgSz w:w="16840" w:h="11910" w:orient="landscape"/>
          <w:pgMar w:header="0" w:footer="0" w:top="760" w:bottom="280" w:left="1020" w:right="1020"/>
        </w:sectPr>
      </w:pPr>
    </w:p>
    <w:p>
      <w:pPr>
        <w:spacing w:line="240" w:lineRule="auto" w:before="1"/>
        <w:rPr>
          <w:rFonts w:ascii="宋体" w:hAnsi="宋体" w:cs="宋体" w:eastAsia="宋体" w:hint="default"/>
          <w:sz w:val="18"/>
          <w:szCs w:val="18"/>
        </w:rPr>
      </w:pPr>
    </w:p>
    <w:p>
      <w:pPr>
        <w:pStyle w:val="BodyText"/>
        <w:spacing w:line="400" w:lineRule="auto"/>
        <w:ind w:left="680" w:right="2829" w:hanging="8"/>
        <w:jc w:val="left"/>
      </w:pPr>
      <w:r>
        <w:rPr/>
        <w:t>（4）</w:t>
      </w:r>
      <w:r>
        <w:rPr>
          <w:spacing w:val="28"/>
        </w:rPr>
        <w:t> </w:t>
      </w:r>
      <w:r>
        <w:rPr/>
        <w:t>使用企业集团资产和清偿企业集团债务的重大限制</w:t>
      </w:r>
      <w:r>
        <w:rPr>
          <w:w w:val="100"/>
        </w:rPr>
        <w:t> </w:t>
      </w:r>
      <w:r>
        <w:rPr/>
        <w:t>无。</w:t>
      </w:r>
    </w:p>
    <w:p>
      <w:pPr>
        <w:pStyle w:val="BodyText"/>
        <w:spacing w:line="400" w:lineRule="auto" w:before="44"/>
        <w:ind w:left="680" w:right="892" w:hanging="8"/>
        <w:jc w:val="left"/>
      </w:pPr>
      <w:r>
        <w:rPr/>
        <w:t>（5）</w:t>
      </w:r>
      <w:r>
        <w:rPr>
          <w:spacing w:val="25"/>
        </w:rPr>
        <w:t> </w:t>
      </w:r>
      <w:r>
        <w:rPr/>
        <w:t>向纳入合并财务报表范围的结构化主体提供的财务支持或其他支持</w:t>
      </w:r>
      <w:r>
        <w:rPr>
          <w:w w:val="100"/>
        </w:rPr>
        <w:t> </w:t>
      </w:r>
      <w:r>
        <w:rPr/>
        <w:t>无。</w:t>
      </w:r>
    </w:p>
    <w:p>
      <w:pPr>
        <w:pStyle w:val="BodyText"/>
        <w:spacing w:line="240" w:lineRule="auto" w:before="44"/>
        <w:ind w:left="808" w:right="892"/>
        <w:jc w:val="left"/>
      </w:pPr>
      <w:r>
        <w:rPr/>
        <w:t>2.</w:t>
      </w:r>
      <w:r>
        <w:rPr>
          <w:spacing w:val="-13"/>
        </w:rPr>
        <w:t> </w:t>
      </w:r>
      <w:r>
        <w:rPr/>
        <w:t>在子公司的所有者权益份额发生变化且仍控制子公司的情况</w:t>
      </w:r>
    </w:p>
    <w:p>
      <w:pPr>
        <w:pStyle w:val="BodyText"/>
        <w:spacing w:line="590" w:lineRule="atLeast" w:before="3"/>
        <w:ind w:left="680" w:right="0" w:firstLine="31"/>
        <w:jc w:val="left"/>
      </w:pPr>
      <w:r>
        <w:rPr/>
        <w:t>（1）在子公司所有者权益份额发生变化的情况说明</w:t>
      </w:r>
      <w:r>
        <w:rPr>
          <w:w w:val="100"/>
        </w:rPr>
        <w:t> </w:t>
      </w:r>
      <w:r>
        <w:rPr>
          <w:spacing w:val="-4"/>
        </w:rPr>
        <w:t>为稳定和激励本公司之控股子公司浙江万马专用线缆科技有限公司经营管理团队，本</w:t>
      </w:r>
    </w:p>
    <w:p>
      <w:pPr>
        <w:pStyle w:val="BodyText"/>
        <w:spacing w:line="237" w:lineRule="auto" w:before="0"/>
        <w:ind w:left="241" w:right="297"/>
        <w:jc w:val="both"/>
      </w:pPr>
      <w:r>
        <w:rPr/>
        <w:t>公司于2015</w:t>
      </w:r>
      <w:r>
        <w:rPr>
          <w:spacing w:val="11"/>
        </w:rPr>
        <w:t> </w:t>
      </w:r>
      <w:r>
        <w:rPr/>
        <w:t>年6月25</w:t>
      </w:r>
      <w:r>
        <w:rPr>
          <w:spacing w:val="15"/>
        </w:rPr>
        <w:t> </w:t>
      </w:r>
      <w:r>
        <w:rPr>
          <w:spacing w:val="-4"/>
        </w:rPr>
        <w:t>日将其持有的1,080,000股，转让给陈铮、高彦学等8</w:t>
      </w:r>
      <w:r>
        <w:rPr>
          <w:spacing w:val="11"/>
        </w:rPr>
        <w:t> </w:t>
      </w:r>
      <w:r>
        <w:rPr>
          <w:spacing w:val="-6"/>
        </w:rPr>
        <w:t>位自然人。股</w:t>
      </w:r>
      <w:r>
        <w:rPr>
          <w:spacing w:val="-105"/>
        </w:rPr>
        <w:t> </w:t>
      </w:r>
      <w:r>
        <w:rPr>
          <w:spacing w:val="-105"/>
        </w:rPr>
      </w:r>
      <w:r>
        <w:rPr>
          <w:spacing w:val="-4"/>
        </w:rPr>
        <w:t>权转让之后，浙江万马专用线缆科技有限公司注册资本不变，浙江万马股份有限公司持股</w:t>
      </w:r>
      <w:r>
        <w:rPr>
          <w:spacing w:val="-53"/>
        </w:rPr>
        <w:t> </w:t>
      </w:r>
      <w:r>
        <w:rPr>
          <w:spacing w:val="-53"/>
        </w:rPr>
      </w:r>
      <w:r>
        <w:rPr/>
        <w:t>比例由91.25%减至88.55%。</w:t>
      </w:r>
    </w:p>
    <w:p>
      <w:pPr>
        <w:spacing w:line="240" w:lineRule="auto" w:before="6"/>
        <w:rPr>
          <w:rFonts w:ascii="宋体" w:hAnsi="宋体" w:cs="宋体" w:eastAsia="宋体" w:hint="default"/>
          <w:sz w:val="22"/>
          <w:szCs w:val="22"/>
        </w:rPr>
      </w:pPr>
    </w:p>
    <w:p>
      <w:pPr>
        <w:pStyle w:val="Heading3"/>
        <w:spacing w:line="240" w:lineRule="auto" w:before="0"/>
        <w:ind w:left="721" w:right="892"/>
        <w:jc w:val="left"/>
      </w:pPr>
      <w:r>
        <w:rPr/>
        <w:t>（2）交易对于少数股东权益及归属于母公司所有者权益的影响</w:t>
      </w:r>
    </w:p>
    <w:p>
      <w:pPr>
        <w:spacing w:line="240" w:lineRule="auto" w:before="9"/>
        <w:rPr>
          <w:rFonts w:ascii="宋体" w:hAnsi="宋体" w:cs="宋体" w:eastAsia="宋体" w:hint="default"/>
          <w:sz w:val="23"/>
          <w:szCs w:val="23"/>
        </w:rPr>
      </w:pPr>
    </w:p>
    <w:p>
      <w:pPr>
        <w:spacing w:before="0"/>
        <w:ind w:left="0" w:right="29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5"/>
          <w:szCs w:val="5"/>
        </w:rPr>
      </w:pPr>
    </w:p>
    <w:tbl>
      <w:tblPr>
        <w:tblW w:w="0" w:type="auto"/>
        <w:jc w:val="left"/>
        <w:tblInd w:w="236" w:type="dxa"/>
        <w:tblLayout w:type="fixed"/>
        <w:tblCellMar>
          <w:top w:w="0" w:type="dxa"/>
          <w:left w:w="0" w:type="dxa"/>
          <w:bottom w:w="0" w:type="dxa"/>
          <w:right w:w="0" w:type="dxa"/>
        </w:tblCellMar>
        <w:tblLook w:val="01E0"/>
      </w:tblPr>
      <w:tblGrid>
        <w:gridCol w:w="4340"/>
        <w:gridCol w:w="4340"/>
      </w:tblGrid>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3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1,001,781.00</w:t>
            </w: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85,121.00</w:t>
            </w: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1,086,902.00</w:t>
            </w: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处置的股权比例计算的子公司净资产份额</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1,086,902.00</w:t>
            </w: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3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3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340" w:type="dxa"/>
            <w:tcBorders>
              <w:top w:val="single" w:sz="4" w:space="0" w:color="000000"/>
              <w:left w:val="single" w:sz="4" w:space="0" w:color="000000"/>
              <w:bottom w:val="single" w:sz="4" w:space="0" w:color="000000"/>
              <w:right w:val="single" w:sz="4" w:space="0" w:color="000000"/>
            </w:tcBorders>
          </w:tcPr>
          <w:p>
            <w:pPr/>
          </w:p>
        </w:tc>
      </w:tr>
    </w:tbl>
    <w:p>
      <w:pPr>
        <w:spacing w:before="11"/>
        <w:ind w:left="241" w:right="282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before="0"/>
        <w:ind w:left="808" w:right="2829"/>
        <w:jc w:val="left"/>
      </w:pPr>
      <w:r>
        <w:rPr/>
        <w:t>3.</w:t>
      </w:r>
      <w:r>
        <w:rPr>
          <w:spacing w:val="-5"/>
        </w:rPr>
        <w:t> </w:t>
      </w:r>
      <w:r>
        <w:rPr/>
        <w:t>在合营企业或联营企业中的权益</w:t>
      </w:r>
    </w:p>
    <w:p>
      <w:pPr>
        <w:pStyle w:val="BodyText"/>
        <w:spacing w:line="240" w:lineRule="auto" w:before="192"/>
        <w:ind w:left="666" w:right="2829"/>
        <w:jc w:val="left"/>
      </w:pPr>
      <w:r>
        <w:rPr/>
        <w:t>（1）</w:t>
      </w:r>
      <w:r>
        <w:rPr>
          <w:spacing w:val="5"/>
        </w:rPr>
        <w:t> </w:t>
      </w:r>
      <w:r>
        <w:rPr/>
        <w:t>重要的合营企业或联营企业</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10"/>
        <w:gridCol w:w="1134"/>
        <w:gridCol w:w="1134"/>
        <w:gridCol w:w="1842"/>
        <w:gridCol w:w="707"/>
        <w:gridCol w:w="569"/>
        <w:gridCol w:w="1527"/>
      </w:tblGrid>
      <w:tr>
        <w:trPr>
          <w:trHeight w:val="415" w:hRule="exact"/>
        </w:trPr>
        <w:tc>
          <w:tcPr>
            <w:tcW w:w="1810"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53" w:right="43"/>
              <w:jc w:val="left"/>
              <w:rPr>
                <w:rFonts w:ascii="宋体" w:hAnsi="宋体" w:cs="宋体" w:eastAsia="宋体" w:hint="default"/>
                <w:sz w:val="18"/>
                <w:szCs w:val="18"/>
              </w:rPr>
            </w:pPr>
            <w:r>
              <w:rPr>
                <w:rFonts w:ascii="宋体" w:hAnsi="宋体" w:cs="宋体" w:eastAsia="宋体" w:hint="default"/>
                <w:b/>
                <w:bCs/>
                <w:spacing w:val="9"/>
                <w:sz w:val="18"/>
                <w:szCs w:val="18"/>
              </w:rPr>
              <w:t>合营企业或联营企业</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4"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842"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14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527" w:type="dxa"/>
            <w:vMerge w:val="restart"/>
            <w:tcBorders>
              <w:top w:val="single" w:sz="12" w:space="0" w:color="000000"/>
              <w:left w:val="single" w:sz="2" w:space="0" w:color="000000"/>
              <w:right w:val="nil" w:sz="6" w:space="0" w:color="auto"/>
            </w:tcBorders>
          </w:tcPr>
          <w:p>
            <w:pPr>
              <w:pStyle w:val="TableParagraph"/>
              <w:spacing w:line="237" w:lineRule="auto" w:before="23"/>
              <w:ind w:left="129" w:right="128"/>
              <w:jc w:val="center"/>
              <w:rPr>
                <w:rFonts w:ascii="宋体" w:hAnsi="宋体" w:cs="宋体" w:eastAsia="宋体" w:hint="default"/>
                <w:sz w:val="18"/>
                <w:szCs w:val="18"/>
              </w:rPr>
            </w:pPr>
            <w:r>
              <w:rPr>
                <w:rFonts w:ascii="宋体" w:hAnsi="宋体" w:cs="宋体" w:eastAsia="宋体" w:hint="default"/>
                <w:b/>
                <w:bCs/>
                <w:sz w:val="18"/>
                <w:szCs w:val="18"/>
              </w:rPr>
              <w:t>对合营企业或联</w:t>
            </w:r>
            <w:r>
              <w:rPr>
                <w:rFonts w:ascii="宋体" w:hAnsi="宋体" w:cs="宋体" w:eastAsia="宋体" w:hint="default"/>
                <w:b/>
                <w:bCs/>
                <w:w w:val="99"/>
                <w:sz w:val="18"/>
                <w:szCs w:val="18"/>
              </w:rPr>
              <w:t> </w:t>
            </w:r>
            <w:r>
              <w:rPr>
                <w:rFonts w:ascii="宋体" w:hAnsi="宋体" w:cs="宋体" w:eastAsia="宋体" w:hint="default"/>
                <w:b/>
                <w:bCs/>
                <w:sz w:val="18"/>
                <w:szCs w:val="18"/>
              </w:rPr>
              <w:t>营企业投资的会</w:t>
            </w:r>
            <w:r>
              <w:rPr>
                <w:rFonts w:ascii="宋体" w:hAnsi="宋体" w:cs="宋体" w:eastAsia="宋体" w:hint="default"/>
                <w:b/>
                <w:bCs/>
                <w:w w:val="99"/>
                <w:sz w:val="18"/>
                <w:szCs w:val="18"/>
              </w:rPr>
              <w:t> </w:t>
            </w:r>
            <w:r>
              <w:rPr>
                <w:rFonts w:ascii="宋体" w:hAnsi="宋体" w:cs="宋体" w:eastAsia="宋体" w:hint="default"/>
                <w:b/>
                <w:bCs/>
                <w:sz w:val="18"/>
                <w:szCs w:val="18"/>
              </w:rPr>
              <w:t>计处理方法</w:t>
            </w:r>
            <w:r>
              <w:rPr>
                <w:rFonts w:ascii="宋体" w:hAnsi="宋体" w:cs="宋体" w:eastAsia="宋体" w:hint="default"/>
                <w:sz w:val="18"/>
                <w:szCs w:val="18"/>
              </w:rPr>
            </w:r>
          </w:p>
        </w:tc>
      </w:tr>
      <w:tr>
        <w:trPr>
          <w:trHeight w:val="402" w:hRule="exact"/>
        </w:trPr>
        <w:tc>
          <w:tcPr>
            <w:tcW w:w="1810" w:type="dxa"/>
            <w:vMerge/>
            <w:tcBorders>
              <w:left w:val="nil" w:sz="6" w:space="0" w:color="auto"/>
              <w:bottom w:val="single" w:sz="2" w:space="0" w:color="000000"/>
              <w:right w:val="single" w:sz="2" w:space="0" w:color="000000"/>
            </w:tcBorders>
          </w:tcPr>
          <w:p>
            <w:pPr/>
          </w:p>
        </w:tc>
        <w:tc>
          <w:tcPr>
            <w:tcW w:w="1134" w:type="dxa"/>
            <w:vMerge/>
            <w:tcBorders>
              <w:left w:val="single" w:sz="2" w:space="0" w:color="000000"/>
              <w:bottom w:val="single" w:sz="2" w:space="0" w:color="000000"/>
              <w:right w:val="single" w:sz="2" w:space="0" w:color="000000"/>
            </w:tcBorders>
          </w:tcPr>
          <w:p>
            <w:pPr/>
          </w:p>
        </w:tc>
        <w:tc>
          <w:tcPr>
            <w:tcW w:w="1134" w:type="dxa"/>
            <w:vMerge/>
            <w:tcBorders>
              <w:left w:val="single" w:sz="2" w:space="0" w:color="000000"/>
              <w:bottom w:val="single" w:sz="2" w:space="0" w:color="000000"/>
              <w:right w:val="single" w:sz="2" w:space="0" w:color="000000"/>
            </w:tcBorders>
          </w:tcPr>
          <w:p>
            <w:pPr/>
          </w:p>
        </w:tc>
        <w:tc>
          <w:tcPr>
            <w:tcW w:w="1842" w:type="dxa"/>
            <w:vMerge/>
            <w:tcBorders>
              <w:left w:val="single" w:sz="2" w:space="0" w:color="000000"/>
              <w:bottom w:val="single" w:sz="2" w:space="0" w:color="000000"/>
              <w:right w:val="single" w:sz="2" w:space="0" w:color="000000"/>
            </w:tcBorders>
          </w:tcPr>
          <w:p>
            <w:pP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527" w:type="dxa"/>
            <w:vMerge/>
            <w:tcBorders>
              <w:left w:val="single" w:sz="2" w:space="0" w:color="000000"/>
              <w:bottom w:val="single" w:sz="2" w:space="0" w:color="000000"/>
              <w:right w:val="nil" w:sz="6" w:space="0" w:color="auto"/>
            </w:tcBorders>
          </w:tcPr>
          <w:p>
            <w:pPr/>
          </w:p>
        </w:tc>
      </w:tr>
      <w:tr>
        <w:trPr>
          <w:trHeight w:val="552" w:hRule="exact"/>
        </w:trPr>
        <w:tc>
          <w:tcPr>
            <w:tcW w:w="1810"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53" w:right="50"/>
              <w:jc w:val="left"/>
              <w:rPr>
                <w:rFonts w:ascii="宋体" w:hAnsi="宋体" w:cs="宋体" w:eastAsia="宋体" w:hint="default"/>
                <w:sz w:val="18"/>
                <w:szCs w:val="18"/>
              </w:rPr>
            </w:pPr>
            <w:r>
              <w:rPr>
                <w:rFonts w:ascii="宋体" w:hAnsi="宋体" w:cs="宋体" w:eastAsia="宋体" w:hint="default"/>
                <w:spacing w:val="8"/>
                <w:sz w:val="18"/>
                <w:szCs w:val="18"/>
              </w:rPr>
              <w:t>浙江电腾云光伏科技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04"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05"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79" w:right="0"/>
              <w:jc w:val="left"/>
              <w:rPr>
                <w:rFonts w:ascii="宋体" w:hAnsi="宋体" w:cs="宋体" w:eastAsia="宋体" w:hint="default"/>
                <w:sz w:val="18"/>
                <w:szCs w:val="18"/>
              </w:rPr>
            </w:pPr>
            <w:r>
              <w:rPr>
                <w:rFonts w:ascii="宋体" w:hAnsi="宋体" w:cs="宋体" w:eastAsia="宋体" w:hint="default"/>
                <w:sz w:val="18"/>
                <w:szCs w:val="18"/>
              </w:rPr>
              <w:t>光伏领域开发</w:t>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49.00</w:t>
            </w:r>
          </w:p>
        </w:tc>
        <w:tc>
          <w:tcPr>
            <w:tcW w:w="569"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564" w:hRule="exact"/>
        </w:trPr>
        <w:tc>
          <w:tcPr>
            <w:tcW w:w="1810"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7"/>
              <w:ind w:left="53" w:right="50"/>
              <w:jc w:val="left"/>
              <w:rPr>
                <w:rFonts w:ascii="宋体" w:hAnsi="宋体" w:cs="宋体" w:eastAsia="宋体" w:hint="default"/>
                <w:sz w:val="18"/>
                <w:szCs w:val="18"/>
              </w:rPr>
            </w:pPr>
            <w:r>
              <w:rPr>
                <w:rFonts w:ascii="宋体" w:hAnsi="宋体" w:cs="宋体" w:eastAsia="宋体" w:hint="default"/>
                <w:spacing w:val="8"/>
                <w:sz w:val="18"/>
                <w:szCs w:val="18"/>
              </w:rPr>
              <w:t>山东万恩新能源科技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204"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205"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7"/>
              <w:ind w:left="50" w:right="49" w:firstLine="57"/>
              <w:jc w:val="left"/>
              <w:rPr>
                <w:rFonts w:ascii="宋体" w:hAnsi="宋体" w:cs="宋体" w:eastAsia="宋体" w:hint="default"/>
                <w:sz w:val="18"/>
                <w:szCs w:val="18"/>
              </w:rPr>
            </w:pPr>
            <w:r>
              <w:rPr>
                <w:rFonts w:ascii="宋体" w:hAnsi="宋体" w:cs="宋体" w:eastAsia="宋体" w:hint="default"/>
                <w:sz w:val="18"/>
                <w:szCs w:val="18"/>
              </w:rPr>
              <w:t>电动车充电设备及设 </w:t>
            </w:r>
            <w:r>
              <w:rPr>
                <w:rFonts w:ascii="宋体" w:hAnsi="宋体" w:cs="宋体" w:eastAsia="宋体" w:hint="default"/>
                <w:spacing w:val="-7"/>
                <w:sz w:val="18"/>
                <w:szCs w:val="18"/>
              </w:rPr>
              <w:t>施的设计、研发、销售</w:t>
            </w:r>
          </w:p>
        </w:tc>
        <w:tc>
          <w:tcPr>
            <w:tcW w:w="7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31.00</w:t>
            </w:r>
          </w:p>
        </w:tc>
        <w:tc>
          <w:tcPr>
            <w:tcW w:w="569" w:type="dxa"/>
            <w:tcBorders>
              <w:top w:val="single" w:sz="2" w:space="0" w:color="000000"/>
              <w:left w:val="single" w:sz="2" w:space="0" w:color="000000"/>
              <w:bottom w:val="single" w:sz="12" w:space="0" w:color="000000"/>
              <w:right w:val="single" w:sz="2" w:space="0" w:color="000000"/>
            </w:tcBorders>
          </w:tcPr>
          <w:p>
            <w:pP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sz w:val="9"/>
          <w:szCs w:val="9"/>
        </w:rPr>
      </w:pPr>
    </w:p>
    <w:p>
      <w:pPr>
        <w:pStyle w:val="BodyText"/>
        <w:spacing w:line="400" w:lineRule="auto"/>
        <w:ind w:left="680" w:right="4618" w:hanging="15"/>
        <w:jc w:val="left"/>
      </w:pPr>
      <w:r>
        <w:rPr/>
        <w:t>（2）</w:t>
      </w:r>
      <w:r>
        <w:rPr>
          <w:spacing w:val="6"/>
        </w:rPr>
        <w:t> </w:t>
      </w:r>
      <w:r>
        <w:rPr/>
        <w:t>重要的合营企业的主要财务信息</w:t>
      </w:r>
      <w:r>
        <w:rPr>
          <w:w w:val="100"/>
        </w:rPr>
        <w:t> </w:t>
      </w:r>
      <w:r>
        <w:rPr/>
        <w:t>无。</w:t>
      </w:r>
    </w:p>
    <w:p>
      <w:pPr>
        <w:pStyle w:val="BodyText"/>
        <w:spacing w:line="240" w:lineRule="auto" w:before="44"/>
        <w:ind w:left="666" w:right="2829"/>
        <w:jc w:val="left"/>
      </w:pPr>
      <w:r>
        <w:rPr/>
        <w:t>（3）</w:t>
      </w:r>
      <w:r>
        <w:rPr>
          <w:spacing w:val="5"/>
        </w:rPr>
        <w:t> </w:t>
      </w:r>
      <w:r>
        <w:rPr/>
        <w:t>重要的联营企业的主要财务信息</w:t>
      </w:r>
    </w:p>
    <w:p>
      <w:pPr>
        <w:spacing w:after="0" w:line="240" w:lineRule="auto"/>
        <w:jc w:val="left"/>
        <w:sectPr>
          <w:footerReference w:type="default" r:id="rId49"/>
          <w:pgSz w:w="11910" w:h="16840"/>
          <w:pgMar w:footer="873" w:header="0" w:top="1440" w:bottom="1060" w:left="1460" w:right="1400"/>
          <w:pgNumType w:start="146"/>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535"/>
        <w:gridCol w:w="2064"/>
        <w:gridCol w:w="2064"/>
        <w:gridCol w:w="2060"/>
      </w:tblGrid>
      <w:tr>
        <w:trPr>
          <w:trHeight w:val="565"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1115"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pacing w:val="-5"/>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60"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938" w:right="166" w:hanging="766"/>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宋体" w:hAnsi="宋体" w:cs="宋体" w:eastAsia="宋体" w:hint="default"/>
                <w:b/>
                <w:bCs/>
                <w:spacing w:val="-4"/>
                <w:sz w:val="18"/>
                <w:szCs w:val="18"/>
              </w:rPr>
              <w:t> </w:t>
            </w:r>
            <w:r>
              <w:rPr>
                <w:rFonts w:ascii="宋体" w:hAnsi="宋体" w:cs="宋体" w:eastAsia="宋体" w:hint="default"/>
                <w:b/>
                <w:bCs/>
                <w:sz w:val="18"/>
                <w:szCs w:val="18"/>
              </w:rPr>
              <w:t>上年发生</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552" w:hRule="exact"/>
        </w:trPr>
        <w:tc>
          <w:tcPr>
            <w:tcW w:w="2535" w:type="dxa"/>
            <w:vMerge/>
            <w:tcBorders>
              <w:left w:val="nil" w:sz="6" w:space="0" w:color="auto"/>
              <w:bottom w:val="single" w:sz="2" w:space="0" w:color="000000"/>
              <w:right w:val="single" w:sz="2" w:space="0" w:color="000000"/>
            </w:tcBorders>
          </w:tcPr>
          <w:p>
            <w:pP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758" w:right="127" w:hanging="629"/>
              <w:jc w:val="left"/>
              <w:rPr>
                <w:rFonts w:ascii="宋体" w:hAnsi="宋体" w:cs="宋体" w:eastAsia="宋体" w:hint="default"/>
                <w:sz w:val="18"/>
                <w:szCs w:val="18"/>
              </w:rPr>
            </w:pPr>
            <w:r>
              <w:rPr>
                <w:rFonts w:ascii="宋体" w:hAnsi="宋体" w:cs="宋体" w:eastAsia="宋体" w:hint="default"/>
                <w:sz w:val="18"/>
                <w:szCs w:val="18"/>
              </w:rPr>
              <w:t>浙江电腾云光伏科技有 限公司</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758" w:right="127" w:hanging="629"/>
              <w:jc w:val="left"/>
              <w:rPr>
                <w:rFonts w:ascii="宋体" w:hAnsi="宋体" w:cs="宋体" w:eastAsia="宋体" w:hint="default"/>
                <w:sz w:val="18"/>
                <w:szCs w:val="18"/>
              </w:rPr>
            </w:pPr>
            <w:r>
              <w:rPr>
                <w:rFonts w:ascii="宋体" w:hAnsi="宋体" w:cs="宋体" w:eastAsia="宋体" w:hint="default"/>
                <w:sz w:val="18"/>
                <w:szCs w:val="18"/>
              </w:rPr>
              <w:t>山东万恩新能源科技有 限公司</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6"/>
              <w:ind w:left="758" w:right="128" w:hanging="632"/>
              <w:jc w:val="left"/>
              <w:rPr>
                <w:rFonts w:ascii="宋体" w:hAnsi="宋体" w:cs="宋体" w:eastAsia="宋体" w:hint="default"/>
                <w:sz w:val="18"/>
                <w:szCs w:val="18"/>
              </w:rPr>
            </w:pPr>
            <w:r>
              <w:rPr>
                <w:rFonts w:ascii="宋体" w:hAnsi="宋体" w:cs="宋体" w:eastAsia="宋体" w:hint="default"/>
                <w:sz w:val="18"/>
                <w:szCs w:val="18"/>
              </w:rPr>
              <w:t>浙江电腾云光伏科技有 限公司</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23,112,889.98</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15,875,226.28</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16,260,796.50</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288"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10,558,791.06</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7,653,377.76</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6,090,762.59</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797,399.41</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49,310,933.79</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675,790.96</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23,910,289.39</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65,186,160.07</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16,936,587.46</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13,847,742.79</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12,819,807.19</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4,684,073.64</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3,060,064.68</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17,328,646.11</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5,296,806.45</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16,907,807.47</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30,148,453.30</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9,980,880.09</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7,002,481.92</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35,037,706.77</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6,955,707.37</w:t>
            </w:r>
          </w:p>
        </w:tc>
      </w:tr>
      <w:tr>
        <w:trPr>
          <w:trHeight w:val="55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108" w:right="103"/>
              <w:jc w:val="left"/>
              <w:rPr>
                <w:rFonts w:ascii="宋体" w:hAnsi="宋体" w:cs="宋体" w:eastAsia="宋体" w:hint="default"/>
                <w:sz w:val="18"/>
                <w:szCs w:val="18"/>
              </w:rPr>
            </w:pPr>
            <w:r>
              <w:rPr>
                <w:rFonts w:ascii="宋体" w:hAnsi="宋体" w:cs="宋体" w:eastAsia="宋体" w:hint="default"/>
                <w:spacing w:val="12"/>
                <w:sz w:val="18"/>
                <w:szCs w:val="18"/>
              </w:rPr>
              <w:t>按持股比例计算的净资产份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3,431,216.14</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1"/>
                <w:sz w:val="18"/>
              </w:rPr>
              <w:t>10,861,689.10</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5"/>
              <w:jc w:val="right"/>
              <w:rPr>
                <w:rFonts w:ascii="宋体" w:hAnsi="宋体" w:cs="宋体" w:eastAsia="宋体" w:hint="default"/>
                <w:sz w:val="18"/>
                <w:szCs w:val="18"/>
              </w:rPr>
            </w:pPr>
            <w:r>
              <w:rPr>
                <w:rFonts w:ascii="宋体"/>
                <w:spacing w:val="-1"/>
                <w:sz w:val="18"/>
              </w:rPr>
              <w:t>3,408,296.61</w:t>
            </w:r>
          </w:p>
        </w:tc>
      </w:tr>
      <w:tr>
        <w:trPr>
          <w:trHeight w:val="55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108" w:right="103"/>
              <w:jc w:val="left"/>
              <w:rPr>
                <w:rFonts w:ascii="宋体" w:hAnsi="宋体" w:cs="宋体" w:eastAsia="宋体" w:hint="default"/>
                <w:sz w:val="18"/>
                <w:szCs w:val="18"/>
              </w:rPr>
            </w:pPr>
            <w:r>
              <w:rPr>
                <w:rFonts w:ascii="宋体" w:hAnsi="宋体" w:cs="宋体" w:eastAsia="宋体" w:hint="default"/>
                <w:spacing w:val="12"/>
                <w:sz w:val="18"/>
                <w:szCs w:val="18"/>
              </w:rPr>
              <w:t>对联营企业权益投资的账面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价值</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3,430,016.14</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7,411,689.58</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5"/>
              <w:jc w:val="right"/>
              <w:rPr>
                <w:rFonts w:ascii="宋体" w:hAnsi="宋体" w:cs="宋体" w:eastAsia="宋体" w:hint="default"/>
                <w:sz w:val="18"/>
                <w:szCs w:val="18"/>
              </w:rPr>
            </w:pPr>
            <w:r>
              <w:rPr>
                <w:rFonts w:ascii="宋体"/>
                <w:spacing w:val="-1"/>
                <w:sz w:val="18"/>
              </w:rPr>
              <w:t>3,407,096.61</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4,445,412.03</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8,464,373.76</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85,649,372.66</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120,752.95</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994,441.98</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-8,528.62</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30,007.17</w:t>
            </w:r>
          </w:p>
        </w:tc>
        <w:tc>
          <w:tcPr>
            <w:tcW w:w="2064" w:type="dxa"/>
            <w:tcBorders>
              <w:top w:val="single" w:sz="2" w:space="0" w:color="000000"/>
              <w:left w:val="single" w:sz="2" w:space="0" w:color="000000"/>
              <w:bottom w:val="single" w:sz="2" w:space="0" w:color="000000"/>
              <w:right w:val="single" w:sz="2" w:space="0" w:color="000000"/>
            </w:tcBorders>
          </w:tcPr>
          <w:p>
            <w:pP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358,569.13</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46,774.55</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-3,017,685.23</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1,075,707.37</w:t>
            </w:r>
          </w:p>
        </w:tc>
      </w:tr>
      <w:tr>
        <w:trPr>
          <w:trHeight w:val="402"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46,774.55</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-3,017,685.23</w:t>
            </w:r>
          </w:p>
        </w:tc>
        <w:tc>
          <w:tcPr>
            <w:tcW w:w="20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1,075,707.37</w:t>
            </w:r>
          </w:p>
        </w:tc>
      </w:tr>
      <w:tr>
        <w:trPr>
          <w:trHeight w:val="563"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5"/>
              <w:ind w:left="108" w:right="103"/>
              <w:jc w:val="left"/>
              <w:rPr>
                <w:rFonts w:ascii="宋体" w:hAnsi="宋体" w:cs="宋体" w:eastAsia="宋体" w:hint="default"/>
                <w:sz w:val="18"/>
                <w:szCs w:val="18"/>
              </w:rPr>
            </w:pPr>
            <w:r>
              <w:rPr>
                <w:rFonts w:ascii="宋体" w:hAnsi="宋体" w:cs="宋体" w:eastAsia="宋体" w:hint="default"/>
                <w:spacing w:val="12"/>
                <w:sz w:val="18"/>
                <w:szCs w:val="18"/>
              </w:rPr>
              <w:t>本年度收到的来自联营企业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的股利</w:t>
            </w:r>
          </w:p>
        </w:tc>
        <w:tc>
          <w:tcPr>
            <w:tcW w:w="2064" w:type="dxa"/>
            <w:tcBorders>
              <w:top w:val="single" w:sz="2" w:space="0" w:color="000000"/>
              <w:left w:val="single" w:sz="2" w:space="0" w:color="000000"/>
              <w:bottom w:val="single" w:sz="12" w:space="0" w:color="000000"/>
              <w:right w:val="single" w:sz="2" w:space="0" w:color="000000"/>
            </w:tcBorders>
          </w:tcPr>
          <w:p>
            <w:pPr/>
          </w:p>
        </w:tc>
        <w:tc>
          <w:tcPr>
            <w:tcW w:w="2064" w:type="dxa"/>
            <w:tcBorders>
              <w:top w:val="single" w:sz="2" w:space="0" w:color="000000"/>
              <w:left w:val="single" w:sz="2" w:space="0" w:color="000000"/>
              <w:bottom w:val="single" w:sz="12" w:space="0" w:color="000000"/>
              <w:right w:val="single" w:sz="2" w:space="0" w:color="000000"/>
            </w:tcBorders>
          </w:tcPr>
          <w:p>
            <w:pPr/>
          </w:p>
        </w:tc>
        <w:tc>
          <w:tcPr>
            <w:tcW w:w="20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（4）</w:t>
      </w:r>
      <w:r>
        <w:rPr>
          <w:spacing w:val="1"/>
        </w:rPr>
        <w:t> </w:t>
      </w:r>
      <w:r>
        <w:rPr/>
        <w:t>不重要的合营企业和联营企业的汇总财务信息</w:t>
      </w:r>
    </w:p>
    <w:p>
      <w:pPr>
        <w:pStyle w:val="BodyText"/>
        <w:spacing w:line="300" w:lineRule="auto" w:before="192"/>
        <w:ind w:left="241" w:right="80" w:firstLine="439"/>
        <w:jc w:val="left"/>
      </w:pPr>
      <w:r>
        <w:rPr/>
        <w:t>2015</w:t>
      </w:r>
      <w:r>
        <w:rPr>
          <w:spacing w:val="-60"/>
        </w:rPr>
        <w:t> </w:t>
      </w:r>
      <w:r>
        <w:rPr/>
        <w:t>年</w:t>
      </w:r>
      <w:r>
        <w:rPr>
          <w:spacing w:val="-57"/>
        </w:rPr>
        <w:t> </w:t>
      </w:r>
      <w:r>
        <w:rPr/>
        <w:t>12</w:t>
      </w:r>
      <w:r>
        <w:rPr>
          <w:spacing w:val="-60"/>
        </w:rPr>
        <w:t> </w:t>
      </w:r>
      <w:r>
        <w:rPr/>
        <w:t>月</w:t>
      </w:r>
      <w:r>
        <w:rPr>
          <w:spacing w:val="-57"/>
        </w:rPr>
        <w:t> </w:t>
      </w:r>
      <w:r>
        <w:rPr/>
        <w:t>4</w:t>
      </w:r>
      <w:r>
        <w:rPr>
          <w:spacing w:val="-57"/>
        </w:rPr>
        <w:t> </w:t>
      </w:r>
      <w:r>
        <w:rPr/>
        <w:t>日，本公司与</w:t>
      </w:r>
      <w:r>
        <w:rPr>
          <w:spacing w:val="-57"/>
        </w:rPr>
        <w:t> </w:t>
      </w:r>
      <w:r>
        <w:rPr/>
        <w:t>IES-SYNERGY</w:t>
      </w:r>
      <w:r>
        <w:rPr>
          <w:spacing w:val="-25"/>
        </w:rPr>
        <w:t> </w:t>
      </w:r>
      <w:r>
        <w:rPr/>
        <w:t>SAS</w:t>
      </w:r>
      <w:r>
        <w:rPr>
          <w:spacing w:val="-57"/>
        </w:rPr>
        <w:t> </w:t>
      </w:r>
      <w:r>
        <w:rPr/>
        <w:t>共同投资设立“浙江万马海立斯新能</w:t>
      </w:r>
      <w:r>
        <w:rPr>
          <w:w w:val="100"/>
        </w:rPr>
        <w:t> </w:t>
      </w:r>
      <w:r>
        <w:rPr/>
        <w:t>源</w:t>
      </w:r>
      <w:r>
        <w:rPr>
          <w:spacing w:val="-55"/>
        </w:rPr>
        <w:t> </w:t>
      </w:r>
      <w:r>
        <w:rPr/>
        <w:t>有</w:t>
      </w:r>
      <w:r>
        <w:rPr>
          <w:spacing w:val="-55"/>
        </w:rPr>
        <w:t> </w:t>
      </w:r>
      <w:r>
        <w:rPr/>
        <w:t>限</w:t>
      </w:r>
      <w:r>
        <w:rPr>
          <w:spacing w:val="-55"/>
        </w:rPr>
        <w:t> </w:t>
      </w:r>
      <w:r>
        <w:rPr/>
        <w:t>公</w:t>
      </w:r>
      <w:r>
        <w:rPr>
          <w:spacing w:val="-55"/>
        </w:rPr>
        <w:t> </w:t>
      </w:r>
      <w:r>
        <w:rPr/>
        <w:t>司</w:t>
      </w:r>
      <w:r>
        <w:rPr>
          <w:spacing w:val="-55"/>
        </w:rPr>
        <w:t> </w:t>
      </w:r>
      <w:r>
        <w:rPr/>
        <w:t>”</w:t>
      </w:r>
      <w:r>
        <w:rPr>
          <w:spacing w:val="-55"/>
        </w:rPr>
        <w:t> </w:t>
      </w:r>
      <w:r>
        <w:rPr/>
        <w:t>，</w:t>
      </w:r>
      <w:r>
        <w:rPr>
          <w:spacing w:val="-55"/>
        </w:rPr>
        <w:t> </w:t>
      </w:r>
      <w:r>
        <w:rPr/>
        <w:t>取</w:t>
      </w:r>
      <w:r>
        <w:rPr>
          <w:spacing w:val="-55"/>
        </w:rPr>
        <w:t> </w:t>
      </w:r>
      <w:r>
        <w:rPr/>
        <w:t>得</w:t>
      </w:r>
      <w:r>
        <w:rPr>
          <w:spacing w:val="-55"/>
        </w:rPr>
        <w:t> </w:t>
      </w:r>
      <w:r>
        <w:rPr/>
        <w:t>杭</w:t>
      </w:r>
      <w:r>
        <w:rPr>
          <w:spacing w:val="-55"/>
        </w:rPr>
        <w:t> </w:t>
      </w:r>
      <w:r>
        <w:rPr/>
        <w:t>州</w:t>
      </w:r>
      <w:r>
        <w:rPr>
          <w:spacing w:val="-55"/>
        </w:rPr>
        <w:t> </w:t>
      </w:r>
      <w:r>
        <w:rPr/>
        <w:t>市</w:t>
      </w:r>
      <w:r>
        <w:rPr>
          <w:spacing w:val="-52"/>
        </w:rPr>
        <w:t> </w:t>
      </w:r>
      <w:r>
        <w:rPr/>
        <w:t>市</w:t>
      </w:r>
      <w:r>
        <w:rPr>
          <w:spacing w:val="-55"/>
        </w:rPr>
        <w:t> </w:t>
      </w:r>
      <w:r>
        <w:rPr/>
        <w:t>场</w:t>
      </w:r>
      <w:r>
        <w:rPr>
          <w:spacing w:val="-55"/>
        </w:rPr>
        <w:t> </w:t>
      </w:r>
      <w:r>
        <w:rPr/>
        <w:t>监</w:t>
      </w:r>
      <w:r>
        <w:rPr>
          <w:spacing w:val="-55"/>
        </w:rPr>
        <w:t> </w:t>
      </w:r>
      <w:r>
        <w:rPr/>
        <w:t>督</w:t>
      </w:r>
      <w:r>
        <w:rPr>
          <w:spacing w:val="-55"/>
        </w:rPr>
        <w:t> </w:t>
      </w:r>
      <w:r>
        <w:rPr/>
        <w:t>管</w:t>
      </w:r>
      <w:r>
        <w:rPr>
          <w:spacing w:val="-55"/>
        </w:rPr>
        <w:t> </w:t>
      </w:r>
      <w:r>
        <w:rPr/>
        <w:t>理</w:t>
      </w:r>
      <w:r>
        <w:rPr>
          <w:spacing w:val="-55"/>
        </w:rPr>
        <w:t> </w:t>
      </w:r>
      <w:r>
        <w:rPr/>
        <w:t>局</w:t>
      </w:r>
      <w:r>
        <w:rPr>
          <w:spacing w:val="-55"/>
        </w:rPr>
        <w:t> </w:t>
      </w:r>
      <w:r>
        <w:rPr/>
        <w:t>颁</w:t>
      </w:r>
      <w:r>
        <w:rPr>
          <w:spacing w:val="-55"/>
        </w:rPr>
        <w:t> </w:t>
      </w:r>
      <w:r>
        <w:rPr/>
        <w:t>发</w:t>
      </w:r>
      <w:r>
        <w:rPr>
          <w:spacing w:val="-55"/>
        </w:rPr>
        <w:t> </w:t>
      </w:r>
      <w:r>
        <w:rPr/>
        <w:t>的</w:t>
      </w:r>
      <w:r>
        <w:rPr>
          <w:spacing w:val="-52"/>
        </w:rPr>
        <w:t> </w:t>
      </w:r>
      <w:r>
        <w:rPr/>
        <w:t>统</w:t>
      </w:r>
      <w:r>
        <w:rPr>
          <w:spacing w:val="-55"/>
        </w:rPr>
        <w:t> </w:t>
      </w:r>
      <w:r>
        <w:rPr/>
        <w:t>一</w:t>
      </w:r>
      <w:r>
        <w:rPr>
          <w:spacing w:val="-55"/>
        </w:rPr>
        <w:t> </w:t>
      </w:r>
      <w:r>
        <w:rPr/>
        <w:t>社</w:t>
      </w:r>
      <w:r>
        <w:rPr>
          <w:spacing w:val="-55"/>
        </w:rPr>
        <w:t> </w:t>
      </w:r>
      <w:r>
        <w:rPr/>
        <w:t>会</w:t>
      </w:r>
      <w:r>
        <w:rPr>
          <w:spacing w:val="-55"/>
        </w:rPr>
        <w:t> </w:t>
      </w:r>
      <w:r>
        <w:rPr/>
        <w:t>信</w:t>
      </w:r>
      <w:r>
        <w:rPr>
          <w:spacing w:val="-55"/>
        </w:rPr>
        <w:t> </w:t>
      </w:r>
      <w:r>
        <w:rPr/>
        <w:t>用</w:t>
      </w:r>
      <w:r>
        <w:rPr>
          <w:spacing w:val="-55"/>
        </w:rPr>
        <w:t> </w:t>
      </w:r>
      <w:r>
        <w:rPr/>
        <w:t>代</w:t>
      </w:r>
      <w:r>
        <w:rPr>
          <w:spacing w:val="-55"/>
        </w:rPr>
        <w:t> </w:t>
      </w:r>
      <w:r>
        <w:rPr/>
        <w:t>码</w:t>
      </w:r>
      <w:r>
        <w:rPr>
          <w:spacing w:val="-52"/>
        </w:rPr>
        <w:t> </w:t>
      </w:r>
      <w:r>
        <w:rPr/>
        <w:t>为</w:t>
      </w:r>
      <w:r>
        <w:rPr>
          <w:spacing w:val="-108"/>
        </w:rPr>
        <w:t> </w:t>
      </w:r>
      <w:r>
        <w:rPr>
          <w:spacing w:val="-108"/>
        </w:rPr>
      </w:r>
      <w:r>
        <w:rPr/>
        <w:t>91330100MA27WDYX33</w:t>
      </w:r>
      <w:r>
        <w:rPr>
          <w:spacing w:val="-41"/>
        </w:rPr>
        <w:t> </w:t>
      </w:r>
      <w:r>
        <w:rPr>
          <w:spacing w:val="5"/>
        </w:rPr>
        <w:t>的营业执照，该公司注册资本</w:t>
      </w:r>
      <w:r>
        <w:rPr>
          <w:spacing w:val="-41"/>
        </w:rPr>
        <w:t> </w:t>
      </w:r>
      <w:r>
        <w:rPr/>
        <w:t>4,000.00</w:t>
      </w:r>
      <w:r>
        <w:rPr>
          <w:spacing w:val="-41"/>
        </w:rPr>
        <w:t> </w:t>
      </w:r>
      <w:r>
        <w:rPr>
          <w:spacing w:val="4"/>
        </w:rPr>
        <w:t>万元；法定代表人：Jean</w:t>
      </w:r>
      <w:r>
        <w:rPr>
          <w:spacing w:val="-93"/>
        </w:rPr>
        <w:t> </w:t>
      </w:r>
      <w:r>
        <w:rPr>
          <w:spacing w:val="-93"/>
        </w:rPr>
      </w:r>
      <w:r>
        <w:rPr/>
        <w:t>Michel</w:t>
      </w:r>
      <w:r>
        <w:rPr>
          <w:spacing w:val="-49"/>
        </w:rPr>
        <w:t> </w:t>
      </w:r>
      <w:r>
        <w:rPr>
          <w:spacing w:val="-4"/>
        </w:rPr>
        <w:t>Cornille；注册地址：杭州市滨江区江陵路</w:t>
      </w:r>
      <w:r>
        <w:rPr>
          <w:spacing w:val="-49"/>
        </w:rPr>
        <w:t> </w:t>
      </w:r>
      <w:r>
        <w:rPr/>
        <w:t>88</w:t>
      </w:r>
      <w:r>
        <w:rPr>
          <w:spacing w:val="-52"/>
        </w:rPr>
        <w:t> </w:t>
      </w:r>
      <w:r>
        <w:rPr/>
        <w:t>号</w:t>
      </w:r>
      <w:r>
        <w:rPr>
          <w:spacing w:val="-49"/>
        </w:rPr>
        <w:t> </w:t>
      </w:r>
      <w:r>
        <w:rPr/>
        <w:t>4</w:t>
      </w:r>
      <w:r>
        <w:rPr>
          <w:spacing w:val="-49"/>
        </w:rPr>
        <w:t> </w:t>
      </w:r>
      <w:r>
        <w:rPr/>
        <w:t>幢</w:t>
      </w:r>
      <w:r>
        <w:rPr>
          <w:spacing w:val="-52"/>
        </w:rPr>
        <w:t> </w:t>
      </w:r>
      <w:r>
        <w:rPr/>
        <w:t>1</w:t>
      </w:r>
      <w:r>
        <w:rPr>
          <w:spacing w:val="-49"/>
        </w:rPr>
        <w:t> </w:t>
      </w:r>
      <w:r>
        <w:rPr>
          <w:spacing w:val="-7"/>
        </w:rPr>
        <w:t>楼、2</w:t>
      </w:r>
      <w:r>
        <w:rPr>
          <w:spacing w:val="-52"/>
        </w:rPr>
        <w:t> </w:t>
      </w:r>
      <w:r>
        <w:rPr>
          <w:spacing w:val="-4"/>
        </w:rPr>
        <w:t>楼；公司经营范围：</w:t>
      </w:r>
      <w:r>
        <w:rPr>
          <w:spacing w:val="-106"/>
        </w:rPr>
        <w:t> </w:t>
      </w:r>
      <w:r>
        <w:rPr>
          <w:spacing w:val="-106"/>
        </w:rPr>
      </w:r>
      <w:r>
        <w:rPr>
          <w:spacing w:val="-7"/>
        </w:rPr>
        <w:t>研发、生产：电动汽车直流充电机、车载充电机；销售自产产品，并提供相关的技术服务、</w:t>
      </w:r>
      <w:r>
        <w:rPr>
          <w:spacing w:val="-37"/>
        </w:rPr>
        <w:t> </w:t>
      </w:r>
      <w:r>
        <w:rPr>
          <w:spacing w:val="-37"/>
        </w:rPr>
      </w:r>
      <w:r>
        <w:rPr>
          <w:spacing w:val="-2"/>
        </w:rPr>
        <w:t>技术咨询。（国家禁止和限制的除外，涉及许可证的凭证经营）（依法须经批准的项目，</w:t>
      </w:r>
      <w:r>
        <w:rPr>
          <w:spacing w:val="-57"/>
        </w:rPr>
        <w:t> </w:t>
      </w:r>
      <w:r>
        <w:rPr>
          <w:spacing w:val="-57"/>
        </w:rPr>
      </w:r>
      <w:r>
        <w:rPr/>
        <w:t>经相关部门批准后方可开展经营活动）。截止</w:t>
      </w:r>
      <w:r>
        <w:rPr>
          <w:spacing w:val="-54"/>
        </w:rPr>
        <w:t> </w:t>
      </w:r>
      <w:r>
        <w:rPr/>
        <w:t>2015</w:t>
      </w:r>
      <w:r>
        <w:rPr>
          <w:spacing w:val="-57"/>
        </w:rPr>
        <w:t> </w:t>
      </w:r>
      <w:r>
        <w:rPr/>
        <w:t>年</w:t>
      </w:r>
      <w:r>
        <w:rPr>
          <w:spacing w:val="-54"/>
        </w:rPr>
        <w:t> </w:t>
      </w:r>
      <w:r>
        <w:rPr/>
        <w:t>12</w:t>
      </w:r>
      <w:r>
        <w:rPr>
          <w:spacing w:val="-54"/>
        </w:rPr>
        <w:t> </w:t>
      </w:r>
      <w:r>
        <w:rPr/>
        <w:t>月</w:t>
      </w:r>
      <w:r>
        <w:rPr>
          <w:spacing w:val="-54"/>
        </w:rPr>
        <w:t> </w:t>
      </w:r>
      <w:r>
        <w:rPr/>
        <w:t>31</w:t>
      </w:r>
      <w:r>
        <w:rPr>
          <w:spacing w:val="-54"/>
        </w:rPr>
        <w:t> </w:t>
      </w:r>
      <w:r>
        <w:rPr/>
        <w:t>日，本公司尚未缴付注册</w:t>
      </w:r>
      <w:r>
        <w:rPr>
          <w:spacing w:val="-107"/>
        </w:rPr>
        <w:t> </w:t>
      </w:r>
      <w:r>
        <w:rPr>
          <w:spacing w:val="-107"/>
        </w:rPr>
      </w:r>
      <w:r>
        <w:rPr/>
        <w:t>资本，浙江万马海立斯新能源有限公司尚未建账。</w:t>
      </w:r>
    </w:p>
    <w:p>
      <w:pPr>
        <w:pStyle w:val="BodyText"/>
        <w:spacing w:line="400" w:lineRule="auto" w:before="137"/>
        <w:ind w:left="680" w:right="1825" w:hanging="15"/>
        <w:jc w:val="left"/>
      </w:pPr>
      <w:r>
        <w:rPr/>
        <w:t>（5）</w:t>
      </w:r>
      <w:r>
        <w:rPr>
          <w:spacing w:val="-1"/>
        </w:rPr>
        <w:t> </w:t>
      </w:r>
      <w:r>
        <w:rPr/>
        <w:t>合营企业或联营企业向公司转移资金能力存在的重大限制</w:t>
      </w:r>
      <w:r>
        <w:rPr>
          <w:w w:val="100"/>
        </w:rPr>
        <w:t> </w:t>
      </w:r>
      <w:r>
        <w:rPr/>
        <w:t>无。</w:t>
      </w:r>
    </w:p>
    <w:p>
      <w:pPr>
        <w:pStyle w:val="BodyText"/>
        <w:spacing w:line="400" w:lineRule="auto" w:before="44"/>
        <w:ind w:left="680" w:right="4120" w:hanging="15"/>
        <w:jc w:val="left"/>
      </w:pPr>
      <w:r>
        <w:rPr/>
        <w:t>（6）</w:t>
      </w:r>
      <w:r>
        <w:rPr>
          <w:spacing w:val="4"/>
        </w:rPr>
        <w:t> </w:t>
      </w:r>
      <w:r>
        <w:rPr/>
        <w:t>合营企业或联营企业发生的超额亏损</w:t>
      </w:r>
      <w:r>
        <w:rPr>
          <w:w w:val="100"/>
        </w:rPr>
        <w:t> </w:t>
      </w:r>
      <w:r>
        <w:rPr/>
        <w:t>无。</w:t>
      </w:r>
    </w:p>
    <w:p>
      <w:pPr>
        <w:spacing w:after="0" w:line="400" w:lineRule="auto"/>
        <w:jc w:val="left"/>
        <w:sectPr>
          <w:pgSz w:w="11910" w:h="16840"/>
          <w:pgMar w:header="0" w:footer="873" w:top="1440" w:bottom="1060" w:left="1460" w:right="1460"/>
        </w:sectPr>
      </w:pPr>
    </w:p>
    <w:p>
      <w:pPr>
        <w:spacing w:line="240" w:lineRule="auto" w:before="1"/>
        <w:rPr>
          <w:rFonts w:ascii="宋体" w:hAnsi="宋体" w:cs="宋体" w:eastAsia="宋体" w:hint="default"/>
          <w:sz w:val="18"/>
          <w:szCs w:val="18"/>
        </w:rPr>
      </w:pPr>
    </w:p>
    <w:p>
      <w:pPr>
        <w:pStyle w:val="BodyText"/>
        <w:spacing w:line="400" w:lineRule="auto"/>
        <w:ind w:left="640" w:right="4300" w:hanging="15"/>
        <w:jc w:val="left"/>
      </w:pPr>
      <w:r>
        <w:rPr/>
        <w:t>（7）</w:t>
      </w:r>
      <w:r>
        <w:rPr>
          <w:spacing w:val="4"/>
        </w:rPr>
        <w:t> </w:t>
      </w:r>
      <w:r>
        <w:rPr/>
        <w:t>与合营企业投资相关的未确认承诺</w:t>
      </w:r>
      <w:r>
        <w:rPr>
          <w:w w:val="100"/>
        </w:rPr>
        <w:t> </w:t>
      </w:r>
      <w:r>
        <w:rPr/>
        <w:t>无。</w:t>
      </w:r>
    </w:p>
    <w:p>
      <w:pPr>
        <w:pStyle w:val="BodyText"/>
        <w:spacing w:line="400" w:lineRule="auto" w:before="44"/>
        <w:ind w:left="640" w:right="3422" w:hanging="15"/>
        <w:jc w:val="left"/>
      </w:pPr>
      <w:r>
        <w:rPr/>
        <w:t>（8）</w:t>
      </w:r>
      <w:r>
        <w:rPr>
          <w:spacing w:val="2"/>
        </w:rPr>
        <w:t> </w:t>
      </w:r>
      <w:r>
        <w:rPr/>
        <w:t>与合营企业或联营企业投资相关的或有负债</w:t>
      </w:r>
      <w:r>
        <w:rPr>
          <w:w w:val="100"/>
        </w:rPr>
        <w:t> </w:t>
      </w:r>
      <w:r>
        <w:rPr/>
        <w:t>无。</w:t>
      </w:r>
    </w:p>
    <w:p>
      <w:pPr>
        <w:pStyle w:val="BodyText"/>
        <w:spacing w:line="400" w:lineRule="auto" w:before="44"/>
        <w:ind w:left="640" w:right="6253" w:firstLine="127"/>
        <w:jc w:val="left"/>
      </w:pPr>
      <w:r>
        <w:rPr/>
        <w:t>4.</w:t>
      </w:r>
      <w:r>
        <w:rPr>
          <w:spacing w:val="-1"/>
        </w:rPr>
        <w:t> </w:t>
      </w:r>
      <w:r>
        <w:rPr/>
        <w:t>重要的共同经营</w:t>
      </w:r>
      <w:r>
        <w:rPr>
          <w:w w:val="100"/>
        </w:rPr>
        <w:t> </w:t>
      </w:r>
      <w:r>
        <w:rPr/>
        <w:t>无。</w:t>
      </w:r>
    </w:p>
    <w:p>
      <w:pPr>
        <w:pStyle w:val="BodyText"/>
        <w:spacing w:line="400" w:lineRule="auto" w:before="44"/>
        <w:ind w:left="640" w:right="4058" w:firstLine="127"/>
        <w:jc w:val="left"/>
      </w:pPr>
      <w:r>
        <w:rPr/>
        <w:t>5.</w:t>
      </w:r>
      <w:r>
        <w:rPr>
          <w:spacing w:val="-6"/>
        </w:rPr>
        <w:t> </w:t>
      </w:r>
      <w:r>
        <w:rPr/>
        <w:t>未纳入合并财务报表范围的结构化主体</w:t>
      </w:r>
      <w:r>
        <w:rPr>
          <w:w w:val="100"/>
        </w:rPr>
        <w:t> </w:t>
      </w:r>
      <w:r>
        <w:rPr/>
        <w:t>无。</w:t>
      </w:r>
    </w:p>
    <w:p>
      <w:pPr>
        <w:pStyle w:val="Heading4"/>
        <w:spacing w:line="240" w:lineRule="auto" w:before="44"/>
        <w:ind w:left="662" w:right="4300"/>
        <w:jc w:val="left"/>
        <w:rPr>
          <w:b w:val="0"/>
          <w:bCs w:val="0"/>
        </w:rPr>
      </w:pPr>
      <w:r>
        <w:rPr/>
        <w:t>九</w:t>
      </w:r>
      <w:r>
        <w:rPr>
          <w:spacing w:val="-71"/>
        </w:rPr>
        <w:t> </w:t>
      </w:r>
      <w:r>
        <w:rPr/>
        <w:t>、</w:t>
      </w:r>
      <w:r>
        <w:rPr>
          <w:spacing w:val="78"/>
        </w:rPr>
        <w:t> </w:t>
      </w:r>
      <w:r>
        <w:rPr/>
        <w:t>与</w:t>
      </w:r>
      <w:r>
        <w:rPr>
          <w:spacing w:val="-71"/>
        </w:rPr>
        <w:t> </w:t>
      </w:r>
      <w:r>
        <w:rPr/>
        <w:t>金</w:t>
      </w:r>
      <w:r>
        <w:rPr>
          <w:spacing w:val="-73"/>
        </w:rPr>
        <w:t> </w:t>
      </w:r>
      <w:r>
        <w:rPr/>
        <w:t>融</w:t>
      </w:r>
      <w:r>
        <w:rPr>
          <w:spacing w:val="-71"/>
        </w:rPr>
        <w:t> </w:t>
      </w:r>
      <w:r>
        <w:rPr/>
        <w:t>工</w:t>
      </w:r>
      <w:r>
        <w:rPr>
          <w:spacing w:val="-71"/>
        </w:rPr>
        <w:t> </w:t>
      </w:r>
      <w:r>
        <w:rPr/>
        <w:t>具</w:t>
      </w:r>
      <w:r>
        <w:rPr>
          <w:spacing w:val="-73"/>
        </w:rPr>
        <w:t> </w:t>
      </w:r>
      <w:r>
        <w:rPr/>
        <w:t>相</w:t>
      </w:r>
      <w:r>
        <w:rPr>
          <w:spacing w:val="-71"/>
        </w:rPr>
        <w:t> </w:t>
      </w:r>
      <w:r>
        <w:rPr/>
        <w:t>关</w:t>
      </w:r>
      <w:r>
        <w:rPr>
          <w:spacing w:val="-71"/>
        </w:rPr>
        <w:t> </w:t>
      </w:r>
      <w:r>
        <w:rPr/>
        <w:t>风</w:t>
      </w:r>
      <w:r>
        <w:rPr>
          <w:spacing w:val="-71"/>
        </w:rPr>
        <w:t> </w:t>
      </w:r>
      <w:r>
        <w:rPr/>
        <w:t>险</w:t>
      </w:r>
      <w:r>
        <w:rPr>
          <w:b w:val="0"/>
          <w:bCs w:val="0"/>
        </w:rPr>
      </w:r>
    </w:p>
    <w:p>
      <w:pPr>
        <w:pStyle w:val="BodyText"/>
        <w:spacing w:line="300" w:lineRule="auto" w:before="192"/>
        <w:ind w:left="201" w:right="0" w:firstLine="439"/>
        <w:jc w:val="left"/>
      </w:pPr>
      <w:r>
        <w:rPr>
          <w:spacing w:val="-2"/>
        </w:rPr>
        <w:t>本集团的主要金融工具包括借款、应收款项、应付款项、远期结售汇、期货合约等，</w:t>
      </w:r>
      <w:r>
        <w:rPr>
          <w:w w:val="100"/>
        </w:rPr>
        <w:t> </w:t>
      </w:r>
      <w:r>
        <w:rPr>
          <w:spacing w:val="-4"/>
        </w:rPr>
        <w:t>各项金融工具的详细情况说明见本附注六。与这些金融工具有关的风险，以及本集团为降</w:t>
      </w:r>
      <w:r>
        <w:rPr>
          <w:spacing w:val="-51"/>
        </w:rPr>
        <w:t> </w:t>
      </w:r>
      <w:r>
        <w:rPr>
          <w:spacing w:val="-51"/>
        </w:rPr>
      </w:r>
      <w:r>
        <w:rPr>
          <w:spacing w:val="-4"/>
        </w:rPr>
        <w:t>低这些风险所采取的风险管理政策如下所述。本集团管理层对这些风险敞口进行管理和监</w:t>
      </w:r>
      <w:r>
        <w:rPr>
          <w:spacing w:val="-51"/>
        </w:rPr>
        <w:t> </w:t>
      </w:r>
      <w:r>
        <w:rPr>
          <w:spacing w:val="-51"/>
        </w:rPr>
      </w:r>
      <w:r>
        <w:rPr/>
        <w:t>控以确保将上述风险控制在限定的范围之内。</w:t>
      </w:r>
    </w:p>
    <w:p>
      <w:pPr>
        <w:spacing w:line="480" w:lineRule="exact" w:before="10"/>
        <w:ind w:left="640" w:right="0" w:firstLine="0"/>
        <w:jc w:val="left"/>
        <w:rPr>
          <w:rFonts w:ascii="宋体" w:hAnsi="宋体" w:cs="宋体" w:eastAsia="宋体" w:hint="default"/>
          <w:sz w:val="22"/>
          <w:szCs w:val="22"/>
        </w:rPr>
      </w:pPr>
      <w:r>
        <w:rPr>
          <w:rFonts w:ascii="宋体" w:hAnsi="宋体" w:cs="宋体" w:eastAsia="宋体" w:hint="default"/>
          <w:b/>
          <w:bCs/>
          <w:sz w:val="22"/>
          <w:szCs w:val="22"/>
        </w:rPr>
        <w:t>各类风险管理目标和政策：</w:t>
      </w:r>
      <w:r>
        <w:rPr>
          <w:rFonts w:ascii="宋体" w:hAnsi="宋体" w:cs="宋体" w:eastAsia="宋体" w:hint="default"/>
          <w:b/>
          <w:bCs/>
          <w:w w:val="100"/>
          <w:sz w:val="22"/>
          <w:szCs w:val="22"/>
        </w:rPr>
        <w:t> </w:t>
      </w:r>
      <w:r>
        <w:rPr>
          <w:rFonts w:ascii="宋体" w:hAnsi="宋体" w:cs="宋体" w:eastAsia="宋体" w:hint="default"/>
          <w:spacing w:val="-4"/>
          <w:sz w:val="22"/>
          <w:szCs w:val="22"/>
        </w:rPr>
        <w:t>本集团从事风险管理的目标是在风险和收益之间取得适当的平衡，将风险对本集团经</w:t>
      </w:r>
    </w:p>
    <w:p>
      <w:pPr>
        <w:pStyle w:val="BodyText"/>
        <w:spacing w:line="300" w:lineRule="auto" w:before="7"/>
        <w:ind w:left="201" w:right="197"/>
        <w:jc w:val="both"/>
      </w:pPr>
      <w:r>
        <w:rPr>
          <w:spacing w:val="-4"/>
        </w:rPr>
        <w:t>营业绩的负面影响降低到最低水平，使股东及其它权益投资者的利益最大化。基于该风险</w:t>
      </w:r>
      <w:r>
        <w:rPr>
          <w:spacing w:val="-51"/>
        </w:rPr>
        <w:t> </w:t>
      </w:r>
      <w:r>
        <w:rPr>
          <w:spacing w:val="-51"/>
        </w:rPr>
      </w:r>
      <w:r>
        <w:rPr>
          <w:spacing w:val="-4"/>
        </w:rPr>
        <w:t>管理目标，本集团风险管理的基本策略是确定和分析本集团所面临的各种风险，建立适当</w:t>
      </w:r>
      <w:r>
        <w:rPr>
          <w:spacing w:val="-51"/>
        </w:rPr>
        <w:t> </w:t>
      </w:r>
      <w:r>
        <w:rPr>
          <w:spacing w:val="-51"/>
        </w:rPr>
      </w:r>
      <w:r>
        <w:rPr>
          <w:spacing w:val="-4"/>
        </w:rPr>
        <w:t>的风险承受底线并进行风险管理，并及时可靠地对各种风险进行监督，将风险控制在限定</w:t>
      </w:r>
      <w:r>
        <w:rPr>
          <w:spacing w:val="-50"/>
        </w:rPr>
        <w:t> </w:t>
      </w:r>
      <w:r>
        <w:rPr>
          <w:spacing w:val="-50"/>
        </w:rPr>
      </w:r>
      <w:r>
        <w:rPr/>
        <w:t>的范围之内。</w:t>
      </w:r>
    </w:p>
    <w:p>
      <w:pPr>
        <w:pStyle w:val="BodyText"/>
        <w:spacing w:line="240" w:lineRule="auto" w:before="137"/>
        <w:ind w:left="640" w:right="4300"/>
        <w:jc w:val="left"/>
      </w:pPr>
      <w:r>
        <w:rPr/>
        <w:t>1.</w:t>
      </w:r>
      <w:r>
        <w:rPr>
          <w:spacing w:val="68"/>
        </w:rPr>
        <w:t> </w:t>
      </w:r>
      <w:r>
        <w:rPr/>
        <w:t>市场风险</w:t>
      </w:r>
    </w:p>
    <w:p>
      <w:pPr>
        <w:pStyle w:val="BodyText"/>
        <w:spacing w:line="480" w:lineRule="atLeast" w:before="0"/>
        <w:ind w:left="640" w:right="0"/>
        <w:jc w:val="left"/>
      </w:pPr>
      <w:r>
        <w:rPr/>
        <w:t>（1）</w:t>
      </w:r>
      <w:r>
        <w:rPr>
          <w:spacing w:val="31"/>
        </w:rPr>
        <w:t> </w:t>
      </w:r>
      <w:r>
        <w:rPr/>
        <w:t>汇率风险</w:t>
      </w:r>
      <w:r>
        <w:rPr>
          <w:w w:val="100"/>
        </w:rPr>
        <w:t> </w:t>
      </w:r>
      <w:r>
        <w:rPr>
          <w:spacing w:val="-1"/>
        </w:rPr>
        <w:t>如附注“六、47.外币货币性项目”所示，本集团外币货币性项目主要是美元，其他</w:t>
      </w:r>
    </w:p>
    <w:p>
      <w:pPr>
        <w:pStyle w:val="BodyText"/>
        <w:spacing w:line="300" w:lineRule="auto" w:before="72"/>
        <w:ind w:left="201" w:right="197"/>
        <w:jc w:val="both"/>
      </w:pPr>
      <w:r>
        <w:rPr>
          <w:spacing w:val="-4"/>
        </w:rPr>
        <w:t>外币项目如欧元、瑞士法郎以及港币，对本公司不具有重大影响。本集团承受汇率风险主</w:t>
      </w:r>
      <w:r>
        <w:rPr>
          <w:spacing w:val="-51"/>
        </w:rPr>
        <w:t> </w:t>
      </w:r>
      <w:r>
        <w:rPr>
          <w:spacing w:val="-51"/>
        </w:rPr>
      </w:r>
      <w:r>
        <w:rPr>
          <w:spacing w:val="-4"/>
        </w:rPr>
        <w:t>要与美元相关，本集团的下属子公司万马特缆公司和天屹通信公司以美元进行销售，下属</w:t>
      </w:r>
      <w:r>
        <w:rPr>
          <w:spacing w:val="-51"/>
        </w:rPr>
        <w:t> </w:t>
      </w:r>
      <w:r>
        <w:rPr>
          <w:spacing w:val="-51"/>
        </w:rPr>
      </w:r>
      <w:r>
        <w:rPr>
          <w:spacing w:val="-4"/>
        </w:rPr>
        <w:t>子公司香港骐骥国际发展有限公司以美元进行采购和销售，本集团的其它主要业务活动以</w:t>
      </w:r>
      <w:r>
        <w:rPr>
          <w:spacing w:val="-51"/>
        </w:rPr>
        <w:t> </w:t>
      </w:r>
      <w:r>
        <w:rPr>
          <w:spacing w:val="-51"/>
        </w:rPr>
      </w:r>
      <w:r>
        <w:rPr>
          <w:spacing w:val="-4"/>
        </w:rPr>
        <w:t>人民币计价结算。于2015年12月31日，除下表所述资产及负债的美元余额外，本集团的资</w:t>
      </w:r>
      <w:r>
        <w:rPr>
          <w:spacing w:val="-39"/>
        </w:rPr>
        <w:t> </w:t>
      </w:r>
      <w:r>
        <w:rPr>
          <w:spacing w:val="-39"/>
        </w:rPr>
      </w:r>
      <w:r>
        <w:rPr>
          <w:spacing w:val="-4"/>
        </w:rPr>
        <w:t>产及负债为人民币余额和零星的欧元及瑞士法郎、港币余额。该等美元的资产和负债产生</w:t>
      </w:r>
      <w:r>
        <w:rPr>
          <w:spacing w:val="-53"/>
        </w:rPr>
        <w:t> </w:t>
      </w:r>
      <w:r>
        <w:rPr>
          <w:spacing w:val="-53"/>
        </w:rPr>
      </w:r>
      <w:r>
        <w:rPr/>
        <w:t>的汇率风险可能对本集团的经营业绩产生影响。</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708"/>
        <w:gridCol w:w="2500"/>
        <w:gridCol w:w="2433"/>
      </w:tblGrid>
      <w:tr>
        <w:trPr>
          <w:trHeight w:val="417" w:hRule="exact"/>
        </w:trPr>
        <w:tc>
          <w:tcPr>
            <w:tcW w:w="3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336" w:right="0"/>
              <w:jc w:val="left"/>
              <w:rPr>
                <w:rFonts w:ascii="宋体" w:hAnsi="宋体" w:cs="宋体" w:eastAsia="宋体" w:hint="default"/>
                <w:sz w:val="22"/>
                <w:szCs w:val="22"/>
              </w:rPr>
            </w:pPr>
            <w:r>
              <w:rPr>
                <w:rFonts w:ascii="宋体" w:hAnsi="宋体" w:cs="宋体" w:eastAsia="宋体" w:hint="default"/>
                <w:b/>
                <w:bCs/>
                <w:sz w:val="22"/>
                <w:szCs w:val="22"/>
              </w:rPr>
              <w:t>2015</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9"/>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303" w:right="0"/>
              <w:jc w:val="left"/>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货币资金－美元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8,345,369.29</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14,223,460.77</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应收票据－美元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4,950.00</w:t>
            </w:r>
          </w:p>
        </w:tc>
      </w:tr>
      <w:tr>
        <w:trPr>
          <w:trHeight w:val="415" w:hRule="exact"/>
        </w:trPr>
        <w:tc>
          <w:tcPr>
            <w:tcW w:w="3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应收账款－美元</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4,351,420.98</w:t>
            </w:r>
          </w:p>
        </w:tc>
        <w:tc>
          <w:tcPr>
            <w:tcW w:w="2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5,687,337.89</w:t>
            </w:r>
          </w:p>
        </w:tc>
      </w:tr>
    </w:tbl>
    <w:p>
      <w:pPr>
        <w:spacing w:after="0" w:line="240" w:lineRule="auto"/>
        <w:jc w:val="right"/>
        <w:rPr>
          <w:rFonts w:ascii="宋体" w:hAnsi="宋体" w:cs="宋体" w:eastAsia="宋体" w:hint="default"/>
          <w:sz w:val="22"/>
          <w:szCs w:val="22"/>
        </w:rPr>
        <w:sectPr>
          <w:pgSz w:w="11910" w:h="16840"/>
          <w:pgMar w:header="0" w:footer="873" w:top="1440" w:bottom="1060" w:left="1500" w:right="1500"/>
        </w:sectPr>
      </w:pPr>
    </w:p>
    <w:p>
      <w:pPr>
        <w:spacing w:line="240" w:lineRule="auto" w:before="3"/>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3708"/>
        <w:gridCol w:w="2500"/>
        <w:gridCol w:w="2433"/>
      </w:tblGrid>
      <w:tr>
        <w:trPr>
          <w:trHeight w:val="417" w:hRule="exact"/>
        </w:trPr>
        <w:tc>
          <w:tcPr>
            <w:tcW w:w="3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336" w:right="0"/>
              <w:jc w:val="left"/>
              <w:rPr>
                <w:rFonts w:ascii="宋体" w:hAnsi="宋体" w:cs="宋体" w:eastAsia="宋体" w:hint="default"/>
                <w:sz w:val="22"/>
                <w:szCs w:val="22"/>
              </w:rPr>
            </w:pPr>
            <w:r>
              <w:rPr>
                <w:rFonts w:ascii="宋体" w:hAnsi="宋体" w:cs="宋体" w:eastAsia="宋体" w:hint="default"/>
                <w:b/>
                <w:bCs/>
                <w:sz w:val="22"/>
                <w:szCs w:val="22"/>
              </w:rPr>
              <w:t>2015</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9"/>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303" w:right="0"/>
              <w:jc w:val="left"/>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预付款项－美元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288,695.00</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598,313.84</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资产小计</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12,985,485.27</w:t>
            </w:r>
            <w:r>
              <w:rPr>
                <w:rFonts w:ascii="宋体"/>
                <w:spacing w:val="-1"/>
                <w:sz w:val="22"/>
              </w:rPr>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20,514,062.50</w:t>
            </w:r>
            <w:r>
              <w:rPr>
                <w:rFonts w:ascii="宋体"/>
                <w:spacing w:val="-1"/>
                <w:sz w:val="22"/>
              </w:rPr>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短期借款－美元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8,766,911.56</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应付票据－美元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929,115.00</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545,490.00</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应付账款－美元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1,060,511.48</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608,836.91</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预收款项－美元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121,639.72</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143,743.28</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负债小计</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2,111,266.20</w:t>
            </w:r>
            <w:r>
              <w:rPr>
                <w:rFonts w:ascii="宋体"/>
                <w:spacing w:val="-1"/>
                <w:sz w:val="22"/>
              </w:rPr>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10,064,981.75</w:t>
            </w:r>
            <w:r>
              <w:rPr>
                <w:rFonts w:ascii="宋体"/>
                <w:spacing w:val="-1"/>
                <w:sz w:val="22"/>
              </w:rPr>
            </w:r>
          </w:p>
        </w:tc>
      </w:tr>
      <w:tr>
        <w:trPr>
          <w:trHeight w:val="417" w:hRule="exact"/>
        </w:trPr>
        <w:tc>
          <w:tcPr>
            <w:tcW w:w="3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资产-负债</w:t>
            </w:r>
            <w:r>
              <w:rPr>
                <w:rFonts w:ascii="宋体" w:hAnsi="宋体" w:cs="宋体" w:eastAsia="宋体" w:hint="default"/>
                <w:sz w:val="22"/>
                <w:szCs w:val="22"/>
              </w:rPr>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90"/>
              <w:jc w:val="right"/>
              <w:rPr>
                <w:rFonts w:ascii="宋体" w:hAnsi="宋体" w:cs="宋体" w:eastAsia="宋体" w:hint="default"/>
                <w:sz w:val="22"/>
                <w:szCs w:val="22"/>
              </w:rPr>
            </w:pPr>
            <w:r>
              <w:rPr>
                <w:rFonts w:ascii="宋体"/>
                <w:b/>
                <w:spacing w:val="-1"/>
                <w:sz w:val="22"/>
              </w:rPr>
              <w:t>10,874,219.07</w:t>
            </w:r>
            <w:r>
              <w:rPr>
                <w:rFonts w:ascii="宋体"/>
                <w:spacing w:val="-1"/>
                <w:sz w:val="22"/>
              </w:rPr>
            </w:r>
          </w:p>
        </w:tc>
        <w:tc>
          <w:tcPr>
            <w:tcW w:w="2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10,449,080.75</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640" w:right="3422"/>
        <w:jc w:val="left"/>
      </w:pPr>
      <w:r>
        <w:rPr/>
        <w:t>本集团密切关注汇率变动对本集团的影响。</w:t>
      </w:r>
    </w:p>
    <w:p>
      <w:pPr>
        <w:pStyle w:val="BodyText"/>
        <w:spacing w:line="480" w:lineRule="atLeast" w:before="0"/>
        <w:ind w:left="640" w:right="0"/>
        <w:jc w:val="left"/>
      </w:pPr>
      <w:r>
        <w:rPr/>
        <w:t>（2）</w:t>
      </w:r>
      <w:r>
        <w:rPr>
          <w:spacing w:val="31"/>
        </w:rPr>
        <w:t> </w:t>
      </w:r>
      <w:r>
        <w:rPr/>
        <w:t>利率风险</w:t>
      </w:r>
      <w:r>
        <w:rPr>
          <w:w w:val="100"/>
        </w:rPr>
        <w:t> </w:t>
      </w:r>
      <w:r>
        <w:rPr>
          <w:spacing w:val="-4"/>
        </w:rPr>
        <w:t>本集团的利率风险产生于银行借款及应付债券等带息债务。本集团根据当时的市场环</w:t>
      </w:r>
    </w:p>
    <w:p>
      <w:pPr>
        <w:pStyle w:val="BodyText"/>
        <w:spacing w:line="300" w:lineRule="auto" w:before="72"/>
        <w:ind w:left="201" w:right="199"/>
        <w:jc w:val="both"/>
      </w:pPr>
      <w:r>
        <w:rPr>
          <w:spacing w:val="-4"/>
        </w:rPr>
        <w:t>境来决定固定利率及浮动利率合同的相对比例。于2015年12月31日，本集团的带息债务主</w:t>
      </w:r>
      <w:r>
        <w:rPr>
          <w:spacing w:val="-41"/>
        </w:rPr>
        <w:t> </w:t>
      </w:r>
      <w:r>
        <w:rPr>
          <w:spacing w:val="-41"/>
        </w:rPr>
      </w:r>
      <w:r>
        <w:rPr>
          <w:spacing w:val="-4"/>
        </w:rPr>
        <w:t>要为人民币计价的固定利率借款合同、2014年公司债券(第一期)以及短期融资券，金额合</w:t>
      </w:r>
      <w:r>
        <w:rPr>
          <w:spacing w:val="-44"/>
        </w:rPr>
        <w:t> </w:t>
      </w:r>
      <w:r>
        <w:rPr>
          <w:spacing w:val="-44"/>
        </w:rPr>
      </w:r>
      <w:r>
        <w:rPr/>
        <w:t>计为930,742,481.57元（2014年12月31日：939,567,217.64元）。</w:t>
      </w:r>
    </w:p>
    <w:p>
      <w:pPr>
        <w:pStyle w:val="BodyText"/>
        <w:spacing w:line="400" w:lineRule="auto" w:before="137"/>
        <w:ind w:left="640" w:right="1311"/>
        <w:jc w:val="left"/>
      </w:pPr>
      <w:r>
        <w:rPr/>
        <w:t>（3）</w:t>
      </w:r>
      <w:r>
        <w:rPr>
          <w:spacing w:val="31"/>
        </w:rPr>
        <w:t> </w:t>
      </w:r>
      <w:r>
        <w:rPr/>
        <w:t>价格风险</w:t>
      </w:r>
      <w:r>
        <w:rPr>
          <w:w w:val="100"/>
        </w:rPr>
        <w:t> </w:t>
      </w:r>
      <w:r>
        <w:rPr>
          <w:spacing w:val="-2"/>
        </w:rPr>
        <w:t>本集团以市场价格采购铜材等原材料，因此受到此等价格波动的影响。</w:t>
      </w:r>
      <w:r>
        <w:rPr>
          <w:spacing w:val="-67"/>
        </w:rPr>
        <w:t> </w:t>
      </w:r>
      <w:r>
        <w:rPr>
          <w:spacing w:val="-67"/>
        </w:rPr>
      </w:r>
      <w:r>
        <w:rPr/>
        <w:t>2.</w:t>
      </w:r>
      <w:r>
        <w:rPr>
          <w:spacing w:val="68"/>
        </w:rPr>
        <w:t> </w:t>
      </w:r>
      <w:r>
        <w:rPr/>
        <w:t>信用风险</w:t>
      </w:r>
    </w:p>
    <w:p>
      <w:pPr>
        <w:pStyle w:val="BodyText"/>
        <w:spacing w:line="300" w:lineRule="auto" w:before="44"/>
        <w:ind w:left="201" w:right="197" w:firstLine="439"/>
        <w:jc w:val="both"/>
      </w:pPr>
      <w:r>
        <w:rPr>
          <w:spacing w:val="-4"/>
        </w:rPr>
        <w:t>于2015年12月31日，可能引起本集团财务损失的最大信用风险敞口主要来自于合同另</w:t>
      </w:r>
      <w:r>
        <w:rPr>
          <w:w w:val="100"/>
        </w:rPr>
        <w:t> </w:t>
      </w:r>
      <w:r>
        <w:rPr>
          <w:spacing w:val="-4"/>
        </w:rPr>
        <w:t>一方未能履行义务而导致本集团金融资产产生的损失以及本集团承担的财务担保，具体包</w:t>
      </w:r>
      <w:r>
        <w:rPr>
          <w:spacing w:val="-53"/>
        </w:rPr>
        <w:t> </w:t>
      </w:r>
      <w:r>
        <w:rPr>
          <w:spacing w:val="-53"/>
        </w:rPr>
      </w:r>
      <w:r>
        <w:rPr/>
        <w:t>括：</w:t>
      </w:r>
    </w:p>
    <w:p>
      <w:pPr>
        <w:pStyle w:val="BodyText"/>
        <w:spacing w:line="300" w:lineRule="auto" w:before="137"/>
        <w:ind w:left="201" w:right="197" w:firstLine="439"/>
        <w:jc w:val="both"/>
      </w:pPr>
      <w:r>
        <w:rPr>
          <w:spacing w:val="-4"/>
        </w:rPr>
        <w:t>合并资产负债表中已确认的金融资产的账面金额；对于以公允价值计量的金融工具而</w:t>
      </w:r>
      <w:r>
        <w:rPr>
          <w:w w:val="100"/>
        </w:rPr>
        <w:t> </w:t>
      </w:r>
      <w:r>
        <w:rPr>
          <w:spacing w:val="-4"/>
        </w:rPr>
        <w:t>言，账面价值反映了其风险敞口，但并非最大风险敞口，其最大风险敞口将随着未来公允</w:t>
      </w:r>
      <w:r>
        <w:rPr>
          <w:spacing w:val="-51"/>
        </w:rPr>
        <w:t> </w:t>
      </w:r>
      <w:r>
        <w:rPr>
          <w:spacing w:val="-51"/>
        </w:rPr>
      </w:r>
      <w:r>
        <w:rPr/>
        <w:t>价值的变化而改变。</w:t>
      </w:r>
    </w:p>
    <w:p>
      <w:pPr>
        <w:pStyle w:val="BodyText"/>
        <w:spacing w:line="300" w:lineRule="auto" w:before="137"/>
        <w:ind w:left="201" w:right="197" w:firstLine="439"/>
        <w:jc w:val="both"/>
      </w:pPr>
      <w:r>
        <w:rPr>
          <w:spacing w:val="-4"/>
        </w:rPr>
        <w:t>为降低信用风险，本集团成立专门部门确定信用额度、进行信用审批，并执行其它监</w:t>
      </w:r>
      <w:r>
        <w:rPr>
          <w:w w:val="100"/>
        </w:rPr>
        <w:t> </w:t>
      </w:r>
      <w:r>
        <w:rPr>
          <w:spacing w:val="-4"/>
        </w:rPr>
        <w:t>控程序以确保采取必要的措施回收过期债权。此外，本集团于每个资产负债表日审核每一</w:t>
      </w:r>
      <w:r>
        <w:rPr>
          <w:spacing w:val="-51"/>
        </w:rPr>
        <w:t> </w:t>
      </w:r>
      <w:r>
        <w:rPr>
          <w:spacing w:val="-51"/>
        </w:rPr>
      </w:r>
      <w:r>
        <w:rPr>
          <w:spacing w:val="-4"/>
        </w:rPr>
        <w:t>单项应收款的回收情况，以确保就无法回收的款项计提充分的坏账准备。因此，本集团管</w:t>
      </w:r>
      <w:r>
        <w:rPr>
          <w:spacing w:val="-51"/>
        </w:rPr>
        <w:t> </w:t>
      </w:r>
      <w:r>
        <w:rPr>
          <w:spacing w:val="-51"/>
        </w:rPr>
      </w:r>
      <w:r>
        <w:rPr/>
        <w:t>理层认为本集团所承担的信用风险已经大为降低。</w:t>
      </w:r>
    </w:p>
    <w:p>
      <w:pPr>
        <w:pStyle w:val="BodyText"/>
        <w:spacing w:line="480" w:lineRule="exact" w:before="10"/>
        <w:ind w:left="640" w:right="0"/>
        <w:jc w:val="left"/>
      </w:pPr>
      <w:r>
        <w:rPr/>
        <w:t>本集团的流动资金存放在信用评级较高的银行，故流动资金的信用风险较低。</w:t>
      </w:r>
      <w:r>
        <w:rPr>
          <w:w w:val="100"/>
        </w:rPr>
        <w:t> </w:t>
      </w:r>
      <w:r>
        <w:rPr>
          <w:spacing w:val="-4"/>
        </w:rPr>
        <w:t>本集团采用了必要的政策确保所有销售客户均具有良好的信用记录。除应收账款金额</w:t>
      </w:r>
    </w:p>
    <w:p>
      <w:pPr>
        <w:pStyle w:val="BodyText"/>
        <w:spacing w:line="400" w:lineRule="auto" w:before="7"/>
        <w:ind w:left="640" w:right="3422" w:hanging="440"/>
        <w:jc w:val="left"/>
      </w:pPr>
      <w:r>
        <w:rPr/>
        <w:t>前五名外，本集团无其他重大信用集中风险。</w:t>
      </w:r>
      <w:r>
        <w:rPr>
          <w:w w:val="100"/>
        </w:rPr>
        <w:t> </w:t>
      </w:r>
      <w:r>
        <w:rPr>
          <w:spacing w:val="-2"/>
        </w:rPr>
        <w:t>应收账款前五名金额合计：146,719,046.50元。</w:t>
      </w:r>
    </w:p>
    <w:p>
      <w:pPr>
        <w:spacing w:after="0" w:line="400" w:lineRule="auto"/>
        <w:jc w:val="left"/>
        <w:sectPr>
          <w:pgSz w:w="11910" w:h="16840"/>
          <w:pgMar w:header="0" w:footer="873" w:top="1440" w:bottom="1060" w:left="1500" w:right="1500"/>
        </w:sectPr>
      </w:pPr>
    </w:p>
    <w:p>
      <w:pPr>
        <w:spacing w:line="240" w:lineRule="auto" w:before="1"/>
        <w:rPr>
          <w:rFonts w:ascii="宋体" w:hAnsi="宋体" w:cs="宋体" w:eastAsia="宋体" w:hint="default"/>
          <w:sz w:val="18"/>
          <w:szCs w:val="18"/>
        </w:rPr>
      </w:pPr>
    </w:p>
    <w:p>
      <w:pPr>
        <w:pStyle w:val="BodyText"/>
        <w:spacing w:line="240" w:lineRule="auto"/>
        <w:ind w:left="680" w:right="80"/>
        <w:jc w:val="left"/>
      </w:pPr>
      <w:r>
        <w:rPr/>
        <w:t>3.</w:t>
      </w:r>
      <w:r>
        <w:rPr>
          <w:spacing w:val="68"/>
        </w:rPr>
        <w:t> </w:t>
      </w:r>
      <w:r>
        <w:rPr/>
        <w:t>流动风险</w:t>
      </w:r>
    </w:p>
    <w:p>
      <w:pPr>
        <w:pStyle w:val="BodyText"/>
        <w:spacing w:line="300" w:lineRule="auto" w:before="192"/>
        <w:ind w:left="241" w:right="237" w:firstLine="439"/>
        <w:jc w:val="both"/>
      </w:pPr>
      <w:r>
        <w:rPr>
          <w:spacing w:val="-4"/>
        </w:rPr>
        <w:t>流动风险为本集团在到期日无法履行其财务义务的风险。本集团管理流动性风险的方</w:t>
      </w:r>
      <w:r>
        <w:rPr>
          <w:w w:val="100"/>
        </w:rPr>
        <w:t> </w:t>
      </w:r>
      <w:r>
        <w:rPr>
          <w:spacing w:val="-4"/>
        </w:rPr>
        <w:t>法是确保有足够的资金流动性来履行到期债务，而不至于造成不可接受的损失或对企业信</w:t>
      </w:r>
      <w:r>
        <w:rPr>
          <w:spacing w:val="-53"/>
        </w:rPr>
        <w:t> </w:t>
      </w:r>
      <w:r>
        <w:rPr>
          <w:spacing w:val="-53"/>
        </w:rPr>
      </w:r>
      <w:r>
        <w:rPr>
          <w:spacing w:val="-4"/>
        </w:rPr>
        <w:t>誉造成损害。本集团定期分析负债结构和期限，以确保有充裕的资金。本集团管理层对银</w:t>
      </w:r>
      <w:r>
        <w:rPr>
          <w:spacing w:val="-51"/>
        </w:rPr>
        <w:t> </w:t>
      </w:r>
      <w:r>
        <w:rPr>
          <w:spacing w:val="-51"/>
        </w:rPr>
      </w:r>
      <w:r>
        <w:rPr>
          <w:spacing w:val="-4"/>
        </w:rPr>
        <w:t>行借款的使用情况进行监控并确保遵守借款协议。同时与金融机构进行融资磋商，以保持</w:t>
      </w:r>
      <w:r>
        <w:rPr>
          <w:spacing w:val="-53"/>
        </w:rPr>
        <w:t> </w:t>
      </w:r>
      <w:r>
        <w:rPr>
          <w:spacing w:val="-53"/>
        </w:rPr>
      </w:r>
      <w:r>
        <w:rPr/>
        <w:t>一定的授信额度，减低流动性风险。</w:t>
      </w:r>
    </w:p>
    <w:p>
      <w:pPr>
        <w:pStyle w:val="BodyText"/>
        <w:spacing w:line="300" w:lineRule="auto" w:before="137"/>
        <w:ind w:left="241" w:right="80" w:firstLine="439"/>
        <w:jc w:val="left"/>
      </w:pPr>
      <w:r>
        <w:rPr>
          <w:spacing w:val="-4"/>
        </w:rPr>
        <w:t>本集团将银行借款作为主要资金来源。于2015年12月31日，本集团尚未使用的银行借</w:t>
      </w:r>
      <w:r>
        <w:rPr>
          <w:w w:val="100"/>
        </w:rPr>
        <w:t> </w:t>
      </w:r>
      <w:r>
        <w:rPr/>
        <w:t>款额度为人民币172,054.00万元，均为短期银行借款额度。</w:t>
      </w:r>
    </w:p>
    <w:p>
      <w:pPr>
        <w:spacing w:line="480" w:lineRule="exact" w:before="10"/>
        <w:ind w:left="680" w:right="80" w:firstLine="21"/>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7"/>
          <w:sz w:val="22"/>
          <w:szCs w:val="22"/>
        </w:rPr>
        <w:t> </w:t>
      </w:r>
      <w:r>
        <w:rPr>
          <w:rFonts w:ascii="宋体" w:hAnsi="宋体" w:cs="宋体" w:eastAsia="宋体" w:hint="default"/>
          <w:b/>
          <w:bCs/>
          <w:sz w:val="22"/>
          <w:szCs w:val="22"/>
        </w:rPr>
        <w:t>公</w:t>
      </w:r>
      <w:r>
        <w:rPr>
          <w:rFonts w:ascii="宋体" w:hAnsi="宋体" w:cs="宋体" w:eastAsia="宋体" w:hint="default"/>
          <w:b/>
          <w:bCs/>
          <w:spacing w:val="-71"/>
          <w:sz w:val="22"/>
          <w:szCs w:val="22"/>
        </w:rPr>
        <w:t> </w:t>
      </w:r>
      <w:r>
        <w:rPr>
          <w:rFonts w:ascii="宋体" w:hAnsi="宋体" w:cs="宋体" w:eastAsia="宋体" w:hint="default"/>
          <w:b/>
          <w:bCs/>
          <w:sz w:val="22"/>
          <w:szCs w:val="22"/>
        </w:rPr>
        <w:t>允</w:t>
      </w:r>
      <w:r>
        <w:rPr>
          <w:rFonts w:ascii="宋体" w:hAnsi="宋体" w:cs="宋体" w:eastAsia="宋体" w:hint="default"/>
          <w:b/>
          <w:bCs/>
          <w:spacing w:val="-73"/>
          <w:sz w:val="22"/>
          <w:szCs w:val="22"/>
        </w:rPr>
        <w:t> </w:t>
      </w:r>
      <w:r>
        <w:rPr>
          <w:rFonts w:ascii="宋体" w:hAnsi="宋体" w:cs="宋体" w:eastAsia="宋体" w:hint="default"/>
          <w:b/>
          <w:bCs/>
          <w:sz w:val="22"/>
          <w:szCs w:val="22"/>
        </w:rPr>
        <w:t>价</w:t>
      </w:r>
      <w:r>
        <w:rPr>
          <w:rFonts w:ascii="宋体" w:hAnsi="宋体" w:cs="宋体" w:eastAsia="宋体" w:hint="default"/>
          <w:b/>
          <w:bCs/>
          <w:spacing w:val="-71"/>
          <w:sz w:val="22"/>
          <w:szCs w:val="22"/>
        </w:rPr>
        <w:t> </w:t>
      </w:r>
      <w:r>
        <w:rPr>
          <w:rFonts w:ascii="宋体" w:hAnsi="宋体" w:cs="宋体" w:eastAsia="宋体" w:hint="default"/>
          <w:b/>
          <w:bCs/>
          <w:sz w:val="22"/>
          <w:szCs w:val="22"/>
        </w:rPr>
        <w:t>值</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披</w:t>
      </w:r>
      <w:r>
        <w:rPr>
          <w:rFonts w:ascii="宋体" w:hAnsi="宋体" w:cs="宋体" w:eastAsia="宋体" w:hint="default"/>
          <w:b/>
          <w:bCs/>
          <w:spacing w:val="-71"/>
          <w:sz w:val="22"/>
          <w:szCs w:val="22"/>
        </w:rPr>
        <w:t> </w:t>
      </w:r>
      <w:r>
        <w:rPr>
          <w:rFonts w:ascii="宋体" w:hAnsi="宋体" w:cs="宋体" w:eastAsia="宋体" w:hint="default"/>
          <w:b/>
          <w:bCs/>
          <w:sz w:val="22"/>
          <w:szCs w:val="22"/>
        </w:rPr>
        <w:t>露</w:t>
      </w:r>
      <w:r>
        <w:rPr>
          <w:rFonts w:ascii="宋体" w:hAnsi="宋体" w:cs="宋体" w:eastAsia="宋体" w:hint="default"/>
          <w:b/>
          <w:bCs/>
          <w:w w:val="100"/>
          <w:sz w:val="22"/>
          <w:szCs w:val="22"/>
        </w:rPr>
        <w:t> </w:t>
      </w:r>
      <w:r>
        <w:rPr>
          <w:rFonts w:ascii="宋体" w:hAnsi="宋体" w:cs="宋体" w:eastAsia="宋体" w:hint="default"/>
          <w:spacing w:val="-4"/>
          <w:sz w:val="22"/>
          <w:szCs w:val="22"/>
        </w:rPr>
        <w:t>本集团对远期结售汇业务以及期货合约业务采用公允价值进行后续计量，公允价值变</w:t>
      </w:r>
    </w:p>
    <w:p>
      <w:pPr>
        <w:pStyle w:val="BodyText"/>
        <w:spacing w:line="300" w:lineRule="auto" w:before="7"/>
        <w:ind w:left="241" w:right="80"/>
        <w:jc w:val="left"/>
      </w:pPr>
      <w:r>
        <w:rPr>
          <w:spacing w:val="-4"/>
        </w:rPr>
        <w:t>动计入公允价值变动损益；处置时，其公允价值与初始入账金额之间的差额确认为投资损</w:t>
      </w:r>
      <w:r>
        <w:rPr>
          <w:spacing w:val="-51"/>
        </w:rPr>
        <w:t> </w:t>
      </w:r>
      <w:r>
        <w:rPr>
          <w:spacing w:val="-51"/>
        </w:rPr>
      </w:r>
      <w:r>
        <w:rPr>
          <w:spacing w:val="-4"/>
        </w:rPr>
        <w:t>益，同时调整公允价值变动损益。2015年度确认公允价值变动损益 </w:t>
      </w:r>
      <w:r>
        <w:rPr/>
        <w:t>-99,672.32</w:t>
      </w:r>
      <w:r>
        <w:rPr>
          <w:spacing w:val="25"/>
        </w:rPr>
        <w:t> </w:t>
      </w:r>
      <w:r>
        <w:rPr/>
        <w:t>元以及投</w:t>
      </w:r>
    </w:p>
    <w:p>
      <w:pPr>
        <w:pStyle w:val="BodyText"/>
        <w:spacing w:line="300" w:lineRule="auto" w:before="17"/>
        <w:ind w:left="241" w:right="80"/>
        <w:jc w:val="left"/>
      </w:pPr>
      <w:r>
        <w:rPr>
          <w:spacing w:val="4"/>
        </w:rPr>
        <w:t>资收益</w:t>
      </w:r>
      <w:r>
        <w:rPr>
          <w:spacing w:val="57"/>
        </w:rPr>
        <w:t> </w:t>
      </w:r>
      <w:r>
        <w:rPr/>
        <w:t>677,756.48</w:t>
      </w:r>
      <w:r>
        <w:rPr>
          <w:spacing w:val="43"/>
        </w:rPr>
        <w:t> </w:t>
      </w:r>
      <w:r>
        <w:rPr>
          <w:spacing w:val="3"/>
        </w:rPr>
        <w:t>元；2014年度确认公允价值变动损益-752,264.63元以及投资收益</w:t>
      </w:r>
      <w:r>
        <w:rPr>
          <w:spacing w:val="-101"/>
        </w:rPr>
        <w:t> </w:t>
      </w:r>
      <w:r>
        <w:rPr>
          <w:spacing w:val="-101"/>
        </w:rPr>
      </w:r>
      <w:r>
        <w:rPr/>
        <w:t>341,022.47元。</w:t>
      </w:r>
    </w:p>
    <w:p>
      <w:pPr>
        <w:pStyle w:val="Heading4"/>
        <w:spacing w:line="240" w:lineRule="auto" w:before="137"/>
        <w:ind w:right="80"/>
        <w:jc w:val="left"/>
        <w:rPr>
          <w:b w:val="0"/>
          <w:bCs w:val="0"/>
        </w:rPr>
      </w:pPr>
      <w:r>
        <w:rPr/>
        <w:t>十</w:t>
      </w:r>
      <w:r>
        <w:rPr>
          <w:spacing w:val="-71"/>
        </w:rPr>
        <w:t> </w:t>
      </w:r>
      <w:r>
        <w:rPr/>
        <w:t>一</w:t>
      </w:r>
      <w:r>
        <w:rPr>
          <w:spacing w:val="-73"/>
        </w:rPr>
        <w:t> </w:t>
      </w:r>
      <w:r>
        <w:rPr/>
        <w:t>、</w:t>
      </w:r>
      <w:r>
        <w:rPr>
          <w:spacing w:val="-54"/>
        </w:rPr>
        <w:t> </w:t>
      </w:r>
      <w:r>
        <w:rPr/>
        <w:t>关</w:t>
      </w:r>
      <w:r>
        <w:rPr>
          <w:spacing w:val="-71"/>
        </w:rPr>
        <w:t> </w:t>
      </w:r>
      <w:r>
        <w:rPr/>
        <w:t>联</w:t>
      </w:r>
      <w:r>
        <w:rPr>
          <w:spacing w:val="-73"/>
        </w:rPr>
        <w:t> </w:t>
      </w:r>
      <w:r>
        <w:rPr/>
        <w:t>方</w:t>
      </w:r>
      <w:r>
        <w:rPr>
          <w:spacing w:val="-71"/>
        </w:rPr>
        <w:t> </w:t>
      </w:r>
      <w:r>
        <w:rPr/>
        <w:t>及</w:t>
      </w:r>
      <w:r>
        <w:rPr>
          <w:spacing w:val="-71"/>
        </w:rPr>
        <w:t> </w:t>
      </w:r>
      <w:r>
        <w:rPr/>
        <w:t>关</w:t>
      </w:r>
      <w:r>
        <w:rPr>
          <w:spacing w:val="-73"/>
        </w:rPr>
        <w:t> </w:t>
      </w:r>
      <w:r>
        <w:rPr/>
        <w:t>联</w:t>
      </w:r>
      <w:r>
        <w:rPr>
          <w:spacing w:val="-71"/>
        </w:rPr>
        <w:t> </w:t>
      </w:r>
      <w:r>
        <w:rPr/>
        <w:t>交</w:t>
      </w:r>
      <w:r>
        <w:rPr>
          <w:spacing w:val="-71"/>
        </w:rPr>
        <w:t> </w:t>
      </w:r>
      <w:r>
        <w:rPr/>
        <w:t>易</w:t>
      </w:r>
      <w:r>
        <w:rPr>
          <w:b w:val="0"/>
          <w:bCs w:val="0"/>
        </w:rPr>
      </w:r>
    </w:p>
    <w:p>
      <w:pPr>
        <w:pStyle w:val="Heading4"/>
        <w:spacing w:line="240" w:lineRule="auto" w:before="192"/>
        <w:ind w:left="661" w:right="80"/>
        <w:jc w:val="left"/>
        <w:rPr>
          <w:b w:val="0"/>
          <w:bCs w:val="0"/>
        </w:rPr>
      </w:pPr>
      <w:r>
        <w:rPr/>
        <w:t>（一）关联方关系</w:t>
      </w:r>
      <w:r>
        <w:rPr>
          <w:b w:val="0"/>
          <w:bCs w:val="0"/>
        </w:rPr>
      </w:r>
    </w:p>
    <w:p>
      <w:pPr>
        <w:pStyle w:val="BodyText"/>
        <w:spacing w:line="240" w:lineRule="auto" w:before="192"/>
        <w:ind w:left="841" w:right="80"/>
        <w:jc w:val="left"/>
        <w:rPr>
          <w:rFonts w:ascii="黑体" w:hAnsi="黑体" w:cs="黑体" w:eastAsia="黑体" w:hint="default"/>
        </w:rPr>
      </w:pPr>
      <w:r>
        <w:rPr/>
        <w:t>1.</w:t>
      </w:r>
      <w:r>
        <w:rPr>
          <w:spacing w:val="62"/>
        </w:rPr>
        <w:t> </w:t>
      </w:r>
      <w:r>
        <w:rPr>
          <w:rFonts w:ascii="黑体" w:hAnsi="黑体" w:cs="黑体" w:eastAsia="黑体" w:hint="default"/>
        </w:rPr>
        <w:t>控股股东及最终控制方</w:t>
      </w:r>
    </w:p>
    <w:p>
      <w:pPr>
        <w:pStyle w:val="BodyText"/>
        <w:spacing w:line="240" w:lineRule="auto" w:before="192"/>
        <w:ind w:left="808" w:right="80"/>
        <w:jc w:val="left"/>
      </w:pPr>
      <w:r>
        <w:rPr/>
        <w:t>（1）控股股东</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41"/>
        <w:gridCol w:w="993"/>
        <w:gridCol w:w="993"/>
        <w:gridCol w:w="1136"/>
        <w:gridCol w:w="1275"/>
        <w:gridCol w:w="1385"/>
      </w:tblGrid>
      <w:tr>
        <w:trPr>
          <w:trHeight w:val="565" w:hRule="exact"/>
        </w:trPr>
        <w:tc>
          <w:tcPr>
            <w:tcW w:w="29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384" w:right="48" w:hanging="332"/>
              <w:jc w:val="left"/>
              <w:rPr>
                <w:rFonts w:ascii="宋体" w:hAnsi="宋体" w:cs="宋体" w:eastAsia="宋体" w:hint="default"/>
                <w:sz w:val="18"/>
                <w:szCs w:val="18"/>
              </w:rPr>
            </w:pPr>
            <w:r>
              <w:rPr>
                <w:rFonts w:ascii="宋体" w:hAnsi="宋体" w:cs="宋体" w:eastAsia="宋体" w:hint="default"/>
                <w:b/>
                <w:bCs/>
                <w:spacing w:val="-10"/>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50" w:right="46"/>
              <w:jc w:val="left"/>
              <w:rPr>
                <w:rFonts w:ascii="宋体" w:hAnsi="宋体" w:cs="宋体" w:eastAsia="宋体" w:hint="default"/>
                <w:sz w:val="18"/>
                <w:szCs w:val="18"/>
              </w:rPr>
            </w:pPr>
            <w:r>
              <w:rPr>
                <w:rFonts w:ascii="宋体" w:hAnsi="宋体" w:cs="宋体" w:eastAsia="宋体" w:hint="default"/>
                <w:b/>
                <w:bCs/>
                <w:spacing w:val="14"/>
                <w:sz w:val="18"/>
                <w:szCs w:val="18"/>
              </w:rPr>
              <w:t>对本公司的持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sz w:val="18"/>
                <w:szCs w:val="18"/>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284" w:right="56" w:hanging="226"/>
              <w:jc w:val="left"/>
              <w:rPr>
                <w:rFonts w:ascii="宋体" w:hAnsi="宋体" w:cs="宋体" w:eastAsia="宋体" w:hint="default"/>
                <w:sz w:val="18"/>
                <w:szCs w:val="18"/>
              </w:rPr>
            </w:pPr>
            <w:r>
              <w:rPr>
                <w:rFonts w:ascii="宋体" w:hAnsi="宋体" w:cs="宋体" w:eastAsia="宋体" w:hint="default"/>
                <w:b/>
                <w:bCs/>
                <w:sz w:val="18"/>
                <w:szCs w:val="18"/>
              </w:rPr>
              <w:t>对本公司的表决</w:t>
            </w:r>
            <w:r>
              <w:rPr>
                <w:rFonts w:ascii="宋体" w:hAnsi="宋体" w:cs="宋体" w:eastAsia="宋体" w:hint="default"/>
                <w:b/>
                <w:bCs/>
                <w:w w:val="99"/>
                <w:sz w:val="18"/>
                <w:szCs w:val="18"/>
              </w:rPr>
              <w:t> </w:t>
            </w:r>
            <w:r>
              <w:rPr>
                <w:rFonts w:ascii="宋体" w:hAnsi="宋体" w:cs="宋体" w:eastAsia="宋体" w:hint="default"/>
                <w:b/>
                <w:bCs/>
                <w:sz w:val="18"/>
                <w:szCs w:val="18"/>
              </w:rPr>
              <w:t>权比例(%)</w:t>
            </w:r>
            <w:r>
              <w:rPr>
                <w:rFonts w:ascii="宋体" w:hAnsi="宋体" w:cs="宋体" w:eastAsia="宋体" w:hint="default"/>
                <w:sz w:val="18"/>
                <w:szCs w:val="18"/>
              </w:rPr>
            </w:r>
          </w:p>
        </w:tc>
      </w:tr>
      <w:tr>
        <w:trPr>
          <w:trHeight w:val="414" w:hRule="exact"/>
        </w:trPr>
        <w:tc>
          <w:tcPr>
            <w:tcW w:w="29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58" w:right="0"/>
              <w:jc w:val="left"/>
              <w:rPr>
                <w:rFonts w:ascii="宋体" w:hAnsi="宋体" w:cs="宋体" w:eastAsia="宋体" w:hint="default"/>
                <w:sz w:val="18"/>
                <w:szCs w:val="18"/>
              </w:rPr>
            </w:pPr>
            <w:r>
              <w:rPr>
                <w:rFonts w:ascii="宋体"/>
                <w:sz w:val="18"/>
              </w:rPr>
              <w:t>9,120.00</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767" w:right="0"/>
              <w:jc w:val="left"/>
              <w:rPr>
                <w:rFonts w:ascii="宋体" w:hAnsi="宋体" w:cs="宋体" w:eastAsia="宋体" w:hint="default"/>
                <w:sz w:val="18"/>
                <w:szCs w:val="18"/>
              </w:rPr>
            </w:pPr>
            <w:r>
              <w:rPr>
                <w:rFonts w:ascii="宋体"/>
                <w:sz w:val="18"/>
              </w:rPr>
              <w:t>44.72</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877" w:right="0"/>
              <w:jc w:val="left"/>
              <w:rPr>
                <w:rFonts w:ascii="宋体" w:hAnsi="宋体" w:cs="宋体" w:eastAsia="宋体" w:hint="default"/>
                <w:sz w:val="18"/>
                <w:szCs w:val="18"/>
              </w:rPr>
            </w:pPr>
            <w:r>
              <w:rPr>
                <w:rFonts w:ascii="宋体"/>
                <w:sz w:val="18"/>
              </w:rPr>
              <w:t>44.72</w:t>
            </w:r>
          </w:p>
        </w:tc>
      </w:tr>
    </w:tbl>
    <w:p>
      <w:pPr>
        <w:spacing w:line="240" w:lineRule="auto" w:before="1"/>
        <w:rPr>
          <w:rFonts w:ascii="宋体" w:hAnsi="宋体" w:cs="宋体" w:eastAsia="宋体" w:hint="default"/>
          <w:sz w:val="9"/>
          <w:szCs w:val="9"/>
        </w:rPr>
      </w:pPr>
    </w:p>
    <w:p>
      <w:pPr>
        <w:pStyle w:val="BodyText"/>
        <w:spacing w:line="240" w:lineRule="auto"/>
        <w:ind w:left="740" w:right="80"/>
        <w:jc w:val="left"/>
      </w:pPr>
      <w:r>
        <w:rPr/>
        <w:t>（2）</w:t>
      </w:r>
      <w:r>
        <w:rPr>
          <w:spacing w:val="-63"/>
        </w:rPr>
        <w:t> </w:t>
      </w:r>
      <w:r>
        <w:rPr/>
        <w:t>最终控制方</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16"/>
        <w:gridCol w:w="1130"/>
        <w:gridCol w:w="1130"/>
        <w:gridCol w:w="1130"/>
        <w:gridCol w:w="1131"/>
        <w:gridCol w:w="1586"/>
      </w:tblGrid>
      <w:tr>
        <w:trPr>
          <w:trHeight w:val="417" w:hRule="exact"/>
        </w:trPr>
        <w:tc>
          <w:tcPr>
            <w:tcW w:w="26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最终控制方名称</w:t>
            </w:r>
            <w:r>
              <w:rPr>
                <w:rFonts w:ascii="宋体" w:hAnsi="宋体" w:cs="宋体" w:eastAsia="宋体" w:hint="default"/>
                <w:sz w:val="18"/>
                <w:szCs w:val="18"/>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17" w:hRule="exact"/>
        </w:trPr>
        <w:tc>
          <w:tcPr>
            <w:tcW w:w="26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张德生</w:t>
            </w:r>
          </w:p>
        </w:tc>
        <w:tc>
          <w:tcPr>
            <w:tcW w:w="1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25392200-3</w:t>
            </w:r>
          </w:p>
        </w:tc>
      </w:tr>
    </w:tbl>
    <w:p>
      <w:pPr>
        <w:spacing w:line="240" w:lineRule="auto" w:before="1"/>
        <w:rPr>
          <w:rFonts w:ascii="宋体" w:hAnsi="宋体" w:cs="宋体" w:eastAsia="宋体" w:hint="default"/>
          <w:sz w:val="9"/>
          <w:szCs w:val="9"/>
        </w:rPr>
      </w:pPr>
    </w:p>
    <w:p>
      <w:pPr>
        <w:pStyle w:val="BodyText"/>
        <w:spacing w:line="240" w:lineRule="auto"/>
        <w:ind w:left="740" w:right="80"/>
        <w:jc w:val="left"/>
      </w:pPr>
      <w:r>
        <w:rPr>
          <w:spacing w:val="-2"/>
        </w:rPr>
        <w:t>（3）</w:t>
      </w:r>
      <w:r>
        <w:rPr>
          <w:spacing w:val="-27"/>
        </w:rPr>
        <w:t> </w:t>
      </w:r>
      <w:r>
        <w:rPr>
          <w:spacing w:val="-2"/>
        </w:rPr>
        <w:t>控股股东的注册资本及其变化（单位：万元）</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83"/>
        <w:gridCol w:w="1410"/>
        <w:gridCol w:w="1410"/>
        <w:gridCol w:w="1410"/>
        <w:gridCol w:w="1410"/>
      </w:tblGrid>
      <w:tr>
        <w:trPr>
          <w:trHeight w:val="415" w:hRule="exact"/>
        </w:trPr>
        <w:tc>
          <w:tcPr>
            <w:tcW w:w="30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14" w:hRule="exact"/>
        </w:trPr>
        <w:tc>
          <w:tcPr>
            <w:tcW w:w="30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579" w:right="0"/>
              <w:jc w:val="left"/>
              <w:rPr>
                <w:rFonts w:ascii="宋体" w:hAnsi="宋体" w:cs="宋体" w:eastAsia="宋体" w:hint="default"/>
                <w:sz w:val="18"/>
                <w:szCs w:val="18"/>
              </w:rPr>
            </w:pPr>
            <w:r>
              <w:rPr>
                <w:rFonts w:ascii="宋体"/>
                <w:sz w:val="18"/>
              </w:rPr>
              <w:t>9,120.00</w:t>
            </w:r>
          </w:p>
        </w:tc>
        <w:tc>
          <w:tcPr>
            <w:tcW w:w="1410" w:type="dxa"/>
            <w:tcBorders>
              <w:top w:val="single" w:sz="2" w:space="0" w:color="000000"/>
              <w:left w:val="single" w:sz="2" w:space="0" w:color="000000"/>
              <w:bottom w:val="single" w:sz="12" w:space="0" w:color="000000"/>
              <w:right w:val="single" w:sz="2" w:space="0" w:color="000000"/>
            </w:tcBorders>
          </w:tcPr>
          <w:p>
            <w:pPr/>
          </w:p>
        </w:tc>
        <w:tc>
          <w:tcPr>
            <w:tcW w:w="1410" w:type="dxa"/>
            <w:tcBorders>
              <w:top w:val="single" w:sz="2" w:space="0" w:color="000000"/>
              <w:left w:val="single" w:sz="2" w:space="0" w:color="000000"/>
              <w:bottom w:val="single" w:sz="12" w:space="0" w:color="000000"/>
              <w:right w:val="single" w:sz="2" w:space="0" w:color="000000"/>
            </w:tcBorders>
          </w:tcPr>
          <w:p>
            <w:pPr/>
          </w:p>
        </w:tc>
        <w:tc>
          <w:tcPr>
            <w:tcW w:w="14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left="578" w:right="0"/>
              <w:jc w:val="left"/>
              <w:rPr>
                <w:rFonts w:ascii="宋体" w:hAnsi="宋体" w:cs="宋体" w:eastAsia="宋体" w:hint="default"/>
                <w:sz w:val="18"/>
                <w:szCs w:val="18"/>
              </w:rPr>
            </w:pPr>
            <w:r>
              <w:rPr>
                <w:rFonts w:ascii="宋体"/>
                <w:sz w:val="18"/>
              </w:rPr>
              <w:t>9,120.00</w:t>
            </w:r>
          </w:p>
        </w:tc>
      </w:tr>
    </w:tbl>
    <w:p>
      <w:pPr>
        <w:spacing w:line="240" w:lineRule="auto" w:before="1"/>
        <w:rPr>
          <w:rFonts w:ascii="宋体" w:hAnsi="宋体" w:cs="宋体" w:eastAsia="宋体" w:hint="default"/>
          <w:sz w:val="9"/>
          <w:szCs w:val="9"/>
        </w:rPr>
      </w:pPr>
    </w:p>
    <w:p>
      <w:pPr>
        <w:pStyle w:val="BodyText"/>
        <w:spacing w:line="240" w:lineRule="auto"/>
        <w:ind w:left="740" w:right="80"/>
        <w:jc w:val="left"/>
      </w:pPr>
      <w:r>
        <w:rPr/>
        <w:t>（4）</w:t>
      </w:r>
      <w:r>
        <w:rPr>
          <w:spacing w:val="-71"/>
        </w:rPr>
        <w:t> </w:t>
      </w:r>
      <w:r>
        <w:rPr/>
        <w:t>控股股东的所持股份或权益及其变化</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85"/>
        <w:gridCol w:w="1418"/>
        <w:gridCol w:w="1417"/>
        <w:gridCol w:w="1418"/>
        <w:gridCol w:w="1385"/>
      </w:tblGrid>
      <w:tr>
        <w:trPr>
          <w:trHeight w:val="415" w:hRule="exact"/>
        </w:trPr>
        <w:tc>
          <w:tcPr>
            <w:tcW w:w="3085"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83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280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402" w:hRule="exact"/>
        </w:trPr>
        <w:tc>
          <w:tcPr>
            <w:tcW w:w="3085"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330"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414" w:hRule="exact"/>
        </w:trPr>
        <w:tc>
          <w:tcPr>
            <w:tcW w:w="30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496" w:right="0"/>
              <w:jc w:val="left"/>
              <w:rPr>
                <w:rFonts w:ascii="宋体" w:hAnsi="宋体" w:cs="宋体" w:eastAsia="宋体" w:hint="default"/>
                <w:sz w:val="18"/>
                <w:szCs w:val="18"/>
              </w:rPr>
            </w:pPr>
            <w:r>
              <w:rPr>
                <w:rFonts w:ascii="宋体"/>
                <w:sz w:val="18"/>
              </w:rPr>
              <w:t>42,009.08</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496" w:right="0"/>
              <w:jc w:val="left"/>
              <w:rPr>
                <w:rFonts w:ascii="宋体" w:hAnsi="宋体" w:cs="宋体" w:eastAsia="宋体" w:hint="default"/>
                <w:sz w:val="18"/>
                <w:szCs w:val="18"/>
              </w:rPr>
            </w:pPr>
            <w:r>
              <w:rPr>
                <w:rFonts w:ascii="宋体"/>
                <w:sz w:val="18"/>
              </w:rPr>
              <w:t>46,109.08</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858" w:right="0"/>
              <w:jc w:val="left"/>
              <w:rPr>
                <w:rFonts w:ascii="宋体" w:hAnsi="宋体" w:cs="宋体" w:eastAsia="宋体" w:hint="default"/>
                <w:sz w:val="18"/>
                <w:szCs w:val="18"/>
              </w:rPr>
            </w:pPr>
            <w:r>
              <w:rPr>
                <w:rFonts w:ascii="宋体"/>
                <w:sz w:val="18"/>
              </w:rPr>
              <w:t>44.72</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824" w:right="0"/>
              <w:jc w:val="left"/>
              <w:rPr>
                <w:rFonts w:ascii="宋体" w:hAnsi="宋体" w:cs="宋体" w:eastAsia="宋体" w:hint="default"/>
                <w:sz w:val="18"/>
                <w:szCs w:val="18"/>
              </w:rPr>
            </w:pPr>
            <w:r>
              <w:rPr>
                <w:rFonts w:ascii="宋体"/>
                <w:sz w:val="18"/>
              </w:rPr>
              <w:t>49.07</w:t>
            </w:r>
          </w:p>
        </w:tc>
      </w:tr>
    </w:tbl>
    <w:p>
      <w:pPr>
        <w:spacing w:after="0" w:line="240" w:lineRule="auto"/>
        <w:jc w:val="left"/>
        <w:rPr>
          <w:rFonts w:ascii="宋体" w:hAnsi="宋体" w:cs="宋体" w:eastAsia="宋体" w:hint="default"/>
          <w:sz w:val="18"/>
          <w:szCs w:val="18"/>
        </w:rPr>
        <w:sectPr>
          <w:footerReference w:type="default" r:id="rId50"/>
          <w:pgSz w:w="11910" w:h="16840"/>
          <w:pgMar w:footer="873" w:header="0" w:top="1440" w:bottom="1060" w:left="1460" w:right="1460"/>
          <w:pgNumType w:start="150"/>
        </w:sectPr>
      </w:pPr>
    </w:p>
    <w:p>
      <w:pPr>
        <w:spacing w:line="240" w:lineRule="auto" w:before="1"/>
        <w:rPr>
          <w:rFonts w:ascii="宋体" w:hAnsi="宋体" w:cs="宋体" w:eastAsia="宋体" w:hint="default"/>
          <w:sz w:val="18"/>
          <w:szCs w:val="18"/>
        </w:rPr>
      </w:pPr>
    </w:p>
    <w:p>
      <w:pPr>
        <w:pStyle w:val="BodyText"/>
        <w:spacing w:line="240" w:lineRule="auto"/>
        <w:ind w:left="841" w:right="80"/>
        <w:jc w:val="left"/>
        <w:rPr>
          <w:rFonts w:ascii="黑体" w:hAnsi="黑体" w:cs="黑体" w:eastAsia="黑体" w:hint="default"/>
        </w:rPr>
      </w:pPr>
      <w:r>
        <w:rPr/>
        <w:t>2.</w:t>
      </w:r>
      <w:r>
        <w:rPr>
          <w:spacing w:val="66"/>
        </w:rPr>
        <w:t> </w:t>
      </w:r>
      <w:r>
        <w:rPr>
          <w:rFonts w:ascii="黑体" w:hAnsi="黑体" w:cs="黑体" w:eastAsia="黑体" w:hint="default"/>
        </w:rPr>
        <w:t>子公司</w:t>
      </w:r>
    </w:p>
    <w:p>
      <w:pPr>
        <w:pStyle w:val="BodyText"/>
        <w:spacing w:line="400" w:lineRule="auto" w:before="192"/>
        <w:ind w:left="841" w:right="1825" w:hanging="161"/>
        <w:jc w:val="left"/>
        <w:rPr>
          <w:rFonts w:ascii="黑体" w:hAnsi="黑体" w:cs="黑体" w:eastAsia="黑体" w:hint="default"/>
        </w:rPr>
      </w:pPr>
      <w:r>
        <w:rPr>
          <w:spacing w:val="-2"/>
        </w:rPr>
        <w:t>子公司情况详见本附注“八、1.（1）企业集团的构成”相关内容。</w:t>
      </w:r>
      <w:r>
        <w:rPr>
          <w:spacing w:val="-67"/>
        </w:rPr>
        <w:t> </w:t>
      </w:r>
      <w:r>
        <w:rPr>
          <w:spacing w:val="-67"/>
        </w:rPr>
      </w:r>
      <w:r>
        <w:rPr/>
        <w:t>3.</w:t>
      </w:r>
      <w:r>
        <w:rPr>
          <w:spacing w:val="62"/>
        </w:rPr>
        <w:t> </w:t>
      </w:r>
      <w:r>
        <w:rPr>
          <w:rFonts w:ascii="黑体" w:hAnsi="黑体" w:cs="黑体" w:eastAsia="黑体" w:hint="default"/>
        </w:rPr>
        <w:t>合营企业及联营企业</w:t>
      </w:r>
    </w:p>
    <w:p>
      <w:pPr>
        <w:pStyle w:val="BodyText"/>
        <w:spacing w:line="300" w:lineRule="auto" w:before="44"/>
        <w:ind w:left="241" w:right="80" w:firstLine="439"/>
        <w:jc w:val="left"/>
      </w:pPr>
      <w:r>
        <w:rPr>
          <w:spacing w:val="-4"/>
        </w:rPr>
        <w:t>本公司重要的合营或联营企业详见本附注“八、3.（1）重要的合营企业或联营企业”</w:t>
      </w:r>
      <w:r>
        <w:rPr>
          <w:w w:val="100"/>
        </w:rPr>
        <w:t> </w:t>
      </w:r>
      <w:r>
        <w:rPr>
          <w:spacing w:val="-4"/>
        </w:rPr>
        <w:t>相关内容。本年与本公司发生关联方交易，或前期与本公司发生关联方交易形成余额的其</w:t>
      </w:r>
      <w:r>
        <w:rPr>
          <w:spacing w:val="-51"/>
        </w:rPr>
        <w:t> </w:t>
      </w:r>
      <w:r>
        <w:rPr>
          <w:spacing w:val="-51"/>
        </w:rPr>
      </w:r>
      <w:r>
        <w:rPr/>
        <w:t>他合营或联营企业情况如下：</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070"/>
        <w:gridCol w:w="4653"/>
      </w:tblGrid>
      <w:tr>
        <w:trPr>
          <w:trHeight w:val="415" w:hRule="exact"/>
        </w:trPr>
        <w:tc>
          <w:tcPr>
            <w:tcW w:w="40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合营或联营企业名称</w:t>
            </w:r>
            <w:r>
              <w:rPr>
                <w:rFonts w:ascii="宋体" w:hAnsi="宋体" w:cs="宋体" w:eastAsia="宋体" w:hint="default"/>
                <w:sz w:val="22"/>
                <w:szCs w:val="22"/>
              </w:rPr>
            </w:r>
          </w:p>
        </w:tc>
        <w:tc>
          <w:tcPr>
            <w:tcW w:w="46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联营企业</w:t>
            </w:r>
          </w:p>
        </w:tc>
      </w:tr>
      <w:tr>
        <w:trPr>
          <w:trHeight w:val="414" w:hRule="exact"/>
        </w:trPr>
        <w:tc>
          <w:tcPr>
            <w:tcW w:w="40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山东万恩新能源科技有限公司</w:t>
            </w:r>
          </w:p>
        </w:tc>
        <w:tc>
          <w:tcPr>
            <w:tcW w:w="46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hAnsi="宋体" w:cs="宋体" w:eastAsia="宋体" w:hint="default"/>
                <w:sz w:val="22"/>
                <w:szCs w:val="22"/>
              </w:rPr>
              <w:t>联营企业</w:t>
            </w:r>
          </w:p>
        </w:tc>
      </w:tr>
    </w:tbl>
    <w:p>
      <w:pPr>
        <w:spacing w:line="240" w:lineRule="auto" w:before="3"/>
        <w:rPr>
          <w:rFonts w:ascii="宋体" w:hAnsi="宋体" w:cs="宋体" w:eastAsia="宋体" w:hint="default"/>
          <w:sz w:val="9"/>
          <w:szCs w:val="9"/>
        </w:rPr>
      </w:pPr>
    </w:p>
    <w:p>
      <w:pPr>
        <w:pStyle w:val="BodyText"/>
        <w:spacing w:line="240" w:lineRule="auto"/>
        <w:ind w:left="841" w:right="80"/>
        <w:jc w:val="left"/>
        <w:rPr>
          <w:rFonts w:ascii="黑体" w:hAnsi="黑体" w:cs="黑体" w:eastAsia="黑体" w:hint="default"/>
        </w:rPr>
      </w:pPr>
      <w:r>
        <w:rPr/>
        <w:t>4.</w:t>
      </w:r>
      <w:r>
        <w:rPr>
          <w:spacing w:val="66"/>
        </w:rPr>
        <w:t> </w:t>
      </w:r>
      <w:r>
        <w:rPr>
          <w:rFonts w:ascii="黑体" w:hAnsi="黑体" w:cs="黑体" w:eastAsia="黑体" w:hint="default"/>
        </w:rPr>
        <w:t>其他关联方</w:t>
      </w:r>
    </w:p>
    <w:p>
      <w:pPr>
        <w:spacing w:line="240" w:lineRule="auto" w:before="3"/>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070"/>
        <w:gridCol w:w="4653"/>
      </w:tblGrid>
      <w:tr>
        <w:trPr>
          <w:trHeight w:val="415" w:hRule="exact"/>
        </w:trPr>
        <w:tc>
          <w:tcPr>
            <w:tcW w:w="40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其他关联方名称</w:t>
            </w:r>
            <w:r>
              <w:rPr>
                <w:rFonts w:ascii="宋体" w:hAnsi="宋体" w:cs="宋体" w:eastAsia="宋体" w:hint="default"/>
                <w:sz w:val="22"/>
                <w:szCs w:val="22"/>
              </w:rPr>
            </w:r>
          </w:p>
        </w:tc>
        <w:tc>
          <w:tcPr>
            <w:tcW w:w="46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2"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万马联合控股集团有限公司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sz w:val="22"/>
                <w:szCs w:val="22"/>
              </w:rPr>
              <w:t>控股股东之母公司</w:t>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6"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浙江天屹信息房地产开发有限公司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6"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6"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14" w:hRule="exact"/>
        </w:trPr>
        <w:tc>
          <w:tcPr>
            <w:tcW w:w="40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46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sz w:val="22"/>
                <w:szCs w:val="22"/>
              </w:rPr>
              <w:t>其他关联方</w:t>
            </w:r>
          </w:p>
        </w:tc>
      </w:tr>
    </w:tbl>
    <w:p>
      <w:pPr>
        <w:spacing w:line="240" w:lineRule="auto" w:before="3"/>
        <w:rPr>
          <w:rFonts w:ascii="黑体" w:hAnsi="黑体" w:cs="黑体" w:eastAsia="黑体" w:hint="default"/>
          <w:sz w:val="9"/>
          <w:szCs w:val="9"/>
        </w:rPr>
      </w:pPr>
    </w:p>
    <w:p>
      <w:pPr>
        <w:pStyle w:val="Heading4"/>
        <w:spacing w:line="240" w:lineRule="auto"/>
        <w:ind w:left="661" w:right="80"/>
        <w:jc w:val="left"/>
        <w:rPr>
          <w:b w:val="0"/>
          <w:bCs w:val="0"/>
        </w:rPr>
      </w:pPr>
      <w:r>
        <w:rPr/>
        <w:t>（二）</w:t>
      </w:r>
      <w:r>
        <w:rPr>
          <w:spacing w:val="12"/>
        </w:rPr>
        <w:t> </w:t>
      </w:r>
      <w:r>
        <w:rPr/>
        <w:t>关联交易</w:t>
      </w:r>
      <w:r>
        <w:rPr>
          <w:b w:val="0"/>
          <w:bCs w:val="0"/>
        </w:rPr>
      </w:r>
    </w:p>
    <w:p>
      <w:pPr>
        <w:pStyle w:val="BodyText"/>
        <w:spacing w:line="240" w:lineRule="auto" w:before="192"/>
        <w:ind w:left="728" w:right="80"/>
        <w:jc w:val="left"/>
      </w:pPr>
      <w:r>
        <w:rPr/>
        <w:t>1.</w:t>
      </w:r>
      <w:r>
        <w:rPr>
          <w:spacing w:val="72"/>
        </w:rPr>
        <w:t> </w:t>
      </w:r>
      <w:r>
        <w:rPr/>
        <w:t>购销商品、提供和接受劳务的关联交易</w:t>
      </w:r>
    </w:p>
    <w:p>
      <w:pPr>
        <w:pStyle w:val="BodyText"/>
        <w:spacing w:line="240" w:lineRule="auto" w:before="192"/>
        <w:ind w:left="654" w:right="80"/>
        <w:jc w:val="left"/>
      </w:pPr>
      <w:r>
        <w:rPr/>
        <w:t>（1）</w:t>
      </w:r>
      <w:r>
        <w:rPr>
          <w:spacing w:val="21"/>
        </w:rPr>
        <w:t> </w:t>
      </w:r>
      <w:r>
        <w:rPr/>
        <w:t>采购商品/接受劳务</w:t>
      </w:r>
    </w:p>
    <w:p>
      <w:pPr>
        <w:spacing w:line="240" w:lineRule="auto" w:before="2"/>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431"/>
        <w:gridCol w:w="1850"/>
        <w:gridCol w:w="1643"/>
        <w:gridCol w:w="1643"/>
      </w:tblGrid>
      <w:tr>
        <w:trPr>
          <w:trHeight w:val="415" w:hRule="exact"/>
        </w:trPr>
        <w:tc>
          <w:tcPr>
            <w:tcW w:w="34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3" w:right="0"/>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2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26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30"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24"/>
              <w:jc w:val="right"/>
              <w:rPr>
                <w:rFonts w:ascii="宋体" w:hAnsi="宋体" w:cs="宋体" w:eastAsia="宋体" w:hint="default"/>
                <w:sz w:val="22"/>
                <w:szCs w:val="22"/>
              </w:rPr>
            </w:pPr>
            <w:r>
              <w:rPr>
                <w:rFonts w:ascii="宋体"/>
                <w:spacing w:val="-2"/>
                <w:sz w:val="22"/>
              </w:rPr>
              <w:t>99,931.62</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6"/>
              <w:jc w:val="right"/>
              <w:rPr>
                <w:rFonts w:ascii="宋体" w:hAnsi="宋体" w:cs="宋体" w:eastAsia="宋体" w:hint="default"/>
                <w:sz w:val="22"/>
                <w:szCs w:val="22"/>
              </w:rPr>
            </w:pPr>
            <w:r>
              <w:rPr>
                <w:rFonts w:ascii="宋体"/>
                <w:spacing w:val="-2"/>
                <w:sz w:val="22"/>
              </w:rPr>
              <w:t>436,308.36</w:t>
            </w: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宋体" w:hAnsi="宋体" w:cs="宋体" w:eastAsia="宋体" w:hint="default"/>
                <w:sz w:val="22"/>
                <w:szCs w:val="22"/>
              </w:rPr>
            </w:pPr>
            <w:r>
              <w:rPr>
                <w:rFonts w:ascii="宋体"/>
                <w:spacing w:val="-2"/>
                <w:sz w:val="22"/>
              </w:rPr>
              <w:t>909,683.49</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230,273.40</w:t>
            </w: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30"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24"/>
              <w:jc w:val="right"/>
              <w:rPr>
                <w:rFonts w:ascii="宋体" w:hAnsi="宋体" w:cs="宋体" w:eastAsia="宋体" w:hint="default"/>
                <w:sz w:val="22"/>
                <w:szCs w:val="22"/>
              </w:rPr>
            </w:pPr>
            <w:r>
              <w:rPr>
                <w:rFonts w:ascii="宋体"/>
                <w:spacing w:val="-2"/>
                <w:sz w:val="22"/>
              </w:rPr>
              <w:t>625,897.43</w:t>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4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50" w:type="dxa"/>
            <w:tcBorders>
              <w:top w:val="single" w:sz="2" w:space="0" w:color="000000"/>
              <w:left w:val="single" w:sz="2" w:space="0" w:color="000000"/>
              <w:bottom w:val="single" w:sz="12" w:space="0" w:color="000000"/>
              <w:right w:val="single" w:sz="2" w:space="0" w:color="000000"/>
            </w:tcBorders>
          </w:tcPr>
          <w:p>
            <w:pP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5"/>
              <w:jc w:val="right"/>
              <w:rPr>
                <w:rFonts w:ascii="宋体" w:hAnsi="宋体" w:cs="宋体" w:eastAsia="宋体" w:hint="default"/>
                <w:sz w:val="22"/>
                <w:szCs w:val="22"/>
              </w:rPr>
            </w:pPr>
            <w:r>
              <w:rPr>
                <w:rFonts w:ascii="宋体"/>
                <w:b/>
                <w:spacing w:val="-1"/>
                <w:sz w:val="22"/>
              </w:rPr>
              <w:t>1,635,512.54</w:t>
            </w:r>
            <w:r>
              <w:rPr>
                <w:rFonts w:ascii="宋体"/>
                <w:spacing w:val="-1"/>
                <w:sz w:val="22"/>
              </w:rPr>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9"/>
              <w:jc w:val="right"/>
              <w:rPr>
                <w:rFonts w:ascii="宋体" w:hAnsi="宋体" w:cs="宋体" w:eastAsia="宋体" w:hint="default"/>
                <w:sz w:val="22"/>
                <w:szCs w:val="22"/>
              </w:rPr>
            </w:pPr>
            <w:r>
              <w:rPr>
                <w:rFonts w:ascii="宋体"/>
                <w:b/>
                <w:spacing w:val="-1"/>
                <w:sz w:val="22"/>
              </w:rPr>
              <w:t>666,581.76</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66" w:right="80"/>
        <w:jc w:val="left"/>
      </w:pPr>
      <w:r>
        <w:rPr/>
        <w:t>（2）</w:t>
      </w:r>
      <w:r>
        <w:rPr>
          <w:spacing w:val="9"/>
        </w:rPr>
        <w:t> </w:t>
      </w:r>
      <w:r>
        <w:rPr/>
        <w:t>销售商品/提供劳务</w:t>
      </w:r>
    </w:p>
    <w:p>
      <w:pPr>
        <w:spacing w:line="240" w:lineRule="auto" w:before="3"/>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430"/>
        <w:gridCol w:w="1845"/>
        <w:gridCol w:w="1645"/>
        <w:gridCol w:w="1647"/>
      </w:tblGrid>
      <w:tr>
        <w:trPr>
          <w:trHeight w:val="415"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30"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8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 w:right="0"/>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268"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269"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浙江万马电气电缆集团有限公司</w:t>
            </w:r>
          </w:p>
        </w:tc>
        <w:tc>
          <w:tcPr>
            <w:tcW w:w="1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3"/>
              <w:jc w:val="right"/>
              <w:rPr>
                <w:rFonts w:ascii="宋体" w:hAnsi="宋体" w:cs="宋体" w:eastAsia="宋体" w:hint="default"/>
                <w:sz w:val="22"/>
                <w:szCs w:val="22"/>
              </w:rPr>
            </w:pPr>
            <w:r>
              <w:rPr>
                <w:rFonts w:ascii="宋体"/>
                <w:spacing w:val="-2"/>
                <w:sz w:val="22"/>
              </w:rPr>
              <w:t>11,220.89</w:t>
            </w:r>
          </w:p>
        </w:tc>
        <w:tc>
          <w:tcPr>
            <w:tcW w:w="16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6"/>
              <w:jc w:val="right"/>
              <w:rPr>
                <w:rFonts w:ascii="宋体" w:hAnsi="宋体" w:cs="宋体" w:eastAsia="宋体" w:hint="default"/>
                <w:sz w:val="22"/>
                <w:szCs w:val="22"/>
              </w:rPr>
            </w:pPr>
            <w:r>
              <w:rPr>
                <w:rFonts w:ascii="宋体"/>
                <w:spacing w:val="-2"/>
                <w:sz w:val="22"/>
              </w:rPr>
              <w:t>3,542.56</w:t>
            </w:r>
          </w:p>
        </w:tc>
      </w:tr>
      <w:tr>
        <w:trPr>
          <w:trHeight w:val="402"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30"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6"/>
              <w:jc w:val="right"/>
              <w:rPr>
                <w:rFonts w:ascii="宋体" w:hAnsi="宋体" w:cs="宋体" w:eastAsia="宋体" w:hint="default"/>
                <w:sz w:val="22"/>
                <w:szCs w:val="22"/>
              </w:rPr>
            </w:pPr>
            <w:r>
              <w:rPr>
                <w:rFonts w:ascii="宋体"/>
                <w:spacing w:val="-2"/>
                <w:sz w:val="22"/>
              </w:rPr>
              <w:t>41,548.72</w:t>
            </w:r>
          </w:p>
        </w:tc>
      </w:tr>
      <w:tr>
        <w:trPr>
          <w:trHeight w:val="412"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8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提供劳务</w:t>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23"/>
              <w:jc w:val="right"/>
              <w:rPr>
                <w:rFonts w:ascii="宋体" w:hAnsi="宋体" w:cs="宋体" w:eastAsia="宋体" w:hint="default"/>
                <w:sz w:val="22"/>
                <w:szCs w:val="22"/>
              </w:rPr>
            </w:pPr>
            <w:r>
              <w:rPr>
                <w:rFonts w:ascii="宋体"/>
                <w:spacing w:val="-2"/>
                <w:sz w:val="22"/>
              </w:rPr>
              <w:t>487,563.80</w:t>
            </w:r>
          </w:p>
        </w:tc>
        <w:tc>
          <w:tcPr>
            <w:tcW w:w="16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26"/>
              <w:jc w:val="right"/>
              <w:rPr>
                <w:rFonts w:ascii="宋体" w:hAnsi="宋体" w:cs="宋体" w:eastAsia="宋体" w:hint="default"/>
                <w:sz w:val="22"/>
                <w:szCs w:val="22"/>
              </w:rPr>
            </w:pPr>
            <w:r>
              <w:rPr>
                <w:rFonts w:ascii="宋体"/>
                <w:spacing w:val="-2"/>
                <w:sz w:val="22"/>
              </w:rPr>
              <w:t>701,808.10</w:t>
            </w:r>
          </w:p>
        </w:tc>
      </w:tr>
    </w:tbl>
    <w:p>
      <w:pPr>
        <w:spacing w:after="0" w:line="240" w:lineRule="auto"/>
        <w:jc w:val="right"/>
        <w:rPr>
          <w:rFonts w:ascii="宋体" w:hAnsi="宋体" w:cs="宋体" w:eastAsia="宋体" w:hint="default"/>
          <w:sz w:val="22"/>
          <w:szCs w:val="22"/>
        </w:rPr>
        <w:sectPr>
          <w:pgSz w:w="11910" w:h="16840"/>
          <w:pgMar w:header="0"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96" w:type="dxa"/>
        <w:tblLayout w:type="fixed"/>
        <w:tblCellMar>
          <w:top w:w="0" w:type="dxa"/>
          <w:left w:w="0" w:type="dxa"/>
          <w:bottom w:w="0" w:type="dxa"/>
          <w:right w:w="0" w:type="dxa"/>
        </w:tblCellMar>
        <w:tblLook w:val="01E0"/>
      </w:tblPr>
      <w:tblGrid>
        <w:gridCol w:w="3430"/>
        <w:gridCol w:w="1845"/>
        <w:gridCol w:w="1645"/>
        <w:gridCol w:w="1647"/>
      </w:tblGrid>
      <w:tr>
        <w:trPr>
          <w:trHeight w:val="415"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30"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8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 w:right="0"/>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68"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69"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1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
              <w:jc w:val="right"/>
              <w:rPr>
                <w:rFonts w:ascii="宋体" w:hAnsi="宋体" w:cs="宋体" w:eastAsia="宋体" w:hint="default"/>
                <w:sz w:val="22"/>
                <w:szCs w:val="22"/>
              </w:rPr>
            </w:pPr>
            <w:r>
              <w:rPr>
                <w:rFonts w:ascii="宋体"/>
                <w:spacing w:val="-2"/>
                <w:sz w:val="22"/>
              </w:rPr>
              <w:t>31,189.23</w:t>
            </w:r>
          </w:p>
        </w:tc>
        <w:tc>
          <w:tcPr>
            <w:tcW w:w="16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132,692.66</w:t>
            </w:r>
          </w:p>
        </w:tc>
      </w:tr>
      <w:tr>
        <w:trPr>
          <w:trHeight w:val="402"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3"/>
              <w:jc w:val="right"/>
              <w:rPr>
                <w:rFonts w:ascii="宋体" w:hAnsi="宋体" w:cs="宋体" w:eastAsia="宋体" w:hint="default"/>
                <w:sz w:val="22"/>
                <w:szCs w:val="22"/>
              </w:rPr>
            </w:pPr>
            <w:r>
              <w:rPr>
                <w:rFonts w:ascii="宋体"/>
                <w:spacing w:val="-2"/>
                <w:sz w:val="22"/>
              </w:rPr>
              <w:t>24,851.28</w:t>
            </w:r>
          </w:p>
        </w:tc>
        <w:tc>
          <w:tcPr>
            <w:tcW w:w="16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6"/>
              <w:jc w:val="right"/>
              <w:rPr>
                <w:rFonts w:ascii="宋体" w:hAnsi="宋体" w:cs="宋体" w:eastAsia="宋体" w:hint="default"/>
                <w:sz w:val="22"/>
                <w:szCs w:val="22"/>
              </w:rPr>
            </w:pPr>
            <w:r>
              <w:rPr>
                <w:rFonts w:ascii="宋体"/>
                <w:spacing w:val="-2"/>
                <w:sz w:val="22"/>
              </w:rPr>
              <w:t>145,488.31</w:t>
            </w:r>
          </w:p>
        </w:tc>
      </w:tr>
      <w:tr>
        <w:trPr>
          <w:trHeight w:val="402"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1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宋体" w:hAnsi="宋体" w:cs="宋体" w:eastAsia="宋体" w:hint="default"/>
                <w:sz w:val="22"/>
                <w:szCs w:val="22"/>
              </w:rPr>
            </w:pPr>
            <w:r>
              <w:rPr>
                <w:rFonts w:ascii="宋体"/>
                <w:spacing w:val="-2"/>
                <w:sz w:val="22"/>
              </w:rPr>
              <w:t>8,970.25</w:t>
            </w:r>
          </w:p>
        </w:tc>
        <w:tc>
          <w:tcPr>
            <w:tcW w:w="164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山东万恩新能源科技有限公司</w:t>
            </w:r>
          </w:p>
        </w:tc>
        <w:tc>
          <w:tcPr>
            <w:tcW w:w="1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3"/>
              <w:jc w:val="right"/>
              <w:rPr>
                <w:rFonts w:ascii="宋体" w:hAnsi="宋体" w:cs="宋体" w:eastAsia="宋体" w:hint="default"/>
                <w:sz w:val="22"/>
                <w:szCs w:val="22"/>
              </w:rPr>
            </w:pPr>
            <w:r>
              <w:rPr>
                <w:rFonts w:ascii="宋体"/>
                <w:spacing w:val="-2"/>
                <w:sz w:val="22"/>
              </w:rPr>
              <w:t>771,778.33</w:t>
            </w:r>
          </w:p>
        </w:tc>
        <w:tc>
          <w:tcPr>
            <w:tcW w:w="1647"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5" w:type="dxa"/>
            <w:tcBorders>
              <w:top w:val="single" w:sz="2" w:space="0" w:color="000000"/>
              <w:left w:val="single" w:sz="2" w:space="0" w:color="000000"/>
              <w:bottom w:val="single" w:sz="12" w:space="0" w:color="000000"/>
              <w:right w:val="single" w:sz="2" w:space="0" w:color="000000"/>
            </w:tcBorders>
          </w:tcPr>
          <w:p>
            <w:pP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3"/>
              <w:jc w:val="right"/>
              <w:rPr>
                <w:rFonts w:ascii="宋体" w:hAnsi="宋体" w:cs="宋体" w:eastAsia="宋体" w:hint="default"/>
                <w:sz w:val="22"/>
                <w:szCs w:val="22"/>
              </w:rPr>
            </w:pPr>
            <w:r>
              <w:rPr>
                <w:rFonts w:ascii="宋体"/>
                <w:b/>
                <w:spacing w:val="-1"/>
                <w:sz w:val="22"/>
              </w:rPr>
              <w:t>1,335,573.78</w:t>
            </w:r>
            <w:r>
              <w:rPr>
                <w:rFonts w:ascii="宋体"/>
                <w:spacing w:val="-1"/>
                <w:sz w:val="22"/>
              </w:rPr>
            </w:r>
          </w:p>
        </w:tc>
        <w:tc>
          <w:tcPr>
            <w:tcW w:w="16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6"/>
              <w:jc w:val="right"/>
              <w:rPr>
                <w:rFonts w:ascii="宋体" w:hAnsi="宋体" w:cs="宋体" w:eastAsia="宋体" w:hint="default"/>
                <w:sz w:val="22"/>
                <w:szCs w:val="22"/>
              </w:rPr>
            </w:pPr>
            <w:r>
              <w:rPr>
                <w:rFonts w:ascii="宋体"/>
                <w:b/>
                <w:spacing w:val="-1"/>
                <w:sz w:val="22"/>
              </w:rPr>
              <w:t>1,025,080.35</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728" w:right="80"/>
        <w:jc w:val="left"/>
      </w:pPr>
      <w:r>
        <w:rPr/>
        <w:t>2.</w:t>
      </w:r>
      <w:r>
        <w:rPr>
          <w:spacing w:val="78"/>
        </w:rPr>
        <w:t> </w:t>
      </w:r>
      <w:r>
        <w:rPr/>
        <w:t>关联出租情况</w:t>
      </w:r>
    </w:p>
    <w:p>
      <w:pPr>
        <w:pStyle w:val="BodyText"/>
        <w:spacing w:line="240" w:lineRule="auto" w:before="192"/>
        <w:ind w:left="666" w:right="80"/>
        <w:jc w:val="left"/>
      </w:pPr>
      <w:r>
        <w:rPr/>
        <w:t>（1）</w:t>
      </w:r>
      <w:r>
        <w:rPr>
          <w:spacing w:val="-90"/>
        </w:rPr>
        <w:t> </w:t>
      </w:r>
      <w:r>
        <w:rPr/>
        <w:t>出租情况</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02"/>
        <w:gridCol w:w="2551"/>
        <w:gridCol w:w="1136"/>
        <w:gridCol w:w="1117"/>
        <w:gridCol w:w="1117"/>
      </w:tblGrid>
      <w:tr>
        <w:trPr>
          <w:trHeight w:val="565" w:hRule="exact"/>
        </w:trPr>
        <w:tc>
          <w:tcPr>
            <w:tcW w:w="28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822"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474" w:right="112" w:hanging="360"/>
              <w:jc w:val="left"/>
              <w:rPr>
                <w:rFonts w:ascii="宋体" w:hAnsi="宋体" w:cs="宋体" w:eastAsia="宋体" w:hint="default"/>
                <w:sz w:val="18"/>
                <w:szCs w:val="18"/>
              </w:rPr>
            </w:pPr>
            <w:r>
              <w:rPr>
                <w:rFonts w:ascii="宋体" w:hAnsi="宋体" w:cs="宋体" w:eastAsia="宋体" w:hint="default"/>
                <w:b/>
                <w:bCs/>
                <w:sz w:val="18"/>
                <w:szCs w:val="18"/>
              </w:rPr>
              <w:t>租赁资产种</w:t>
            </w:r>
            <w:r>
              <w:rPr>
                <w:rFonts w:ascii="宋体" w:hAnsi="宋体" w:cs="宋体" w:eastAsia="宋体" w:hint="default"/>
                <w:b/>
                <w:bCs/>
                <w:w w:val="99"/>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111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195" w:right="103" w:hanging="92"/>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租赁收益</w:t>
            </w:r>
            <w:r>
              <w:rPr>
                <w:rFonts w:ascii="宋体" w:hAnsi="宋体" w:cs="宋体" w:eastAsia="宋体" w:hint="default"/>
                <w:sz w:val="18"/>
                <w:szCs w:val="18"/>
              </w:rPr>
            </w:r>
          </w:p>
        </w:tc>
        <w:tc>
          <w:tcPr>
            <w:tcW w:w="1117"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194" w:right="104" w:hanging="89"/>
              <w:jc w:val="left"/>
              <w:rPr>
                <w:rFonts w:ascii="宋体" w:hAnsi="宋体" w:cs="宋体" w:eastAsia="宋体" w:hint="default"/>
                <w:sz w:val="18"/>
                <w:szCs w:val="18"/>
              </w:rPr>
            </w:pPr>
            <w:r>
              <w:rPr>
                <w:rFonts w:ascii="宋体" w:hAnsi="宋体" w:cs="宋体" w:eastAsia="宋体" w:hint="default"/>
                <w:b/>
                <w:bCs/>
                <w:sz w:val="18"/>
                <w:szCs w:val="18"/>
              </w:rPr>
              <w:t>上年确认的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租赁收益</w:t>
            </w:r>
            <w:r>
              <w:rPr>
                <w:rFonts w:ascii="宋体" w:hAnsi="宋体" w:cs="宋体" w:eastAsia="宋体" w:hint="default"/>
                <w:sz w:val="18"/>
                <w:szCs w:val="18"/>
              </w:rPr>
            </w:r>
          </w:p>
        </w:tc>
      </w:tr>
      <w:tr>
        <w:trPr>
          <w:trHeight w:val="414" w:hRule="exact"/>
        </w:trPr>
        <w:tc>
          <w:tcPr>
            <w:tcW w:w="28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1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250" w:right="0"/>
              <w:jc w:val="left"/>
              <w:rPr>
                <w:rFonts w:ascii="宋体" w:hAnsi="宋体" w:cs="宋体" w:eastAsia="宋体" w:hint="default"/>
                <w:sz w:val="18"/>
                <w:szCs w:val="18"/>
              </w:rPr>
            </w:pPr>
            <w:r>
              <w:rPr>
                <w:rFonts w:ascii="宋体"/>
                <w:sz w:val="18"/>
              </w:rPr>
              <w:t>24,888.96</w:t>
            </w:r>
          </w:p>
        </w:tc>
        <w:tc>
          <w:tcPr>
            <w:tcW w:w="11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left="160" w:right="0"/>
              <w:jc w:val="left"/>
              <w:rPr>
                <w:rFonts w:ascii="宋体" w:hAnsi="宋体" w:cs="宋体" w:eastAsia="宋体" w:hint="default"/>
                <w:sz w:val="18"/>
                <w:szCs w:val="18"/>
              </w:rPr>
            </w:pPr>
            <w:r>
              <w:rPr>
                <w:rFonts w:ascii="宋体"/>
                <w:sz w:val="18"/>
              </w:rPr>
              <w:t>334,123.70</w:t>
            </w:r>
          </w:p>
        </w:tc>
      </w:tr>
    </w:tbl>
    <w:p>
      <w:pPr>
        <w:spacing w:line="240" w:lineRule="auto" w:before="1"/>
        <w:rPr>
          <w:rFonts w:ascii="宋体" w:hAnsi="宋体" w:cs="宋体" w:eastAsia="宋体" w:hint="default"/>
          <w:sz w:val="9"/>
          <w:szCs w:val="9"/>
        </w:rPr>
      </w:pPr>
    </w:p>
    <w:p>
      <w:pPr>
        <w:pStyle w:val="BodyText"/>
        <w:spacing w:line="240" w:lineRule="auto"/>
        <w:ind w:left="666" w:right="80"/>
        <w:jc w:val="left"/>
      </w:pPr>
      <w:r>
        <w:rPr/>
        <w:t>（2）</w:t>
      </w:r>
      <w:r>
        <w:rPr>
          <w:spacing w:val="-90"/>
        </w:rPr>
        <w:t> </w:t>
      </w:r>
      <w:r>
        <w:rPr/>
        <w:t>承租情况</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37"/>
        <w:gridCol w:w="2976"/>
        <w:gridCol w:w="1275"/>
        <w:gridCol w:w="1118"/>
        <w:gridCol w:w="1117"/>
      </w:tblGrid>
      <w:tr>
        <w:trPr>
          <w:trHeight w:val="565" w:hRule="exact"/>
        </w:trPr>
        <w:tc>
          <w:tcPr>
            <w:tcW w:w="22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7"/>
              <w:ind w:left="53"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11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6"/>
              <w:ind w:left="285" w:right="103" w:hanging="180"/>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租赁费</w:t>
            </w:r>
            <w:r>
              <w:rPr>
                <w:rFonts w:ascii="宋体" w:hAnsi="宋体" w:cs="宋体" w:eastAsia="宋体" w:hint="default"/>
                <w:sz w:val="18"/>
                <w:szCs w:val="18"/>
              </w:rPr>
            </w:r>
          </w:p>
        </w:tc>
        <w:tc>
          <w:tcPr>
            <w:tcW w:w="1117"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6"/>
              <w:ind w:left="285" w:right="104" w:hanging="180"/>
              <w:jc w:val="left"/>
              <w:rPr>
                <w:rFonts w:ascii="宋体" w:hAnsi="宋体" w:cs="宋体" w:eastAsia="宋体" w:hint="default"/>
                <w:sz w:val="18"/>
                <w:szCs w:val="18"/>
              </w:rPr>
            </w:pPr>
            <w:r>
              <w:rPr>
                <w:rFonts w:ascii="宋体" w:hAnsi="宋体" w:cs="宋体" w:eastAsia="宋体" w:hint="default"/>
                <w:b/>
                <w:bCs/>
                <w:sz w:val="18"/>
                <w:szCs w:val="18"/>
              </w:rPr>
              <w:t>上年确认的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租赁费</w:t>
            </w:r>
            <w:r>
              <w:rPr>
                <w:rFonts w:ascii="宋体" w:hAnsi="宋体" w:cs="宋体" w:eastAsia="宋体" w:hint="default"/>
                <w:sz w:val="18"/>
                <w:szCs w:val="18"/>
              </w:rPr>
            </w:r>
          </w:p>
        </w:tc>
      </w:tr>
      <w:tr>
        <w:trPr>
          <w:trHeight w:val="402" w:hRule="exact"/>
        </w:trPr>
        <w:tc>
          <w:tcPr>
            <w:tcW w:w="22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浙江天屹实业有限公司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118" w:type="dxa"/>
            <w:tcBorders>
              <w:top w:val="single" w:sz="2" w:space="0" w:color="000000"/>
              <w:left w:val="single" w:sz="2" w:space="0" w:color="000000"/>
              <w:bottom w:val="single" w:sz="2" w:space="0" w:color="000000"/>
              <w:right w:val="single" w:sz="2" w:space="0" w:color="000000"/>
            </w:tcBorders>
          </w:tcPr>
          <w:p>
            <w:pPr/>
          </w:p>
        </w:tc>
        <w:tc>
          <w:tcPr>
            <w:tcW w:w="11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160" w:right="0"/>
              <w:jc w:val="left"/>
              <w:rPr>
                <w:rFonts w:ascii="宋体" w:hAnsi="宋体" w:cs="宋体" w:eastAsia="宋体" w:hint="default"/>
                <w:sz w:val="18"/>
                <w:szCs w:val="18"/>
              </w:rPr>
            </w:pPr>
            <w:r>
              <w:rPr>
                <w:rFonts w:ascii="宋体"/>
                <w:sz w:val="18"/>
              </w:rPr>
              <w:t>722,377.05</w:t>
            </w:r>
          </w:p>
        </w:tc>
      </w:tr>
      <w:tr>
        <w:trPr>
          <w:trHeight w:val="414" w:hRule="exact"/>
        </w:trPr>
        <w:tc>
          <w:tcPr>
            <w:tcW w:w="22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万马科技股份有限公司</w:t>
            </w:r>
          </w:p>
        </w:tc>
        <w:tc>
          <w:tcPr>
            <w:tcW w:w="2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1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251" w:right="0"/>
              <w:jc w:val="left"/>
              <w:rPr>
                <w:rFonts w:ascii="宋体" w:hAnsi="宋体" w:cs="宋体" w:eastAsia="宋体" w:hint="default"/>
                <w:sz w:val="18"/>
                <w:szCs w:val="18"/>
              </w:rPr>
            </w:pPr>
            <w:r>
              <w:rPr>
                <w:rFonts w:ascii="宋体"/>
                <w:sz w:val="18"/>
              </w:rPr>
              <w:t>35,056.50</w:t>
            </w:r>
          </w:p>
        </w:tc>
        <w:tc>
          <w:tcPr>
            <w:tcW w:w="111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ind w:left="728" w:right="80"/>
        <w:jc w:val="left"/>
      </w:pPr>
      <w:r>
        <w:rPr/>
        <w:t>3.</w:t>
      </w:r>
      <w:r>
        <w:rPr>
          <w:spacing w:val="74"/>
        </w:rPr>
        <w:t> </w:t>
      </w:r>
      <w:r>
        <w:rPr/>
        <w:t>关联担保情况（单位：万元）</w:t>
      </w:r>
    </w:p>
    <w:p>
      <w:pPr>
        <w:spacing w:line="240" w:lineRule="auto" w:before="5"/>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1594"/>
        <w:gridCol w:w="1560"/>
        <w:gridCol w:w="1134"/>
        <w:gridCol w:w="1134"/>
        <w:gridCol w:w="1134"/>
        <w:gridCol w:w="1134"/>
        <w:gridCol w:w="877"/>
      </w:tblGrid>
      <w:tr>
        <w:trPr>
          <w:trHeight w:val="798" w:hRule="exact"/>
        </w:trPr>
        <w:tc>
          <w:tcPr>
            <w:tcW w:w="15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2"/>
              <w:ind w:left="385" w:right="110" w:hanging="272"/>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115" w:right="109"/>
              <w:jc w:val="center"/>
              <w:rPr>
                <w:rFonts w:ascii="宋体" w:hAnsi="宋体" w:cs="宋体" w:eastAsia="宋体" w:hint="default"/>
                <w:sz w:val="18"/>
                <w:szCs w:val="18"/>
              </w:rPr>
            </w:pPr>
            <w:r>
              <w:rPr>
                <w:rFonts w:ascii="宋体" w:hAnsi="宋体" w:cs="宋体" w:eastAsia="宋体" w:hint="default"/>
                <w:b/>
                <w:bCs/>
                <w:w w:val="95"/>
                <w:sz w:val="18"/>
                <w:szCs w:val="18"/>
              </w:rPr>
              <w:t>截止2015年</w:t>
            </w:r>
            <w:r>
              <w:rPr>
                <w:rFonts w:ascii="宋体" w:hAnsi="宋体" w:cs="宋体" w:eastAsia="宋体" w:hint="default"/>
                <w:b/>
                <w:bCs/>
                <w:spacing w:val="-50"/>
                <w:w w:val="95"/>
                <w:sz w:val="18"/>
                <w:szCs w:val="18"/>
              </w:rPr>
              <w:t> </w:t>
            </w:r>
            <w:r>
              <w:rPr>
                <w:rFonts w:ascii="宋体" w:hAnsi="宋体" w:cs="宋体" w:eastAsia="宋体" w:hint="default"/>
                <w:b/>
                <w:bCs/>
                <w:spacing w:val="-50"/>
                <w:w w:val="95"/>
                <w:sz w:val="18"/>
                <w:szCs w:val="18"/>
              </w:rPr>
            </w:r>
            <w:r>
              <w:rPr>
                <w:rFonts w:ascii="宋体" w:hAnsi="宋体" w:cs="宋体" w:eastAsia="宋体" w:hint="default"/>
                <w:b/>
                <w:bCs/>
                <w:sz w:val="18"/>
                <w:szCs w:val="18"/>
              </w:rPr>
              <w:t>底已使用担</w:t>
            </w:r>
            <w:r>
              <w:rPr>
                <w:rFonts w:ascii="宋体" w:hAnsi="宋体" w:cs="宋体" w:eastAsia="宋体" w:hint="default"/>
                <w:b/>
                <w:bCs/>
                <w:w w:val="99"/>
                <w:sz w:val="18"/>
                <w:szCs w:val="18"/>
              </w:rPr>
              <w:t> </w:t>
            </w:r>
            <w:r>
              <w:rPr>
                <w:rFonts w:ascii="宋体" w:hAnsi="宋体" w:cs="宋体" w:eastAsia="宋体" w:hint="default"/>
                <w:b/>
                <w:bCs/>
                <w:sz w:val="18"/>
                <w:szCs w:val="18"/>
              </w:rPr>
              <w:t>保额度</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2"/>
              <w:ind w:left="294" w:right="110" w:hanging="180"/>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2"/>
              <w:ind w:left="295" w:right="109" w:hanging="180"/>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到期日</w:t>
            </w:r>
            <w:r>
              <w:rPr>
                <w:rFonts w:ascii="宋体" w:hAnsi="宋体" w:cs="宋体" w:eastAsia="宋体" w:hint="default"/>
                <w:sz w:val="18"/>
                <w:szCs w:val="18"/>
              </w:rPr>
            </w:r>
          </w:p>
        </w:tc>
        <w:tc>
          <w:tcPr>
            <w:tcW w:w="877"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75" w:right="74"/>
              <w:jc w:val="center"/>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b/>
                <w:bCs/>
                <w:w w:val="99"/>
                <w:sz w:val="18"/>
                <w:szCs w:val="18"/>
              </w:rPr>
              <w:t> </w:t>
            </w:r>
            <w:r>
              <w:rPr>
                <w:rFonts w:ascii="宋体" w:hAnsi="宋体" w:cs="宋体" w:eastAsia="宋体" w:hint="default"/>
                <w:b/>
                <w:bCs/>
                <w:sz w:val="18"/>
                <w:szCs w:val="18"/>
              </w:rPr>
              <w:t>已经履行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r>
      <w:tr>
        <w:trPr>
          <w:trHeight w:val="552"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30" w:right="25"/>
              <w:jc w:val="left"/>
              <w:rPr>
                <w:rFonts w:ascii="宋体" w:hAnsi="宋体" w:cs="宋体" w:eastAsia="宋体" w:hint="default"/>
                <w:sz w:val="18"/>
                <w:szCs w:val="18"/>
              </w:rPr>
            </w:pPr>
            <w:r>
              <w:rPr>
                <w:rFonts w:ascii="宋体" w:hAnsi="宋体" w:cs="宋体" w:eastAsia="宋体" w:hint="default"/>
                <w:spacing w:val="11"/>
                <w:sz w:val="18"/>
                <w:szCs w:val="18"/>
              </w:rPr>
              <w:t>万马联合控股集团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5"/>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pacing w:val="-1"/>
                <w:sz w:val="18"/>
              </w:rPr>
              <w:t>10,000.00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pacing w:val="-1"/>
                <w:sz w:val="18"/>
              </w:rPr>
              <w:t>2015-1-30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6"/>
              <w:jc w:val="right"/>
              <w:rPr>
                <w:rFonts w:ascii="宋体" w:hAnsi="宋体" w:cs="宋体" w:eastAsia="宋体" w:hint="default"/>
                <w:sz w:val="18"/>
                <w:szCs w:val="18"/>
              </w:rPr>
            </w:pPr>
            <w:r>
              <w:rPr>
                <w:rFonts w:ascii="宋体"/>
                <w:spacing w:val="-1"/>
                <w:sz w:val="18"/>
              </w:rPr>
              <w:t>2016-1-30</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30"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5"/>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16,500.00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4"/>
              <w:jc w:val="right"/>
              <w:rPr>
                <w:rFonts w:ascii="宋体" w:hAnsi="宋体" w:cs="宋体" w:eastAsia="宋体" w:hint="default"/>
                <w:sz w:val="18"/>
                <w:szCs w:val="18"/>
              </w:rPr>
            </w:pPr>
            <w:r>
              <w:rPr>
                <w:rFonts w:ascii="宋体"/>
                <w:spacing w:val="-1"/>
                <w:sz w:val="18"/>
              </w:rPr>
              <w:t>5,000.00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2012-10-8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30" w:right="0"/>
              <w:jc w:val="left"/>
              <w:rPr>
                <w:rFonts w:ascii="宋体" w:hAnsi="宋体" w:cs="宋体" w:eastAsia="宋体" w:hint="default"/>
                <w:sz w:val="18"/>
                <w:szCs w:val="18"/>
              </w:rPr>
            </w:pPr>
            <w:r>
              <w:rPr>
                <w:rFonts w:ascii="宋体" w:hAnsi="宋体" w:cs="宋体" w:eastAsia="宋体" w:hint="default"/>
                <w:sz w:val="18"/>
                <w:szCs w:val="18"/>
              </w:rPr>
              <w:t>张德生</w:t>
            </w:r>
            <w:r>
              <w:rPr>
                <w:rFonts w:ascii="宋体" w:hAnsi="宋体" w:cs="宋体" w:eastAsia="宋体" w:hint="default"/>
                <w:spacing w:val="-2"/>
                <w:sz w:val="18"/>
                <w:szCs w:val="18"/>
              </w:rPr>
              <w:t> </w:t>
            </w:r>
            <w:r>
              <w:rPr>
                <w:rFonts w:ascii="宋体" w:hAnsi="宋体" w:cs="宋体" w:eastAsia="宋体" w:hint="default"/>
                <w:sz w:val="18"/>
                <w:szCs w:val="18"/>
              </w:rPr>
              <w:t>陆珍玉</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5"/>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20,000.00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4"/>
              <w:jc w:val="right"/>
              <w:rPr>
                <w:rFonts w:ascii="宋体" w:hAnsi="宋体" w:cs="宋体" w:eastAsia="宋体" w:hint="default"/>
                <w:sz w:val="18"/>
                <w:szCs w:val="18"/>
              </w:rPr>
            </w:pPr>
            <w:r>
              <w:rPr>
                <w:rFonts w:ascii="宋体"/>
                <w:spacing w:val="-1"/>
                <w:sz w:val="18"/>
              </w:rPr>
              <w:t>4,000.00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2014-12-12</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4"/>
              <w:jc w:val="right"/>
              <w:rPr>
                <w:rFonts w:ascii="宋体" w:hAnsi="宋体" w:cs="宋体" w:eastAsia="宋体" w:hint="default"/>
                <w:sz w:val="18"/>
                <w:szCs w:val="18"/>
              </w:rPr>
            </w:pPr>
            <w:r>
              <w:rPr>
                <w:rFonts w:ascii="宋体"/>
                <w:spacing w:val="-1"/>
                <w:sz w:val="18"/>
              </w:rPr>
              <w:t>2016-12-31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30" w:right="25"/>
              <w:jc w:val="left"/>
              <w:rPr>
                <w:rFonts w:ascii="宋体" w:hAnsi="宋体" w:cs="宋体" w:eastAsia="宋体" w:hint="default"/>
                <w:sz w:val="18"/>
                <w:szCs w:val="18"/>
              </w:rPr>
            </w:pPr>
            <w:r>
              <w:rPr>
                <w:rFonts w:ascii="宋体" w:hAnsi="宋体" w:cs="宋体" w:eastAsia="宋体" w:hint="default"/>
                <w:spacing w:val="11"/>
                <w:sz w:val="18"/>
                <w:szCs w:val="18"/>
              </w:rPr>
              <w:t>浙江万马电气电缆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集团有限公司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5"/>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17,000.00</w:t>
            </w:r>
          </w:p>
        </w:tc>
        <w:tc>
          <w:tcPr>
            <w:tcW w:w="113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1" w:right="0"/>
              <w:jc w:val="left"/>
              <w:rPr>
                <w:rFonts w:ascii="宋体" w:hAnsi="宋体" w:cs="宋体" w:eastAsia="宋体" w:hint="default"/>
                <w:sz w:val="18"/>
                <w:szCs w:val="18"/>
              </w:rPr>
            </w:pPr>
            <w:r>
              <w:rPr>
                <w:rFonts w:ascii="宋体"/>
                <w:sz w:val="18"/>
              </w:rPr>
              <w:t>4,000.00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2015-7-21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6"/>
              <w:jc w:val="right"/>
              <w:rPr>
                <w:rFonts w:ascii="宋体" w:hAnsi="宋体" w:cs="宋体" w:eastAsia="宋体" w:hint="default"/>
                <w:sz w:val="18"/>
                <w:szCs w:val="18"/>
              </w:rPr>
            </w:pPr>
            <w:r>
              <w:rPr>
                <w:rFonts w:ascii="宋体"/>
                <w:spacing w:val="-1"/>
                <w:sz w:val="18"/>
              </w:rPr>
              <w:t>2020-7-21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1"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30"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5"/>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17,000.00</w:t>
            </w:r>
          </w:p>
        </w:tc>
        <w:tc>
          <w:tcPr>
            <w:tcW w:w="1134"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2015-7-21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6"/>
              <w:jc w:val="right"/>
              <w:rPr>
                <w:rFonts w:ascii="宋体" w:hAnsi="宋体" w:cs="宋体" w:eastAsia="宋体" w:hint="default"/>
                <w:sz w:val="18"/>
                <w:szCs w:val="18"/>
              </w:rPr>
            </w:pPr>
            <w:r>
              <w:rPr>
                <w:rFonts w:ascii="宋体"/>
                <w:spacing w:val="-1"/>
                <w:sz w:val="18"/>
              </w:rPr>
              <w:t>2020-7-21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4" w:hRule="exact"/>
        </w:trPr>
        <w:tc>
          <w:tcPr>
            <w:tcW w:w="1594"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6"/>
              <w:ind w:left="30" w:right="25"/>
              <w:jc w:val="left"/>
              <w:rPr>
                <w:rFonts w:ascii="宋体" w:hAnsi="宋体" w:cs="宋体" w:eastAsia="宋体" w:hint="default"/>
                <w:sz w:val="18"/>
                <w:szCs w:val="18"/>
              </w:rPr>
            </w:pPr>
            <w:r>
              <w:rPr>
                <w:rFonts w:ascii="宋体" w:hAnsi="宋体" w:cs="宋体" w:eastAsia="宋体" w:hint="default"/>
                <w:spacing w:val="11"/>
                <w:sz w:val="18"/>
                <w:szCs w:val="18"/>
              </w:rPr>
              <w:t>浙江万马股份有限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6"/>
              <w:ind w:left="27" w:right="25"/>
              <w:jc w:val="left"/>
              <w:rPr>
                <w:rFonts w:ascii="宋体" w:hAnsi="宋体" w:cs="宋体" w:eastAsia="宋体" w:hint="default"/>
                <w:sz w:val="18"/>
                <w:szCs w:val="18"/>
              </w:rPr>
            </w:pPr>
            <w:r>
              <w:rPr>
                <w:rFonts w:ascii="宋体" w:hAnsi="宋体" w:cs="宋体" w:eastAsia="宋体" w:hint="default"/>
                <w:spacing w:val="7"/>
                <w:sz w:val="18"/>
                <w:szCs w:val="18"/>
              </w:rPr>
              <w:t>浙江万马高分子材</w:t>
            </w:r>
            <w:r>
              <w:rPr>
                <w:rFonts w:ascii="宋体" w:hAnsi="宋体" w:cs="宋体" w:eastAsia="宋体" w:hint="default"/>
                <w:sz w:val="18"/>
                <w:szCs w:val="18"/>
              </w:rPr>
              <w:t> 料有限公司</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pacing w:val="-1"/>
                <w:sz w:val="18"/>
              </w:rPr>
              <w:t>19,500.00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24"/>
              <w:jc w:val="right"/>
              <w:rPr>
                <w:rFonts w:ascii="宋体" w:hAnsi="宋体" w:cs="宋体" w:eastAsia="宋体" w:hint="default"/>
                <w:sz w:val="18"/>
                <w:szCs w:val="18"/>
              </w:rPr>
            </w:pPr>
            <w:r>
              <w:rPr>
                <w:rFonts w:ascii="宋体"/>
                <w:spacing w:val="-1"/>
                <w:sz w:val="18"/>
              </w:rPr>
              <w:t>5,800.00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pacing w:val="-1"/>
                <w:sz w:val="18"/>
              </w:rPr>
              <w:t>2014-2-20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26"/>
              <w:jc w:val="right"/>
              <w:rPr>
                <w:rFonts w:ascii="宋体" w:hAnsi="宋体" w:cs="宋体" w:eastAsia="宋体" w:hint="default"/>
                <w:sz w:val="18"/>
                <w:szCs w:val="18"/>
              </w:rPr>
            </w:pPr>
            <w:r>
              <w:rPr>
                <w:rFonts w:ascii="宋体"/>
                <w:spacing w:val="-1"/>
                <w:sz w:val="18"/>
              </w:rPr>
              <w:t>2016-2-19</w:t>
            </w:r>
          </w:p>
        </w:tc>
        <w:tc>
          <w:tcPr>
            <w:tcW w:w="8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9"/>
          <w:szCs w:val="9"/>
        </w:rPr>
      </w:pPr>
    </w:p>
    <w:p>
      <w:pPr>
        <w:pStyle w:val="BodyText"/>
        <w:spacing w:line="300" w:lineRule="auto"/>
        <w:ind w:left="241" w:right="80" w:firstLine="439"/>
        <w:jc w:val="left"/>
      </w:pPr>
      <w:r>
        <w:rPr/>
        <w:t>2015</w:t>
      </w:r>
      <w:r>
        <w:rPr>
          <w:spacing w:val="-49"/>
        </w:rPr>
        <w:t> </w:t>
      </w:r>
      <w:r>
        <w:rPr/>
        <w:t>年</w:t>
      </w:r>
      <w:r>
        <w:rPr>
          <w:spacing w:val="-45"/>
        </w:rPr>
        <w:t> </w:t>
      </w:r>
      <w:r>
        <w:rPr/>
        <w:t>12</w:t>
      </w:r>
      <w:r>
        <w:rPr>
          <w:spacing w:val="-49"/>
        </w:rPr>
        <w:t> </w:t>
      </w:r>
      <w:r>
        <w:rPr/>
        <w:t>月</w:t>
      </w:r>
      <w:r>
        <w:rPr>
          <w:spacing w:val="-45"/>
        </w:rPr>
        <w:t> </w:t>
      </w:r>
      <w:r>
        <w:rPr/>
        <w:t>2</w:t>
      </w:r>
      <w:r>
        <w:rPr>
          <w:spacing w:val="-45"/>
        </w:rPr>
        <w:t> </w:t>
      </w:r>
      <w:r>
        <w:rPr>
          <w:spacing w:val="-3"/>
        </w:rPr>
        <w:t>日，本公司与中国银行浙江省分行签订合同，为本公司之全资子公司</w:t>
      </w:r>
      <w:r>
        <w:rPr>
          <w:w w:val="100"/>
        </w:rPr>
        <w:t> </w:t>
      </w:r>
      <w:r>
        <w:rPr/>
        <w:t>浙江万马高分子材料有限公司综合授信</w:t>
      </w:r>
      <w:r>
        <w:rPr>
          <w:spacing w:val="-64"/>
        </w:rPr>
        <w:t> </w:t>
      </w:r>
      <w:r>
        <w:rPr/>
        <w:t>25,000.00</w:t>
      </w:r>
      <w:r>
        <w:rPr>
          <w:spacing w:val="-64"/>
        </w:rPr>
        <w:t> </w:t>
      </w:r>
      <w:r>
        <w:rPr/>
        <w:t>万元提供为期</w:t>
      </w:r>
      <w:r>
        <w:rPr>
          <w:spacing w:val="-61"/>
        </w:rPr>
        <w:t> </w:t>
      </w:r>
      <w:r>
        <w:rPr/>
        <w:t>2</w:t>
      </w:r>
      <w:r>
        <w:rPr>
          <w:spacing w:val="-61"/>
        </w:rPr>
        <w:t> </w:t>
      </w:r>
      <w:r>
        <w:rPr/>
        <w:t>年的连带责任保证。</w:t>
      </w:r>
    </w:p>
    <w:p>
      <w:pPr>
        <w:pStyle w:val="BodyText"/>
        <w:spacing w:line="300" w:lineRule="auto" w:before="137"/>
        <w:ind w:left="241" w:right="80" w:firstLine="439"/>
        <w:jc w:val="left"/>
      </w:pPr>
      <w:r>
        <w:rPr/>
        <w:t>2015</w:t>
      </w:r>
      <w:r>
        <w:rPr>
          <w:spacing w:val="-43"/>
        </w:rPr>
        <w:t> </w:t>
      </w:r>
      <w:r>
        <w:rPr/>
        <w:t>年</w:t>
      </w:r>
      <w:r>
        <w:rPr>
          <w:spacing w:val="-40"/>
        </w:rPr>
        <w:t> </w:t>
      </w:r>
      <w:r>
        <w:rPr/>
        <w:t>12</w:t>
      </w:r>
      <w:r>
        <w:rPr>
          <w:spacing w:val="-40"/>
        </w:rPr>
        <w:t> </w:t>
      </w:r>
      <w:r>
        <w:rPr/>
        <w:t>月</w:t>
      </w:r>
      <w:r>
        <w:rPr>
          <w:spacing w:val="-40"/>
        </w:rPr>
        <w:t> </w:t>
      </w:r>
      <w:r>
        <w:rPr/>
        <w:t>15</w:t>
      </w:r>
      <w:r>
        <w:rPr>
          <w:spacing w:val="-43"/>
        </w:rPr>
        <w:t> </w:t>
      </w:r>
      <w:r>
        <w:rPr/>
        <w:t>日，万马联合控股集团有限公司与中国进出口银行浙江省分行签订</w:t>
      </w:r>
      <w:r>
        <w:rPr>
          <w:w w:val="100"/>
        </w:rPr>
        <w:t> </w:t>
      </w:r>
      <w:r>
        <w:rPr/>
        <w:t>合同，为本公司提供连带责任还款保证，担保金额</w:t>
      </w:r>
      <w:r>
        <w:rPr>
          <w:spacing w:val="-68"/>
        </w:rPr>
        <w:t> </w:t>
      </w:r>
      <w:r>
        <w:rPr/>
        <w:t>16,000.00</w:t>
      </w:r>
      <w:r>
        <w:rPr>
          <w:spacing w:val="-65"/>
        </w:rPr>
        <w:t> </w:t>
      </w:r>
      <w:r>
        <w:rPr/>
        <w:t>万元。</w:t>
      </w:r>
    </w:p>
    <w:p>
      <w:pPr>
        <w:pStyle w:val="BodyText"/>
        <w:spacing w:line="286" w:lineRule="exact" w:before="98"/>
        <w:ind w:left="241" w:right="80"/>
        <w:jc w:val="left"/>
      </w:pPr>
      <w:r>
        <w:rPr/>
        <w:t>2015</w:t>
      </w:r>
      <w:r>
        <w:rPr>
          <w:spacing w:val="-48"/>
        </w:rPr>
        <w:t> </w:t>
      </w:r>
      <w:r>
        <w:rPr/>
        <w:t>年</w:t>
      </w:r>
      <w:r>
        <w:rPr>
          <w:spacing w:val="-45"/>
        </w:rPr>
        <w:t> </w:t>
      </w:r>
      <w:r>
        <w:rPr/>
        <w:t>12</w:t>
      </w:r>
      <w:r>
        <w:rPr>
          <w:spacing w:val="-48"/>
        </w:rPr>
        <w:t> </w:t>
      </w:r>
      <w:r>
        <w:rPr/>
        <w:t>月</w:t>
      </w:r>
      <w:r>
        <w:rPr>
          <w:spacing w:val="-45"/>
        </w:rPr>
        <w:t> </w:t>
      </w:r>
      <w:r>
        <w:rPr/>
        <w:t>29</w:t>
      </w:r>
      <w:r>
        <w:rPr>
          <w:spacing w:val="-48"/>
        </w:rPr>
        <w:t> </w:t>
      </w:r>
      <w:r>
        <w:rPr>
          <w:spacing w:val="-3"/>
        </w:rPr>
        <w:t>日，浙江万马电气电缆集团有限公司与国开发展基金有限公司签订合同，</w:t>
      </w:r>
      <w:r>
        <w:rPr>
          <w:spacing w:val="-104"/>
        </w:rPr>
        <w:t> </w:t>
      </w:r>
      <w:r>
        <w:rPr>
          <w:spacing w:val="-104"/>
        </w:rPr>
      </w:r>
      <w:r>
        <w:rPr/>
        <w:t>以其持有的本公司</w:t>
      </w:r>
      <w:r>
        <w:rPr>
          <w:spacing w:val="-70"/>
        </w:rPr>
        <w:t> </w:t>
      </w:r>
      <w:r>
        <w:rPr/>
        <w:t>1,500.00</w:t>
      </w:r>
      <w:r>
        <w:rPr>
          <w:spacing w:val="-68"/>
        </w:rPr>
        <w:t> </w:t>
      </w:r>
      <w:r>
        <w:rPr/>
        <w:t>万股流通股票基于“七、5.其他原因的合并范围变动”所述</w:t>
      </w:r>
    </w:p>
    <w:p>
      <w:pPr>
        <w:spacing w:after="0" w:line="286" w:lineRule="exact"/>
        <w:jc w:val="left"/>
        <w:sectPr>
          <w:pgSz w:w="11910" w:h="16840"/>
          <w:pgMar w:header="0" w:footer="873" w:top="1440" w:bottom="1060" w:left="1460" w:right="1460"/>
        </w:sectPr>
      </w:pPr>
    </w:p>
    <w:p>
      <w:pPr>
        <w:spacing w:line="240" w:lineRule="auto" w:before="4"/>
        <w:rPr>
          <w:rFonts w:ascii="宋体" w:hAnsi="宋体" w:cs="宋体" w:eastAsia="宋体" w:hint="default"/>
          <w:sz w:val="13"/>
          <w:szCs w:val="13"/>
        </w:rPr>
      </w:pPr>
    </w:p>
    <w:p>
      <w:pPr>
        <w:pStyle w:val="Heading3"/>
        <w:spacing w:line="310" w:lineRule="exact" w:before="58"/>
        <w:ind w:left="241" w:right="336"/>
        <w:jc w:val="left"/>
        <w:rPr>
          <w:sz w:val="22"/>
          <w:szCs w:val="22"/>
        </w:rPr>
      </w:pPr>
      <w:r>
        <w:rPr>
          <w:sz w:val="22"/>
          <w:szCs w:val="22"/>
        </w:rPr>
        <w:t>事项为本公司提供质押担保</w:t>
      </w:r>
      <w:r>
        <w:rPr/>
        <w:t>(其中</w:t>
      </w:r>
      <w:r>
        <w:rPr>
          <w:spacing w:val="-64"/>
        </w:rPr>
        <w:t> </w:t>
      </w:r>
      <w:r>
        <w:rPr/>
        <w:t>1,000.00</w:t>
      </w:r>
      <w:r>
        <w:rPr>
          <w:spacing w:val="-64"/>
        </w:rPr>
        <w:t> </w:t>
      </w:r>
      <w:r>
        <w:rPr/>
        <w:t>万股已办理股权质押登记，质押登记日</w:t>
      </w:r>
      <w:r>
        <w:rPr/>
        <w:t> 为</w:t>
      </w:r>
      <w:r>
        <w:rPr>
          <w:spacing w:val="-60"/>
        </w:rPr>
        <w:t> </w:t>
      </w:r>
      <w:r>
        <w:rPr/>
        <w:t>2016</w:t>
      </w:r>
      <w:r>
        <w:rPr>
          <w:spacing w:val="-60"/>
        </w:rPr>
        <w:t> </w:t>
      </w:r>
      <w:r>
        <w:rPr/>
        <w:t>年</w:t>
      </w:r>
      <w:r>
        <w:rPr>
          <w:spacing w:val="-60"/>
        </w:rPr>
        <w:t> </w:t>
      </w:r>
      <w:r>
        <w:rPr/>
        <w:t>1</w:t>
      </w:r>
      <w:r>
        <w:rPr>
          <w:spacing w:val="-60"/>
        </w:rPr>
        <w:t> </w:t>
      </w:r>
      <w:r>
        <w:rPr/>
        <w:t>月</w:t>
      </w:r>
      <w:r>
        <w:rPr>
          <w:spacing w:val="-60"/>
        </w:rPr>
        <w:t> </w:t>
      </w:r>
      <w:r>
        <w:rPr/>
        <w:t>8</w:t>
      </w:r>
      <w:r>
        <w:rPr>
          <w:spacing w:val="-60"/>
        </w:rPr>
        <w:t> </w:t>
      </w:r>
      <w:r>
        <w:rPr/>
        <w:t>日；剩余的</w:t>
      </w:r>
      <w:r>
        <w:rPr>
          <w:spacing w:val="-60"/>
        </w:rPr>
        <w:t> </w:t>
      </w:r>
      <w:r>
        <w:rPr/>
        <w:t>500.00</w:t>
      </w:r>
      <w:r>
        <w:rPr>
          <w:spacing w:val="-60"/>
        </w:rPr>
        <w:t> </w:t>
      </w:r>
      <w:r>
        <w:rPr/>
        <w:t>万股尚未办理股权质押登记)</w:t>
      </w:r>
      <w:r>
        <w:rPr>
          <w:sz w:val="22"/>
          <w:szCs w:val="22"/>
        </w:rPr>
        <w:t>。</w:t>
      </w:r>
    </w:p>
    <w:p>
      <w:pPr>
        <w:pStyle w:val="BodyText"/>
        <w:spacing w:line="480" w:lineRule="exact" w:before="34"/>
        <w:ind w:left="680" w:right="80" w:firstLine="48"/>
        <w:jc w:val="left"/>
      </w:pPr>
      <w:r>
        <w:rPr/>
        <w:t>4.</w:t>
      </w:r>
      <w:r>
        <w:rPr>
          <w:spacing w:val="80"/>
        </w:rPr>
        <w:t> </w:t>
      </w:r>
      <w:r>
        <w:rPr/>
        <w:t>关联方委托贷款</w:t>
      </w:r>
      <w:r>
        <w:rPr>
          <w:w w:val="100"/>
        </w:rPr>
        <w:t> </w:t>
      </w:r>
      <w:r>
        <w:rPr>
          <w:spacing w:val="2"/>
        </w:rPr>
        <w:t>本公司通过中国农业银行股份有限公司临安市支行向浙江电腾云光伏科技有限公司</w:t>
      </w:r>
    </w:p>
    <w:p>
      <w:pPr>
        <w:pStyle w:val="BodyText"/>
        <w:spacing w:line="300" w:lineRule="auto" w:before="7"/>
        <w:ind w:left="241" w:right="80"/>
        <w:jc w:val="left"/>
      </w:pPr>
      <w:r>
        <w:rPr/>
        <w:t>提供一般委托贷款</w:t>
      </w:r>
      <w:r>
        <w:rPr>
          <w:spacing w:val="-55"/>
        </w:rPr>
        <w:t> </w:t>
      </w:r>
      <w:r>
        <w:rPr/>
        <w:t>367.50</w:t>
      </w:r>
      <w:r>
        <w:rPr>
          <w:spacing w:val="-55"/>
        </w:rPr>
        <w:t> </w:t>
      </w:r>
      <w:r>
        <w:rPr/>
        <w:t>万元，委托贷款期限为</w:t>
      </w:r>
      <w:r>
        <w:rPr>
          <w:spacing w:val="-55"/>
        </w:rPr>
        <w:t> </w:t>
      </w:r>
      <w:r>
        <w:rPr/>
        <w:t>2015</w:t>
      </w:r>
      <w:r>
        <w:rPr>
          <w:spacing w:val="-55"/>
        </w:rPr>
        <w:t> </w:t>
      </w:r>
      <w:r>
        <w:rPr/>
        <w:t>年</w:t>
      </w:r>
      <w:r>
        <w:rPr>
          <w:spacing w:val="-55"/>
        </w:rPr>
        <w:t> </w:t>
      </w:r>
      <w:r>
        <w:rPr/>
        <w:t>9</w:t>
      </w:r>
      <w:r>
        <w:rPr>
          <w:spacing w:val="-55"/>
        </w:rPr>
        <w:t> </w:t>
      </w:r>
      <w:r>
        <w:rPr/>
        <w:t>月</w:t>
      </w:r>
      <w:r>
        <w:rPr>
          <w:spacing w:val="-55"/>
        </w:rPr>
        <w:t> </w:t>
      </w:r>
      <w:r>
        <w:rPr/>
        <w:t>2</w:t>
      </w:r>
      <w:r>
        <w:rPr>
          <w:spacing w:val="-53"/>
        </w:rPr>
        <w:t> </w:t>
      </w:r>
      <w:r>
        <w:rPr/>
        <w:t>日到</w:t>
      </w:r>
      <w:r>
        <w:rPr>
          <w:spacing w:val="-55"/>
        </w:rPr>
        <w:t> </w:t>
      </w:r>
      <w:r>
        <w:rPr/>
        <w:t>2016</w:t>
      </w:r>
      <w:r>
        <w:rPr>
          <w:spacing w:val="-55"/>
        </w:rPr>
        <w:t> </w:t>
      </w:r>
      <w:r>
        <w:rPr/>
        <w:t>年</w:t>
      </w:r>
      <w:r>
        <w:rPr>
          <w:spacing w:val="-55"/>
        </w:rPr>
        <w:t> </w:t>
      </w:r>
      <w:r>
        <w:rPr/>
        <w:t>3</w:t>
      </w:r>
      <w:r>
        <w:rPr>
          <w:spacing w:val="-55"/>
        </w:rPr>
        <w:t> </w:t>
      </w:r>
      <w:r>
        <w:rPr/>
        <w:t>月</w:t>
      </w:r>
      <w:r>
        <w:rPr>
          <w:spacing w:val="-55"/>
        </w:rPr>
        <w:t> </w:t>
      </w:r>
      <w:r>
        <w:rPr/>
        <w:t>1</w:t>
      </w:r>
      <w:r>
        <w:rPr>
          <w:spacing w:val="-55"/>
        </w:rPr>
        <w:t> </w:t>
      </w:r>
      <w:r>
        <w:rPr/>
        <w:t>日，</w:t>
      </w:r>
      <w:r>
        <w:rPr>
          <w:w w:val="100"/>
        </w:rPr>
        <w:t> </w:t>
      </w:r>
      <w:r>
        <w:rPr/>
        <w:t>年利率</w:t>
      </w:r>
      <w:r>
        <w:rPr>
          <w:spacing w:val="-61"/>
        </w:rPr>
        <w:t> </w:t>
      </w:r>
      <w:r>
        <w:rPr/>
        <w:t>5.45%，本年已确认利息收入</w:t>
      </w:r>
      <w:r>
        <w:rPr>
          <w:spacing w:val="-63"/>
        </w:rPr>
        <w:t> </w:t>
      </w:r>
      <w:r>
        <w:rPr/>
        <w:t>67,318.86</w:t>
      </w:r>
      <w:r>
        <w:rPr>
          <w:spacing w:val="-61"/>
        </w:rPr>
        <w:t> </w:t>
      </w:r>
      <w:r>
        <w:rPr/>
        <w:t>元。</w:t>
      </w:r>
    </w:p>
    <w:p>
      <w:pPr>
        <w:pStyle w:val="BodyText"/>
        <w:spacing w:line="240" w:lineRule="auto" w:before="137"/>
        <w:ind w:left="728" w:right="80"/>
        <w:jc w:val="left"/>
      </w:pPr>
      <w:r>
        <w:rPr/>
        <w:t>5.</w:t>
      </w:r>
      <w:r>
        <w:rPr>
          <w:spacing w:val="78"/>
        </w:rPr>
        <w:t> </w:t>
      </w:r>
      <w:r>
        <w:rPr/>
        <w:t>关联方资产转让</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22"/>
        <w:gridCol w:w="1863"/>
        <w:gridCol w:w="1968"/>
        <w:gridCol w:w="1970"/>
      </w:tblGrid>
      <w:tr>
        <w:trPr>
          <w:trHeight w:val="415"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88" w:right="0"/>
              <w:jc w:val="left"/>
              <w:rPr>
                <w:rFonts w:ascii="宋体" w:hAnsi="宋体" w:cs="宋体" w:eastAsia="宋体" w:hint="default"/>
                <w:sz w:val="22"/>
                <w:szCs w:val="22"/>
              </w:rPr>
            </w:pPr>
            <w:r>
              <w:rPr>
                <w:rFonts w:ascii="宋体" w:hAnsi="宋体" w:cs="宋体" w:eastAsia="宋体" w:hint="default"/>
                <w:b/>
                <w:bCs/>
                <w:sz w:val="22"/>
                <w:szCs w:val="22"/>
              </w:rPr>
              <w:t>交易类型</w:t>
            </w:r>
            <w:r>
              <w:rPr>
                <w:rFonts w:ascii="宋体" w:hAnsi="宋体" w:cs="宋体" w:eastAsia="宋体" w:hint="default"/>
                <w:sz w:val="22"/>
                <w:szCs w:val="22"/>
              </w:rPr>
            </w:r>
          </w:p>
        </w:tc>
        <w:tc>
          <w:tcPr>
            <w:tcW w:w="19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3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9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43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1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购买房屋建筑物</w:t>
            </w:r>
          </w:p>
        </w:tc>
        <w:tc>
          <w:tcPr>
            <w:tcW w:w="1968" w:type="dxa"/>
            <w:tcBorders>
              <w:top w:val="single" w:sz="2" w:space="0" w:color="000000"/>
              <w:left w:val="single" w:sz="2" w:space="0" w:color="000000"/>
              <w:bottom w:val="single" w:sz="2" w:space="0" w:color="000000"/>
              <w:right w:val="single" w:sz="2" w:space="0" w:color="000000"/>
            </w:tcBorders>
          </w:tcPr>
          <w:p>
            <w:pPr/>
          </w:p>
        </w:tc>
        <w:tc>
          <w:tcPr>
            <w:tcW w:w="19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428" w:right="0"/>
              <w:jc w:val="left"/>
              <w:rPr>
                <w:rFonts w:ascii="宋体" w:hAnsi="宋体" w:cs="宋体" w:eastAsia="宋体" w:hint="default"/>
                <w:sz w:val="22"/>
                <w:szCs w:val="22"/>
              </w:rPr>
            </w:pPr>
            <w:r>
              <w:rPr>
                <w:rFonts w:ascii="宋体"/>
                <w:sz w:val="22"/>
              </w:rPr>
              <w:t>44,189,300.00</w:t>
            </w:r>
          </w:p>
        </w:tc>
      </w:tr>
      <w:tr>
        <w:trPr>
          <w:trHeight w:val="414"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1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购买土地</w:t>
            </w:r>
          </w:p>
        </w:tc>
        <w:tc>
          <w:tcPr>
            <w:tcW w:w="1968" w:type="dxa"/>
            <w:tcBorders>
              <w:top w:val="single" w:sz="2" w:space="0" w:color="000000"/>
              <w:left w:val="single" w:sz="2" w:space="0" w:color="000000"/>
              <w:bottom w:val="single" w:sz="12" w:space="0" w:color="000000"/>
              <w:right w:val="single" w:sz="2" w:space="0" w:color="000000"/>
            </w:tcBorders>
          </w:tcPr>
          <w:p>
            <w:pPr/>
          </w:p>
        </w:tc>
        <w:tc>
          <w:tcPr>
            <w:tcW w:w="19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428" w:right="0"/>
              <w:jc w:val="left"/>
              <w:rPr>
                <w:rFonts w:ascii="宋体" w:hAnsi="宋体" w:cs="宋体" w:eastAsia="宋体" w:hint="default"/>
                <w:sz w:val="22"/>
                <w:szCs w:val="22"/>
              </w:rPr>
            </w:pPr>
            <w:r>
              <w:rPr>
                <w:rFonts w:ascii="宋体"/>
                <w:sz w:val="22"/>
              </w:rPr>
              <w:t>24,970,000.00</w:t>
            </w:r>
          </w:p>
        </w:tc>
      </w:tr>
    </w:tbl>
    <w:p>
      <w:pPr>
        <w:spacing w:line="240" w:lineRule="auto" w:before="2"/>
        <w:rPr>
          <w:rFonts w:ascii="宋体" w:hAnsi="宋体" w:cs="宋体" w:eastAsia="宋体" w:hint="default"/>
          <w:sz w:val="9"/>
          <w:szCs w:val="9"/>
        </w:rPr>
      </w:pPr>
    </w:p>
    <w:p>
      <w:pPr>
        <w:pStyle w:val="BodyText"/>
        <w:spacing w:line="300" w:lineRule="auto"/>
        <w:ind w:left="241" w:right="234" w:firstLine="439"/>
        <w:jc w:val="both"/>
      </w:pPr>
      <w:r>
        <w:rPr>
          <w:spacing w:val="-4"/>
        </w:rPr>
        <w:t>为规范和减少本集团和天屹实业双方的关联交易，进一步确保子公司浙江万马天屹通</w:t>
      </w:r>
      <w:r>
        <w:rPr>
          <w:w w:val="100"/>
        </w:rPr>
        <w:t> </w:t>
      </w:r>
      <w:r>
        <w:rPr/>
        <w:t>信线缆有限公司生产经营用房的稳定性，并履行本公司</w:t>
      </w:r>
      <w:r>
        <w:rPr>
          <w:spacing w:val="-52"/>
        </w:rPr>
        <w:t> </w:t>
      </w:r>
      <w:r>
        <w:rPr/>
        <w:t>2012</w:t>
      </w:r>
      <w:r>
        <w:rPr>
          <w:spacing w:val="-55"/>
        </w:rPr>
        <w:t> </w:t>
      </w:r>
      <w:r>
        <w:rPr/>
        <w:t>年《发行股份购买资产并募</w:t>
      </w:r>
      <w:r>
        <w:rPr>
          <w:spacing w:val="-108"/>
        </w:rPr>
        <w:t> </w:t>
      </w:r>
      <w:r>
        <w:rPr>
          <w:spacing w:val="-108"/>
        </w:rPr>
      </w:r>
      <w:r>
        <w:rPr>
          <w:spacing w:val="-4"/>
        </w:rPr>
        <w:t>集配套资金暨关联交易报告书（修订版）》中《万马电缆关于购买天屹实业土地使用权及</w:t>
      </w:r>
      <w:r>
        <w:rPr>
          <w:spacing w:val="-49"/>
        </w:rPr>
        <w:t> </w:t>
      </w:r>
      <w:r>
        <w:rPr>
          <w:spacing w:val="-49"/>
        </w:rPr>
      </w:r>
      <w:r>
        <w:rPr>
          <w:spacing w:val="-4"/>
        </w:rPr>
        <w:t>房屋所有权的承诺函》的相关约定，本公司以自有资金购买天屹实业名下证号为“临国用</w:t>
      </w:r>
    </w:p>
    <w:p>
      <w:pPr>
        <w:pStyle w:val="BodyText"/>
        <w:spacing w:line="300" w:lineRule="auto" w:before="17"/>
        <w:ind w:left="241" w:right="237"/>
        <w:jc w:val="both"/>
      </w:pPr>
      <w:r>
        <w:rPr>
          <w:spacing w:val="-4"/>
        </w:rPr>
        <w:t>（2012）第</w:t>
      </w:r>
      <w:r>
        <w:rPr>
          <w:spacing w:val="-57"/>
        </w:rPr>
        <w:t> </w:t>
      </w:r>
      <w:r>
        <w:rPr/>
        <w:t>03591</w:t>
      </w:r>
      <w:r>
        <w:rPr>
          <w:spacing w:val="-54"/>
        </w:rPr>
        <w:t> </w:t>
      </w:r>
      <w:r>
        <w:rPr>
          <w:spacing w:val="-6"/>
        </w:rPr>
        <w:t>号”《国有土地使用证》项下</w:t>
      </w:r>
      <w:r>
        <w:rPr>
          <w:spacing w:val="-54"/>
        </w:rPr>
        <w:t> </w:t>
      </w:r>
      <w:r>
        <w:rPr/>
        <w:t>62,257.10</w:t>
      </w:r>
      <w:r>
        <w:rPr>
          <w:spacing w:val="-57"/>
        </w:rPr>
        <w:t> </w:t>
      </w:r>
      <w:r>
        <w:rPr/>
        <w:t>平方米土地及其地上附属建筑</w:t>
      </w:r>
      <w:r>
        <w:rPr>
          <w:w w:val="100"/>
        </w:rPr>
        <w:t> </w:t>
      </w:r>
      <w:r>
        <w:rPr>
          <w:spacing w:val="-4"/>
        </w:rPr>
        <w:t>物及构筑物。转让标的之转让总价款以具有证券期货资质的坤元资产评估有限公司出具的</w:t>
      </w:r>
      <w:r>
        <w:rPr>
          <w:spacing w:val="-53"/>
        </w:rPr>
        <w:t> </w:t>
      </w:r>
      <w:r>
        <w:rPr>
          <w:spacing w:val="-53"/>
        </w:rPr>
      </w:r>
      <w:r>
        <w:rPr>
          <w:spacing w:val="-2"/>
        </w:rPr>
        <w:t>“坤元评报[2013]369</w:t>
      </w:r>
      <w:r>
        <w:rPr>
          <w:spacing w:val="-9"/>
        </w:rPr>
        <w:t> </w:t>
      </w:r>
      <w:r>
        <w:rPr>
          <w:spacing w:val="-2"/>
        </w:rPr>
        <w:t>号”《资产评估报告》确定的评估价值为基础。</w:t>
      </w:r>
    </w:p>
    <w:p>
      <w:pPr>
        <w:pStyle w:val="BodyText"/>
        <w:spacing w:line="240" w:lineRule="auto" w:before="137"/>
        <w:ind w:left="728" w:right="80"/>
        <w:jc w:val="left"/>
      </w:pPr>
      <w:r>
        <w:rPr/>
        <w:t>6.</w:t>
      </w:r>
      <w:r>
        <w:rPr>
          <w:spacing w:val="80"/>
        </w:rPr>
        <w:t> </w:t>
      </w:r>
      <w:r>
        <w:rPr/>
        <w:t>管理人薪酬</w:t>
      </w:r>
    </w:p>
    <w:p>
      <w:pPr>
        <w:spacing w:line="240" w:lineRule="auto" w:before="4"/>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565"/>
        <w:gridCol w:w="2567"/>
        <w:gridCol w:w="2435"/>
      </w:tblGrid>
      <w:tr>
        <w:trPr>
          <w:trHeight w:val="415" w:hRule="exact"/>
        </w:trPr>
        <w:tc>
          <w:tcPr>
            <w:tcW w:w="35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73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66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14" w:hRule="exact"/>
        </w:trPr>
        <w:tc>
          <w:tcPr>
            <w:tcW w:w="35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b/>
                <w:bCs/>
                <w:sz w:val="22"/>
                <w:szCs w:val="22"/>
              </w:rPr>
              <w:t>薪酬合计</w:t>
            </w:r>
            <w:r>
              <w:rPr>
                <w:rFonts w:ascii="宋体" w:hAnsi="宋体" w:cs="宋体" w:eastAsia="宋体" w:hint="default"/>
                <w:sz w:val="22"/>
                <w:szCs w:val="22"/>
              </w:rPr>
            </w:r>
          </w:p>
        </w:tc>
        <w:tc>
          <w:tcPr>
            <w:tcW w:w="2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1215" w:right="0"/>
              <w:jc w:val="left"/>
              <w:rPr>
                <w:rFonts w:ascii="宋体" w:hAnsi="宋体" w:cs="宋体" w:eastAsia="宋体" w:hint="default"/>
                <w:sz w:val="22"/>
                <w:szCs w:val="22"/>
              </w:rPr>
            </w:pPr>
            <w:r>
              <w:rPr>
                <w:rFonts w:ascii="宋体"/>
                <w:sz w:val="22"/>
              </w:rPr>
              <w:t>4,446,134.00</w:t>
            </w:r>
          </w:p>
        </w:tc>
        <w:tc>
          <w:tcPr>
            <w:tcW w:w="24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1081" w:right="0"/>
              <w:jc w:val="left"/>
              <w:rPr>
                <w:rFonts w:ascii="宋体" w:hAnsi="宋体" w:cs="宋体" w:eastAsia="宋体" w:hint="default"/>
                <w:sz w:val="22"/>
                <w:szCs w:val="22"/>
              </w:rPr>
            </w:pPr>
            <w:r>
              <w:rPr>
                <w:rFonts w:ascii="宋体"/>
                <w:sz w:val="22"/>
              </w:rPr>
              <w:t>3,122,400.00</w:t>
            </w:r>
          </w:p>
        </w:tc>
      </w:tr>
    </w:tbl>
    <w:p>
      <w:pPr>
        <w:spacing w:line="240" w:lineRule="auto" w:before="2"/>
        <w:rPr>
          <w:rFonts w:ascii="宋体" w:hAnsi="宋体" w:cs="宋体" w:eastAsia="宋体" w:hint="default"/>
          <w:sz w:val="9"/>
          <w:szCs w:val="9"/>
        </w:rPr>
      </w:pPr>
    </w:p>
    <w:p>
      <w:pPr>
        <w:spacing w:line="400" w:lineRule="auto" w:before="33"/>
        <w:ind w:left="740" w:right="5920" w:hanging="80"/>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spacing w:val="-102"/>
          <w:sz w:val="22"/>
          <w:szCs w:val="22"/>
        </w:rPr>
        <w:t> </w:t>
      </w:r>
      <w:r>
        <w:rPr>
          <w:rFonts w:ascii="宋体" w:hAnsi="宋体" w:cs="宋体" w:eastAsia="宋体" w:hint="default"/>
          <w:b/>
          <w:bCs/>
          <w:spacing w:val="-102"/>
          <w:sz w:val="22"/>
          <w:szCs w:val="22"/>
        </w:rPr>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应收项目</w:t>
      </w:r>
    </w:p>
    <w:tbl>
      <w:tblPr>
        <w:tblW w:w="0" w:type="auto"/>
        <w:jc w:val="left"/>
        <w:tblInd w:w="118" w:type="dxa"/>
        <w:tblLayout w:type="fixed"/>
        <w:tblCellMar>
          <w:top w:w="0" w:type="dxa"/>
          <w:left w:w="0" w:type="dxa"/>
          <w:bottom w:w="0" w:type="dxa"/>
          <w:right w:w="0" w:type="dxa"/>
        </w:tblCellMar>
        <w:tblLook w:val="01E0"/>
      </w:tblPr>
      <w:tblGrid>
        <w:gridCol w:w="1135"/>
        <w:gridCol w:w="3332"/>
        <w:gridCol w:w="1260"/>
        <w:gridCol w:w="930"/>
        <w:gridCol w:w="1136"/>
        <w:gridCol w:w="930"/>
      </w:tblGrid>
      <w:tr>
        <w:trPr>
          <w:trHeight w:val="415" w:hRule="exact"/>
        </w:trPr>
        <w:tc>
          <w:tcPr>
            <w:tcW w:w="1135"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332"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19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6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67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135" w:type="dxa"/>
            <w:vMerge/>
            <w:tcBorders>
              <w:left w:val="nil" w:sz="6" w:space="0" w:color="auto"/>
              <w:bottom w:val="single" w:sz="2" w:space="0" w:color="000000"/>
              <w:right w:val="single" w:sz="2" w:space="0" w:color="000000"/>
            </w:tcBorders>
          </w:tcPr>
          <w:p>
            <w:pPr/>
          </w:p>
        </w:tc>
        <w:tc>
          <w:tcPr>
            <w:tcW w:w="3332" w:type="dxa"/>
            <w:vMerge/>
            <w:tcBorders>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万马科技股份有限公司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spacing w:val="-1"/>
                <w:sz w:val="18"/>
              </w:rPr>
              <w:t>44,168.18</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166,625.03</w:t>
            </w: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9"/>
              <w:jc w:val="right"/>
              <w:rPr>
                <w:rFonts w:ascii="宋体" w:hAnsi="宋体" w:cs="宋体" w:eastAsia="宋体" w:hint="default"/>
                <w:sz w:val="18"/>
                <w:szCs w:val="18"/>
              </w:rPr>
            </w:pPr>
            <w:r>
              <w:rPr>
                <w:rFonts w:ascii="宋体"/>
                <w:spacing w:val="-1"/>
                <w:sz w:val="18"/>
              </w:rPr>
              <w:t>642,580.65</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浙江万马海振光电科技有限公司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177,940.00</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浙江天屹信息房地产开发有限公司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35,149.22</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3,790.90</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浙江万马房地产集团有限公司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10,495.20</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24,700.00</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12" w:hRule="exact"/>
        </w:trPr>
        <w:tc>
          <w:tcPr>
            <w:tcW w:w="11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0.02</w:t>
            </w:r>
          </w:p>
        </w:tc>
        <w:tc>
          <w:tcPr>
            <w:tcW w:w="930"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93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73" w:top="1440" w:bottom="1060" w:left="1460" w:right="146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1135"/>
        <w:gridCol w:w="3332"/>
        <w:gridCol w:w="1260"/>
        <w:gridCol w:w="930"/>
        <w:gridCol w:w="1136"/>
        <w:gridCol w:w="930"/>
      </w:tblGrid>
      <w:tr>
        <w:trPr>
          <w:trHeight w:val="415" w:hRule="exact"/>
        </w:trPr>
        <w:tc>
          <w:tcPr>
            <w:tcW w:w="1135"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332"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19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6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67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135" w:type="dxa"/>
            <w:vMerge/>
            <w:tcBorders>
              <w:left w:val="nil" w:sz="6" w:space="0" w:color="auto"/>
              <w:bottom w:val="single" w:sz="2" w:space="0" w:color="000000"/>
              <w:right w:val="single" w:sz="2" w:space="0" w:color="000000"/>
            </w:tcBorders>
          </w:tcPr>
          <w:p>
            <w:pPr/>
          </w:p>
        </w:tc>
        <w:tc>
          <w:tcPr>
            <w:tcW w:w="3332" w:type="dxa"/>
            <w:vMerge/>
            <w:tcBorders>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0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260"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58" w:right="0"/>
              <w:jc w:val="left"/>
              <w:rPr>
                <w:rFonts w:ascii="宋体" w:hAnsi="宋体" w:cs="宋体" w:eastAsia="宋体" w:hint="default"/>
                <w:sz w:val="18"/>
                <w:szCs w:val="18"/>
              </w:rPr>
            </w:pPr>
            <w:r>
              <w:rPr>
                <w:rFonts w:ascii="宋体"/>
                <w:sz w:val="18"/>
              </w:rPr>
              <w:t>2,889.52</w:t>
            </w: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49" w:right="0"/>
              <w:jc w:val="left"/>
              <w:rPr>
                <w:rFonts w:ascii="宋体" w:hAnsi="宋体" w:cs="宋体" w:eastAsia="宋体" w:hint="default"/>
                <w:sz w:val="18"/>
                <w:szCs w:val="18"/>
              </w:rPr>
            </w:pPr>
            <w:r>
              <w:rPr>
                <w:rFonts w:ascii="宋体"/>
                <w:sz w:val="18"/>
              </w:rPr>
              <w:t>443,328.12</w:t>
            </w:r>
          </w:p>
        </w:tc>
        <w:tc>
          <w:tcPr>
            <w:tcW w:w="930"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930"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11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49" w:right="0"/>
              <w:jc w:val="left"/>
              <w:rPr>
                <w:rFonts w:ascii="宋体" w:hAnsi="宋体" w:cs="宋体" w:eastAsia="宋体" w:hint="default"/>
                <w:sz w:val="18"/>
                <w:szCs w:val="18"/>
              </w:rPr>
            </w:pPr>
            <w:r>
              <w:rPr>
                <w:rFonts w:ascii="宋体"/>
                <w:sz w:val="18"/>
              </w:rPr>
              <w:t>250,000.00</w:t>
            </w:r>
          </w:p>
        </w:tc>
        <w:tc>
          <w:tcPr>
            <w:tcW w:w="930"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93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9"/>
          <w:szCs w:val="9"/>
        </w:rPr>
      </w:pPr>
    </w:p>
    <w:p>
      <w:pPr>
        <w:pStyle w:val="BodyText"/>
        <w:spacing w:line="240" w:lineRule="auto"/>
        <w:ind w:left="740" w:right="80"/>
        <w:jc w:val="left"/>
        <w:rPr>
          <w:rFonts w:ascii="黑体" w:hAnsi="黑体" w:cs="黑体" w:eastAsia="黑体" w:hint="default"/>
        </w:rPr>
      </w:pPr>
      <w:r>
        <w:rPr/>
        <w:t>2.</w:t>
      </w:r>
      <w:r>
        <w:rPr>
          <w:spacing w:val="-32"/>
        </w:rPr>
        <w:t> </w:t>
      </w:r>
      <w:r>
        <w:rPr>
          <w:rFonts w:ascii="黑体" w:hAnsi="黑体" w:cs="黑体" w:eastAsia="黑体" w:hint="default"/>
        </w:rPr>
        <w:t>应付项目</w:t>
      </w:r>
    </w:p>
    <w:p>
      <w:pPr>
        <w:spacing w:line="240" w:lineRule="auto" w:before="3"/>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527"/>
        <w:gridCol w:w="3826"/>
        <w:gridCol w:w="1685"/>
        <w:gridCol w:w="1685"/>
      </w:tblGrid>
      <w:tr>
        <w:trPr>
          <w:trHeight w:val="415" w:hRule="exact"/>
        </w:trPr>
        <w:tc>
          <w:tcPr>
            <w:tcW w:w="1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3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0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400"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53"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168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427,897.68</w:t>
            </w: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3"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979,222.69</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28,893.02</w:t>
            </w: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53"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259,340.62</w:t>
            </w:r>
          </w:p>
        </w:tc>
        <w:tc>
          <w:tcPr>
            <w:tcW w:w="168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3"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浙江万马电气电缆集团有限公司</w:t>
            </w:r>
          </w:p>
        </w:tc>
        <w:tc>
          <w:tcPr>
            <w:tcW w:w="168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2,403.00</w:t>
            </w:r>
          </w:p>
        </w:tc>
      </w:tr>
      <w:tr>
        <w:trPr>
          <w:trHeight w:val="414" w:hRule="exact"/>
        </w:trPr>
        <w:tc>
          <w:tcPr>
            <w:tcW w:w="1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53"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万马联合控股集团有限公司</w:t>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42,000.00</w:t>
            </w:r>
          </w:p>
        </w:tc>
        <w:tc>
          <w:tcPr>
            <w:tcW w:w="16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黑体" w:hAnsi="黑体" w:cs="黑体" w:eastAsia="黑体" w:hint="default"/>
          <w:sz w:val="9"/>
          <w:szCs w:val="9"/>
        </w:rPr>
      </w:pPr>
    </w:p>
    <w:p>
      <w:pPr>
        <w:pStyle w:val="Heading4"/>
        <w:spacing w:line="240" w:lineRule="auto"/>
        <w:ind w:right="80"/>
        <w:jc w:val="left"/>
        <w:rPr>
          <w:b w:val="0"/>
          <w:bCs w:val="0"/>
        </w:rPr>
      </w:pPr>
      <w:r>
        <w:rPr/>
        <w:t>十</w:t>
      </w:r>
      <w:r>
        <w:rPr>
          <w:spacing w:val="-71"/>
        </w:rPr>
        <w:t> </w:t>
      </w:r>
      <w:r>
        <w:rPr/>
        <w:t>二</w:t>
      </w:r>
      <w:r>
        <w:rPr>
          <w:spacing w:val="-73"/>
        </w:rPr>
        <w:t> </w:t>
      </w:r>
      <w:r>
        <w:rPr/>
        <w:t>、</w:t>
      </w:r>
      <w:r>
        <w:rPr>
          <w:spacing w:val="-54"/>
        </w:rPr>
        <w:t> </w:t>
      </w:r>
      <w:r>
        <w:rPr/>
        <w:t>股</w:t>
      </w:r>
      <w:r>
        <w:rPr>
          <w:spacing w:val="-71"/>
        </w:rPr>
        <w:t> </w:t>
      </w:r>
      <w:r>
        <w:rPr/>
        <w:t>份</w:t>
      </w:r>
      <w:r>
        <w:rPr>
          <w:spacing w:val="-73"/>
        </w:rPr>
        <w:t> </w:t>
      </w:r>
      <w:r>
        <w:rPr/>
        <w:t>支</w:t>
      </w:r>
      <w:r>
        <w:rPr>
          <w:spacing w:val="-71"/>
        </w:rPr>
        <w:t> </w:t>
      </w:r>
      <w:r>
        <w:rPr/>
        <w:t>付</w:t>
      </w:r>
      <w:r>
        <w:rPr>
          <w:b w:val="0"/>
          <w:bCs w:val="0"/>
        </w:rPr>
      </w:r>
    </w:p>
    <w:p>
      <w:pPr>
        <w:pStyle w:val="BodyText"/>
        <w:spacing w:line="300" w:lineRule="auto" w:before="192"/>
        <w:ind w:left="241" w:right="80" w:firstLine="439"/>
        <w:jc w:val="left"/>
      </w:pPr>
      <w:r>
        <w:rPr/>
        <w:t>截止</w:t>
      </w:r>
      <w:r>
        <w:rPr>
          <w:spacing w:val="-57"/>
        </w:rPr>
        <w:t> </w:t>
      </w:r>
      <w:r>
        <w:rPr/>
        <w:t>2015</w:t>
      </w:r>
      <w:r>
        <w:rPr>
          <w:spacing w:val="-54"/>
        </w:rPr>
        <w:t> </w:t>
      </w:r>
      <w:r>
        <w:rPr/>
        <w:t>年</w:t>
      </w:r>
      <w:r>
        <w:rPr>
          <w:spacing w:val="-57"/>
        </w:rPr>
        <w:t> </w:t>
      </w:r>
      <w:r>
        <w:rPr/>
        <w:t>12</w:t>
      </w:r>
      <w:r>
        <w:rPr>
          <w:spacing w:val="-54"/>
        </w:rPr>
        <w:t> </w:t>
      </w:r>
      <w:r>
        <w:rPr/>
        <w:t>月</w:t>
      </w:r>
      <w:r>
        <w:rPr>
          <w:spacing w:val="-57"/>
        </w:rPr>
        <w:t> </w:t>
      </w:r>
      <w:r>
        <w:rPr/>
        <w:t>31</w:t>
      </w:r>
      <w:r>
        <w:rPr>
          <w:spacing w:val="-54"/>
        </w:rPr>
        <w:t> </w:t>
      </w:r>
      <w:r>
        <w:rPr>
          <w:spacing w:val="-7"/>
        </w:rPr>
        <w:t>日，本公司向王震宇、方春英等</w:t>
      </w:r>
      <w:r>
        <w:rPr>
          <w:spacing w:val="-54"/>
        </w:rPr>
        <w:t> </w:t>
      </w:r>
      <w:r>
        <w:rPr/>
        <w:t>109</w:t>
      </w:r>
      <w:r>
        <w:rPr>
          <w:spacing w:val="-57"/>
        </w:rPr>
        <w:t> </w:t>
      </w:r>
      <w:r>
        <w:rPr/>
        <w:t>位自然人授予限制性股票，</w:t>
      </w:r>
      <w:r>
        <w:rPr>
          <w:w w:val="100"/>
        </w:rPr>
        <w:t> </w:t>
      </w:r>
      <w:r>
        <w:rPr>
          <w:spacing w:val="-3"/>
        </w:rPr>
        <w:t>其中：2013</w:t>
      </w:r>
      <w:r>
        <w:rPr>
          <w:spacing w:val="-55"/>
        </w:rPr>
        <w:t> </w:t>
      </w:r>
      <w:r>
        <w:rPr/>
        <w:t>年</w:t>
      </w:r>
      <w:r>
        <w:rPr>
          <w:spacing w:val="-52"/>
        </w:rPr>
        <w:t> </w:t>
      </w:r>
      <w:r>
        <w:rPr/>
        <w:t>11</w:t>
      </w:r>
      <w:r>
        <w:rPr>
          <w:spacing w:val="-52"/>
        </w:rPr>
        <w:t> </w:t>
      </w:r>
      <w:r>
        <w:rPr/>
        <w:t>月</w:t>
      </w:r>
      <w:r>
        <w:rPr>
          <w:spacing w:val="-55"/>
        </w:rPr>
        <w:t> </w:t>
      </w:r>
      <w:r>
        <w:rPr/>
        <w:t>7</w:t>
      </w:r>
      <w:r>
        <w:rPr>
          <w:spacing w:val="-52"/>
        </w:rPr>
        <w:t> </w:t>
      </w:r>
      <w:r>
        <w:rPr>
          <w:spacing w:val="-3"/>
        </w:rPr>
        <w:t>日，授予王震宇等</w:t>
      </w:r>
      <w:r>
        <w:rPr>
          <w:spacing w:val="-52"/>
        </w:rPr>
        <w:t> </w:t>
      </w:r>
      <w:r>
        <w:rPr/>
        <w:t>105</w:t>
      </w:r>
      <w:r>
        <w:rPr>
          <w:spacing w:val="-55"/>
        </w:rPr>
        <w:t> </w:t>
      </w:r>
      <w:r>
        <w:rPr/>
        <w:t>位自然人</w:t>
      </w:r>
      <w:r>
        <w:rPr>
          <w:spacing w:val="-52"/>
        </w:rPr>
        <w:t> </w:t>
      </w:r>
      <w:r>
        <w:rPr/>
        <w:t>9,768,000</w:t>
      </w:r>
      <w:r>
        <w:rPr>
          <w:spacing w:val="-55"/>
        </w:rPr>
        <w:t> </w:t>
      </w:r>
      <w:r>
        <w:rPr>
          <w:spacing w:val="-3"/>
        </w:rPr>
        <w:t>股限制性股票，授予价</w:t>
      </w:r>
      <w:r>
        <w:rPr>
          <w:spacing w:val="-102"/>
        </w:rPr>
        <w:t> </w:t>
      </w:r>
      <w:r>
        <w:rPr>
          <w:spacing w:val="-102"/>
        </w:rPr>
      </w:r>
      <w:r>
        <w:rPr/>
        <w:t>格为</w:t>
      </w:r>
      <w:r>
        <w:rPr>
          <w:spacing w:val="-51"/>
        </w:rPr>
        <w:t> </w:t>
      </w:r>
      <w:r>
        <w:rPr/>
        <w:t>2.32</w:t>
      </w:r>
      <w:r>
        <w:rPr>
          <w:spacing w:val="-49"/>
        </w:rPr>
        <w:t> </w:t>
      </w:r>
      <w:r>
        <w:rPr/>
        <w:t>元；2014</w:t>
      </w:r>
      <w:r>
        <w:rPr>
          <w:spacing w:val="-51"/>
        </w:rPr>
        <w:t> </w:t>
      </w:r>
      <w:r>
        <w:rPr/>
        <w:t>年</w:t>
      </w:r>
      <w:r>
        <w:rPr>
          <w:spacing w:val="-49"/>
        </w:rPr>
        <w:t> </w:t>
      </w:r>
      <w:r>
        <w:rPr/>
        <w:t>6</w:t>
      </w:r>
      <w:r>
        <w:rPr>
          <w:spacing w:val="-49"/>
        </w:rPr>
        <w:t> </w:t>
      </w:r>
      <w:r>
        <w:rPr/>
        <w:t>月</w:t>
      </w:r>
      <w:r>
        <w:rPr>
          <w:spacing w:val="-49"/>
        </w:rPr>
        <w:t> </w:t>
      </w:r>
      <w:r>
        <w:rPr/>
        <w:t>19</w:t>
      </w:r>
      <w:r>
        <w:rPr>
          <w:spacing w:val="-49"/>
        </w:rPr>
        <w:t> </w:t>
      </w:r>
      <w:r>
        <w:rPr/>
        <w:t>日，授予方春英等</w:t>
      </w:r>
      <w:r>
        <w:rPr>
          <w:spacing w:val="-51"/>
        </w:rPr>
        <w:t> </w:t>
      </w:r>
      <w:r>
        <w:rPr/>
        <w:t>4</w:t>
      </w:r>
      <w:r>
        <w:rPr>
          <w:spacing w:val="-49"/>
        </w:rPr>
        <w:t> </w:t>
      </w:r>
      <w:r>
        <w:rPr/>
        <w:t>位自然人</w:t>
      </w:r>
      <w:r>
        <w:rPr>
          <w:spacing w:val="-49"/>
        </w:rPr>
        <w:t> </w:t>
      </w:r>
      <w:r>
        <w:rPr/>
        <w:t>1,000,000</w:t>
      </w:r>
      <w:r>
        <w:rPr>
          <w:spacing w:val="-49"/>
        </w:rPr>
        <w:t> </w:t>
      </w:r>
      <w:r>
        <w:rPr/>
        <w:t>股预留限制性股</w:t>
      </w:r>
      <w:r>
        <w:rPr>
          <w:spacing w:val="-101"/>
        </w:rPr>
        <w:t> </w:t>
      </w:r>
      <w:r>
        <w:rPr>
          <w:spacing w:val="-101"/>
        </w:rPr>
      </w:r>
      <w:r>
        <w:rPr/>
        <w:t>票，授予价格为</w:t>
      </w:r>
      <w:r>
        <w:rPr>
          <w:spacing w:val="-60"/>
        </w:rPr>
        <w:t> </w:t>
      </w:r>
      <w:r>
        <w:rPr/>
        <w:t>3.43</w:t>
      </w:r>
      <w:r>
        <w:rPr>
          <w:spacing w:val="-57"/>
        </w:rPr>
        <w:t> </w:t>
      </w:r>
      <w:r>
        <w:rPr/>
        <w:t>元。</w:t>
      </w:r>
    </w:p>
    <w:p>
      <w:pPr>
        <w:pStyle w:val="BodyText"/>
        <w:spacing w:line="300" w:lineRule="auto" w:before="137"/>
        <w:ind w:left="241" w:right="237" w:firstLine="439"/>
        <w:jc w:val="both"/>
      </w:pPr>
      <w:r>
        <w:rPr/>
        <w:t>本公司已授予限制性股票的</w:t>
      </w:r>
      <w:r>
        <w:rPr>
          <w:spacing w:val="-51"/>
        </w:rPr>
        <w:t> </w:t>
      </w:r>
      <w:r>
        <w:rPr/>
        <w:t>109</w:t>
      </w:r>
      <w:r>
        <w:rPr>
          <w:spacing w:val="-54"/>
        </w:rPr>
        <w:t> </w:t>
      </w:r>
      <w:r>
        <w:rPr>
          <w:spacing w:val="-7"/>
        </w:rPr>
        <w:t>位自然人中王霞、周天雷、赵方臣等</w:t>
      </w:r>
      <w:r>
        <w:rPr>
          <w:spacing w:val="-51"/>
        </w:rPr>
        <w:t> </w:t>
      </w:r>
      <w:r>
        <w:rPr/>
        <w:t>5</w:t>
      </w:r>
      <w:r>
        <w:rPr>
          <w:spacing w:val="-54"/>
        </w:rPr>
        <w:t> </w:t>
      </w:r>
      <w:r>
        <w:rPr/>
        <w:t>人因离职已不</w:t>
      </w:r>
      <w:r>
        <w:rPr>
          <w:w w:val="100"/>
        </w:rPr>
        <w:t> </w:t>
      </w:r>
      <w:r>
        <w:rPr/>
        <w:t>符合激励条件，本公司已回购注销其已获授的限制性股票，其中：2014</w:t>
      </w:r>
      <w:r>
        <w:rPr>
          <w:spacing w:val="-63"/>
        </w:rPr>
        <w:t> </w:t>
      </w:r>
      <w:r>
        <w:rPr/>
        <w:t>年</w:t>
      </w:r>
      <w:r>
        <w:rPr>
          <w:spacing w:val="-60"/>
        </w:rPr>
        <w:t> </w:t>
      </w:r>
      <w:r>
        <w:rPr/>
        <w:t>12</w:t>
      </w:r>
      <w:r>
        <w:rPr>
          <w:spacing w:val="-63"/>
        </w:rPr>
        <w:t> </w:t>
      </w:r>
      <w:r>
        <w:rPr/>
        <w:t>月</w:t>
      </w:r>
      <w:r>
        <w:rPr>
          <w:spacing w:val="-60"/>
        </w:rPr>
        <w:t> </w:t>
      </w:r>
      <w:r>
        <w:rPr/>
        <w:t>9</w:t>
      </w:r>
      <w:r>
        <w:rPr>
          <w:spacing w:val="-60"/>
        </w:rPr>
        <w:t> </w:t>
      </w:r>
      <w:r>
        <w:rPr>
          <w:spacing w:val="-3"/>
        </w:rPr>
        <w:t>日，以</w:t>
      </w:r>
      <w:r>
        <w:rPr>
          <w:w w:val="100"/>
        </w:rPr>
        <w:t> </w:t>
      </w:r>
      <w:r>
        <w:rPr>
          <w:spacing w:val="-1"/>
          <w:w w:val="100"/>
        </w:rPr>
        <w:t>2.27</w:t>
      </w:r>
      <w:r>
        <w:rPr>
          <w:spacing w:val="-57"/>
          <w:w w:val="100"/>
        </w:rPr>
        <w:t> </w:t>
      </w:r>
      <w:r>
        <w:rPr>
          <w:spacing w:val="-2"/>
          <w:w w:val="100"/>
        </w:rPr>
        <w:t>元/股的价格回购注销王霞已获授的全部股份</w:t>
      </w:r>
      <w:r>
        <w:rPr>
          <w:spacing w:val="-57"/>
          <w:w w:val="100"/>
        </w:rPr>
        <w:t> </w:t>
      </w:r>
      <w:r>
        <w:rPr>
          <w:spacing w:val="-1"/>
          <w:w w:val="100"/>
        </w:rPr>
        <w:t>70,000</w:t>
      </w:r>
      <w:r>
        <w:rPr>
          <w:spacing w:val="-57"/>
          <w:w w:val="100"/>
        </w:rPr>
        <w:t> </w:t>
      </w:r>
      <w:r>
        <w:rPr>
          <w:spacing w:val="-16"/>
          <w:w w:val="100"/>
        </w:rPr>
        <w:t>股；2015</w:t>
      </w:r>
      <w:r>
        <w:rPr>
          <w:spacing w:val="-57"/>
          <w:w w:val="100"/>
        </w:rPr>
        <w:t> </w:t>
      </w:r>
      <w:r>
        <w:rPr>
          <w:w w:val="100"/>
        </w:rPr>
        <w:t>年</w:t>
      </w:r>
      <w:r>
        <w:rPr>
          <w:spacing w:val="-54"/>
          <w:w w:val="100"/>
        </w:rPr>
        <w:t> </w:t>
      </w:r>
      <w:r>
        <w:rPr>
          <w:w w:val="100"/>
        </w:rPr>
        <w:t>5</w:t>
      </w:r>
      <w:r>
        <w:rPr>
          <w:spacing w:val="-57"/>
          <w:w w:val="100"/>
        </w:rPr>
        <w:t> </w:t>
      </w:r>
      <w:r>
        <w:rPr>
          <w:w w:val="100"/>
        </w:rPr>
        <w:t>月</w:t>
      </w:r>
      <w:r>
        <w:rPr>
          <w:spacing w:val="-54"/>
          <w:w w:val="100"/>
        </w:rPr>
        <w:t> </w:t>
      </w:r>
      <w:r>
        <w:rPr>
          <w:spacing w:val="-1"/>
          <w:w w:val="100"/>
        </w:rPr>
        <w:t>27</w:t>
      </w:r>
      <w:r>
        <w:rPr>
          <w:spacing w:val="-57"/>
          <w:w w:val="100"/>
        </w:rPr>
        <w:t> </w:t>
      </w:r>
      <w:r>
        <w:rPr>
          <w:spacing w:val="-32"/>
          <w:w w:val="100"/>
        </w:rPr>
        <w:t>日，以</w:t>
      </w:r>
      <w:r>
        <w:rPr>
          <w:spacing w:val="2"/>
          <w:w w:val="100"/>
        </w:rPr>
        <w:t> </w:t>
      </w:r>
      <w:r>
        <w:rPr>
          <w:spacing w:val="-2"/>
          <w:w w:val="100"/>
        </w:rPr>
        <w:t>2.27</w:t>
      </w:r>
    </w:p>
    <w:p>
      <w:pPr>
        <w:pStyle w:val="BodyText"/>
        <w:spacing w:line="300" w:lineRule="auto" w:before="17"/>
        <w:ind w:left="241" w:right="80"/>
        <w:jc w:val="left"/>
      </w:pPr>
      <w:r>
        <w:rPr/>
        <w:t>元/股的价格回购周天雷、乔文艺、包晓英</w:t>
      </w:r>
      <w:r>
        <w:rPr>
          <w:spacing w:val="-54"/>
        </w:rPr>
        <w:t> </w:t>
      </w:r>
      <w:r>
        <w:rPr/>
        <w:t>3</w:t>
      </w:r>
      <w:r>
        <w:rPr>
          <w:spacing w:val="-54"/>
        </w:rPr>
        <w:t> </w:t>
      </w:r>
      <w:r>
        <w:rPr/>
        <w:t>位激励对象已获授的全部股份</w:t>
      </w:r>
      <w:r>
        <w:rPr>
          <w:spacing w:val="-54"/>
        </w:rPr>
        <w:t> </w:t>
      </w:r>
      <w:r>
        <w:rPr/>
        <w:t>210,000</w:t>
      </w:r>
      <w:r>
        <w:rPr>
          <w:spacing w:val="-54"/>
        </w:rPr>
        <w:t> </w:t>
      </w:r>
      <w:r>
        <w:rPr/>
        <w:t>股、</w:t>
      </w:r>
      <w:r>
        <w:rPr>
          <w:w w:val="100"/>
        </w:rPr>
        <w:t> </w:t>
      </w:r>
      <w:r>
        <w:rPr/>
        <w:t>以</w:t>
      </w:r>
      <w:r>
        <w:rPr>
          <w:spacing w:val="-9"/>
        </w:rPr>
        <w:t> </w:t>
      </w:r>
      <w:r>
        <w:rPr/>
        <w:t>3.43</w:t>
      </w:r>
      <w:r>
        <w:rPr>
          <w:spacing w:val="-61"/>
        </w:rPr>
        <w:t> </w:t>
      </w:r>
      <w:r>
        <w:rPr/>
        <w:t>元/股的价格回购赵方臣已获授的全部股份</w:t>
      </w:r>
      <w:r>
        <w:rPr>
          <w:spacing w:val="-61"/>
        </w:rPr>
        <w:t> </w:t>
      </w:r>
      <w:r>
        <w:rPr/>
        <w:t>100,000</w:t>
      </w:r>
      <w:r>
        <w:rPr>
          <w:spacing w:val="-58"/>
        </w:rPr>
        <w:t> </w:t>
      </w:r>
      <w:r>
        <w:rPr/>
        <w:t>股。</w:t>
      </w:r>
    </w:p>
    <w:p>
      <w:pPr>
        <w:pStyle w:val="BodyText"/>
        <w:spacing w:line="300" w:lineRule="auto" w:before="137"/>
        <w:ind w:left="241" w:right="237" w:firstLine="439"/>
        <w:jc w:val="both"/>
      </w:pPr>
      <w:r>
        <w:rPr>
          <w:spacing w:val="-4"/>
        </w:rPr>
        <w:t>本公司各年末按照授予日限制性股票的公允价值、限制性股票当期的解锁比例以及预</w:t>
      </w:r>
      <w:r>
        <w:rPr>
          <w:w w:val="100"/>
        </w:rPr>
        <w:t> </w:t>
      </w:r>
      <w:r>
        <w:rPr>
          <w:spacing w:val="2"/>
        </w:rPr>
        <w:t>计可解锁的限制性股票数量的最佳估计数计算应计入成本费用和其他资本公积的股权激</w:t>
      </w:r>
      <w:r>
        <w:rPr>
          <w:spacing w:val="-51"/>
        </w:rPr>
        <w:t> </w:t>
      </w:r>
      <w:r>
        <w:rPr>
          <w:spacing w:val="-51"/>
        </w:rPr>
      </w:r>
      <w:r>
        <w:rPr>
          <w:spacing w:val="9"/>
        </w:rPr>
        <w:t>励成本，截止</w:t>
      </w:r>
      <w:r>
        <w:rPr>
          <w:spacing w:val="-32"/>
        </w:rPr>
        <w:t> </w:t>
      </w:r>
      <w:r>
        <w:rPr/>
        <w:t>2015</w:t>
      </w:r>
      <w:r>
        <w:rPr>
          <w:spacing w:val="-30"/>
        </w:rPr>
        <w:t> </w:t>
      </w:r>
      <w:r>
        <w:rPr/>
        <w:t>年</w:t>
      </w:r>
      <w:r>
        <w:rPr>
          <w:spacing w:val="-32"/>
        </w:rPr>
        <w:t> </w:t>
      </w:r>
      <w:r>
        <w:rPr/>
        <w:t>12</w:t>
      </w:r>
      <w:r>
        <w:rPr>
          <w:spacing w:val="-30"/>
        </w:rPr>
        <w:t> </w:t>
      </w:r>
      <w:r>
        <w:rPr/>
        <w:t>月</w:t>
      </w:r>
      <w:r>
        <w:rPr>
          <w:spacing w:val="-30"/>
        </w:rPr>
        <w:t> </w:t>
      </w:r>
      <w:r>
        <w:rPr/>
        <w:t>31</w:t>
      </w:r>
      <w:r>
        <w:rPr>
          <w:spacing w:val="-32"/>
        </w:rPr>
        <w:t> </w:t>
      </w:r>
      <w:r>
        <w:rPr>
          <w:spacing w:val="11"/>
        </w:rPr>
        <w:t>日，各年已计入成本费用和其他资本公积的金额总计</w:t>
      </w:r>
      <w:r>
        <w:rPr>
          <w:spacing w:val="-107"/>
        </w:rPr>
        <w:t> </w:t>
      </w:r>
      <w:r>
        <w:rPr>
          <w:spacing w:val="-107"/>
        </w:rPr>
      </w:r>
      <w:r>
        <w:rPr/>
        <w:t>11,615,100.00</w:t>
      </w:r>
      <w:r>
        <w:rPr>
          <w:spacing w:val="-67"/>
        </w:rPr>
        <w:t> </w:t>
      </w:r>
      <w:r>
        <w:rPr/>
        <w:t>元。</w:t>
      </w:r>
    </w:p>
    <w:p>
      <w:pPr>
        <w:pStyle w:val="BodyText"/>
        <w:spacing w:line="240" w:lineRule="auto" w:before="137"/>
        <w:ind w:left="688" w:right="80"/>
        <w:jc w:val="left"/>
      </w:pPr>
      <w:r>
        <w:rPr/>
        <w:t>1．</w:t>
      </w:r>
      <w:r>
        <w:rPr>
          <w:spacing w:val="-92"/>
        </w:rPr>
        <w:t> </w:t>
      </w:r>
      <w:r>
        <w:rPr/>
        <w:t>股份支付总体情况</w:t>
      </w:r>
    </w:p>
    <w:p>
      <w:pPr>
        <w:spacing w:line="240" w:lineRule="auto" w:before="2"/>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6392"/>
        <w:gridCol w:w="2141"/>
      </w:tblGrid>
      <w:tr>
        <w:trPr>
          <w:trHeight w:val="415" w:hRule="exact"/>
        </w:trPr>
        <w:tc>
          <w:tcPr>
            <w:tcW w:w="63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情况</w:t>
            </w:r>
            <w:r>
              <w:rPr>
                <w:rFonts w:ascii="宋体" w:hAnsi="宋体" w:cs="宋体" w:eastAsia="宋体" w:hint="default"/>
                <w:sz w:val="22"/>
                <w:szCs w:val="22"/>
              </w:rPr>
            </w:r>
          </w:p>
        </w:tc>
      </w:tr>
      <w:tr>
        <w:trPr>
          <w:trHeight w:val="402" w:hRule="exact"/>
        </w:trPr>
        <w:tc>
          <w:tcPr>
            <w:tcW w:w="6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公司本年授予的各项权益工具总额</w:t>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6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公司本年行权的各项权益工具总额</w:t>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6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公司本年失效的各项权益工具总额</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929" w:right="0"/>
              <w:jc w:val="left"/>
              <w:rPr>
                <w:rFonts w:ascii="宋体" w:hAnsi="宋体" w:cs="宋体" w:eastAsia="宋体" w:hint="default"/>
                <w:sz w:val="22"/>
                <w:szCs w:val="22"/>
              </w:rPr>
            </w:pPr>
            <w:r>
              <w:rPr>
                <w:rFonts w:ascii="宋体"/>
                <w:sz w:val="22"/>
              </w:rPr>
              <w:t>310,000.00</w:t>
            </w:r>
          </w:p>
        </w:tc>
      </w:tr>
      <w:tr>
        <w:trPr>
          <w:trHeight w:val="402" w:hRule="exact"/>
        </w:trPr>
        <w:tc>
          <w:tcPr>
            <w:tcW w:w="6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公司年末发行在外的股份期权行权价格的范围和合同剩余期限</w:t>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63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公司年末其他权益工具行权价格的范围和合同剩余期限</w:t>
            </w:r>
          </w:p>
        </w:tc>
        <w:tc>
          <w:tcPr>
            <w:tcW w:w="214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73" w:top="1440" w:bottom="1060" w:left="1460" w:right="1460"/>
        </w:sectPr>
      </w:pPr>
    </w:p>
    <w:p>
      <w:pPr>
        <w:spacing w:line="240" w:lineRule="auto" w:before="1"/>
        <w:rPr>
          <w:rFonts w:ascii="宋体" w:hAnsi="宋体" w:cs="宋体" w:eastAsia="宋体" w:hint="default"/>
          <w:sz w:val="18"/>
          <w:szCs w:val="18"/>
        </w:rPr>
      </w:pPr>
    </w:p>
    <w:p>
      <w:pPr>
        <w:pStyle w:val="BodyText"/>
        <w:spacing w:line="240" w:lineRule="auto"/>
        <w:ind w:left="688" w:right="80"/>
        <w:jc w:val="left"/>
      </w:pPr>
      <w:r>
        <w:rPr>
          <w:spacing w:val="-1"/>
        </w:rPr>
        <w:t>2．</w:t>
      </w:r>
      <w:r>
        <w:rPr>
          <w:spacing w:val="-70"/>
        </w:rPr>
        <w:t> </w:t>
      </w:r>
      <w:r>
        <w:rPr>
          <w:spacing w:val="-2"/>
        </w:rPr>
        <w:t>以权益结算的股份支付情况</w:t>
      </w:r>
    </w:p>
    <w:p>
      <w:pPr>
        <w:spacing w:line="240" w:lineRule="auto" w:before="4"/>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4549"/>
        <w:gridCol w:w="3984"/>
      </w:tblGrid>
      <w:tr>
        <w:trPr>
          <w:trHeight w:val="415" w:hRule="exact"/>
        </w:trPr>
        <w:tc>
          <w:tcPr>
            <w:tcW w:w="45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情况</w:t>
            </w:r>
            <w:r>
              <w:rPr>
                <w:rFonts w:ascii="宋体" w:hAnsi="宋体" w:cs="宋体" w:eastAsia="宋体" w:hint="default"/>
                <w:sz w:val="22"/>
                <w:szCs w:val="22"/>
              </w:rPr>
            </w:r>
          </w:p>
        </w:tc>
      </w:tr>
      <w:tr>
        <w:trPr>
          <w:trHeight w:val="656"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6"/>
              <w:ind w:left="107" w:right="0"/>
              <w:jc w:val="left"/>
              <w:rPr>
                <w:rFonts w:ascii="宋体" w:hAnsi="宋体" w:cs="宋体" w:eastAsia="宋体" w:hint="default"/>
                <w:sz w:val="22"/>
                <w:szCs w:val="22"/>
              </w:rPr>
            </w:pPr>
            <w:r>
              <w:rPr>
                <w:rFonts w:ascii="宋体" w:hAnsi="宋体" w:cs="宋体" w:eastAsia="宋体" w:hint="default"/>
                <w:sz w:val="22"/>
                <w:szCs w:val="22"/>
              </w:rPr>
              <w:t>授予日权益工具公允价值的确定方法</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87" w:lineRule="exact" w:before="5"/>
              <w:ind w:right="1"/>
              <w:jc w:val="center"/>
              <w:rPr>
                <w:rFonts w:ascii="宋体" w:hAnsi="宋体" w:cs="宋体" w:eastAsia="宋体" w:hint="default"/>
                <w:sz w:val="22"/>
                <w:szCs w:val="22"/>
              </w:rPr>
            </w:pPr>
            <w:r>
              <w:rPr>
                <w:rFonts w:ascii="宋体" w:hAnsi="宋体" w:cs="宋体" w:eastAsia="宋体" w:hint="default"/>
                <w:sz w:val="22"/>
                <w:szCs w:val="22"/>
              </w:rPr>
              <w:t>根据授予日公司股票收盘价格与</w:t>
            </w:r>
            <w:r>
              <w:rPr>
                <w:rFonts w:ascii="宋体" w:hAnsi="宋体" w:cs="宋体" w:eastAsia="宋体" w:hint="default"/>
                <w:spacing w:val="-67"/>
                <w:sz w:val="22"/>
                <w:szCs w:val="22"/>
              </w:rPr>
              <w:t> </w:t>
            </w:r>
            <w:r>
              <w:rPr>
                <w:rFonts w:ascii="宋体" w:hAnsi="宋体" w:cs="宋体" w:eastAsia="宋体" w:hint="default"/>
                <w:sz w:val="22"/>
                <w:szCs w:val="22"/>
              </w:rPr>
              <w:t>Black</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—Scholes</w:t>
            </w:r>
            <w:r>
              <w:rPr>
                <w:rFonts w:ascii="宋体" w:hAnsi="宋体" w:cs="宋体" w:eastAsia="宋体" w:hint="default"/>
                <w:spacing w:val="-65"/>
                <w:sz w:val="22"/>
                <w:szCs w:val="22"/>
              </w:rPr>
              <w:t> </w:t>
            </w:r>
            <w:r>
              <w:rPr>
                <w:rFonts w:ascii="宋体" w:hAnsi="宋体" w:cs="宋体" w:eastAsia="宋体" w:hint="default"/>
                <w:sz w:val="22"/>
                <w:szCs w:val="22"/>
              </w:rPr>
              <w:t>期权定价模型进行测算</w:t>
            </w:r>
          </w:p>
        </w:tc>
      </w:tr>
      <w:tr>
        <w:trPr>
          <w:trHeight w:val="402"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7" w:right="0"/>
              <w:jc w:val="left"/>
              <w:rPr>
                <w:rFonts w:ascii="宋体" w:hAnsi="宋体" w:cs="宋体" w:eastAsia="宋体" w:hint="default"/>
                <w:sz w:val="22"/>
                <w:szCs w:val="22"/>
              </w:rPr>
            </w:pPr>
            <w:r>
              <w:rPr>
                <w:rFonts w:ascii="宋体" w:hAnsi="宋体" w:cs="宋体" w:eastAsia="宋体" w:hint="default"/>
                <w:sz w:val="22"/>
                <w:szCs w:val="22"/>
              </w:rPr>
              <w:t>对可行权权益工具数量的确定依据</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1" w:right="0"/>
              <w:jc w:val="center"/>
              <w:rPr>
                <w:rFonts w:ascii="宋体" w:hAnsi="宋体" w:cs="宋体" w:eastAsia="宋体" w:hint="default"/>
                <w:sz w:val="22"/>
                <w:szCs w:val="22"/>
              </w:rPr>
            </w:pPr>
            <w:r>
              <w:rPr>
                <w:rFonts w:ascii="宋体" w:hAnsi="宋体" w:cs="宋体" w:eastAsia="宋体" w:hint="default"/>
                <w:sz w:val="22"/>
                <w:szCs w:val="22"/>
              </w:rPr>
              <w:t>可解锁的限制性股票数量</w:t>
            </w:r>
          </w:p>
        </w:tc>
      </w:tr>
      <w:tr>
        <w:trPr>
          <w:trHeight w:val="402"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本年估计与上年估计有重大差异的原因</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655"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107" w:right="102"/>
              <w:jc w:val="left"/>
              <w:rPr>
                <w:rFonts w:ascii="宋体" w:hAnsi="宋体" w:cs="宋体" w:eastAsia="宋体" w:hint="default"/>
                <w:sz w:val="22"/>
                <w:szCs w:val="22"/>
              </w:rPr>
            </w:pPr>
            <w:r>
              <w:rPr>
                <w:rFonts w:ascii="宋体" w:hAnsi="宋体" w:cs="宋体" w:eastAsia="宋体" w:hint="default"/>
                <w:spacing w:val="6"/>
                <w:sz w:val="22"/>
                <w:szCs w:val="22"/>
              </w:rPr>
              <w:t>以权益结算的股份支付计入资本公积的累计</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金额</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
              <w:jc w:val="center"/>
              <w:rPr>
                <w:rFonts w:ascii="宋体" w:hAnsi="宋体" w:cs="宋体" w:eastAsia="宋体" w:hint="default"/>
                <w:sz w:val="22"/>
                <w:szCs w:val="22"/>
              </w:rPr>
            </w:pPr>
            <w:r>
              <w:rPr>
                <w:rFonts w:ascii="宋体"/>
                <w:sz w:val="22"/>
              </w:rPr>
              <w:t>11,615,100.00</w:t>
            </w:r>
          </w:p>
        </w:tc>
      </w:tr>
      <w:tr>
        <w:trPr>
          <w:trHeight w:val="414" w:hRule="exact"/>
        </w:trPr>
        <w:tc>
          <w:tcPr>
            <w:tcW w:w="45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本年以权益结算的股份支付确认的费用总额</w:t>
            </w:r>
          </w:p>
        </w:tc>
        <w:tc>
          <w:tcPr>
            <w:tcW w:w="39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3,681,400.00</w:t>
            </w:r>
          </w:p>
        </w:tc>
      </w:tr>
    </w:tbl>
    <w:p>
      <w:pPr>
        <w:spacing w:line="240" w:lineRule="auto" w:before="4"/>
        <w:rPr>
          <w:rFonts w:ascii="宋体" w:hAnsi="宋体" w:cs="宋体" w:eastAsia="宋体" w:hint="default"/>
          <w:sz w:val="9"/>
          <w:szCs w:val="9"/>
        </w:rPr>
      </w:pPr>
    </w:p>
    <w:p>
      <w:pPr>
        <w:pStyle w:val="BodyText"/>
        <w:spacing w:line="400" w:lineRule="auto"/>
        <w:ind w:left="680" w:right="5296" w:firstLine="7"/>
        <w:jc w:val="left"/>
      </w:pPr>
      <w:r>
        <w:rPr/>
        <w:t>3．</w:t>
      </w:r>
      <w:r>
        <w:rPr>
          <w:spacing w:val="-94"/>
        </w:rPr>
        <w:t> </w:t>
      </w:r>
      <w:r>
        <w:rPr/>
        <w:t>以现金结算的股份支付情况</w:t>
      </w:r>
      <w:r>
        <w:rPr>
          <w:w w:val="100"/>
        </w:rPr>
        <w:t> </w:t>
      </w:r>
      <w:r>
        <w:rPr/>
        <w:t>无。</w:t>
      </w:r>
    </w:p>
    <w:p>
      <w:pPr>
        <w:pStyle w:val="Heading4"/>
        <w:spacing w:line="240" w:lineRule="auto" w:before="44"/>
        <w:ind w:right="80"/>
        <w:jc w:val="left"/>
        <w:rPr>
          <w:b w:val="0"/>
          <w:bCs w:val="0"/>
        </w:rPr>
      </w:pPr>
      <w:r>
        <w:rPr/>
        <w:t>十</w:t>
      </w:r>
      <w:r>
        <w:rPr>
          <w:spacing w:val="-71"/>
        </w:rPr>
        <w:t> </w:t>
      </w:r>
      <w:r>
        <w:rPr/>
        <w:t>三</w:t>
      </w:r>
      <w:r>
        <w:rPr>
          <w:spacing w:val="-73"/>
        </w:rPr>
        <w:t> </w:t>
      </w:r>
      <w:r>
        <w:rPr/>
        <w:t>、</w:t>
      </w:r>
      <w:r>
        <w:rPr>
          <w:spacing w:val="-54"/>
        </w:rPr>
        <w:t> </w:t>
      </w:r>
      <w:r>
        <w:rPr/>
        <w:t>或</w:t>
      </w:r>
      <w:r>
        <w:rPr>
          <w:spacing w:val="-71"/>
        </w:rPr>
        <w:t> </w:t>
      </w:r>
      <w:r>
        <w:rPr/>
        <w:t>有</w:t>
      </w:r>
      <w:r>
        <w:rPr>
          <w:spacing w:val="-73"/>
        </w:rPr>
        <w:t> </w:t>
      </w:r>
      <w:r>
        <w:rPr/>
        <w:t>事</w:t>
      </w:r>
      <w:r>
        <w:rPr>
          <w:spacing w:val="-71"/>
        </w:rPr>
        <w:t> </w:t>
      </w:r>
      <w:r>
        <w:rPr/>
        <w:t>项</w:t>
      </w:r>
      <w:r>
        <w:rPr>
          <w:b w:val="0"/>
          <w:bCs w:val="0"/>
        </w:rPr>
      </w:r>
    </w:p>
    <w:p>
      <w:pPr>
        <w:pStyle w:val="BodyText"/>
        <w:spacing w:line="300" w:lineRule="auto" w:before="192"/>
        <w:ind w:left="241" w:right="80" w:firstLine="398"/>
        <w:jc w:val="left"/>
      </w:pPr>
      <w:r>
        <w:rPr/>
        <w:t>截止</w:t>
      </w:r>
      <w:r>
        <w:rPr>
          <w:spacing w:val="-50"/>
        </w:rPr>
        <w:t> </w:t>
      </w:r>
      <w:r>
        <w:rPr/>
        <w:t>2015</w:t>
      </w:r>
      <w:r>
        <w:rPr>
          <w:spacing w:val="-44"/>
        </w:rPr>
        <w:t> </w:t>
      </w:r>
      <w:r>
        <w:rPr/>
        <w:t>年</w:t>
      </w:r>
      <w:r>
        <w:rPr>
          <w:spacing w:val="-47"/>
        </w:rPr>
        <w:t> </w:t>
      </w:r>
      <w:r>
        <w:rPr/>
        <w:t>12</w:t>
      </w:r>
      <w:r>
        <w:rPr>
          <w:spacing w:val="-44"/>
        </w:rPr>
        <w:t> </w:t>
      </w:r>
      <w:r>
        <w:rPr/>
        <w:t>月</w:t>
      </w:r>
      <w:r>
        <w:rPr>
          <w:spacing w:val="-44"/>
        </w:rPr>
        <w:t> </w:t>
      </w:r>
      <w:r>
        <w:rPr/>
        <w:t>31</w:t>
      </w:r>
      <w:r>
        <w:rPr>
          <w:spacing w:val="-47"/>
        </w:rPr>
        <w:t> </w:t>
      </w:r>
      <w:r>
        <w:rPr/>
        <w:t>日，除前述“十一、（二）关联交易”为子公司提供担保以及</w:t>
      </w:r>
      <w:r>
        <w:rPr>
          <w:w w:val="100"/>
        </w:rPr>
        <w:t> </w:t>
      </w:r>
      <w:r>
        <w:rPr/>
        <w:t>未到期已转让的银行承兑汇票外，无应披露的重要或有事项</w:t>
      </w:r>
      <w:r>
        <w:rPr>
          <w:spacing w:val="-17"/>
        </w:rPr>
        <w:t> </w:t>
      </w:r>
      <w:r>
        <w:rPr/>
        <w:t>。</w:t>
      </w:r>
    </w:p>
    <w:p>
      <w:pPr>
        <w:pStyle w:val="Heading4"/>
        <w:spacing w:line="240" w:lineRule="auto" w:before="137"/>
        <w:ind w:right="80"/>
        <w:jc w:val="left"/>
        <w:rPr>
          <w:b w:val="0"/>
          <w:bCs w:val="0"/>
        </w:rPr>
      </w:pPr>
      <w:r>
        <w:rPr/>
        <w:t>十</w:t>
      </w:r>
      <w:r>
        <w:rPr>
          <w:spacing w:val="-71"/>
        </w:rPr>
        <w:t> </w:t>
      </w:r>
      <w:r>
        <w:rPr/>
        <w:t>四</w:t>
      </w:r>
      <w:r>
        <w:rPr>
          <w:spacing w:val="-73"/>
        </w:rPr>
        <w:t> </w:t>
      </w:r>
      <w:r>
        <w:rPr/>
        <w:t>、</w:t>
      </w:r>
      <w:r>
        <w:rPr>
          <w:spacing w:val="-54"/>
        </w:rPr>
        <w:t> </w:t>
      </w:r>
      <w:r>
        <w:rPr/>
        <w:t>承</w:t>
      </w:r>
      <w:r>
        <w:rPr>
          <w:spacing w:val="-71"/>
        </w:rPr>
        <w:t> </w:t>
      </w:r>
      <w:r>
        <w:rPr/>
        <w:t>诺</w:t>
      </w:r>
      <w:r>
        <w:rPr>
          <w:spacing w:val="-73"/>
        </w:rPr>
        <w:t> </w:t>
      </w:r>
      <w:r>
        <w:rPr/>
        <w:t>事</w:t>
      </w:r>
      <w:r>
        <w:rPr>
          <w:spacing w:val="-71"/>
        </w:rPr>
        <w:t> </w:t>
      </w:r>
      <w:r>
        <w:rPr/>
        <w:t>项</w:t>
      </w:r>
      <w:r>
        <w:rPr>
          <w:b w:val="0"/>
          <w:bCs w:val="0"/>
        </w:rPr>
      </w:r>
    </w:p>
    <w:p>
      <w:pPr>
        <w:pStyle w:val="BodyText"/>
        <w:spacing w:line="240" w:lineRule="auto" w:before="192"/>
        <w:ind w:left="680" w:right="80"/>
        <w:jc w:val="left"/>
      </w:pPr>
      <w:r>
        <w:rPr/>
        <w:t>截止</w:t>
      </w:r>
      <w:r>
        <w:rPr>
          <w:spacing w:val="-60"/>
        </w:rPr>
        <w:t> </w:t>
      </w:r>
      <w:r>
        <w:rPr/>
        <w:t>2015</w:t>
      </w:r>
      <w:r>
        <w:rPr>
          <w:spacing w:val="-57"/>
        </w:rPr>
        <w:t> </w:t>
      </w:r>
      <w:r>
        <w:rPr/>
        <w:t>年</w:t>
      </w:r>
      <w:r>
        <w:rPr>
          <w:spacing w:val="-60"/>
        </w:rPr>
        <w:t> </w:t>
      </w:r>
      <w:r>
        <w:rPr/>
        <w:t>12</w:t>
      </w:r>
      <w:r>
        <w:rPr>
          <w:spacing w:val="-57"/>
        </w:rPr>
        <w:t> </w:t>
      </w:r>
      <w:r>
        <w:rPr/>
        <w:t>月</w:t>
      </w:r>
      <w:r>
        <w:rPr>
          <w:spacing w:val="-60"/>
        </w:rPr>
        <w:t> </w:t>
      </w:r>
      <w:r>
        <w:rPr/>
        <w:t>31</w:t>
      </w:r>
      <w:r>
        <w:rPr>
          <w:spacing w:val="-57"/>
        </w:rPr>
        <w:t> </w:t>
      </w:r>
      <w:r>
        <w:rPr/>
        <w:t>日，本公司已承诺出资而未出资到位的情况如下：</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34"/>
        <w:gridCol w:w="1560"/>
        <w:gridCol w:w="639"/>
        <w:gridCol w:w="1497"/>
        <w:gridCol w:w="1296"/>
        <w:gridCol w:w="1497"/>
      </w:tblGrid>
      <w:tr>
        <w:trPr>
          <w:trHeight w:val="607" w:hRule="exact"/>
        </w:trPr>
        <w:tc>
          <w:tcPr>
            <w:tcW w:w="22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5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416"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639" w:type="dxa"/>
            <w:tcBorders>
              <w:top w:val="single" w:sz="12" w:space="0" w:color="000000"/>
              <w:left w:val="single" w:sz="4" w:space="0" w:color="000000"/>
              <w:bottom w:val="single" w:sz="4" w:space="0" w:color="000000"/>
              <w:right w:val="single" w:sz="4" w:space="0" w:color="000000"/>
            </w:tcBorders>
          </w:tcPr>
          <w:p>
            <w:pPr>
              <w:pStyle w:val="TableParagraph"/>
              <w:spacing w:line="278" w:lineRule="auto" w:before="12"/>
              <w:ind w:left="132" w:right="134"/>
              <w:jc w:val="left"/>
              <w:rPr>
                <w:rFonts w:ascii="宋体" w:hAnsi="宋体" w:cs="宋体" w:eastAsia="宋体" w:hint="default"/>
                <w:sz w:val="18"/>
                <w:szCs w:val="18"/>
              </w:rPr>
            </w:pPr>
            <w:r>
              <w:rPr>
                <w:rFonts w:ascii="宋体" w:hAnsi="宋体" w:cs="宋体" w:eastAsia="宋体" w:hint="default"/>
                <w:b/>
                <w:bCs/>
                <w:sz w:val="18"/>
                <w:szCs w:val="18"/>
              </w:rPr>
              <w:t>认缴</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4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382" w:right="0"/>
              <w:jc w:val="left"/>
              <w:rPr>
                <w:rFonts w:ascii="宋体" w:hAnsi="宋体" w:cs="宋体" w:eastAsia="宋体" w:hint="default"/>
                <w:sz w:val="18"/>
                <w:szCs w:val="18"/>
              </w:rPr>
            </w:pPr>
            <w:r>
              <w:rPr>
                <w:rFonts w:ascii="宋体" w:hAnsi="宋体" w:cs="宋体" w:eastAsia="宋体" w:hint="default"/>
                <w:b/>
                <w:bCs/>
                <w:sz w:val="18"/>
                <w:szCs w:val="18"/>
              </w:rPr>
              <w:t>认缴金额</w:t>
            </w:r>
            <w:r>
              <w:rPr>
                <w:rFonts w:ascii="宋体" w:hAnsi="宋体" w:cs="宋体" w:eastAsia="宋体" w:hint="default"/>
                <w:sz w:val="18"/>
                <w:szCs w:val="18"/>
              </w:rPr>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284" w:right="0"/>
              <w:jc w:val="left"/>
              <w:rPr>
                <w:rFonts w:ascii="宋体" w:hAnsi="宋体" w:cs="宋体" w:eastAsia="宋体" w:hint="default"/>
                <w:sz w:val="18"/>
                <w:szCs w:val="18"/>
              </w:rPr>
            </w:pPr>
            <w:r>
              <w:rPr>
                <w:rFonts w:ascii="宋体" w:hAnsi="宋体" w:cs="宋体" w:eastAsia="宋体" w:hint="default"/>
                <w:b/>
                <w:bCs/>
                <w:sz w:val="18"/>
                <w:szCs w:val="18"/>
              </w:rPr>
              <w:t>已缴金额</w:t>
            </w:r>
            <w:r>
              <w:rPr>
                <w:rFonts w:ascii="宋体" w:hAnsi="宋体" w:cs="宋体" w:eastAsia="宋体" w:hint="default"/>
                <w:sz w:val="18"/>
                <w:szCs w:val="18"/>
              </w:rPr>
            </w:r>
          </w:p>
        </w:tc>
        <w:tc>
          <w:tcPr>
            <w:tcW w:w="14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left="202" w:right="0"/>
              <w:jc w:val="left"/>
              <w:rPr>
                <w:rFonts w:ascii="宋体" w:hAnsi="宋体" w:cs="宋体" w:eastAsia="宋体" w:hint="default"/>
                <w:sz w:val="18"/>
                <w:szCs w:val="18"/>
              </w:rPr>
            </w:pPr>
            <w:r>
              <w:rPr>
                <w:rFonts w:ascii="宋体" w:hAnsi="宋体" w:cs="宋体" w:eastAsia="宋体" w:hint="default"/>
                <w:b/>
                <w:bCs/>
                <w:sz w:val="18"/>
                <w:szCs w:val="18"/>
              </w:rPr>
              <w:t>尚未到位金额</w:t>
            </w:r>
            <w:r>
              <w:rPr>
                <w:rFonts w:ascii="宋体" w:hAnsi="宋体" w:cs="宋体" w:eastAsia="宋体" w:hint="default"/>
                <w:sz w:val="18"/>
                <w:szCs w:val="18"/>
              </w:rPr>
            </w:r>
          </w:p>
        </w:tc>
      </w:tr>
      <w:tr>
        <w:trPr>
          <w:trHeight w:val="407"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right"/>
              <w:rPr>
                <w:rFonts w:ascii="宋体" w:hAnsi="宋体" w:cs="宋体" w:eastAsia="宋体" w:hint="default"/>
                <w:sz w:val="18"/>
                <w:szCs w:val="18"/>
              </w:rPr>
            </w:pPr>
            <w:r>
              <w:rPr>
                <w:rFonts w:ascii="宋体"/>
                <w:spacing w:val="-1"/>
                <w:sz w:val="18"/>
              </w:rPr>
              <w:t>100,000,000.00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right"/>
              <w:rPr>
                <w:rFonts w:ascii="宋体" w:hAnsi="宋体" w:cs="宋体" w:eastAsia="宋体" w:hint="default"/>
                <w:sz w:val="18"/>
                <w:szCs w:val="18"/>
              </w:rPr>
            </w:pPr>
            <w:r>
              <w:rPr>
                <w:rFonts w:ascii="宋体"/>
                <w:sz w:val="18"/>
              </w:rPr>
              <w:t>100%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right"/>
              <w:rPr>
                <w:rFonts w:ascii="宋体" w:hAnsi="宋体" w:cs="宋体" w:eastAsia="宋体" w:hint="default"/>
                <w:sz w:val="18"/>
                <w:szCs w:val="18"/>
              </w:rPr>
            </w:pPr>
            <w:r>
              <w:rPr>
                <w:rFonts w:ascii="宋体"/>
                <w:spacing w:val="-1"/>
                <w:sz w:val="18"/>
              </w:rPr>
              <w:t>100,000,000.00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right"/>
              <w:rPr>
                <w:rFonts w:ascii="宋体" w:hAnsi="宋体" w:cs="宋体" w:eastAsia="宋体" w:hint="default"/>
                <w:sz w:val="18"/>
                <w:szCs w:val="18"/>
              </w:rPr>
            </w:pPr>
            <w:r>
              <w:rPr>
                <w:rFonts w:ascii="宋体"/>
                <w:spacing w:val="-1"/>
                <w:sz w:val="18"/>
              </w:rPr>
              <w:t>304,599.00</w:t>
            </w:r>
          </w:p>
        </w:tc>
        <w:tc>
          <w:tcPr>
            <w:tcW w:w="1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2"/>
              <w:jc w:val="right"/>
              <w:rPr>
                <w:rFonts w:ascii="宋体" w:hAnsi="宋体" w:cs="宋体" w:eastAsia="宋体" w:hint="default"/>
                <w:sz w:val="18"/>
                <w:szCs w:val="18"/>
              </w:rPr>
            </w:pPr>
            <w:r>
              <w:rPr>
                <w:rFonts w:ascii="宋体"/>
                <w:spacing w:val="-1"/>
                <w:sz w:val="18"/>
              </w:rPr>
              <w:t>99,695,401.00</w:t>
            </w:r>
          </w:p>
        </w:tc>
      </w:tr>
      <w:tr>
        <w:trPr>
          <w:trHeight w:val="557"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53" w:right="47"/>
              <w:jc w:val="left"/>
              <w:rPr>
                <w:rFonts w:ascii="宋体" w:hAnsi="宋体" w:cs="宋体" w:eastAsia="宋体" w:hint="default"/>
                <w:sz w:val="18"/>
                <w:szCs w:val="18"/>
              </w:rPr>
            </w:pPr>
            <w:r>
              <w:rPr>
                <w:rFonts w:ascii="宋体" w:hAnsi="宋体" w:cs="宋体" w:eastAsia="宋体" w:hint="default"/>
                <w:spacing w:val="12"/>
                <w:sz w:val="18"/>
                <w:szCs w:val="18"/>
              </w:rPr>
              <w:t>山东万恩新能源科技有限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55,000,000.00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31%</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17,050,000.00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8,347,172.00</w:t>
            </w:r>
          </w:p>
        </w:tc>
        <w:tc>
          <w:tcPr>
            <w:tcW w:w="1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0"/>
              <w:jc w:val="right"/>
              <w:rPr>
                <w:rFonts w:ascii="宋体" w:hAnsi="宋体" w:cs="宋体" w:eastAsia="宋体" w:hint="default"/>
                <w:sz w:val="18"/>
                <w:szCs w:val="18"/>
              </w:rPr>
            </w:pPr>
            <w:r>
              <w:rPr>
                <w:rFonts w:ascii="宋体"/>
                <w:spacing w:val="-1"/>
                <w:sz w:val="18"/>
              </w:rPr>
              <w:t>8,702,828.00</w:t>
            </w:r>
          </w:p>
        </w:tc>
      </w:tr>
      <w:tr>
        <w:trPr>
          <w:trHeight w:val="557"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8"/>
              <w:ind w:left="53" w:right="47"/>
              <w:jc w:val="left"/>
              <w:rPr>
                <w:rFonts w:ascii="宋体" w:hAnsi="宋体" w:cs="宋体" w:eastAsia="宋体" w:hint="default"/>
                <w:sz w:val="18"/>
                <w:szCs w:val="18"/>
              </w:rPr>
            </w:pPr>
            <w:r>
              <w:rPr>
                <w:rFonts w:ascii="宋体" w:hAnsi="宋体" w:cs="宋体" w:eastAsia="宋体" w:hint="default"/>
                <w:spacing w:val="12"/>
                <w:sz w:val="18"/>
                <w:szCs w:val="18"/>
              </w:rPr>
              <w:t>浙江万马海立斯新能源有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40,000,000.00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50%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
              <w:jc w:val="right"/>
              <w:rPr>
                <w:rFonts w:ascii="宋体" w:hAnsi="宋体" w:cs="宋体" w:eastAsia="宋体" w:hint="default"/>
                <w:sz w:val="18"/>
                <w:szCs w:val="18"/>
              </w:rPr>
            </w:pPr>
            <w:r>
              <w:rPr>
                <w:rFonts w:ascii="宋体"/>
                <w:spacing w:val="-1"/>
                <w:sz w:val="18"/>
              </w:rPr>
              <w:t>20,000,000.00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2"/>
              <w:jc w:val="right"/>
              <w:rPr>
                <w:rFonts w:ascii="宋体" w:hAnsi="宋体" w:cs="宋体" w:eastAsia="宋体" w:hint="default"/>
                <w:sz w:val="18"/>
                <w:szCs w:val="18"/>
              </w:rPr>
            </w:pPr>
            <w:r>
              <w:rPr>
                <w:rFonts w:ascii="宋体"/>
                <w:spacing w:val="-1"/>
                <w:sz w:val="18"/>
              </w:rPr>
              <w:t>20,000,000.00</w:t>
            </w:r>
          </w:p>
        </w:tc>
      </w:tr>
      <w:tr>
        <w:trPr>
          <w:trHeight w:val="417" w:hRule="exact"/>
        </w:trPr>
        <w:tc>
          <w:tcPr>
            <w:tcW w:w="2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b/>
                <w:w w:val="95"/>
                <w:sz w:val="18"/>
              </w:rPr>
              <w:t>--</w:t>
            </w:r>
            <w:r>
              <w:rPr>
                <w:rFonts w:ascii="宋体"/>
                <w:sz w:val="18"/>
              </w:rPr>
            </w:r>
          </w:p>
        </w:tc>
        <w:tc>
          <w:tcPr>
            <w:tcW w:w="639" w:type="dxa"/>
            <w:tcBorders>
              <w:top w:val="single" w:sz="4" w:space="0" w:color="000000"/>
              <w:left w:val="single" w:sz="4" w:space="0" w:color="000000"/>
              <w:bottom w:val="single" w:sz="12" w:space="0" w:color="000000"/>
              <w:right w:val="single" w:sz="4" w:space="0" w:color="000000"/>
            </w:tcBorders>
          </w:tcPr>
          <w:p>
            <w:pPr/>
          </w:p>
        </w:tc>
        <w:tc>
          <w:tcPr>
            <w:tcW w:w="14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spacing w:val="-1"/>
                <w:sz w:val="18"/>
              </w:rPr>
              <w:t>137,050,000.00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spacing w:val="-1"/>
                <w:sz w:val="18"/>
              </w:rPr>
              <w:t>8,651,771.00</w:t>
            </w:r>
          </w:p>
        </w:tc>
        <w:tc>
          <w:tcPr>
            <w:tcW w:w="14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128,398,229.00</w:t>
            </w:r>
          </w:p>
        </w:tc>
      </w:tr>
    </w:tbl>
    <w:p>
      <w:pPr>
        <w:spacing w:line="240" w:lineRule="auto" w:before="1"/>
        <w:rPr>
          <w:rFonts w:ascii="宋体" w:hAnsi="宋体" w:cs="宋体" w:eastAsia="宋体" w:hint="default"/>
          <w:sz w:val="9"/>
          <w:szCs w:val="9"/>
        </w:rPr>
      </w:pPr>
    </w:p>
    <w:p>
      <w:pPr>
        <w:spacing w:line="400" w:lineRule="auto" w:before="33"/>
        <w:ind w:left="702" w:right="3353" w:hanging="63"/>
        <w:jc w:val="left"/>
        <w:rPr>
          <w:rFonts w:ascii="宋体" w:hAnsi="宋体" w:cs="宋体" w:eastAsia="宋体" w:hint="default"/>
          <w:sz w:val="22"/>
          <w:szCs w:val="22"/>
        </w:rPr>
      </w:pPr>
      <w:r>
        <w:rPr>
          <w:rFonts w:ascii="宋体" w:hAnsi="宋体" w:cs="宋体" w:eastAsia="宋体" w:hint="default"/>
          <w:spacing w:val="-2"/>
          <w:sz w:val="22"/>
          <w:szCs w:val="22"/>
        </w:rPr>
        <w:t>除上述事项外，本集团无应披露的重要承诺事项。</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b/>
          <w:bCs/>
          <w:sz w:val="22"/>
          <w:szCs w:val="22"/>
        </w:rPr>
        <w:t>十</w:t>
      </w:r>
      <w:r>
        <w:rPr>
          <w:rFonts w:ascii="宋体" w:hAnsi="宋体" w:cs="宋体" w:eastAsia="宋体" w:hint="default"/>
          <w:b/>
          <w:bCs/>
          <w:spacing w:val="-71"/>
          <w:sz w:val="22"/>
          <w:szCs w:val="22"/>
        </w:rPr>
        <w:t> </w:t>
      </w:r>
      <w:r>
        <w:rPr>
          <w:rFonts w:ascii="宋体" w:hAnsi="宋体" w:cs="宋体" w:eastAsia="宋体" w:hint="default"/>
          <w:b/>
          <w:bCs/>
          <w:sz w:val="22"/>
          <w:szCs w:val="22"/>
        </w:rPr>
        <w:t>五</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54"/>
          <w:sz w:val="22"/>
          <w:szCs w:val="22"/>
        </w:rPr>
        <w:t> </w:t>
      </w:r>
      <w:r>
        <w:rPr>
          <w:rFonts w:ascii="宋体" w:hAnsi="宋体" w:cs="宋体" w:eastAsia="宋体" w:hint="default"/>
          <w:b/>
          <w:bCs/>
          <w:sz w:val="22"/>
          <w:szCs w:val="22"/>
        </w:rPr>
        <w:t>资</w:t>
      </w:r>
      <w:r>
        <w:rPr>
          <w:rFonts w:ascii="宋体" w:hAnsi="宋体" w:cs="宋体" w:eastAsia="宋体" w:hint="default"/>
          <w:b/>
          <w:bCs/>
          <w:spacing w:val="-71"/>
          <w:sz w:val="22"/>
          <w:szCs w:val="22"/>
        </w:rPr>
        <w:t> </w:t>
      </w:r>
      <w:r>
        <w:rPr>
          <w:rFonts w:ascii="宋体" w:hAnsi="宋体" w:cs="宋体" w:eastAsia="宋体" w:hint="default"/>
          <w:b/>
          <w:bCs/>
          <w:sz w:val="22"/>
          <w:szCs w:val="22"/>
        </w:rPr>
        <w:t>产</w:t>
      </w:r>
      <w:r>
        <w:rPr>
          <w:rFonts w:ascii="宋体" w:hAnsi="宋体" w:cs="宋体" w:eastAsia="宋体" w:hint="default"/>
          <w:b/>
          <w:bCs/>
          <w:spacing w:val="-73"/>
          <w:sz w:val="22"/>
          <w:szCs w:val="22"/>
        </w:rPr>
        <w:t> </w:t>
      </w:r>
      <w:r>
        <w:rPr>
          <w:rFonts w:ascii="宋体" w:hAnsi="宋体" w:cs="宋体" w:eastAsia="宋体" w:hint="default"/>
          <w:b/>
          <w:bCs/>
          <w:sz w:val="22"/>
          <w:szCs w:val="22"/>
        </w:rPr>
        <w:t>负</w:t>
      </w:r>
      <w:r>
        <w:rPr>
          <w:rFonts w:ascii="宋体" w:hAnsi="宋体" w:cs="宋体" w:eastAsia="宋体" w:hint="default"/>
          <w:b/>
          <w:bCs/>
          <w:spacing w:val="-71"/>
          <w:sz w:val="22"/>
          <w:szCs w:val="22"/>
        </w:rPr>
        <w:t> </w:t>
      </w:r>
      <w:r>
        <w:rPr>
          <w:rFonts w:ascii="宋体" w:hAnsi="宋体" w:cs="宋体" w:eastAsia="宋体" w:hint="default"/>
          <w:b/>
          <w:bCs/>
          <w:sz w:val="22"/>
          <w:szCs w:val="22"/>
        </w:rPr>
        <w:t>债</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日</w:t>
      </w:r>
      <w:r>
        <w:rPr>
          <w:rFonts w:ascii="宋体" w:hAnsi="宋体" w:cs="宋体" w:eastAsia="宋体" w:hint="default"/>
          <w:b/>
          <w:bCs/>
          <w:spacing w:val="-71"/>
          <w:sz w:val="22"/>
          <w:szCs w:val="22"/>
        </w:rPr>
        <w:t> </w:t>
      </w:r>
      <w:r>
        <w:rPr>
          <w:rFonts w:ascii="宋体" w:hAnsi="宋体" w:cs="宋体" w:eastAsia="宋体" w:hint="default"/>
          <w:b/>
          <w:bCs/>
          <w:sz w:val="22"/>
          <w:szCs w:val="22"/>
        </w:rPr>
        <w:t>后</w:t>
      </w:r>
      <w:r>
        <w:rPr>
          <w:rFonts w:ascii="宋体" w:hAnsi="宋体" w:cs="宋体" w:eastAsia="宋体" w:hint="default"/>
          <w:b/>
          <w:bCs/>
          <w:spacing w:val="-71"/>
          <w:sz w:val="22"/>
          <w:szCs w:val="22"/>
        </w:rPr>
        <w:t> </w:t>
      </w:r>
      <w:r>
        <w:rPr>
          <w:rFonts w:ascii="宋体" w:hAnsi="宋体" w:cs="宋体" w:eastAsia="宋体" w:hint="default"/>
          <w:b/>
          <w:bCs/>
          <w:sz w:val="22"/>
          <w:szCs w:val="22"/>
        </w:rPr>
        <w:t>事</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pStyle w:val="BodyText"/>
        <w:spacing w:line="240" w:lineRule="auto" w:before="44"/>
        <w:ind w:left="740" w:right="80"/>
        <w:jc w:val="left"/>
      </w:pPr>
      <w:r>
        <w:rPr>
          <w:spacing w:val="6"/>
        </w:rPr>
        <w:t>1.</w:t>
      </w:r>
      <w:r>
        <w:rPr>
          <w:spacing w:val="-44"/>
        </w:rPr>
        <w:t> </w:t>
      </w:r>
      <w:r>
        <w:rPr/>
        <w:t>重</w:t>
      </w:r>
      <w:r>
        <w:rPr>
          <w:spacing w:val="-71"/>
        </w:rPr>
        <w:t> </w:t>
      </w:r>
      <w:r>
        <w:rPr/>
        <w:t>要</w:t>
      </w:r>
      <w:r>
        <w:rPr>
          <w:spacing w:val="-69"/>
        </w:rPr>
        <w:t> </w:t>
      </w:r>
      <w:r>
        <w:rPr/>
        <w:t>的</w:t>
      </w:r>
      <w:r>
        <w:rPr>
          <w:spacing w:val="-71"/>
        </w:rPr>
        <w:t> </w:t>
      </w:r>
      <w:r>
        <w:rPr/>
        <w:t>非</w:t>
      </w:r>
      <w:r>
        <w:rPr>
          <w:spacing w:val="-71"/>
        </w:rPr>
        <w:t> </w:t>
      </w:r>
      <w:r>
        <w:rPr/>
        <w:t>调</w:t>
      </w:r>
      <w:r>
        <w:rPr>
          <w:spacing w:val="-69"/>
        </w:rPr>
        <w:t> </w:t>
      </w:r>
      <w:r>
        <w:rPr/>
        <w:t>整</w:t>
      </w:r>
      <w:r>
        <w:rPr>
          <w:spacing w:val="-71"/>
        </w:rPr>
        <w:t> </w:t>
      </w:r>
      <w:r>
        <w:rPr/>
        <w:t>事</w:t>
      </w:r>
      <w:r>
        <w:rPr>
          <w:spacing w:val="-71"/>
        </w:rPr>
        <w:t> </w:t>
      </w:r>
      <w:r>
        <w:rPr/>
        <w:t>项</w:t>
      </w:r>
    </w:p>
    <w:p>
      <w:pPr>
        <w:pStyle w:val="BodyText"/>
        <w:spacing w:line="300" w:lineRule="auto" w:before="192"/>
        <w:ind w:left="241" w:right="237" w:firstLine="439"/>
        <w:jc w:val="both"/>
      </w:pPr>
      <w:r>
        <w:rPr/>
        <w:t>2016</w:t>
      </w:r>
      <w:r>
        <w:rPr>
          <w:spacing w:val="-48"/>
        </w:rPr>
        <w:t> </w:t>
      </w:r>
      <w:r>
        <w:rPr/>
        <w:t>年</w:t>
      </w:r>
      <w:r>
        <w:rPr>
          <w:spacing w:val="-45"/>
        </w:rPr>
        <w:t> </w:t>
      </w:r>
      <w:r>
        <w:rPr/>
        <w:t>3</w:t>
      </w:r>
      <w:r>
        <w:rPr>
          <w:spacing w:val="-45"/>
        </w:rPr>
        <w:t> </w:t>
      </w:r>
      <w:r>
        <w:rPr/>
        <w:t>月</w:t>
      </w:r>
      <w:r>
        <w:rPr>
          <w:spacing w:val="-48"/>
        </w:rPr>
        <w:t> </w:t>
      </w:r>
      <w:r>
        <w:rPr/>
        <w:t>14</w:t>
      </w:r>
      <w:r>
        <w:rPr>
          <w:spacing w:val="-45"/>
        </w:rPr>
        <w:t> </w:t>
      </w:r>
      <w:r>
        <w:rPr>
          <w:spacing w:val="-3"/>
        </w:rPr>
        <w:t>日，国开发展基金有限公司（以下简称“国开基金”）、本公司、本</w:t>
      </w:r>
      <w:r>
        <w:rPr>
          <w:w w:val="100"/>
        </w:rPr>
        <w:t> </w:t>
      </w:r>
      <w:r>
        <w:rPr>
          <w:spacing w:val="-4"/>
        </w:rPr>
        <w:t>公司之子公司浙江万马高分子材料有限公司（以下简称“万马高分子”）三方签署《国开</w:t>
      </w:r>
      <w:r>
        <w:rPr>
          <w:spacing w:val="-49"/>
        </w:rPr>
        <w:t> </w:t>
      </w:r>
      <w:r>
        <w:rPr>
          <w:spacing w:val="-49"/>
        </w:rPr>
      </w:r>
      <w:r>
        <w:rPr>
          <w:spacing w:val="-7"/>
        </w:rPr>
        <w:t>发展基金投资合同》，并经本公司于</w:t>
      </w:r>
      <w:r>
        <w:rPr>
          <w:spacing w:val="-52"/>
        </w:rPr>
        <w:t> </w:t>
      </w:r>
      <w:r>
        <w:rPr/>
        <w:t>2016</w:t>
      </w:r>
      <w:r>
        <w:rPr>
          <w:spacing w:val="-55"/>
        </w:rPr>
        <w:t> </w:t>
      </w:r>
      <w:r>
        <w:rPr/>
        <w:t>年</w:t>
      </w:r>
      <w:r>
        <w:rPr>
          <w:spacing w:val="-52"/>
        </w:rPr>
        <w:t> </w:t>
      </w:r>
      <w:r>
        <w:rPr/>
        <w:t>3</w:t>
      </w:r>
      <w:r>
        <w:rPr>
          <w:spacing w:val="-55"/>
        </w:rPr>
        <w:t> </w:t>
      </w:r>
      <w:r>
        <w:rPr/>
        <w:t>月</w:t>
      </w:r>
      <w:r>
        <w:rPr>
          <w:spacing w:val="-52"/>
        </w:rPr>
        <w:t> </w:t>
      </w:r>
      <w:r>
        <w:rPr/>
        <w:t>14</w:t>
      </w:r>
      <w:r>
        <w:rPr>
          <w:spacing w:val="-52"/>
        </w:rPr>
        <w:t> </w:t>
      </w:r>
      <w:r>
        <w:rPr/>
        <w:t>日召开的第三届董事会第四十次会议</w:t>
      </w:r>
      <w:r>
        <w:rPr>
          <w:w w:val="100"/>
        </w:rPr>
        <w:t> </w:t>
      </w:r>
      <w:r>
        <w:rPr>
          <w:spacing w:val="-5"/>
        </w:rPr>
        <w:t>审计通过，国开基金以人民币</w:t>
      </w:r>
      <w:r>
        <w:rPr>
          <w:spacing w:val="-53"/>
        </w:rPr>
        <w:t> </w:t>
      </w:r>
      <w:r>
        <w:rPr/>
        <w:t>1</w:t>
      </w:r>
      <w:r>
        <w:rPr>
          <w:spacing w:val="-49"/>
        </w:rPr>
        <w:t> </w:t>
      </w:r>
      <w:r>
        <w:rPr>
          <w:spacing w:val="-4"/>
        </w:rPr>
        <w:t>亿元对万马高分子进行增资，其中</w:t>
      </w:r>
      <w:r>
        <w:rPr>
          <w:spacing w:val="-49"/>
        </w:rPr>
        <w:t> </w:t>
      </w:r>
      <w:r>
        <w:rPr/>
        <w:t>29,668,521.60</w:t>
      </w:r>
      <w:r>
        <w:rPr>
          <w:spacing w:val="-53"/>
        </w:rPr>
        <w:t> </w:t>
      </w:r>
      <w:r>
        <w:rPr/>
        <w:t>元记入</w:t>
      </w:r>
      <w:r>
        <w:rPr>
          <w:spacing w:val="-107"/>
        </w:rPr>
        <w:t> </w:t>
      </w:r>
      <w:r>
        <w:rPr>
          <w:spacing w:val="-107"/>
        </w:rPr>
      </w:r>
      <w:r>
        <w:rPr/>
        <w:t>实收资本， 70,331,478.40</w:t>
      </w:r>
      <w:r>
        <w:rPr>
          <w:spacing w:val="19"/>
        </w:rPr>
        <w:t> </w:t>
      </w:r>
      <w:r>
        <w:rPr/>
        <w:t>元记入资本公积）；同时，本公司之子公司浙江万马集团特</w:t>
      </w:r>
    </w:p>
    <w:p>
      <w:pPr>
        <w:pStyle w:val="BodyText"/>
        <w:spacing w:line="240" w:lineRule="auto" w:before="17"/>
        <w:ind w:left="241" w:right="80"/>
        <w:jc w:val="left"/>
      </w:pPr>
      <w:r>
        <w:rPr/>
        <w:t>种</w:t>
      </w:r>
      <w:r>
        <w:rPr>
          <w:spacing w:val="-72"/>
        </w:rPr>
        <w:t> </w:t>
      </w:r>
      <w:r>
        <w:rPr/>
        <w:t>电</w:t>
      </w:r>
      <w:r>
        <w:rPr>
          <w:spacing w:val="-75"/>
        </w:rPr>
        <w:t> </w:t>
      </w:r>
      <w:r>
        <w:rPr/>
        <w:t>子</w:t>
      </w:r>
      <w:r>
        <w:rPr>
          <w:spacing w:val="-72"/>
        </w:rPr>
        <w:t> </w:t>
      </w:r>
      <w:r>
        <w:rPr/>
        <w:t>电</w:t>
      </w:r>
      <w:r>
        <w:rPr>
          <w:spacing w:val="-75"/>
        </w:rPr>
        <w:t> </w:t>
      </w:r>
      <w:r>
        <w:rPr/>
        <w:t>缆</w:t>
      </w:r>
      <w:r>
        <w:rPr>
          <w:spacing w:val="-72"/>
        </w:rPr>
        <w:t> </w:t>
      </w:r>
      <w:r>
        <w:rPr/>
        <w:t>有</w:t>
      </w:r>
      <w:r>
        <w:rPr>
          <w:spacing w:val="-75"/>
        </w:rPr>
        <w:t> </w:t>
      </w:r>
      <w:r>
        <w:rPr/>
        <w:t>限</w:t>
      </w:r>
      <w:r>
        <w:rPr>
          <w:spacing w:val="-72"/>
        </w:rPr>
        <w:t> </w:t>
      </w:r>
      <w:r>
        <w:rPr/>
        <w:t>公</w:t>
      </w:r>
      <w:r>
        <w:rPr>
          <w:spacing w:val="-75"/>
        </w:rPr>
        <w:t> </w:t>
      </w:r>
      <w:r>
        <w:rPr/>
        <w:t>司</w:t>
      </w:r>
      <w:r>
        <w:rPr>
          <w:spacing w:val="-72"/>
        </w:rPr>
        <w:t> </w:t>
      </w:r>
      <w:r>
        <w:rPr/>
        <w:t>以</w:t>
      </w:r>
      <w:r>
        <w:rPr>
          <w:spacing w:val="-75"/>
        </w:rPr>
        <w:t> </w:t>
      </w:r>
      <w:r>
        <w:rPr/>
        <w:t>人</w:t>
      </w:r>
      <w:r>
        <w:rPr>
          <w:spacing w:val="-72"/>
        </w:rPr>
        <w:t> </w:t>
      </w:r>
      <w:r>
        <w:rPr/>
        <w:t>民</w:t>
      </w:r>
      <w:r>
        <w:rPr>
          <w:spacing w:val="-75"/>
        </w:rPr>
        <w:t> </w:t>
      </w:r>
      <w:r>
        <w:rPr/>
        <w:t>币</w:t>
      </w:r>
      <w:r>
        <w:rPr>
          <w:spacing w:val="-18"/>
        </w:rPr>
        <w:t> </w:t>
      </w:r>
      <w:r>
        <w:rPr/>
        <w:t>25,000,000.00</w:t>
      </w:r>
      <w:r>
        <w:rPr>
          <w:spacing w:val="-16"/>
        </w:rPr>
        <w:t> </w:t>
      </w:r>
      <w:r>
        <w:rPr/>
        <w:t>元</w:t>
      </w:r>
      <w:r>
        <w:rPr>
          <w:spacing w:val="-72"/>
        </w:rPr>
        <w:t> </w:t>
      </w:r>
      <w:r>
        <w:rPr/>
        <w:t>对</w:t>
      </w:r>
      <w:r>
        <w:rPr>
          <w:spacing w:val="-75"/>
        </w:rPr>
        <w:t> </w:t>
      </w:r>
      <w:r>
        <w:rPr/>
        <w:t>万</w:t>
      </w:r>
      <w:r>
        <w:rPr>
          <w:spacing w:val="-72"/>
        </w:rPr>
        <w:t> </w:t>
      </w:r>
      <w:r>
        <w:rPr/>
        <w:t>马</w:t>
      </w:r>
      <w:r>
        <w:rPr>
          <w:spacing w:val="-75"/>
        </w:rPr>
        <w:t> </w:t>
      </w:r>
      <w:r>
        <w:rPr/>
        <w:t>高</w:t>
      </w:r>
      <w:r>
        <w:rPr>
          <w:spacing w:val="-72"/>
        </w:rPr>
        <w:t> </w:t>
      </w:r>
      <w:r>
        <w:rPr/>
        <w:t>分</w:t>
      </w:r>
      <w:r>
        <w:rPr>
          <w:spacing w:val="-75"/>
        </w:rPr>
        <w:t> </w:t>
      </w:r>
      <w:r>
        <w:rPr/>
        <w:t>子</w:t>
      </w:r>
      <w:r>
        <w:rPr>
          <w:spacing w:val="-72"/>
        </w:rPr>
        <w:t> </w:t>
      </w:r>
      <w:r>
        <w:rPr/>
        <w:t>追</w:t>
      </w:r>
      <w:r>
        <w:rPr>
          <w:spacing w:val="-75"/>
        </w:rPr>
        <w:t> </w:t>
      </w:r>
      <w:r>
        <w:rPr/>
        <w:t>加</w:t>
      </w:r>
      <w:r>
        <w:rPr>
          <w:spacing w:val="-72"/>
        </w:rPr>
        <w:t> </w:t>
      </w:r>
      <w:r>
        <w:rPr/>
        <w:t>投</w:t>
      </w:r>
      <w:r>
        <w:rPr>
          <w:spacing w:val="-75"/>
        </w:rPr>
        <w:t> </w:t>
      </w:r>
      <w:r>
        <w:rPr/>
        <w:t>资</w:t>
      </w:r>
      <w:r>
        <w:rPr>
          <w:spacing w:val="-72"/>
        </w:rPr>
        <w:t> </w:t>
      </w:r>
      <w:r>
        <w:rPr/>
        <w:t>，</w:t>
      </w:r>
      <w:r>
        <w:rPr>
          <w:spacing w:val="-75"/>
        </w:rPr>
        <w:t> </w:t>
      </w:r>
      <w:r>
        <w:rPr/>
        <w:t>其</w:t>
      </w:r>
      <w:r>
        <w:rPr>
          <w:spacing w:val="-72"/>
        </w:rPr>
        <w:t> </w:t>
      </w:r>
      <w:r>
        <w:rPr/>
        <w:t>中</w:t>
      </w:r>
    </w:p>
    <w:p>
      <w:pPr>
        <w:pStyle w:val="BodyText"/>
        <w:spacing w:line="240" w:lineRule="auto" w:before="72"/>
        <w:ind w:left="241" w:right="80"/>
        <w:jc w:val="left"/>
      </w:pPr>
      <w:r>
        <w:rPr/>
        <w:t>7,417,130.40 </w:t>
      </w:r>
      <w:r>
        <w:rPr>
          <w:spacing w:val="-3"/>
        </w:rPr>
        <w:t>元记入实收资本，17,582,869.60</w:t>
      </w:r>
      <w:r>
        <w:rPr>
          <w:spacing w:val="-65"/>
        </w:rPr>
        <w:t> </w:t>
      </w:r>
      <w:r>
        <w:rPr>
          <w:spacing w:val="-5"/>
        </w:rPr>
        <w:t>元记入资本公积；本次增资完成后，万马</w:t>
      </w:r>
    </w:p>
    <w:p>
      <w:pPr>
        <w:spacing w:after="0" w:line="240" w:lineRule="auto"/>
        <w:jc w:val="left"/>
        <w:sectPr>
          <w:pgSz w:w="11910" w:h="16840"/>
          <w:pgMar w:header="0" w:footer="873" w:top="1440" w:bottom="1060" w:left="1460" w:right="1460"/>
        </w:sectPr>
      </w:pPr>
    </w:p>
    <w:p>
      <w:pPr>
        <w:spacing w:line="240" w:lineRule="auto" w:before="1"/>
        <w:rPr>
          <w:rFonts w:ascii="宋体" w:hAnsi="宋体" w:cs="宋体" w:eastAsia="宋体" w:hint="default"/>
          <w:sz w:val="18"/>
          <w:szCs w:val="18"/>
        </w:rPr>
      </w:pPr>
    </w:p>
    <w:p>
      <w:pPr>
        <w:pStyle w:val="BodyText"/>
        <w:spacing w:line="300" w:lineRule="auto"/>
        <w:ind w:left="241" w:right="234"/>
        <w:jc w:val="both"/>
      </w:pPr>
      <w:r>
        <w:rPr/>
        <w:t>高分子的注册资本将由</w:t>
      </w:r>
      <w:r>
        <w:rPr>
          <w:spacing w:val="-61"/>
        </w:rPr>
        <w:t> </w:t>
      </w:r>
      <w:r>
        <w:rPr/>
        <w:t>186,750,000.00</w:t>
      </w:r>
      <w:r>
        <w:rPr>
          <w:spacing w:val="-58"/>
        </w:rPr>
        <w:t> </w:t>
      </w:r>
      <w:r>
        <w:rPr/>
        <w:t>元变更为</w:t>
      </w:r>
      <w:r>
        <w:rPr>
          <w:spacing w:val="-61"/>
        </w:rPr>
        <w:t> </w:t>
      </w:r>
      <w:r>
        <w:rPr/>
        <w:t>223,835,652.00</w:t>
      </w:r>
      <w:r>
        <w:rPr>
          <w:spacing w:val="-58"/>
        </w:rPr>
        <w:t> </w:t>
      </w:r>
      <w:r>
        <w:rPr>
          <w:spacing w:val="-9"/>
        </w:rPr>
        <w:t>元，本公司、浙江万马</w:t>
      </w:r>
      <w:r>
        <w:rPr>
          <w:w w:val="100"/>
        </w:rPr>
        <w:t> </w:t>
      </w:r>
      <w:r>
        <w:rPr>
          <w:spacing w:val="-3"/>
        </w:rPr>
        <w:t>集团特种电子电缆有限公司、国开基金持股比例分别为：66.75%、20.00%、13.25%。（投</w:t>
      </w:r>
      <w:r>
        <w:rPr>
          <w:spacing w:val="-70"/>
        </w:rPr>
        <w:t> </w:t>
      </w:r>
      <w:r>
        <w:rPr>
          <w:spacing w:val="-70"/>
        </w:rPr>
      </w:r>
      <w:r>
        <w:rPr/>
        <w:t>资后的持股比例，最终以协议各方共同认可的评估结果及实际出资为准）</w:t>
      </w:r>
    </w:p>
    <w:p>
      <w:pPr>
        <w:pStyle w:val="BodyText"/>
        <w:spacing w:line="300" w:lineRule="auto" w:before="137"/>
        <w:ind w:left="241" w:right="237" w:firstLine="439"/>
        <w:jc w:val="both"/>
      </w:pPr>
      <w:r>
        <w:rPr/>
        <w:t>国开基金本次投资的期限为“自增资款缴付完成之日起</w:t>
      </w:r>
      <w:r>
        <w:rPr>
          <w:spacing w:val="-50"/>
        </w:rPr>
        <w:t> </w:t>
      </w:r>
      <w:r>
        <w:rPr/>
        <w:t>10</w:t>
      </w:r>
      <w:r>
        <w:rPr>
          <w:spacing w:val="-50"/>
        </w:rPr>
        <w:t> </w:t>
      </w:r>
      <w:r>
        <w:rPr/>
        <w:t>年”。在投资期限内，本</w:t>
      </w:r>
      <w:r>
        <w:rPr>
          <w:w w:val="100"/>
        </w:rPr>
        <w:t> </w:t>
      </w:r>
      <w:r>
        <w:rPr>
          <w:spacing w:val="-4"/>
        </w:rPr>
        <w:t>公司和万马高分子承诺，国开基金每年通过现金分红、回购溢价等方式取得投资收益应按</w:t>
      </w:r>
      <w:r>
        <w:rPr>
          <w:spacing w:val="-53"/>
        </w:rPr>
        <w:t> </w:t>
      </w:r>
      <w:r>
        <w:rPr>
          <w:spacing w:val="-53"/>
        </w:rPr>
      </w:r>
      <w:r>
        <w:rPr/>
        <w:t>照</w:t>
      </w:r>
      <w:r>
        <w:rPr>
          <w:spacing w:val="-33"/>
        </w:rPr>
        <w:t> </w:t>
      </w:r>
      <w:r>
        <w:rPr>
          <w:spacing w:val="-2"/>
        </w:rPr>
        <w:t>1.2%/年的投资收益率计算投资收益。投资期限届满后，本公司有义务按照国开基金要</w:t>
      </w:r>
      <w:r>
        <w:rPr>
          <w:spacing w:val="-96"/>
        </w:rPr>
        <w:t> </w:t>
      </w:r>
      <w:r>
        <w:rPr>
          <w:spacing w:val="-96"/>
        </w:rPr>
      </w:r>
      <w:r>
        <w:rPr>
          <w:spacing w:val="-4"/>
        </w:rPr>
        <w:t>求回购有关股权，本公司在每个回购交割日前应该支付的股权转让对价按每次退出时标的</w:t>
      </w:r>
      <w:r>
        <w:rPr>
          <w:spacing w:val="-51"/>
        </w:rPr>
        <w:t> </w:t>
      </w:r>
      <w:r>
        <w:rPr>
          <w:spacing w:val="-51"/>
        </w:rPr>
      </w:r>
      <w:r>
        <w:rPr/>
        <w:t>股权实际投资额为定价基础确定，回购计划如下：</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817"/>
        <w:gridCol w:w="3953"/>
        <w:gridCol w:w="3953"/>
      </w:tblGrid>
      <w:tr>
        <w:trPr>
          <w:trHeight w:val="417" w:hRule="exact"/>
        </w:trPr>
        <w:tc>
          <w:tcPr>
            <w:tcW w:w="8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39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回购交割日</w:t>
            </w:r>
            <w:r>
              <w:rPr>
                <w:rFonts w:ascii="宋体" w:hAnsi="宋体" w:cs="宋体" w:eastAsia="宋体" w:hint="default"/>
                <w:sz w:val="22"/>
                <w:szCs w:val="22"/>
              </w:rPr>
            </w:r>
          </w:p>
        </w:tc>
        <w:tc>
          <w:tcPr>
            <w:tcW w:w="39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股权转让对价</w:t>
            </w:r>
            <w:r>
              <w:rPr>
                <w:rFonts w:ascii="宋体" w:hAnsi="宋体" w:cs="宋体" w:eastAsia="宋体" w:hint="default"/>
                <w:sz w:val="22"/>
                <w:szCs w:val="22"/>
              </w:rPr>
            </w:r>
          </w:p>
        </w:tc>
      </w:tr>
      <w:tr>
        <w:trPr>
          <w:trHeight w:val="407" w:hRule="exact"/>
        </w:trPr>
        <w:tc>
          <w:tcPr>
            <w:tcW w:w="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 w:right="0"/>
              <w:jc w:val="center"/>
              <w:rPr>
                <w:rFonts w:ascii="宋体" w:hAnsi="宋体" w:cs="宋体" w:eastAsia="宋体" w:hint="default"/>
                <w:sz w:val="22"/>
                <w:szCs w:val="22"/>
              </w:rPr>
            </w:pPr>
            <w:r>
              <w:rPr>
                <w:rFonts w:ascii="宋体"/>
                <w:w w:val="100"/>
                <w:sz w:val="22"/>
              </w:rPr>
              <w:t>1</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2024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13</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3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宋体" w:hAnsi="宋体" w:cs="宋体" w:eastAsia="宋体" w:hint="default"/>
                <w:sz w:val="22"/>
                <w:szCs w:val="22"/>
              </w:rPr>
              <w:t>3,000</w:t>
            </w:r>
            <w:r>
              <w:rPr>
                <w:rFonts w:ascii="宋体" w:hAnsi="宋体" w:cs="宋体" w:eastAsia="宋体" w:hint="default"/>
                <w:spacing w:val="-59"/>
                <w:sz w:val="22"/>
                <w:szCs w:val="22"/>
              </w:rPr>
              <w:t> </w:t>
            </w:r>
            <w:r>
              <w:rPr>
                <w:rFonts w:ascii="宋体" w:hAnsi="宋体" w:cs="宋体" w:eastAsia="宋体" w:hint="default"/>
                <w:sz w:val="22"/>
                <w:szCs w:val="22"/>
              </w:rPr>
              <w:t>万元</w:t>
            </w:r>
          </w:p>
        </w:tc>
      </w:tr>
      <w:tr>
        <w:trPr>
          <w:trHeight w:val="407" w:hRule="exact"/>
        </w:trPr>
        <w:tc>
          <w:tcPr>
            <w:tcW w:w="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22"/>
                <w:szCs w:val="22"/>
              </w:rPr>
            </w:pPr>
            <w:r>
              <w:rPr>
                <w:rFonts w:ascii="宋体"/>
                <w:w w:val="100"/>
                <w:sz w:val="22"/>
              </w:rPr>
              <w:t>2</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2025</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13</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3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宋体" w:hAnsi="宋体" w:cs="宋体" w:eastAsia="宋体" w:hint="default"/>
                <w:sz w:val="22"/>
                <w:szCs w:val="22"/>
              </w:rPr>
              <w:t>3,000</w:t>
            </w:r>
            <w:r>
              <w:rPr>
                <w:rFonts w:ascii="宋体" w:hAnsi="宋体" w:cs="宋体" w:eastAsia="宋体" w:hint="default"/>
                <w:spacing w:val="-59"/>
                <w:sz w:val="22"/>
                <w:szCs w:val="22"/>
              </w:rPr>
              <w:t> </w:t>
            </w:r>
            <w:r>
              <w:rPr>
                <w:rFonts w:ascii="宋体" w:hAnsi="宋体" w:cs="宋体" w:eastAsia="宋体" w:hint="default"/>
                <w:sz w:val="22"/>
                <w:szCs w:val="22"/>
              </w:rPr>
              <w:t>万元</w:t>
            </w:r>
          </w:p>
        </w:tc>
      </w:tr>
      <w:tr>
        <w:trPr>
          <w:trHeight w:val="417" w:hRule="exact"/>
        </w:trPr>
        <w:tc>
          <w:tcPr>
            <w:tcW w:w="8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22"/>
                <w:szCs w:val="22"/>
              </w:rPr>
            </w:pPr>
            <w:r>
              <w:rPr>
                <w:rFonts w:ascii="宋体"/>
                <w:w w:val="100"/>
                <w:sz w:val="22"/>
              </w:rPr>
              <w:t>3</w:t>
            </w:r>
          </w:p>
        </w:tc>
        <w:tc>
          <w:tcPr>
            <w:tcW w:w="3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2026</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13</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39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宋体" w:hAnsi="宋体" w:cs="宋体" w:eastAsia="宋体" w:hint="default"/>
                <w:sz w:val="22"/>
                <w:szCs w:val="22"/>
              </w:rPr>
              <w:t>4,000</w:t>
            </w:r>
            <w:r>
              <w:rPr>
                <w:rFonts w:ascii="宋体" w:hAnsi="宋体" w:cs="宋体" w:eastAsia="宋体" w:hint="default"/>
                <w:spacing w:val="-59"/>
                <w:sz w:val="22"/>
                <w:szCs w:val="22"/>
              </w:rPr>
              <w:t> </w:t>
            </w:r>
            <w:r>
              <w:rPr>
                <w:rFonts w:ascii="宋体" w:hAnsi="宋体" w:cs="宋体" w:eastAsia="宋体" w:hint="default"/>
                <w:sz w:val="22"/>
                <w:szCs w:val="22"/>
              </w:rPr>
              <w:t>万元</w:t>
            </w:r>
          </w:p>
        </w:tc>
      </w:tr>
    </w:tbl>
    <w:p>
      <w:pPr>
        <w:spacing w:line="240" w:lineRule="auto" w:before="4"/>
        <w:rPr>
          <w:rFonts w:ascii="宋体" w:hAnsi="宋体" w:cs="宋体" w:eastAsia="宋体" w:hint="default"/>
          <w:sz w:val="9"/>
          <w:szCs w:val="9"/>
        </w:rPr>
      </w:pPr>
    </w:p>
    <w:p>
      <w:pPr>
        <w:pStyle w:val="BodyText"/>
        <w:spacing w:line="300" w:lineRule="auto"/>
        <w:ind w:left="241" w:right="237" w:firstLine="439"/>
        <w:jc w:val="both"/>
      </w:pPr>
      <w:r>
        <w:rPr>
          <w:spacing w:val="-4"/>
        </w:rPr>
        <w:t>为保障本公司和万马高分子对国开基金投资收益、回购本金的支付义务，浙江万马电</w:t>
      </w:r>
      <w:r>
        <w:rPr>
          <w:w w:val="100"/>
        </w:rPr>
        <w:t> </w:t>
      </w:r>
      <w:r>
        <w:rPr/>
        <w:t>气电缆集团有限公司以其持有的本公司</w:t>
      </w:r>
      <w:r>
        <w:rPr>
          <w:spacing w:val="-54"/>
        </w:rPr>
        <w:t> </w:t>
      </w:r>
      <w:r>
        <w:rPr/>
        <w:t>1,500.00</w:t>
      </w:r>
      <w:r>
        <w:rPr>
          <w:spacing w:val="-54"/>
        </w:rPr>
        <w:t> </w:t>
      </w:r>
      <w:r>
        <w:rPr/>
        <w:t>万股流通股票向国开基金提供质押担保</w:t>
      </w:r>
      <w:r>
        <w:rPr>
          <w:spacing w:val="-108"/>
        </w:rPr>
        <w:t> </w:t>
      </w:r>
      <w:r>
        <w:rPr>
          <w:spacing w:val="-108"/>
        </w:rPr>
      </w:r>
      <w:r>
        <w:rPr/>
        <w:t>(截止本财务报表报出日，尚未办理股权质押登记)。</w:t>
      </w:r>
    </w:p>
    <w:p>
      <w:pPr>
        <w:pStyle w:val="BodyText"/>
        <w:spacing w:line="240" w:lineRule="auto" w:before="137"/>
        <w:ind w:left="740" w:right="80"/>
        <w:jc w:val="left"/>
      </w:pPr>
      <w:r>
        <w:rPr>
          <w:spacing w:val="6"/>
        </w:rPr>
        <w:t>2.</w:t>
      </w:r>
      <w:r>
        <w:rPr>
          <w:spacing w:val="-44"/>
        </w:rPr>
        <w:t> </w:t>
      </w:r>
      <w:r>
        <w:rPr/>
        <w:t>利</w:t>
      </w:r>
      <w:r>
        <w:rPr>
          <w:spacing w:val="-71"/>
        </w:rPr>
        <w:t> </w:t>
      </w:r>
      <w:r>
        <w:rPr/>
        <w:t>润</w:t>
      </w:r>
      <w:r>
        <w:rPr>
          <w:spacing w:val="-69"/>
        </w:rPr>
        <w:t> </w:t>
      </w:r>
      <w:r>
        <w:rPr/>
        <w:t>分</w:t>
      </w:r>
      <w:r>
        <w:rPr>
          <w:spacing w:val="-71"/>
        </w:rPr>
        <w:t> </w:t>
      </w:r>
      <w:r>
        <w:rPr/>
        <w:t>配</w:t>
      </w:r>
      <w:r>
        <w:rPr>
          <w:spacing w:val="-71"/>
        </w:rPr>
        <w:t> </w:t>
      </w:r>
      <w:r>
        <w:rPr/>
        <w:t>情</w:t>
      </w:r>
      <w:r>
        <w:rPr>
          <w:spacing w:val="-69"/>
        </w:rPr>
        <w:t> </w:t>
      </w:r>
      <w:r>
        <w:rPr/>
        <w:t>况</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651"/>
        <w:gridCol w:w="5072"/>
      </w:tblGrid>
      <w:tr>
        <w:trPr>
          <w:trHeight w:val="417" w:hRule="exact"/>
        </w:trPr>
        <w:tc>
          <w:tcPr>
            <w:tcW w:w="36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内容</w:t>
            </w:r>
            <w:r>
              <w:rPr>
                <w:rFonts w:ascii="宋体" w:hAnsi="宋体" w:cs="宋体" w:eastAsia="宋体" w:hint="default"/>
                <w:sz w:val="22"/>
                <w:szCs w:val="22"/>
              </w:rPr>
            </w:r>
          </w:p>
        </w:tc>
      </w:tr>
      <w:tr>
        <w:trPr>
          <w:trHeight w:val="1517" w:hRule="exact"/>
        </w:trPr>
        <w:tc>
          <w:tcPr>
            <w:tcW w:w="36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拟分配的利润或股利</w:t>
            </w:r>
          </w:p>
        </w:tc>
        <w:tc>
          <w:tcPr>
            <w:tcW w:w="5072" w:type="dxa"/>
            <w:tcBorders>
              <w:top w:val="single" w:sz="4" w:space="0" w:color="000000"/>
              <w:left w:val="single" w:sz="4" w:space="0" w:color="000000"/>
              <w:bottom w:val="single" w:sz="4" w:space="0" w:color="000000"/>
              <w:right w:val="nil" w:sz="6" w:space="0" w:color="auto"/>
            </w:tcBorders>
          </w:tcPr>
          <w:p>
            <w:pPr>
              <w:pStyle w:val="TableParagraph"/>
              <w:spacing w:line="287" w:lineRule="exact" w:before="4"/>
              <w:ind w:left="103" w:right="0"/>
              <w:jc w:val="both"/>
              <w:rPr>
                <w:rFonts w:ascii="宋体" w:hAnsi="宋体" w:cs="宋体" w:eastAsia="宋体" w:hint="default"/>
                <w:sz w:val="22"/>
                <w:szCs w:val="22"/>
              </w:rPr>
            </w:pPr>
            <w:r>
              <w:rPr>
                <w:rFonts w:ascii="宋体" w:hAnsi="宋体" w:cs="宋体" w:eastAsia="宋体" w:hint="default"/>
                <w:spacing w:val="3"/>
                <w:sz w:val="22"/>
                <w:szCs w:val="22"/>
              </w:rPr>
              <w:t>公司</w:t>
            </w:r>
            <w:r>
              <w:rPr>
                <w:rFonts w:ascii="宋体" w:hAnsi="宋体" w:cs="宋体" w:eastAsia="宋体" w:hint="default"/>
                <w:spacing w:val="-46"/>
                <w:sz w:val="22"/>
                <w:szCs w:val="22"/>
              </w:rPr>
              <w:t> </w:t>
            </w:r>
            <w:r>
              <w:rPr>
                <w:rFonts w:ascii="宋体" w:hAnsi="宋体" w:cs="宋体" w:eastAsia="宋体" w:hint="default"/>
                <w:sz w:val="22"/>
                <w:szCs w:val="22"/>
              </w:rPr>
              <w:t>2015</w:t>
            </w:r>
            <w:r>
              <w:rPr>
                <w:rFonts w:ascii="宋体" w:hAnsi="宋体" w:cs="宋体" w:eastAsia="宋体" w:hint="default"/>
                <w:spacing w:val="-43"/>
                <w:sz w:val="22"/>
                <w:szCs w:val="22"/>
              </w:rPr>
              <w:t> </w:t>
            </w:r>
            <w:r>
              <w:rPr>
                <w:rFonts w:ascii="宋体" w:hAnsi="宋体" w:cs="宋体" w:eastAsia="宋体" w:hint="default"/>
                <w:spacing w:val="4"/>
                <w:sz w:val="22"/>
                <w:szCs w:val="22"/>
              </w:rPr>
              <w:t>年度利润分配预案为：以</w:t>
            </w:r>
            <w:r>
              <w:rPr>
                <w:rFonts w:ascii="宋体" w:hAnsi="宋体" w:cs="宋体" w:eastAsia="宋体" w:hint="default"/>
                <w:spacing w:val="-46"/>
                <w:sz w:val="22"/>
                <w:szCs w:val="22"/>
              </w:rPr>
              <w:t> </w:t>
            </w:r>
            <w:r>
              <w:rPr>
                <w:rFonts w:ascii="宋体" w:hAnsi="宋体" w:cs="宋体" w:eastAsia="宋体" w:hint="default"/>
                <w:sz w:val="22"/>
                <w:szCs w:val="22"/>
              </w:rPr>
              <w:t>2015</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12</w:t>
            </w:r>
            <w:r>
              <w:rPr>
                <w:rFonts w:ascii="宋体" w:hAnsi="宋体" w:cs="宋体" w:eastAsia="宋体" w:hint="default"/>
                <w:spacing w:val="-43"/>
                <w:sz w:val="22"/>
                <w:szCs w:val="22"/>
              </w:rPr>
              <w:t> </w:t>
            </w:r>
            <w:r>
              <w:rPr>
                <w:rFonts w:ascii="宋体" w:hAnsi="宋体" w:cs="宋体" w:eastAsia="宋体" w:hint="default"/>
                <w:sz w:val="22"/>
                <w:szCs w:val="22"/>
              </w:rPr>
              <w:t>月</w:t>
            </w:r>
          </w:p>
          <w:p>
            <w:pPr>
              <w:pStyle w:val="TableParagraph"/>
              <w:spacing w:line="286" w:lineRule="exact" w:before="27"/>
              <w:ind w:left="103" w:right="-2"/>
              <w:jc w:val="both"/>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pacing w:val="2"/>
                <w:sz w:val="22"/>
                <w:szCs w:val="22"/>
              </w:rPr>
              <w:t>日的总股本</w:t>
            </w:r>
            <w:r>
              <w:rPr>
                <w:rFonts w:ascii="宋体" w:hAnsi="宋体" w:cs="宋体" w:eastAsia="宋体" w:hint="default"/>
                <w:spacing w:val="-51"/>
                <w:sz w:val="22"/>
                <w:szCs w:val="22"/>
              </w:rPr>
              <w:t> </w:t>
            </w:r>
            <w:r>
              <w:rPr>
                <w:rFonts w:ascii="宋体" w:hAnsi="宋体" w:cs="宋体" w:eastAsia="宋体" w:hint="default"/>
                <w:sz w:val="22"/>
                <w:szCs w:val="22"/>
              </w:rPr>
              <w:t>939,325,488</w:t>
            </w:r>
            <w:r>
              <w:rPr>
                <w:rFonts w:ascii="宋体" w:hAnsi="宋体" w:cs="宋体" w:eastAsia="宋体" w:hint="default"/>
                <w:spacing w:val="-48"/>
                <w:sz w:val="22"/>
                <w:szCs w:val="22"/>
              </w:rPr>
              <w:t> </w:t>
            </w:r>
            <w:r>
              <w:rPr>
                <w:rFonts w:ascii="宋体" w:hAnsi="宋体" w:cs="宋体" w:eastAsia="宋体" w:hint="default"/>
                <w:spacing w:val="2"/>
                <w:sz w:val="22"/>
                <w:szCs w:val="22"/>
              </w:rPr>
              <w:t>股为基数，每</w:t>
            </w:r>
            <w:r>
              <w:rPr>
                <w:rFonts w:ascii="宋体" w:hAnsi="宋体" w:cs="宋体" w:eastAsia="宋体" w:hint="default"/>
                <w:spacing w:val="-51"/>
                <w:sz w:val="22"/>
                <w:szCs w:val="22"/>
              </w:rPr>
              <w:t> </w:t>
            </w:r>
            <w:r>
              <w:rPr>
                <w:rFonts w:ascii="宋体" w:hAnsi="宋体" w:cs="宋体" w:eastAsia="宋体" w:hint="default"/>
                <w:sz w:val="22"/>
                <w:szCs w:val="22"/>
              </w:rPr>
              <w:t>10</w:t>
            </w:r>
            <w:r>
              <w:rPr>
                <w:rFonts w:ascii="宋体" w:hAnsi="宋体" w:cs="宋体" w:eastAsia="宋体" w:hint="default"/>
                <w:spacing w:val="-49"/>
                <w:sz w:val="22"/>
                <w:szCs w:val="22"/>
              </w:rPr>
              <w:t> </w:t>
            </w:r>
            <w:r>
              <w:rPr>
                <w:rFonts w:ascii="宋体" w:hAnsi="宋体" w:cs="宋体" w:eastAsia="宋体" w:hint="default"/>
                <w:sz w:val="22"/>
                <w:szCs w:val="22"/>
              </w:rPr>
              <w:t>股派</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发现金股利人民币</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元(含税)。（若因股权激励涉</w:t>
            </w:r>
            <w:r>
              <w:rPr>
                <w:rFonts w:ascii="宋体" w:hAnsi="宋体" w:cs="宋体" w:eastAsia="宋体" w:hint="default"/>
                <w:w w:val="100"/>
                <w:sz w:val="22"/>
                <w:szCs w:val="22"/>
              </w:rPr>
              <w:t> </w:t>
            </w:r>
            <w:r>
              <w:rPr>
                <w:rFonts w:ascii="宋体" w:hAnsi="宋体" w:cs="宋体" w:eastAsia="宋体" w:hint="default"/>
                <w:sz w:val="22"/>
                <w:szCs w:val="22"/>
              </w:rPr>
              <w:t>及股份回购等原因，总股本在股利分配前发生变化</w:t>
            </w:r>
            <w:r>
              <w:rPr>
                <w:rFonts w:ascii="宋体" w:hAnsi="宋体" w:cs="宋体" w:eastAsia="宋体" w:hint="default"/>
                <w:w w:val="100"/>
                <w:sz w:val="22"/>
                <w:szCs w:val="22"/>
              </w:rPr>
              <w:t> </w:t>
            </w:r>
            <w:r>
              <w:rPr>
                <w:rFonts w:ascii="宋体" w:hAnsi="宋体" w:cs="宋体" w:eastAsia="宋体" w:hint="default"/>
                <w:spacing w:val="-6"/>
                <w:sz w:val="22"/>
                <w:szCs w:val="22"/>
              </w:rPr>
              <w:t>的，按分配时实际总股本作为基数派发现金股利。）</w:t>
            </w:r>
          </w:p>
        </w:tc>
      </w:tr>
      <w:tr>
        <w:trPr>
          <w:trHeight w:val="670" w:hRule="exact"/>
        </w:trPr>
        <w:tc>
          <w:tcPr>
            <w:tcW w:w="36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6"/>
              <w:ind w:left="108" w:right="0"/>
              <w:jc w:val="left"/>
              <w:rPr>
                <w:rFonts w:ascii="宋体" w:hAnsi="宋体" w:cs="宋体" w:eastAsia="宋体" w:hint="default"/>
                <w:sz w:val="22"/>
                <w:szCs w:val="22"/>
              </w:rPr>
            </w:pPr>
            <w:r>
              <w:rPr>
                <w:rFonts w:ascii="宋体" w:hAnsi="宋体" w:cs="宋体" w:eastAsia="宋体" w:hint="default"/>
                <w:sz w:val="22"/>
                <w:szCs w:val="22"/>
              </w:rPr>
              <w:t>经审议批准宣告发放的利润或股利</w:t>
            </w:r>
          </w:p>
        </w:tc>
        <w:tc>
          <w:tcPr>
            <w:tcW w:w="5072" w:type="dxa"/>
            <w:tcBorders>
              <w:top w:val="single" w:sz="4" w:space="0" w:color="000000"/>
              <w:left w:val="single" w:sz="4" w:space="0" w:color="000000"/>
              <w:bottom w:val="single" w:sz="12" w:space="0" w:color="000000"/>
              <w:right w:val="nil" w:sz="6" w:space="0" w:color="auto"/>
            </w:tcBorders>
          </w:tcPr>
          <w:p>
            <w:pPr>
              <w:pStyle w:val="TableParagraph"/>
              <w:spacing w:line="286" w:lineRule="exact" w:before="32"/>
              <w:ind w:left="103" w:right="106"/>
              <w:jc w:val="left"/>
              <w:rPr>
                <w:rFonts w:ascii="宋体" w:hAnsi="宋体" w:cs="宋体" w:eastAsia="宋体" w:hint="default"/>
                <w:sz w:val="22"/>
                <w:szCs w:val="22"/>
              </w:rPr>
            </w:pPr>
            <w:r>
              <w:rPr>
                <w:rFonts w:ascii="宋体" w:hAnsi="宋体" w:cs="宋体" w:eastAsia="宋体" w:hint="default"/>
                <w:sz w:val="22"/>
                <w:szCs w:val="22"/>
              </w:rPr>
              <w:t>上述利润分配预案经本公司</w:t>
            </w:r>
            <w:r>
              <w:rPr>
                <w:rFonts w:ascii="宋体" w:hAnsi="宋体" w:cs="宋体" w:eastAsia="宋体" w:hint="default"/>
                <w:spacing w:val="-55"/>
                <w:sz w:val="22"/>
                <w:szCs w:val="22"/>
              </w:rPr>
              <w:t> </w:t>
            </w:r>
            <w:r>
              <w:rPr>
                <w:rFonts w:ascii="宋体" w:hAnsi="宋体" w:cs="宋体" w:eastAsia="宋体" w:hint="default"/>
                <w:sz w:val="22"/>
                <w:szCs w:val="22"/>
              </w:rPr>
              <w:t>2016</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21</w:t>
            </w:r>
            <w:r>
              <w:rPr>
                <w:rFonts w:ascii="宋体" w:hAnsi="宋体" w:cs="宋体" w:eastAsia="宋体" w:hint="default"/>
                <w:spacing w:val="-55"/>
                <w:sz w:val="22"/>
                <w:szCs w:val="22"/>
              </w:rPr>
              <w:t> </w:t>
            </w:r>
            <w:r>
              <w:rPr>
                <w:rFonts w:ascii="宋体" w:hAnsi="宋体" w:cs="宋体" w:eastAsia="宋体" w:hint="default"/>
                <w:sz w:val="22"/>
                <w:szCs w:val="22"/>
              </w:rPr>
              <w:t>日董事</w:t>
            </w:r>
            <w:r>
              <w:rPr>
                <w:rFonts w:ascii="宋体" w:hAnsi="宋体" w:cs="宋体" w:eastAsia="宋体" w:hint="default"/>
                <w:w w:val="100"/>
                <w:sz w:val="22"/>
                <w:szCs w:val="22"/>
              </w:rPr>
              <w:t> </w:t>
            </w:r>
            <w:r>
              <w:rPr>
                <w:rFonts w:ascii="宋体" w:hAnsi="宋体" w:cs="宋体" w:eastAsia="宋体" w:hint="default"/>
                <w:sz w:val="22"/>
                <w:szCs w:val="22"/>
              </w:rPr>
              <w:t>会决议通过，尚需经年度股东大会批准实施。</w:t>
            </w:r>
          </w:p>
        </w:tc>
      </w:tr>
    </w:tbl>
    <w:p>
      <w:pPr>
        <w:spacing w:line="240" w:lineRule="auto" w:before="2"/>
        <w:rPr>
          <w:rFonts w:ascii="宋体" w:hAnsi="宋体" w:cs="宋体" w:eastAsia="宋体" w:hint="default"/>
          <w:sz w:val="9"/>
          <w:szCs w:val="9"/>
        </w:rPr>
      </w:pPr>
    </w:p>
    <w:p>
      <w:pPr>
        <w:pStyle w:val="BodyText"/>
        <w:spacing w:line="300" w:lineRule="auto"/>
        <w:ind w:left="241" w:right="276" w:firstLine="499"/>
        <w:jc w:val="left"/>
      </w:pPr>
      <w:r>
        <w:rPr>
          <w:spacing w:val="6"/>
        </w:rPr>
        <w:t>3.</w:t>
      </w:r>
      <w:r>
        <w:rPr>
          <w:spacing w:val="-45"/>
        </w:rPr>
        <w:t> </w:t>
      </w:r>
      <w:r>
        <w:rPr/>
        <w:t>除</w:t>
      </w:r>
      <w:r>
        <w:rPr>
          <w:spacing w:val="-71"/>
        </w:rPr>
        <w:t> </w:t>
      </w:r>
      <w:r>
        <w:rPr/>
        <w:t>存</w:t>
      </w:r>
      <w:r>
        <w:rPr>
          <w:spacing w:val="-69"/>
        </w:rPr>
        <w:t> </w:t>
      </w:r>
      <w:r>
        <w:rPr/>
        <w:t>在</w:t>
      </w:r>
      <w:r>
        <w:rPr>
          <w:spacing w:val="-71"/>
        </w:rPr>
        <w:t> </w:t>
      </w:r>
      <w:r>
        <w:rPr/>
        <w:t>上</w:t>
      </w:r>
      <w:r>
        <w:rPr>
          <w:spacing w:val="-71"/>
        </w:rPr>
        <w:t> </w:t>
      </w:r>
      <w:r>
        <w:rPr/>
        <w:t>述</w:t>
      </w:r>
      <w:r>
        <w:rPr>
          <w:spacing w:val="-69"/>
        </w:rPr>
        <w:t> </w:t>
      </w:r>
      <w:r>
        <w:rPr/>
        <w:t>资</w:t>
      </w:r>
      <w:r>
        <w:rPr>
          <w:spacing w:val="-71"/>
        </w:rPr>
        <w:t> </w:t>
      </w:r>
      <w:r>
        <w:rPr/>
        <w:t>产</w:t>
      </w:r>
      <w:r>
        <w:rPr>
          <w:spacing w:val="-71"/>
        </w:rPr>
        <w:t> </w:t>
      </w:r>
      <w:r>
        <w:rPr/>
        <w:t>负</w:t>
      </w:r>
      <w:r>
        <w:rPr>
          <w:spacing w:val="-69"/>
        </w:rPr>
        <w:t> </w:t>
      </w:r>
      <w:r>
        <w:rPr/>
        <w:t>债</w:t>
      </w:r>
      <w:r>
        <w:rPr>
          <w:spacing w:val="-71"/>
        </w:rPr>
        <w:t> </w:t>
      </w:r>
      <w:r>
        <w:rPr/>
        <w:t>表</w:t>
      </w:r>
      <w:r>
        <w:rPr>
          <w:spacing w:val="-71"/>
        </w:rPr>
        <w:t> </w:t>
      </w:r>
      <w:r>
        <w:rPr/>
        <w:t>日</w:t>
      </w:r>
      <w:r>
        <w:rPr>
          <w:spacing w:val="-69"/>
        </w:rPr>
        <w:t> </w:t>
      </w:r>
      <w:r>
        <w:rPr/>
        <w:t>后</w:t>
      </w:r>
      <w:r>
        <w:rPr>
          <w:spacing w:val="-71"/>
        </w:rPr>
        <w:t> </w:t>
      </w:r>
      <w:r>
        <w:rPr/>
        <w:t>事</w:t>
      </w:r>
      <w:r>
        <w:rPr>
          <w:spacing w:val="-71"/>
        </w:rPr>
        <w:t> </w:t>
      </w:r>
      <w:r>
        <w:rPr/>
        <w:t>项</w:t>
      </w:r>
      <w:r>
        <w:rPr>
          <w:spacing w:val="-69"/>
        </w:rPr>
        <w:t> </w:t>
      </w:r>
      <w:r>
        <w:rPr/>
        <w:t>披</w:t>
      </w:r>
      <w:r>
        <w:rPr>
          <w:spacing w:val="-71"/>
        </w:rPr>
        <w:t> </w:t>
      </w:r>
      <w:r>
        <w:rPr/>
        <w:t>露</w:t>
      </w:r>
      <w:r>
        <w:rPr>
          <w:spacing w:val="-71"/>
        </w:rPr>
        <w:t> </w:t>
      </w:r>
      <w:r>
        <w:rPr/>
        <w:t>事</w:t>
      </w:r>
      <w:r>
        <w:rPr>
          <w:spacing w:val="-69"/>
        </w:rPr>
        <w:t> </w:t>
      </w:r>
      <w:r>
        <w:rPr/>
        <w:t>项</w:t>
      </w:r>
      <w:r>
        <w:rPr>
          <w:spacing w:val="-71"/>
        </w:rPr>
        <w:t> </w:t>
      </w:r>
      <w:r>
        <w:rPr/>
        <w:t>外</w:t>
      </w:r>
      <w:r>
        <w:rPr>
          <w:spacing w:val="-71"/>
        </w:rPr>
        <w:t> </w:t>
      </w:r>
      <w:r>
        <w:rPr>
          <w:spacing w:val="-27"/>
        </w:rPr>
        <w:t>，本</w:t>
      </w:r>
      <w:r>
        <w:rPr>
          <w:spacing w:val="-71"/>
        </w:rPr>
        <w:t> </w:t>
      </w:r>
      <w:r>
        <w:rPr/>
        <w:t>集</w:t>
      </w:r>
      <w:r>
        <w:rPr>
          <w:spacing w:val="-69"/>
        </w:rPr>
        <w:t> </w:t>
      </w:r>
      <w:r>
        <w:rPr/>
        <w:t>团</w:t>
      </w:r>
      <w:r>
        <w:rPr>
          <w:spacing w:val="-71"/>
        </w:rPr>
        <w:t> </w:t>
      </w:r>
      <w:r>
        <w:rPr/>
        <w:t>无</w:t>
      </w:r>
      <w:r>
        <w:rPr>
          <w:spacing w:val="-71"/>
        </w:rPr>
        <w:t> </w:t>
      </w:r>
      <w:r>
        <w:rPr/>
        <w:t>其</w:t>
      </w:r>
      <w:r>
        <w:rPr>
          <w:spacing w:val="-69"/>
        </w:rPr>
        <w:t> </w:t>
      </w:r>
      <w:r>
        <w:rPr/>
        <w:t>他</w:t>
      </w:r>
      <w:r>
        <w:rPr>
          <w:spacing w:val="-71"/>
        </w:rPr>
        <w:t> </w:t>
      </w:r>
      <w:r>
        <w:rPr/>
        <w:t>重</w:t>
      </w:r>
      <w:r>
        <w:rPr>
          <w:spacing w:val="-71"/>
        </w:rPr>
        <w:t> </w:t>
      </w:r>
      <w:r>
        <w:rPr/>
        <w:t>大</w:t>
      </w:r>
      <w:r>
        <w:rPr>
          <w:spacing w:val="-69"/>
        </w:rPr>
        <w:t> </w:t>
      </w:r>
      <w:r>
        <w:rPr/>
        <w:t>资</w:t>
      </w:r>
      <w:r>
        <w:rPr>
          <w:spacing w:val="-71"/>
        </w:rPr>
        <w:t> </w:t>
      </w:r>
      <w:r>
        <w:rPr/>
        <w:t>产</w:t>
      </w:r>
      <w:r>
        <w:rPr>
          <w:w w:val="100"/>
        </w:rPr>
        <w:t> </w:t>
      </w:r>
      <w:r>
        <w:rPr/>
        <w:t>负</w:t>
      </w:r>
      <w:r>
        <w:rPr>
          <w:spacing w:val="-71"/>
        </w:rPr>
        <w:t> </w:t>
      </w:r>
      <w:r>
        <w:rPr/>
        <w:t>债</w:t>
      </w:r>
      <w:r>
        <w:rPr>
          <w:spacing w:val="-69"/>
        </w:rPr>
        <w:t> </w:t>
      </w:r>
      <w:r>
        <w:rPr/>
        <w:t>表</w:t>
      </w:r>
      <w:r>
        <w:rPr>
          <w:spacing w:val="-71"/>
        </w:rPr>
        <w:t> </w:t>
      </w:r>
      <w:r>
        <w:rPr/>
        <w:t>日</w:t>
      </w:r>
      <w:r>
        <w:rPr>
          <w:spacing w:val="-71"/>
        </w:rPr>
        <w:t> </w:t>
      </w:r>
      <w:r>
        <w:rPr/>
        <w:t>后</w:t>
      </w:r>
      <w:r>
        <w:rPr>
          <w:spacing w:val="-69"/>
        </w:rPr>
        <w:t> </w:t>
      </w:r>
      <w:r>
        <w:rPr/>
        <w:t>事</w:t>
      </w:r>
      <w:r>
        <w:rPr>
          <w:spacing w:val="-71"/>
        </w:rPr>
        <w:t> </w:t>
      </w:r>
      <w:r>
        <w:rPr/>
        <w:t>项</w:t>
      </w:r>
      <w:r>
        <w:rPr>
          <w:spacing w:val="-71"/>
        </w:rPr>
        <w:t> </w:t>
      </w:r>
      <w:r>
        <w:rPr/>
        <w:t>。</w:t>
      </w:r>
    </w:p>
    <w:p>
      <w:pPr>
        <w:pStyle w:val="Heading4"/>
        <w:spacing w:line="240" w:lineRule="auto" w:before="137"/>
        <w:ind w:left="700" w:right="80"/>
        <w:jc w:val="left"/>
        <w:rPr>
          <w:b w:val="0"/>
          <w:bCs w:val="0"/>
        </w:rPr>
      </w:pPr>
      <w:r>
        <w:rPr/>
        <w:t>十</w:t>
      </w:r>
      <w:r>
        <w:rPr>
          <w:spacing w:val="-71"/>
        </w:rPr>
        <w:t> </w:t>
      </w:r>
      <w:r>
        <w:rPr/>
        <w:t>六</w:t>
      </w:r>
      <w:r>
        <w:rPr>
          <w:spacing w:val="-73"/>
        </w:rPr>
        <w:t> </w:t>
      </w:r>
      <w:r>
        <w:rPr/>
        <w:t>、</w:t>
      </w:r>
      <w:r>
        <w:rPr>
          <w:spacing w:val="-52"/>
        </w:rPr>
        <w:t> </w:t>
      </w:r>
      <w:r>
        <w:rPr/>
        <w:t>其</w:t>
      </w:r>
      <w:r>
        <w:rPr>
          <w:spacing w:val="-71"/>
        </w:rPr>
        <w:t> </w:t>
      </w:r>
      <w:r>
        <w:rPr/>
        <w:t>他</w:t>
      </w:r>
      <w:r>
        <w:rPr>
          <w:spacing w:val="-73"/>
        </w:rPr>
        <w:t> </w:t>
      </w:r>
      <w:r>
        <w:rPr/>
        <w:t>重</w:t>
      </w:r>
      <w:r>
        <w:rPr>
          <w:spacing w:val="-71"/>
        </w:rPr>
        <w:t> </w:t>
      </w:r>
      <w:r>
        <w:rPr/>
        <w:t>要</w:t>
      </w:r>
      <w:r>
        <w:rPr>
          <w:spacing w:val="-71"/>
        </w:rPr>
        <w:t> </w:t>
      </w:r>
      <w:r>
        <w:rPr/>
        <w:t>事</w:t>
      </w:r>
      <w:r>
        <w:rPr>
          <w:spacing w:val="-73"/>
        </w:rPr>
        <w:t> </w:t>
      </w:r>
      <w:r>
        <w:rPr/>
        <w:t>项</w:t>
      </w:r>
      <w:r>
        <w:rPr>
          <w:b w:val="0"/>
          <w:bCs w:val="0"/>
        </w:rPr>
      </w:r>
    </w:p>
    <w:p>
      <w:pPr>
        <w:pStyle w:val="BodyText"/>
        <w:spacing w:line="300" w:lineRule="auto" w:before="192"/>
        <w:ind w:left="241" w:right="80" w:firstLine="439"/>
        <w:jc w:val="left"/>
      </w:pPr>
      <w:r>
        <w:rPr/>
        <w:t>2016</w:t>
      </w:r>
      <w:r>
        <w:rPr>
          <w:spacing w:val="-55"/>
        </w:rPr>
        <w:t> </w:t>
      </w:r>
      <w:r>
        <w:rPr/>
        <w:t>年</w:t>
      </w:r>
      <w:r>
        <w:rPr>
          <w:spacing w:val="-52"/>
        </w:rPr>
        <w:t> </w:t>
      </w:r>
      <w:r>
        <w:rPr/>
        <w:t>3</w:t>
      </w:r>
      <w:r>
        <w:rPr>
          <w:spacing w:val="-52"/>
        </w:rPr>
        <w:t> </w:t>
      </w:r>
      <w:r>
        <w:rPr/>
        <w:t>月</w:t>
      </w:r>
      <w:r>
        <w:rPr>
          <w:spacing w:val="-55"/>
        </w:rPr>
        <w:t> </w:t>
      </w:r>
      <w:r>
        <w:rPr/>
        <w:t>15</w:t>
      </w:r>
      <w:r>
        <w:rPr>
          <w:spacing w:val="-52"/>
        </w:rPr>
        <w:t> </w:t>
      </w:r>
      <w:r>
        <w:rPr>
          <w:spacing w:val="-4"/>
        </w:rPr>
        <w:t>日，本公司</w:t>
      </w:r>
      <w:r>
        <w:rPr>
          <w:spacing w:val="-52"/>
        </w:rPr>
        <w:t> </w:t>
      </w:r>
      <w:r>
        <w:rPr/>
        <w:t>2016</w:t>
      </w:r>
      <w:r>
        <w:rPr>
          <w:spacing w:val="-52"/>
        </w:rPr>
        <w:t> </w:t>
      </w:r>
      <w:r>
        <w:rPr>
          <w:spacing w:val="-3"/>
        </w:rPr>
        <w:t>年第一次临时股东大会审议通过《关于公司</w:t>
      </w:r>
      <w:r>
        <w:rPr>
          <w:spacing w:val="-55"/>
        </w:rPr>
        <w:t> </w:t>
      </w:r>
      <w:r>
        <w:rPr/>
        <w:t>2015</w:t>
      </w:r>
      <w:r>
        <w:rPr>
          <w:spacing w:val="-52"/>
        </w:rPr>
        <w:t> </w:t>
      </w:r>
      <w:r>
        <w:rPr/>
        <w:t>年</w:t>
      </w:r>
      <w:r>
        <w:rPr>
          <w:w w:val="100"/>
        </w:rPr>
        <w:t> </w:t>
      </w:r>
      <w:r>
        <w:rPr>
          <w:spacing w:val="-4"/>
        </w:rPr>
        <w:t>度非公开发行股票摊薄即期回报及填补回报措施的议案》及《相关主体关于切实履行公司</w:t>
      </w:r>
      <w:r>
        <w:rPr>
          <w:spacing w:val="-53"/>
        </w:rPr>
        <w:t> </w:t>
      </w:r>
      <w:r>
        <w:rPr>
          <w:spacing w:val="-53"/>
        </w:rPr>
      </w:r>
      <w:r>
        <w:rPr>
          <w:spacing w:val="-5"/>
        </w:rPr>
        <w:t>填补即期回报措施承诺的议案》。本公司拟申请非公开发行不超过</w:t>
      </w:r>
      <w:r>
        <w:rPr>
          <w:spacing w:val="-44"/>
        </w:rPr>
        <w:t> </w:t>
      </w:r>
      <w:r>
        <w:rPr/>
        <w:t>10,500</w:t>
      </w:r>
      <w:r>
        <w:rPr>
          <w:spacing w:val="-48"/>
        </w:rPr>
        <w:t> </w:t>
      </w:r>
      <w:r>
        <w:rPr/>
        <w:t>万股</w:t>
      </w:r>
      <w:r>
        <w:rPr>
          <w:spacing w:val="-44"/>
        </w:rPr>
        <w:t> </w:t>
      </w:r>
      <w:r>
        <w:rPr/>
        <w:t>A</w:t>
      </w:r>
      <w:r>
        <w:rPr>
          <w:spacing w:val="-48"/>
        </w:rPr>
        <w:t> </w:t>
      </w:r>
      <w:r>
        <w:rPr/>
        <w:t>股股票，</w:t>
      </w:r>
      <w:r>
        <w:rPr>
          <w:spacing w:val="-104"/>
        </w:rPr>
        <w:t> </w:t>
      </w:r>
      <w:r>
        <w:rPr>
          <w:spacing w:val="-104"/>
        </w:rPr>
      </w:r>
      <w:r>
        <w:rPr/>
        <w:t>募集资金总额不超过</w:t>
      </w:r>
      <w:r>
        <w:rPr>
          <w:spacing w:val="-48"/>
        </w:rPr>
        <w:t> </w:t>
      </w:r>
      <w:r>
        <w:rPr/>
        <w:t>125,800</w:t>
      </w:r>
      <w:r>
        <w:rPr>
          <w:spacing w:val="-51"/>
        </w:rPr>
        <w:t> </w:t>
      </w:r>
      <w:r>
        <w:rPr>
          <w:spacing w:val="-5"/>
        </w:rPr>
        <w:t>万元。本公司本次非公开发行股票事宜尚需获得中国证监会</w:t>
      </w:r>
      <w:r>
        <w:rPr>
          <w:spacing w:val="-91"/>
        </w:rPr>
        <w:t> </w:t>
      </w:r>
      <w:r>
        <w:rPr>
          <w:spacing w:val="-91"/>
        </w:rPr>
      </w:r>
      <w:r>
        <w:rPr/>
        <w:t>的核准。</w:t>
      </w:r>
    </w:p>
    <w:p>
      <w:pPr>
        <w:spacing w:after="0" w:line="300" w:lineRule="auto"/>
        <w:jc w:val="left"/>
        <w:sectPr>
          <w:pgSz w:w="11910" w:h="16840"/>
          <w:pgMar w:header="0" w:footer="873" w:top="1440" w:bottom="1060" w:left="1460" w:right="1460"/>
        </w:sectPr>
      </w:pPr>
    </w:p>
    <w:p>
      <w:pPr>
        <w:spacing w:line="240" w:lineRule="auto" w:before="1"/>
        <w:rPr>
          <w:rFonts w:ascii="宋体" w:hAnsi="宋体" w:cs="宋体" w:eastAsia="宋体" w:hint="default"/>
          <w:sz w:val="18"/>
          <w:szCs w:val="18"/>
        </w:rPr>
      </w:pPr>
    </w:p>
    <w:p>
      <w:pPr>
        <w:pStyle w:val="Heading4"/>
        <w:tabs>
          <w:tab w:pos="1460" w:val="left" w:leader="none"/>
        </w:tabs>
        <w:spacing w:line="400" w:lineRule="auto"/>
        <w:ind w:left="740" w:right="4154" w:hanging="39"/>
        <w:jc w:val="left"/>
        <w:rPr>
          <w:rFonts w:ascii="宋体" w:hAnsi="宋体" w:cs="宋体" w:eastAsia="宋体" w:hint="default"/>
          <w:b w:val="0"/>
          <w:bCs w:val="0"/>
        </w:rPr>
      </w:pPr>
      <w:r>
        <w:rPr/>
        <w:t>十</w:t>
      </w:r>
      <w:r>
        <w:rPr>
          <w:spacing w:val="-71"/>
        </w:rPr>
        <w:t> </w:t>
      </w:r>
      <w:r>
        <w:rPr/>
        <w:t>七</w:t>
      </w:r>
      <w:r>
        <w:rPr>
          <w:spacing w:val="-73"/>
        </w:rPr>
        <w:t> </w:t>
      </w:r>
      <w:r>
        <w:rPr/>
        <w:t>、</w:t>
      </w:r>
      <w:r>
        <w:rPr>
          <w:spacing w:val="-54"/>
        </w:rPr>
        <w:t> </w:t>
      </w:r>
      <w:r>
        <w:rPr/>
        <w:t>母</w:t>
      </w:r>
      <w:r>
        <w:rPr>
          <w:spacing w:val="-71"/>
        </w:rPr>
        <w:t> </w:t>
      </w:r>
      <w:r>
        <w:rPr/>
        <w:t>公</w:t>
      </w:r>
      <w:r>
        <w:rPr>
          <w:spacing w:val="-73"/>
        </w:rPr>
        <w:t> </w:t>
      </w:r>
      <w:r>
        <w:rPr/>
        <w:t>司</w:t>
      </w:r>
      <w:r>
        <w:rPr>
          <w:spacing w:val="-71"/>
        </w:rPr>
        <w:t> </w:t>
      </w:r>
      <w:r>
        <w:rPr/>
        <w:t>财</w:t>
      </w:r>
      <w:r>
        <w:rPr>
          <w:spacing w:val="-71"/>
        </w:rPr>
        <w:t> </w:t>
      </w:r>
      <w:r>
        <w:rPr/>
        <w:t>务</w:t>
      </w:r>
      <w:r>
        <w:rPr>
          <w:spacing w:val="-73"/>
        </w:rPr>
        <w:t> </w:t>
      </w:r>
      <w:r>
        <w:rPr/>
        <w:t>报</w:t>
      </w:r>
      <w:r>
        <w:rPr>
          <w:spacing w:val="-71"/>
        </w:rPr>
        <w:t> </w:t>
      </w:r>
      <w:r>
        <w:rPr/>
        <w:t>表</w:t>
      </w:r>
      <w:r>
        <w:rPr>
          <w:spacing w:val="-71"/>
        </w:rPr>
        <w:t> </w:t>
      </w:r>
      <w:r>
        <w:rPr/>
        <w:t>主</w:t>
      </w:r>
      <w:r>
        <w:rPr>
          <w:spacing w:val="-71"/>
        </w:rPr>
        <w:t> </w:t>
      </w:r>
      <w:r>
        <w:rPr/>
        <w:t>要</w:t>
      </w:r>
      <w:r>
        <w:rPr>
          <w:spacing w:val="-73"/>
        </w:rPr>
        <w:t> </w:t>
      </w:r>
      <w:r>
        <w:rPr/>
        <w:t>项</w:t>
      </w:r>
      <w:r>
        <w:rPr>
          <w:spacing w:val="-71"/>
        </w:rPr>
        <w:t> </w:t>
      </w:r>
      <w:r>
        <w:rPr/>
        <w:t>目</w:t>
      </w:r>
      <w:r>
        <w:rPr>
          <w:spacing w:val="-71"/>
        </w:rPr>
        <w:t> </w:t>
      </w:r>
      <w:r>
        <w:rPr/>
        <w:t>注</w:t>
      </w:r>
      <w:r>
        <w:rPr>
          <w:spacing w:val="-73"/>
        </w:rPr>
        <w:t> </w:t>
      </w:r>
      <w:r>
        <w:rPr/>
        <w:t>释</w:t>
      </w:r>
      <w:r>
        <w:rPr>
          <w:w w:val="100"/>
        </w:rPr>
        <w:t> </w:t>
      </w:r>
      <w:r>
        <w:rPr>
          <w:rFonts w:ascii="宋体" w:hAnsi="宋体" w:cs="宋体" w:eastAsia="宋体" w:hint="default"/>
          <w:b w:val="0"/>
          <w:bCs w:val="0"/>
          <w:spacing w:val="-1"/>
        </w:rPr>
        <w:t>1.</w:t>
        <w:tab/>
      </w:r>
      <w:r>
        <w:rPr>
          <w:rFonts w:ascii="宋体" w:hAnsi="宋体" w:cs="宋体" w:eastAsia="宋体" w:hint="default"/>
          <w:b w:val="0"/>
          <w:bCs w:val="0"/>
          <w:spacing w:val="-2"/>
        </w:rPr>
        <w:t>应收账款</w:t>
      </w:r>
    </w:p>
    <w:p>
      <w:pPr>
        <w:pStyle w:val="BodyText"/>
        <w:spacing w:line="240" w:lineRule="auto" w:before="44"/>
        <w:ind w:left="644" w:right="4798"/>
        <w:jc w:val="left"/>
      </w:pPr>
      <w:r>
        <w:rPr/>
        <w:t>（1）</w:t>
      </w:r>
      <w:r>
        <w:rPr>
          <w:spacing w:val="-70"/>
        </w:rPr>
        <w:t> </w:t>
      </w:r>
      <w:r>
        <w:rPr/>
        <w:t>应收账款分类</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298"/>
        <w:gridCol w:w="1665"/>
        <w:gridCol w:w="830"/>
        <w:gridCol w:w="1427"/>
        <w:gridCol w:w="851"/>
        <w:gridCol w:w="1685"/>
      </w:tblGrid>
      <w:tr>
        <w:trPr>
          <w:trHeight w:val="417" w:hRule="exact"/>
        </w:trPr>
        <w:tc>
          <w:tcPr>
            <w:tcW w:w="229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58"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298" w:type="dxa"/>
            <w:vMerge/>
            <w:tcBorders>
              <w:left w:val="nil" w:sz="6" w:space="0" w:color="auto"/>
              <w:right w:val="single" w:sz="4" w:space="0" w:color="000000"/>
            </w:tcBorders>
          </w:tcPr>
          <w:p>
            <w:pP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7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298" w:type="dxa"/>
            <w:vMerge/>
            <w:tcBorders>
              <w:left w:val="nil" w:sz="6" w:space="0" w:color="auto"/>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76" w:right="22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96" w:right="146" w:hanging="46"/>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685" w:type="dxa"/>
            <w:vMerge/>
            <w:tcBorders>
              <w:left w:val="single" w:sz="4" w:space="0" w:color="000000"/>
              <w:bottom w:val="single" w:sz="4" w:space="0" w:color="000000"/>
              <w:right w:val="nil" w:sz="6" w:space="0" w:color="auto"/>
            </w:tcBorders>
          </w:tcPr>
          <w:p>
            <w:pPr/>
          </w:p>
        </w:tc>
      </w:tr>
      <w:tr>
        <w:trPr>
          <w:trHeight w:val="557"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5"/>
                <w:sz w:val="18"/>
                <w:szCs w:val="18"/>
              </w:rPr>
              <w:t>单项金额重大并单项计提</w:t>
            </w:r>
            <w:r>
              <w:rPr>
                <w:rFonts w:ascii="宋体" w:hAnsi="宋体" w:cs="宋体" w:eastAsia="宋体" w:hint="default"/>
                <w:sz w:val="18"/>
                <w:szCs w:val="18"/>
              </w:rPr>
              <w:t> 坏账准备的应收账款</w:t>
            </w:r>
          </w:p>
        </w:tc>
        <w:tc>
          <w:tcPr>
            <w:tcW w:w="166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5"/>
                <w:sz w:val="18"/>
                <w:szCs w:val="18"/>
              </w:rPr>
              <w:t>按信用风险特征组合计提</w:t>
            </w:r>
            <w:r>
              <w:rPr>
                <w:rFonts w:ascii="宋体" w:hAnsi="宋体" w:cs="宋体" w:eastAsia="宋体" w:hint="default"/>
                <w:sz w:val="18"/>
                <w:szCs w:val="18"/>
              </w:rPr>
              <w:t> 坏账准备的应收账款</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2" w:right="0"/>
              <w:jc w:val="center"/>
              <w:rPr>
                <w:rFonts w:ascii="宋体" w:hAnsi="宋体" w:cs="宋体" w:eastAsia="宋体" w:hint="default"/>
                <w:sz w:val="18"/>
                <w:szCs w:val="18"/>
              </w:rPr>
            </w:pPr>
            <w:r>
              <w:rPr>
                <w:rFonts w:ascii="宋体"/>
                <w:sz w:val="18"/>
              </w:rPr>
              <w:t>1,447,870,935.13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3"/>
              <w:jc w:val="right"/>
              <w:rPr>
                <w:rFonts w:ascii="宋体" w:hAnsi="宋体" w:cs="宋体" w:eastAsia="宋体" w:hint="default"/>
                <w:sz w:val="18"/>
                <w:szCs w:val="18"/>
              </w:rPr>
            </w:pPr>
            <w:r>
              <w:rPr>
                <w:rFonts w:ascii="宋体"/>
                <w:spacing w:val="-1"/>
                <w:sz w:val="18"/>
              </w:rPr>
              <w:t>100.00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3" w:right="0"/>
              <w:jc w:val="center"/>
              <w:rPr>
                <w:rFonts w:ascii="宋体" w:hAnsi="宋体" w:cs="宋体" w:eastAsia="宋体" w:hint="default"/>
                <w:sz w:val="18"/>
                <w:szCs w:val="18"/>
              </w:rPr>
            </w:pPr>
            <w:r>
              <w:rPr>
                <w:rFonts w:ascii="宋体"/>
                <w:sz w:val="18"/>
              </w:rPr>
              <w:t>70,349,133.10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3"/>
              <w:jc w:val="right"/>
              <w:rPr>
                <w:rFonts w:ascii="宋体" w:hAnsi="宋体" w:cs="宋体" w:eastAsia="宋体" w:hint="default"/>
                <w:sz w:val="18"/>
                <w:szCs w:val="18"/>
              </w:rPr>
            </w:pPr>
            <w:r>
              <w:rPr>
                <w:rFonts w:ascii="宋体"/>
                <w:sz w:val="18"/>
              </w:rPr>
              <w:t>4.86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68"/>
              <w:jc w:val="right"/>
              <w:rPr>
                <w:rFonts w:ascii="宋体" w:hAnsi="宋体" w:cs="宋体" w:eastAsia="宋体" w:hint="default"/>
                <w:sz w:val="18"/>
                <w:szCs w:val="18"/>
              </w:rPr>
            </w:pPr>
            <w:r>
              <w:rPr>
                <w:rFonts w:ascii="宋体"/>
                <w:spacing w:val="-1"/>
                <w:sz w:val="18"/>
              </w:rPr>
              <w:t>1,377,521,802.03</w:t>
            </w:r>
          </w:p>
        </w:tc>
      </w:tr>
      <w:tr>
        <w:trPr>
          <w:trHeight w:val="557"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5"/>
              <w:jc w:val="left"/>
              <w:rPr>
                <w:rFonts w:ascii="宋体" w:hAnsi="宋体" w:cs="宋体" w:eastAsia="宋体" w:hint="default"/>
                <w:sz w:val="18"/>
                <w:szCs w:val="18"/>
              </w:rPr>
            </w:pPr>
            <w:r>
              <w:rPr>
                <w:rFonts w:ascii="宋体" w:hAnsi="宋体" w:cs="宋体" w:eastAsia="宋体" w:hint="default"/>
                <w:spacing w:val="15"/>
                <w:sz w:val="18"/>
                <w:szCs w:val="18"/>
              </w:rPr>
              <w:t>单项金额虽不重大但单项</w:t>
            </w:r>
            <w:r>
              <w:rPr>
                <w:rFonts w:ascii="宋体" w:hAnsi="宋体" w:cs="宋体" w:eastAsia="宋体" w:hint="default"/>
                <w:sz w:val="18"/>
                <w:szCs w:val="18"/>
              </w:rPr>
              <w:t> 计提坏账准备的应收账款</w:t>
            </w:r>
          </w:p>
        </w:tc>
        <w:tc>
          <w:tcPr>
            <w:tcW w:w="166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417" w:hRule="exact"/>
        </w:trPr>
        <w:tc>
          <w:tcPr>
            <w:tcW w:w="2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94" w:right="0"/>
              <w:jc w:val="center"/>
              <w:rPr>
                <w:rFonts w:ascii="宋体" w:hAnsi="宋体" w:cs="宋体" w:eastAsia="宋体" w:hint="default"/>
                <w:sz w:val="18"/>
                <w:szCs w:val="18"/>
              </w:rPr>
            </w:pPr>
            <w:r>
              <w:rPr>
                <w:rFonts w:ascii="宋体"/>
                <w:b/>
                <w:sz w:val="18"/>
              </w:rPr>
              <w:t>1,447,870,935.13</w:t>
            </w:r>
            <w:r>
              <w:rPr>
                <w:rFonts w:ascii="宋体"/>
                <w:sz w:val="18"/>
              </w:rPr>
            </w:r>
          </w:p>
        </w:tc>
        <w:tc>
          <w:tcPr>
            <w:tcW w:w="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58"/>
              <w:jc w:val="right"/>
              <w:rPr>
                <w:rFonts w:ascii="宋体" w:hAnsi="宋体" w:cs="宋体" w:eastAsia="宋体" w:hint="default"/>
                <w:sz w:val="18"/>
                <w:szCs w:val="18"/>
              </w:rPr>
            </w:pPr>
            <w:r>
              <w:rPr>
                <w:rFonts w:ascii="宋体"/>
                <w:b/>
                <w:sz w:val="18"/>
              </w:rPr>
              <w:t>100.00</w:t>
            </w:r>
            <w:r>
              <w:rPr>
                <w:rFonts w:ascii="宋体"/>
                <w:sz w:val="18"/>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25" w:right="0"/>
              <w:jc w:val="center"/>
              <w:rPr>
                <w:rFonts w:ascii="宋体" w:hAnsi="宋体" w:cs="宋体" w:eastAsia="宋体" w:hint="default"/>
                <w:sz w:val="18"/>
                <w:szCs w:val="18"/>
              </w:rPr>
            </w:pPr>
            <w:r>
              <w:rPr>
                <w:rFonts w:ascii="宋体"/>
                <w:b/>
                <w:sz w:val="18"/>
              </w:rPr>
              <w:t>70,349,133.10</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61"/>
              <w:jc w:val="right"/>
              <w:rPr>
                <w:rFonts w:ascii="宋体" w:hAnsi="宋体" w:cs="宋体" w:eastAsia="宋体" w:hint="default"/>
                <w:sz w:val="18"/>
                <w:szCs w:val="18"/>
              </w:rPr>
            </w:pPr>
            <w:r>
              <w:rPr>
                <w:rFonts w:ascii="宋体"/>
                <w:b/>
                <w:sz w:val="18"/>
              </w:rPr>
              <w:t>4.86</w:t>
            </w:r>
            <w:r>
              <w:rPr>
                <w:rFonts w:ascii="宋体"/>
                <w:sz w:val="18"/>
              </w:rPr>
            </w:r>
          </w:p>
        </w:tc>
        <w:tc>
          <w:tcPr>
            <w:tcW w:w="16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6"/>
              <w:jc w:val="right"/>
              <w:rPr>
                <w:rFonts w:ascii="宋体" w:hAnsi="宋体" w:cs="宋体" w:eastAsia="宋体" w:hint="default"/>
                <w:sz w:val="18"/>
                <w:szCs w:val="18"/>
              </w:rPr>
            </w:pPr>
            <w:r>
              <w:rPr>
                <w:rFonts w:ascii="宋体"/>
                <w:b/>
                <w:w w:val="95"/>
                <w:sz w:val="18"/>
              </w:rPr>
              <w:t>1,377,521,802.03</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680" w:right="4798"/>
        <w:jc w:val="left"/>
      </w:pPr>
      <w:r>
        <w:rPr/>
        <w:t>(续表)</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39"/>
        <w:gridCol w:w="1701"/>
        <w:gridCol w:w="851"/>
        <w:gridCol w:w="1418"/>
        <w:gridCol w:w="851"/>
        <w:gridCol w:w="1663"/>
      </w:tblGrid>
      <w:tr>
        <w:trPr>
          <w:trHeight w:val="417" w:hRule="exact"/>
        </w:trPr>
        <w:tc>
          <w:tcPr>
            <w:tcW w:w="223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84"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239"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6" w:hRule="exact"/>
        </w:trPr>
        <w:tc>
          <w:tcPr>
            <w:tcW w:w="2239" w:type="dxa"/>
            <w:vMerge/>
            <w:tcBorders>
              <w:left w:val="nil" w:sz="6" w:space="0" w:color="auto"/>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94" w:right="147" w:hanging="46"/>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663" w:type="dxa"/>
            <w:vMerge/>
            <w:tcBorders>
              <w:left w:val="single" w:sz="4" w:space="0" w:color="000000"/>
              <w:bottom w:val="single" w:sz="4" w:space="0" w:color="000000"/>
              <w:right w:val="nil" w:sz="6" w:space="0" w:color="auto"/>
            </w:tcBorders>
          </w:tcPr>
          <w:p>
            <w:pPr/>
          </w:p>
        </w:tc>
      </w:tr>
      <w:tr>
        <w:trPr>
          <w:trHeight w:val="557"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4"/>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坏账准备的应收账款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4"/>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坏账准备的应收账款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6" w:right="0"/>
              <w:jc w:val="center"/>
              <w:rPr>
                <w:rFonts w:ascii="宋体" w:hAnsi="宋体" w:cs="宋体" w:eastAsia="宋体" w:hint="default"/>
                <w:sz w:val="18"/>
                <w:szCs w:val="18"/>
              </w:rPr>
            </w:pPr>
            <w:r>
              <w:rPr>
                <w:rFonts w:ascii="宋体"/>
                <w:sz w:val="18"/>
              </w:rPr>
              <w:t>1,543,905,029.33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4"/>
              <w:jc w:val="right"/>
              <w:rPr>
                <w:rFonts w:ascii="宋体" w:hAnsi="宋体" w:cs="宋体" w:eastAsia="宋体" w:hint="default"/>
                <w:sz w:val="18"/>
                <w:szCs w:val="18"/>
              </w:rPr>
            </w:pPr>
            <w:r>
              <w:rPr>
                <w:rFonts w:ascii="宋体"/>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center"/>
              <w:rPr>
                <w:rFonts w:ascii="宋体" w:hAnsi="宋体" w:cs="宋体" w:eastAsia="宋体" w:hint="default"/>
                <w:sz w:val="18"/>
                <w:szCs w:val="18"/>
              </w:rPr>
            </w:pPr>
            <w:r>
              <w:rPr>
                <w:rFonts w:ascii="宋体"/>
                <w:sz w:val="18"/>
              </w:rPr>
              <w:t>68,698,437.88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5"/>
              <w:jc w:val="right"/>
              <w:rPr>
                <w:rFonts w:ascii="宋体" w:hAnsi="宋体" w:cs="宋体" w:eastAsia="宋体" w:hint="default"/>
                <w:sz w:val="18"/>
                <w:szCs w:val="18"/>
              </w:rPr>
            </w:pPr>
            <w:r>
              <w:rPr>
                <w:rFonts w:ascii="宋体"/>
                <w:sz w:val="18"/>
              </w:rPr>
              <w:t>4.45</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69"/>
              <w:jc w:val="right"/>
              <w:rPr>
                <w:rFonts w:ascii="宋体" w:hAnsi="宋体" w:cs="宋体" w:eastAsia="宋体" w:hint="default"/>
                <w:sz w:val="18"/>
                <w:szCs w:val="18"/>
              </w:rPr>
            </w:pPr>
            <w:r>
              <w:rPr>
                <w:rFonts w:ascii="宋体"/>
                <w:spacing w:val="-1"/>
                <w:sz w:val="18"/>
              </w:rPr>
              <w:t>1,475,206,591.45</w:t>
            </w:r>
          </w:p>
        </w:tc>
      </w:tr>
      <w:tr>
        <w:trPr>
          <w:trHeight w:val="557"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4"/>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计提坏账准备的应收账款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
        </w:tc>
      </w:tr>
      <w:tr>
        <w:trPr>
          <w:trHeight w:val="417" w:hRule="exact"/>
        </w:trPr>
        <w:tc>
          <w:tcPr>
            <w:tcW w:w="22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28" w:right="0"/>
              <w:jc w:val="center"/>
              <w:rPr>
                <w:rFonts w:ascii="宋体" w:hAnsi="宋体" w:cs="宋体" w:eastAsia="宋体" w:hint="default"/>
                <w:sz w:val="18"/>
                <w:szCs w:val="18"/>
              </w:rPr>
            </w:pPr>
            <w:r>
              <w:rPr>
                <w:rFonts w:ascii="宋体"/>
                <w:b/>
                <w:sz w:val="18"/>
              </w:rPr>
              <w:t>1,543,905,029.33</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59"/>
              <w:jc w:val="right"/>
              <w:rPr>
                <w:rFonts w:ascii="宋体" w:hAnsi="宋体" w:cs="宋体" w:eastAsia="宋体" w:hint="default"/>
                <w:sz w:val="18"/>
                <w:szCs w:val="18"/>
              </w:rPr>
            </w:pPr>
            <w:r>
              <w:rPr>
                <w:rFonts w:ascii="宋体"/>
                <w:b/>
                <w:sz w:val="18"/>
              </w:rPr>
              <w:t>100.00</w:t>
            </w:r>
            <w:r>
              <w:rPr>
                <w:rFonts w:ascii="宋体"/>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14" w:right="0"/>
              <w:jc w:val="center"/>
              <w:rPr>
                <w:rFonts w:ascii="宋体" w:hAnsi="宋体" w:cs="宋体" w:eastAsia="宋体" w:hint="default"/>
                <w:sz w:val="18"/>
                <w:szCs w:val="18"/>
              </w:rPr>
            </w:pPr>
            <w:r>
              <w:rPr>
                <w:rFonts w:ascii="宋体"/>
                <w:b/>
                <w:sz w:val="18"/>
              </w:rPr>
              <w:t>68,698,437.88</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62"/>
              <w:jc w:val="right"/>
              <w:rPr>
                <w:rFonts w:ascii="宋体" w:hAnsi="宋体" w:cs="宋体" w:eastAsia="宋体" w:hint="default"/>
                <w:sz w:val="18"/>
                <w:szCs w:val="18"/>
              </w:rPr>
            </w:pPr>
            <w:r>
              <w:rPr>
                <w:rFonts w:ascii="宋体"/>
                <w:b/>
                <w:sz w:val="18"/>
              </w:rPr>
              <w:t>4.45</w:t>
            </w:r>
            <w:r>
              <w:rPr>
                <w:rFonts w:ascii="宋体"/>
                <w:sz w:val="18"/>
              </w:rPr>
            </w: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b/>
                <w:w w:val="95"/>
                <w:sz w:val="18"/>
              </w:rPr>
              <w:t>1,475,206,591.45</w:t>
            </w:r>
            <w:r>
              <w:rPr>
                <w:rFonts w:ascii="宋体"/>
                <w:sz w:val="18"/>
              </w:rPr>
            </w:r>
          </w:p>
        </w:tc>
      </w:tr>
    </w:tbl>
    <w:p>
      <w:pPr>
        <w:spacing w:line="240" w:lineRule="auto" w:before="3"/>
        <w:rPr>
          <w:rFonts w:ascii="宋体" w:hAnsi="宋体" w:cs="宋体" w:eastAsia="宋体" w:hint="default"/>
          <w:sz w:val="9"/>
          <w:szCs w:val="9"/>
        </w:rPr>
      </w:pPr>
    </w:p>
    <w:p>
      <w:pPr>
        <w:pStyle w:val="BodyText"/>
        <w:spacing w:line="240" w:lineRule="auto"/>
        <w:ind w:left="661" w:right="2370"/>
        <w:jc w:val="left"/>
      </w:pPr>
      <w:r>
        <w:rPr/>
        <w:t>1）</w:t>
      </w:r>
      <w:r>
        <w:rPr>
          <w:spacing w:val="-35"/>
        </w:rPr>
        <w:t> </w:t>
      </w:r>
      <w:r>
        <w:rPr/>
        <w:t>组合中，按账龄分析法计提坏账准备的应收账款</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61"/>
        <w:gridCol w:w="2280"/>
        <w:gridCol w:w="1884"/>
        <w:gridCol w:w="1898"/>
      </w:tblGrid>
      <w:tr>
        <w:trPr>
          <w:trHeight w:val="417" w:hRule="exact"/>
        </w:trPr>
        <w:tc>
          <w:tcPr>
            <w:tcW w:w="2661"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0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661" w:type="dxa"/>
            <w:vMerge/>
            <w:tcBorders>
              <w:left w:val="nil" w:sz="6" w:space="0" w:color="auto"/>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4"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1,114,153,653.53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11,141,536.54</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68"/>
              <w:jc w:val="right"/>
              <w:rPr>
                <w:rFonts w:ascii="宋体" w:hAnsi="宋体" w:cs="宋体" w:eastAsia="宋体" w:hint="default"/>
                <w:sz w:val="22"/>
                <w:szCs w:val="22"/>
              </w:rPr>
            </w:pPr>
            <w:r>
              <w:rPr>
                <w:rFonts w:ascii="宋体"/>
                <w:spacing w:val="-1"/>
                <w:sz w:val="22"/>
              </w:rPr>
              <w:t>1.00</w:t>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204,780,837.62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20,478,083.76</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68"/>
              <w:jc w:val="right"/>
              <w:rPr>
                <w:rFonts w:ascii="宋体" w:hAnsi="宋体" w:cs="宋体" w:eastAsia="宋体" w:hint="default"/>
                <w:sz w:val="22"/>
                <w:szCs w:val="22"/>
              </w:rPr>
            </w:pPr>
            <w:r>
              <w:rPr>
                <w:rFonts w:ascii="宋体"/>
                <w:spacing w:val="-1"/>
                <w:sz w:val="22"/>
              </w:rPr>
              <w:t>10.00</w:t>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7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43,125,411.18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12,937,623.35</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68"/>
              <w:jc w:val="right"/>
              <w:rPr>
                <w:rFonts w:ascii="宋体" w:hAnsi="宋体" w:cs="宋体" w:eastAsia="宋体" w:hint="default"/>
                <w:sz w:val="22"/>
                <w:szCs w:val="22"/>
              </w:rPr>
            </w:pPr>
            <w:r>
              <w:rPr>
                <w:rFonts w:ascii="宋体"/>
                <w:spacing w:val="-1"/>
                <w:sz w:val="22"/>
              </w:rPr>
              <w:t>30.00</w:t>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25,791,889.45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25,791,889.45</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68"/>
              <w:jc w:val="right"/>
              <w:rPr>
                <w:rFonts w:ascii="宋体" w:hAnsi="宋体" w:cs="宋体" w:eastAsia="宋体" w:hint="default"/>
                <w:sz w:val="22"/>
                <w:szCs w:val="22"/>
              </w:rPr>
            </w:pPr>
            <w:r>
              <w:rPr>
                <w:rFonts w:ascii="宋体"/>
                <w:spacing w:val="-1"/>
                <w:sz w:val="22"/>
              </w:rPr>
              <w:t>100.00</w:t>
            </w:r>
          </w:p>
        </w:tc>
      </w:tr>
      <w:tr>
        <w:trPr>
          <w:trHeight w:val="460" w:hRule="exact"/>
        </w:trPr>
        <w:tc>
          <w:tcPr>
            <w:tcW w:w="26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7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88"/>
              <w:jc w:val="right"/>
              <w:rPr>
                <w:rFonts w:ascii="宋体" w:hAnsi="宋体" w:cs="宋体" w:eastAsia="宋体" w:hint="default"/>
                <w:sz w:val="22"/>
                <w:szCs w:val="22"/>
              </w:rPr>
            </w:pPr>
            <w:r>
              <w:rPr>
                <w:rFonts w:ascii="宋体"/>
                <w:b/>
                <w:spacing w:val="-1"/>
                <w:sz w:val="22"/>
              </w:rPr>
              <w:t>1,387,851,791.78</w:t>
            </w:r>
            <w:r>
              <w:rPr>
                <w:rFonts w:ascii="宋体"/>
                <w:spacing w:val="-1"/>
                <w:sz w:val="22"/>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90"/>
              <w:jc w:val="right"/>
              <w:rPr>
                <w:rFonts w:ascii="宋体" w:hAnsi="宋体" w:cs="宋体" w:eastAsia="宋体" w:hint="default"/>
                <w:sz w:val="22"/>
                <w:szCs w:val="22"/>
              </w:rPr>
            </w:pPr>
            <w:r>
              <w:rPr>
                <w:rFonts w:ascii="宋体"/>
                <w:b/>
                <w:spacing w:val="-1"/>
                <w:sz w:val="22"/>
              </w:rPr>
              <w:t>70,349,133.10</w:t>
            </w:r>
            <w:r>
              <w:rPr>
                <w:rFonts w:ascii="宋体"/>
                <w:spacing w:val="-1"/>
                <w:sz w:val="22"/>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4"/>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400" w:lineRule="auto"/>
        <w:ind w:left="661" w:right="2370"/>
        <w:jc w:val="left"/>
      </w:pPr>
      <w:r>
        <w:rPr>
          <w:spacing w:val="-2"/>
        </w:rPr>
        <w:t>注：该组合系以应收款项的账龄为信用风险特征划分组合。</w:t>
      </w:r>
      <w:r>
        <w:rPr>
          <w:spacing w:val="-73"/>
        </w:rPr>
        <w:t> </w:t>
      </w:r>
      <w:r>
        <w:rPr>
          <w:spacing w:val="-73"/>
        </w:rPr>
      </w:r>
      <w:r>
        <w:rPr/>
        <w:t>2）</w:t>
      </w:r>
      <w:r>
        <w:rPr>
          <w:spacing w:val="-35"/>
        </w:rPr>
        <w:t> </w:t>
      </w:r>
      <w:r>
        <w:rPr/>
        <w:t>组合中，采用其他方法计提坏账准备的应收账款</w:t>
      </w:r>
    </w:p>
    <w:p>
      <w:pPr>
        <w:spacing w:after="0" w:line="400" w:lineRule="auto"/>
        <w:jc w:val="left"/>
        <w:sectPr>
          <w:pgSz w:w="11910" w:h="16840"/>
          <w:pgMar w:header="0" w:footer="873" w:top="1440" w:bottom="1060" w:left="1460" w:right="1440"/>
        </w:sect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661"/>
        <w:gridCol w:w="2280"/>
        <w:gridCol w:w="1884"/>
        <w:gridCol w:w="1898"/>
      </w:tblGrid>
      <w:tr>
        <w:trPr>
          <w:trHeight w:val="417" w:hRule="exact"/>
        </w:trPr>
        <w:tc>
          <w:tcPr>
            <w:tcW w:w="266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0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661" w:type="dxa"/>
            <w:vMerge/>
            <w:tcBorders>
              <w:left w:val="nil" w:sz="6" w:space="0" w:color="auto"/>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94"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8" w:right="0"/>
              <w:jc w:val="left"/>
              <w:rPr>
                <w:rFonts w:ascii="宋体" w:hAnsi="宋体" w:cs="宋体" w:eastAsia="宋体" w:hint="default"/>
                <w:sz w:val="22"/>
                <w:szCs w:val="22"/>
              </w:rPr>
            </w:pPr>
            <w:r>
              <w:rPr>
                <w:rFonts w:ascii="宋体"/>
                <w:sz w:val="22"/>
              </w:rPr>
              <w:t>60,019,143.35</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0.00</w:t>
            </w:r>
          </w:p>
        </w:tc>
      </w:tr>
      <w:tr>
        <w:trPr>
          <w:trHeight w:val="417" w:hRule="exact"/>
        </w:trPr>
        <w:tc>
          <w:tcPr>
            <w:tcW w:w="26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left="738" w:right="0"/>
              <w:jc w:val="left"/>
              <w:rPr>
                <w:rFonts w:ascii="宋体" w:hAnsi="宋体" w:cs="宋体" w:eastAsia="宋体" w:hint="default"/>
                <w:sz w:val="22"/>
                <w:szCs w:val="22"/>
              </w:rPr>
            </w:pPr>
            <w:r>
              <w:rPr>
                <w:rFonts w:ascii="宋体"/>
                <w:b/>
                <w:sz w:val="22"/>
              </w:rPr>
              <w:t>60,019,143.35</w:t>
            </w:r>
            <w:r>
              <w:rPr>
                <w:rFonts w:ascii="宋体"/>
                <w:sz w:val="22"/>
              </w:rPr>
            </w:r>
          </w:p>
        </w:tc>
        <w:tc>
          <w:tcPr>
            <w:tcW w:w="1884"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4"/>
        <w:rPr>
          <w:rFonts w:ascii="宋体" w:hAnsi="宋体" w:cs="宋体" w:eastAsia="宋体" w:hint="default"/>
          <w:sz w:val="9"/>
          <w:szCs w:val="9"/>
        </w:rPr>
      </w:pPr>
    </w:p>
    <w:p>
      <w:pPr>
        <w:pStyle w:val="BodyText"/>
        <w:spacing w:line="300" w:lineRule="auto"/>
        <w:ind w:left="241" w:right="0" w:firstLine="439"/>
        <w:jc w:val="left"/>
      </w:pPr>
      <w:r>
        <w:rPr>
          <w:spacing w:val="-4"/>
        </w:rPr>
        <w:t>注：关联方组合系以应收款项交易对象为信用风险特征划分组合。本公司应收关联方</w:t>
      </w:r>
      <w:r>
        <w:rPr>
          <w:w w:val="100"/>
        </w:rPr>
        <w:t> </w:t>
      </w:r>
      <w:r>
        <w:rPr/>
        <w:t>账款列入本组合。</w:t>
      </w:r>
    </w:p>
    <w:p>
      <w:pPr>
        <w:pStyle w:val="BodyText"/>
        <w:spacing w:line="240" w:lineRule="auto" w:before="137"/>
        <w:ind w:left="644" w:right="2370"/>
        <w:jc w:val="left"/>
      </w:pPr>
      <w:r>
        <w:rPr>
          <w:spacing w:val="-2"/>
        </w:rPr>
        <w:t>（2）</w:t>
      </w:r>
      <w:r>
        <w:rPr>
          <w:spacing w:val="-32"/>
        </w:rPr>
        <w:t> </w:t>
      </w:r>
      <w:r>
        <w:rPr>
          <w:spacing w:val="-2"/>
        </w:rPr>
        <w:t>本年度计提、转回（或收回）的坏账准备情况</w:t>
      </w:r>
    </w:p>
    <w:p>
      <w:pPr>
        <w:pStyle w:val="BodyText"/>
        <w:spacing w:line="300" w:lineRule="auto" w:before="192"/>
        <w:ind w:left="150" w:right="0" w:firstLine="441"/>
        <w:jc w:val="left"/>
      </w:pPr>
      <w:r>
        <w:rPr/>
        <w:t>本年计提坏账准备金额</w:t>
      </w:r>
      <w:r>
        <w:rPr>
          <w:spacing w:val="-44"/>
        </w:rPr>
        <w:t> </w:t>
      </w:r>
      <w:r>
        <w:rPr/>
        <w:t>2,264,291.61</w:t>
      </w:r>
      <w:r>
        <w:rPr>
          <w:spacing w:val="-42"/>
        </w:rPr>
        <w:t> </w:t>
      </w:r>
      <w:r>
        <w:rPr/>
        <w:t>元；本年收回或转回坏账准备金额</w:t>
      </w:r>
      <w:r>
        <w:rPr>
          <w:spacing w:val="-42"/>
        </w:rPr>
        <w:t> </w:t>
      </w:r>
      <w:r>
        <w:rPr/>
        <w:t>613,596.39</w:t>
      </w:r>
      <w:r>
        <w:rPr>
          <w:w w:val="100"/>
        </w:rPr>
        <w:t> </w:t>
      </w:r>
      <w:r>
        <w:rPr/>
        <w:t>元。</w:t>
      </w:r>
    </w:p>
    <w:p>
      <w:pPr>
        <w:pStyle w:val="BodyText"/>
        <w:spacing w:line="240" w:lineRule="auto" w:before="137"/>
        <w:ind w:left="644" w:right="4798"/>
        <w:jc w:val="left"/>
      </w:pPr>
      <w:r>
        <w:rPr/>
        <w:t>（3）</w:t>
      </w:r>
      <w:r>
        <w:rPr>
          <w:spacing w:val="-74"/>
        </w:rPr>
        <w:t> </w:t>
      </w:r>
      <w:r>
        <w:rPr/>
        <w:t>本年度实际核销的应收账款</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785"/>
        <w:gridCol w:w="3938"/>
      </w:tblGrid>
      <w:tr>
        <w:trPr>
          <w:trHeight w:val="415" w:hRule="exact"/>
        </w:trPr>
        <w:tc>
          <w:tcPr>
            <w:tcW w:w="47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4" w:hRule="exact"/>
        </w:trPr>
        <w:tc>
          <w:tcPr>
            <w:tcW w:w="47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39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613,596.39</w:t>
            </w:r>
          </w:p>
        </w:tc>
      </w:tr>
    </w:tbl>
    <w:p>
      <w:pPr>
        <w:spacing w:line="240" w:lineRule="auto" w:before="1"/>
        <w:rPr>
          <w:rFonts w:ascii="宋体" w:hAnsi="宋体" w:cs="宋体" w:eastAsia="宋体" w:hint="default"/>
          <w:sz w:val="9"/>
          <w:szCs w:val="9"/>
        </w:rPr>
      </w:pPr>
    </w:p>
    <w:p>
      <w:pPr>
        <w:pStyle w:val="BodyText"/>
        <w:spacing w:line="240" w:lineRule="auto"/>
        <w:ind w:left="644" w:right="2370"/>
        <w:jc w:val="left"/>
      </w:pPr>
      <w:r>
        <w:rPr>
          <w:spacing w:val="-2"/>
        </w:rPr>
        <w:t>（4）</w:t>
      </w:r>
      <w:r>
        <w:rPr>
          <w:spacing w:val="-32"/>
        </w:rPr>
        <w:t> </w:t>
      </w:r>
      <w:r>
        <w:rPr>
          <w:spacing w:val="-2"/>
        </w:rPr>
        <w:t>按欠款方归集的年末余额前五名的应收账款情况</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384"/>
        <w:gridCol w:w="1843"/>
        <w:gridCol w:w="1560"/>
        <w:gridCol w:w="2266"/>
        <w:gridCol w:w="1670"/>
      </w:tblGrid>
      <w:tr>
        <w:trPr>
          <w:trHeight w:val="669" w:hRule="exact"/>
        </w:trPr>
        <w:tc>
          <w:tcPr>
            <w:tcW w:w="13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47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84" w:lineRule="exact" w:before="36"/>
              <w:ind w:left="306" w:right="131" w:hanging="166"/>
              <w:jc w:val="left"/>
              <w:rPr>
                <w:rFonts w:ascii="宋体" w:hAnsi="宋体" w:cs="宋体" w:eastAsia="宋体" w:hint="default"/>
                <w:sz w:val="22"/>
                <w:szCs w:val="22"/>
              </w:rPr>
            </w:pPr>
            <w:r>
              <w:rPr>
                <w:rFonts w:ascii="宋体" w:hAnsi="宋体" w:cs="宋体" w:eastAsia="宋体" w:hint="default"/>
                <w:b/>
                <w:bCs/>
                <w:sz w:val="22"/>
                <w:szCs w:val="22"/>
              </w:rPr>
              <w:t>占应收账款年末余额</w:t>
            </w:r>
            <w:r>
              <w:rPr>
                <w:rFonts w:ascii="宋体" w:hAnsi="宋体" w:cs="宋体" w:eastAsia="宋体" w:hint="default"/>
                <w:b/>
                <w:bCs/>
                <w:w w:val="100"/>
                <w:sz w:val="22"/>
                <w:szCs w:val="22"/>
              </w:rPr>
              <w:t> </w:t>
            </w:r>
            <w:r>
              <w:rPr>
                <w:rFonts w:ascii="宋体" w:hAnsi="宋体" w:cs="宋体" w:eastAsia="宋体" w:hint="default"/>
                <w:b/>
                <w:bCs/>
                <w:sz w:val="22"/>
                <w:szCs w:val="22"/>
              </w:rPr>
              <w:t>合计数的比例(%)</w:t>
            </w:r>
            <w:r>
              <w:rPr>
                <w:rFonts w:ascii="宋体" w:hAnsi="宋体" w:cs="宋体" w:eastAsia="宋体" w:hint="default"/>
                <w:sz w:val="22"/>
                <w:szCs w:val="22"/>
              </w:rPr>
            </w:r>
          </w:p>
        </w:tc>
        <w:tc>
          <w:tcPr>
            <w:tcW w:w="1670"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6"/>
              <w:ind w:left="613" w:right="169" w:hanging="442"/>
              <w:jc w:val="left"/>
              <w:rPr>
                <w:rFonts w:ascii="宋体" w:hAnsi="宋体" w:cs="宋体" w:eastAsia="宋体" w:hint="default"/>
                <w:sz w:val="22"/>
                <w:szCs w:val="22"/>
              </w:rPr>
            </w:pPr>
            <w:r>
              <w:rPr>
                <w:rFonts w:ascii="宋体" w:hAnsi="宋体" w:cs="宋体" w:eastAsia="宋体" w:hint="default"/>
                <w:b/>
                <w:bCs/>
                <w:sz w:val="22"/>
                <w:szCs w:val="22"/>
              </w:rPr>
              <w:t>坏账准备年末</w:t>
            </w:r>
            <w:r>
              <w:rPr>
                <w:rFonts w:ascii="宋体" w:hAnsi="宋体" w:cs="宋体" w:eastAsia="宋体" w:hint="default"/>
                <w:b/>
                <w:bCs/>
                <w:w w:val="100"/>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34,894,846.74</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2.41</w:t>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348,948.47</w:t>
            </w: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30,736,725.88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1"/>
                <w:sz w:val="22"/>
              </w:rPr>
              <w:t>2.12</w:t>
            </w:r>
          </w:p>
        </w:tc>
        <w:tc>
          <w:tcPr>
            <w:tcW w:w="167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30,558,958.63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2.11</w:t>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1,646,111.79</w:t>
            </w: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29,180,440.12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1"/>
                <w:sz w:val="22"/>
              </w:rPr>
              <w:t>2.02</w:t>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2,288,116.50</w:t>
            </w:r>
          </w:p>
        </w:tc>
      </w:tr>
      <w:tr>
        <w:trPr>
          <w:trHeight w:val="402"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27,039,235.18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1"/>
                <w:sz w:val="22"/>
              </w:rPr>
              <w:t>1.87</w:t>
            </w:r>
          </w:p>
        </w:tc>
        <w:tc>
          <w:tcPr>
            <w:tcW w:w="1670"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1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0"/>
              <w:jc w:val="right"/>
              <w:rPr>
                <w:rFonts w:ascii="宋体" w:hAnsi="宋体" w:cs="宋体" w:eastAsia="宋体" w:hint="default"/>
                <w:sz w:val="22"/>
                <w:szCs w:val="22"/>
              </w:rPr>
            </w:pPr>
            <w:r>
              <w:rPr>
                <w:rFonts w:ascii="宋体"/>
                <w:b/>
                <w:spacing w:val="-1"/>
                <w:sz w:val="22"/>
              </w:rPr>
              <w:t>152,410,206.55</w:t>
            </w:r>
            <w:r>
              <w:rPr>
                <w:rFonts w:ascii="宋体"/>
                <w:spacing w:val="-1"/>
                <w:sz w:val="22"/>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9"/>
              <w:jc w:val="right"/>
              <w:rPr>
                <w:rFonts w:ascii="宋体" w:hAnsi="宋体" w:cs="宋体" w:eastAsia="宋体" w:hint="default"/>
                <w:sz w:val="22"/>
                <w:szCs w:val="22"/>
              </w:rPr>
            </w:pPr>
            <w:r>
              <w:rPr>
                <w:rFonts w:ascii="宋体"/>
                <w:b/>
                <w:spacing w:val="-1"/>
                <w:sz w:val="22"/>
              </w:rPr>
              <w:t>10.53</w:t>
            </w:r>
            <w:r>
              <w:rPr>
                <w:rFonts w:ascii="宋体"/>
                <w:spacing w:val="-1"/>
                <w:sz w:val="22"/>
              </w:rPr>
            </w:r>
          </w:p>
        </w:tc>
        <w:tc>
          <w:tcPr>
            <w:tcW w:w="1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4"/>
              <w:jc w:val="right"/>
              <w:rPr>
                <w:rFonts w:ascii="宋体" w:hAnsi="宋体" w:cs="宋体" w:eastAsia="宋体" w:hint="default"/>
                <w:sz w:val="22"/>
                <w:szCs w:val="22"/>
              </w:rPr>
            </w:pPr>
            <w:r>
              <w:rPr>
                <w:rFonts w:ascii="宋体"/>
                <w:b/>
                <w:spacing w:val="-1"/>
                <w:sz w:val="22"/>
              </w:rPr>
              <w:t>4,283,176.76</w:t>
            </w:r>
            <w:r>
              <w:rPr>
                <w:rFonts w:ascii="宋体"/>
                <w:spacing w:val="-1"/>
                <w:sz w:val="22"/>
              </w:rPr>
            </w:r>
          </w:p>
        </w:tc>
      </w:tr>
    </w:tbl>
    <w:p>
      <w:pPr>
        <w:spacing w:line="240" w:lineRule="auto" w:before="1"/>
        <w:rPr>
          <w:rFonts w:ascii="宋体" w:hAnsi="宋体" w:cs="宋体" w:eastAsia="宋体" w:hint="default"/>
          <w:sz w:val="9"/>
          <w:szCs w:val="9"/>
        </w:rPr>
      </w:pPr>
    </w:p>
    <w:p>
      <w:pPr>
        <w:pStyle w:val="BodyText"/>
        <w:tabs>
          <w:tab w:pos="619" w:val="left" w:leader="none"/>
        </w:tabs>
        <w:spacing w:line="240" w:lineRule="auto"/>
        <w:ind w:left="0" w:right="5602"/>
        <w:jc w:val="center"/>
      </w:pPr>
      <w:r>
        <w:rPr>
          <w:spacing w:val="-1"/>
        </w:rPr>
        <w:t>2.</w:t>
        <w:tab/>
      </w:r>
      <w:r>
        <w:rPr>
          <w:spacing w:val="-2"/>
        </w:rPr>
        <w:t>其他应收款</w:t>
      </w:r>
    </w:p>
    <w:p>
      <w:pPr>
        <w:pStyle w:val="BodyText"/>
        <w:spacing w:line="240" w:lineRule="auto" w:before="192"/>
        <w:ind w:left="0" w:right="5559"/>
        <w:jc w:val="center"/>
      </w:pPr>
      <w:r>
        <w:rPr/>
        <w:t>（1）</w:t>
      </w:r>
      <w:r>
        <w:rPr>
          <w:spacing w:val="-92"/>
        </w:rPr>
        <w:t> </w:t>
      </w:r>
      <w:r>
        <w:rPr/>
        <w:t>其他应收款分类</w:t>
      </w:r>
    </w:p>
    <w:p>
      <w:pPr>
        <w:spacing w:line="240" w:lineRule="auto" w:before="5"/>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611"/>
        <w:gridCol w:w="1619"/>
        <w:gridCol w:w="818"/>
        <w:gridCol w:w="1419"/>
        <w:gridCol w:w="637"/>
        <w:gridCol w:w="1619"/>
      </w:tblGrid>
      <w:tr>
        <w:trPr>
          <w:trHeight w:val="425" w:hRule="exact"/>
        </w:trPr>
        <w:tc>
          <w:tcPr>
            <w:tcW w:w="261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112"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611" w:type="dxa"/>
            <w:vMerge/>
            <w:tcBorders>
              <w:left w:val="nil" w:sz="6" w:space="0" w:color="auto"/>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1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90" w:hRule="exact"/>
        </w:trPr>
        <w:tc>
          <w:tcPr>
            <w:tcW w:w="2611" w:type="dxa"/>
            <w:vMerge/>
            <w:tcBorders>
              <w:left w:val="nil" w:sz="6" w:space="0" w:color="auto"/>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68" w:right="221" w:hanging="44"/>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33" w:right="131"/>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619" w:type="dxa"/>
            <w:vMerge/>
            <w:tcBorders>
              <w:left w:val="single" w:sz="4" w:space="0" w:color="000000"/>
              <w:bottom w:val="single" w:sz="4" w:space="0" w:color="000000"/>
              <w:right w:val="nil" w:sz="6" w:space="0" w:color="auto"/>
            </w:tcBorders>
          </w:tcPr>
          <w:p>
            <w:pPr/>
          </w:p>
        </w:tc>
      </w:tr>
      <w:tr>
        <w:trPr>
          <w:trHeight w:val="557" w:hRule="exact"/>
        </w:trPr>
        <w:tc>
          <w:tcPr>
            <w:tcW w:w="2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72" w:right="64"/>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4"/>
              <w:jc w:val="right"/>
              <w:rPr>
                <w:rFonts w:ascii="宋体" w:hAnsi="宋体" w:cs="宋体" w:eastAsia="宋体" w:hint="default"/>
                <w:sz w:val="18"/>
                <w:szCs w:val="18"/>
              </w:rPr>
            </w:pPr>
            <w:r>
              <w:rPr>
                <w:rFonts w:ascii="宋体"/>
                <w:spacing w:val="-1"/>
                <w:sz w:val="18"/>
              </w:rPr>
              <w:t>2,724,632.97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4"/>
              <w:jc w:val="right"/>
              <w:rPr>
                <w:rFonts w:ascii="宋体" w:hAnsi="宋体" w:cs="宋体" w:eastAsia="宋体" w:hint="default"/>
                <w:sz w:val="18"/>
                <w:szCs w:val="18"/>
              </w:rPr>
            </w:pPr>
            <w:r>
              <w:rPr>
                <w:rFonts w:ascii="宋体"/>
                <w:sz w:val="18"/>
              </w:rPr>
              <w:t>1.68</w:t>
            </w:r>
          </w:p>
        </w:tc>
        <w:tc>
          <w:tcPr>
            <w:tcW w:w="141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69"/>
              <w:jc w:val="right"/>
              <w:rPr>
                <w:rFonts w:ascii="宋体" w:hAnsi="宋体" w:cs="宋体" w:eastAsia="宋体" w:hint="default"/>
                <w:sz w:val="18"/>
                <w:szCs w:val="18"/>
              </w:rPr>
            </w:pPr>
            <w:r>
              <w:rPr>
                <w:rFonts w:ascii="宋体"/>
                <w:spacing w:val="-1"/>
                <w:sz w:val="18"/>
              </w:rPr>
              <w:t>2,724,632.97</w:t>
            </w:r>
          </w:p>
        </w:tc>
      </w:tr>
      <w:tr>
        <w:trPr>
          <w:trHeight w:val="557" w:hRule="exact"/>
        </w:trPr>
        <w:tc>
          <w:tcPr>
            <w:tcW w:w="261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4"/>
              <w:jc w:val="left"/>
              <w:rPr>
                <w:rFonts w:ascii="宋体" w:hAnsi="宋体" w:cs="宋体" w:eastAsia="宋体" w:hint="default"/>
                <w:sz w:val="18"/>
                <w:szCs w:val="18"/>
              </w:rPr>
            </w:pPr>
            <w:r>
              <w:rPr>
                <w:rFonts w:ascii="宋体" w:hAnsi="宋体" w:cs="宋体" w:eastAsia="宋体" w:hint="default"/>
                <w:spacing w:val="9"/>
                <w:sz w:val="18"/>
                <w:szCs w:val="18"/>
              </w:rPr>
              <w:t>按信用风险特征组合计提坏账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4"/>
              <w:jc w:val="right"/>
              <w:rPr>
                <w:rFonts w:ascii="宋体" w:hAnsi="宋体" w:cs="宋体" w:eastAsia="宋体" w:hint="default"/>
                <w:sz w:val="18"/>
                <w:szCs w:val="18"/>
              </w:rPr>
            </w:pPr>
            <w:r>
              <w:rPr>
                <w:rFonts w:ascii="宋体"/>
                <w:spacing w:val="-1"/>
                <w:sz w:val="18"/>
              </w:rPr>
              <w:t>159,485,913.70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4"/>
              <w:jc w:val="right"/>
              <w:rPr>
                <w:rFonts w:ascii="宋体" w:hAnsi="宋体" w:cs="宋体" w:eastAsia="宋体" w:hint="default"/>
                <w:sz w:val="18"/>
                <w:szCs w:val="18"/>
              </w:rPr>
            </w:pPr>
            <w:r>
              <w:rPr>
                <w:rFonts w:ascii="宋体"/>
                <w:spacing w:val="-1"/>
                <w:sz w:val="18"/>
              </w:rPr>
              <w:t>98.32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1" w:right="0"/>
              <w:jc w:val="left"/>
              <w:rPr>
                <w:rFonts w:ascii="宋体" w:hAnsi="宋体" w:cs="宋体" w:eastAsia="宋体" w:hint="default"/>
                <w:sz w:val="18"/>
                <w:szCs w:val="18"/>
              </w:rPr>
            </w:pPr>
            <w:r>
              <w:rPr>
                <w:rFonts w:ascii="宋体"/>
                <w:sz w:val="18"/>
              </w:rPr>
              <w:t>3,700,410.38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0" w:right="0"/>
              <w:jc w:val="left"/>
              <w:rPr>
                <w:rFonts w:ascii="宋体" w:hAnsi="宋体" w:cs="宋体" w:eastAsia="宋体" w:hint="default"/>
                <w:sz w:val="18"/>
                <w:szCs w:val="18"/>
              </w:rPr>
            </w:pPr>
            <w:r>
              <w:rPr>
                <w:rFonts w:ascii="宋体"/>
                <w:sz w:val="18"/>
              </w:rPr>
              <w:t>2.32</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69"/>
              <w:jc w:val="right"/>
              <w:rPr>
                <w:rFonts w:ascii="宋体" w:hAnsi="宋体" w:cs="宋体" w:eastAsia="宋体" w:hint="default"/>
                <w:sz w:val="18"/>
                <w:szCs w:val="18"/>
              </w:rPr>
            </w:pPr>
            <w:r>
              <w:rPr>
                <w:rFonts w:ascii="宋体"/>
                <w:spacing w:val="-1"/>
                <w:sz w:val="18"/>
              </w:rPr>
              <w:t>155,785,503.32</w:t>
            </w:r>
          </w:p>
        </w:tc>
      </w:tr>
      <w:tr>
        <w:trPr>
          <w:trHeight w:val="572" w:hRule="exact"/>
        </w:trPr>
        <w:tc>
          <w:tcPr>
            <w:tcW w:w="2611" w:type="dxa"/>
            <w:tcBorders>
              <w:top w:val="single" w:sz="4" w:space="0" w:color="000000"/>
              <w:left w:val="nil" w:sz="6" w:space="0" w:color="auto"/>
              <w:bottom w:val="single" w:sz="17" w:space="0" w:color="000000"/>
              <w:right w:val="single" w:sz="4" w:space="0" w:color="000000"/>
            </w:tcBorders>
          </w:tcPr>
          <w:p>
            <w:pPr>
              <w:pStyle w:val="TableParagraph"/>
              <w:spacing w:line="232" w:lineRule="exact" w:before="36"/>
              <w:ind w:left="72" w:right="64"/>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坏账准备的其他应收款</w:t>
            </w:r>
          </w:p>
        </w:tc>
        <w:tc>
          <w:tcPr>
            <w:tcW w:w="1619" w:type="dxa"/>
            <w:tcBorders>
              <w:top w:val="single" w:sz="4" w:space="0" w:color="000000"/>
              <w:left w:val="single" w:sz="4" w:space="0" w:color="000000"/>
              <w:bottom w:val="single" w:sz="17" w:space="0" w:color="000000"/>
              <w:right w:val="single" w:sz="4" w:space="0" w:color="000000"/>
            </w:tcBorders>
          </w:tcPr>
          <w:p>
            <w:pPr/>
          </w:p>
        </w:tc>
        <w:tc>
          <w:tcPr>
            <w:tcW w:w="818" w:type="dxa"/>
            <w:tcBorders>
              <w:top w:val="single" w:sz="4" w:space="0" w:color="000000"/>
              <w:left w:val="single" w:sz="4" w:space="0" w:color="000000"/>
              <w:bottom w:val="single" w:sz="17" w:space="0" w:color="000000"/>
              <w:right w:val="single" w:sz="4" w:space="0" w:color="000000"/>
            </w:tcBorders>
          </w:tcPr>
          <w:p>
            <w:pPr/>
          </w:p>
        </w:tc>
        <w:tc>
          <w:tcPr>
            <w:tcW w:w="1419" w:type="dxa"/>
            <w:tcBorders>
              <w:top w:val="single" w:sz="4" w:space="0" w:color="000000"/>
              <w:left w:val="single" w:sz="4" w:space="0" w:color="000000"/>
              <w:bottom w:val="single" w:sz="17" w:space="0" w:color="000000"/>
              <w:right w:val="single" w:sz="4" w:space="0" w:color="000000"/>
            </w:tcBorders>
          </w:tcPr>
          <w:p>
            <w:pPr/>
          </w:p>
        </w:tc>
        <w:tc>
          <w:tcPr>
            <w:tcW w:w="637" w:type="dxa"/>
            <w:tcBorders>
              <w:top w:val="single" w:sz="4" w:space="0" w:color="000000"/>
              <w:left w:val="single" w:sz="4" w:space="0" w:color="000000"/>
              <w:bottom w:val="single" w:sz="17" w:space="0" w:color="000000"/>
              <w:right w:val="single" w:sz="4" w:space="0" w:color="000000"/>
            </w:tcBorders>
          </w:tcPr>
          <w:p>
            <w:pPr/>
          </w:p>
        </w:tc>
        <w:tc>
          <w:tcPr>
            <w:tcW w:w="1619"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0" w:footer="873" w:top="1440" w:bottom="1060" w:left="1460" w:right="1440"/>
        </w:sectPr>
      </w:pPr>
    </w:p>
    <w:p>
      <w:pPr>
        <w:spacing w:line="240" w:lineRule="auto" w:before="3"/>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611"/>
        <w:gridCol w:w="1619"/>
        <w:gridCol w:w="818"/>
        <w:gridCol w:w="1419"/>
        <w:gridCol w:w="637"/>
        <w:gridCol w:w="1619"/>
      </w:tblGrid>
      <w:tr>
        <w:trPr>
          <w:trHeight w:val="442" w:hRule="exact"/>
        </w:trPr>
        <w:tc>
          <w:tcPr>
            <w:tcW w:w="2611"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9"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53"/>
              <w:ind w:left="245" w:right="0"/>
              <w:jc w:val="left"/>
              <w:rPr>
                <w:rFonts w:ascii="宋体" w:hAnsi="宋体" w:cs="宋体" w:eastAsia="宋体" w:hint="default"/>
                <w:sz w:val="18"/>
                <w:szCs w:val="18"/>
              </w:rPr>
            </w:pPr>
            <w:r>
              <w:rPr>
                <w:rFonts w:ascii="宋体"/>
                <w:b/>
                <w:sz w:val="18"/>
              </w:rPr>
              <w:t>162,210,546.67</w:t>
            </w:r>
            <w:r>
              <w:rPr>
                <w:rFonts w:ascii="宋体"/>
                <w:sz w:val="18"/>
              </w:rPr>
            </w:r>
          </w:p>
        </w:tc>
        <w:tc>
          <w:tcPr>
            <w:tcW w:w="818"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53"/>
              <w:ind w:left="165" w:right="0"/>
              <w:jc w:val="left"/>
              <w:rPr>
                <w:rFonts w:ascii="宋体" w:hAnsi="宋体" w:cs="宋体" w:eastAsia="宋体" w:hint="default"/>
                <w:sz w:val="18"/>
                <w:szCs w:val="18"/>
              </w:rPr>
            </w:pPr>
            <w:r>
              <w:rPr>
                <w:rFonts w:ascii="宋体"/>
                <w:b/>
                <w:sz w:val="18"/>
              </w:rPr>
              <w:t>100.00</w:t>
            </w:r>
            <w:r>
              <w:rPr>
                <w:rFonts w:ascii="宋体"/>
                <w:sz w:val="18"/>
              </w:rPr>
            </w:r>
          </w:p>
        </w:tc>
        <w:tc>
          <w:tcPr>
            <w:tcW w:w="1419"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53"/>
              <w:ind w:left="225" w:right="0"/>
              <w:jc w:val="left"/>
              <w:rPr>
                <w:rFonts w:ascii="宋体" w:hAnsi="宋体" w:cs="宋体" w:eastAsia="宋体" w:hint="default"/>
                <w:sz w:val="18"/>
                <w:szCs w:val="18"/>
              </w:rPr>
            </w:pPr>
            <w:r>
              <w:rPr>
                <w:rFonts w:ascii="宋体"/>
                <w:b/>
                <w:sz w:val="18"/>
              </w:rPr>
              <w:t>3,700,410.38</w:t>
            </w:r>
            <w:r>
              <w:rPr>
                <w:rFonts w:ascii="宋体"/>
                <w:sz w:val="18"/>
              </w:rPr>
            </w:r>
          </w:p>
        </w:tc>
        <w:tc>
          <w:tcPr>
            <w:tcW w:w="637"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53"/>
              <w:ind w:left="164" w:right="0"/>
              <w:jc w:val="left"/>
              <w:rPr>
                <w:rFonts w:ascii="宋体" w:hAnsi="宋体" w:cs="宋体" w:eastAsia="宋体" w:hint="default"/>
                <w:sz w:val="18"/>
                <w:szCs w:val="18"/>
              </w:rPr>
            </w:pPr>
            <w:r>
              <w:rPr>
                <w:rFonts w:ascii="宋体"/>
                <w:b/>
                <w:sz w:val="18"/>
              </w:rPr>
              <w:t>2.28</w:t>
            </w:r>
            <w:r>
              <w:rPr>
                <w:rFonts w:ascii="宋体"/>
                <w:sz w:val="18"/>
              </w:rPr>
            </w:r>
          </w:p>
        </w:tc>
        <w:tc>
          <w:tcPr>
            <w:tcW w:w="1619" w:type="dxa"/>
            <w:tcBorders>
              <w:top w:val="single" w:sz="17" w:space="0" w:color="000000"/>
              <w:left w:val="single" w:sz="4" w:space="0" w:color="000000"/>
              <w:bottom w:val="single" w:sz="17" w:space="0" w:color="000000"/>
              <w:right w:val="nil" w:sz="6" w:space="0" w:color="auto"/>
            </w:tcBorders>
          </w:tcPr>
          <w:p>
            <w:pPr>
              <w:pStyle w:val="TableParagraph"/>
              <w:spacing w:line="240" w:lineRule="auto" w:before="53"/>
              <w:ind w:left="245" w:right="0"/>
              <w:jc w:val="left"/>
              <w:rPr>
                <w:rFonts w:ascii="宋体" w:hAnsi="宋体" w:cs="宋体" w:eastAsia="宋体" w:hint="default"/>
                <w:sz w:val="18"/>
                <w:szCs w:val="18"/>
              </w:rPr>
            </w:pPr>
            <w:r>
              <w:rPr>
                <w:rFonts w:ascii="宋体"/>
                <w:b/>
                <w:sz w:val="18"/>
              </w:rPr>
              <w:t>158,510,136.29</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592" w:right="4798"/>
        <w:jc w:val="left"/>
      </w:pPr>
      <w:r>
        <w:rPr/>
        <w:t>（续表）</w:t>
      </w: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660"/>
        <w:gridCol w:w="1560"/>
        <w:gridCol w:w="839"/>
        <w:gridCol w:w="1419"/>
        <w:gridCol w:w="717"/>
        <w:gridCol w:w="1528"/>
      </w:tblGrid>
      <w:tr>
        <w:trPr>
          <w:trHeight w:val="425" w:hRule="exact"/>
        </w:trPr>
        <w:tc>
          <w:tcPr>
            <w:tcW w:w="266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063"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660" w:type="dxa"/>
            <w:vMerge/>
            <w:tcBorders>
              <w:left w:val="nil" w:sz="6" w:space="0" w:color="auto"/>
              <w:right w:val="single" w:sz="4" w:space="0" w:color="000000"/>
            </w:tcBorders>
          </w:tcPr>
          <w:p>
            <w:pP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90" w:hRule="exact"/>
        </w:trPr>
        <w:tc>
          <w:tcPr>
            <w:tcW w:w="2660"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78" w:right="232" w:hanging="44"/>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72" w:right="172"/>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528" w:type="dxa"/>
            <w:vMerge/>
            <w:tcBorders>
              <w:left w:val="single" w:sz="4" w:space="0" w:color="000000"/>
              <w:bottom w:val="single" w:sz="4" w:space="0" w:color="000000"/>
              <w:right w:val="nil" w:sz="6" w:space="0" w:color="auto"/>
            </w:tcBorders>
          </w:tcPr>
          <w:p>
            <w:pP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2" w:right="65"/>
              <w:jc w:val="left"/>
              <w:rPr>
                <w:rFonts w:ascii="宋体" w:hAnsi="宋体" w:cs="宋体" w:eastAsia="宋体" w:hint="default"/>
                <w:sz w:val="18"/>
                <w:szCs w:val="18"/>
              </w:rPr>
            </w:pPr>
            <w:r>
              <w:rPr>
                <w:rFonts w:ascii="宋体" w:hAnsi="宋体" w:cs="宋体" w:eastAsia="宋体" w:hint="default"/>
                <w:spacing w:val="13"/>
                <w:sz w:val="18"/>
                <w:szCs w:val="18"/>
              </w:rPr>
              <w:t>单项金额重大并单项计提坏账</w:t>
            </w:r>
            <w:r>
              <w:rPr>
                <w:rFonts w:ascii="宋体" w:hAnsi="宋体" w:cs="宋体" w:eastAsia="宋体" w:hint="default"/>
                <w:sz w:val="18"/>
                <w:szCs w:val="18"/>
              </w:rPr>
              <w:t> 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4"/>
              <w:jc w:val="right"/>
              <w:rPr>
                <w:rFonts w:ascii="宋体" w:hAnsi="宋体" w:cs="宋体" w:eastAsia="宋体" w:hint="default"/>
                <w:sz w:val="18"/>
                <w:szCs w:val="18"/>
              </w:rPr>
            </w:pPr>
            <w:r>
              <w:rPr>
                <w:rFonts w:ascii="宋体"/>
                <w:spacing w:val="-1"/>
                <w:sz w:val="18"/>
              </w:rPr>
              <w:t>5,213,188.69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3"/>
              <w:jc w:val="right"/>
              <w:rPr>
                <w:rFonts w:ascii="宋体" w:hAnsi="宋体" w:cs="宋体" w:eastAsia="宋体" w:hint="default"/>
                <w:sz w:val="18"/>
                <w:szCs w:val="18"/>
              </w:rPr>
            </w:pPr>
            <w:r>
              <w:rPr>
                <w:rFonts w:ascii="宋体"/>
                <w:sz w:val="18"/>
              </w:rPr>
              <w:t>7.31</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9"/>
              <w:jc w:val="right"/>
              <w:rPr>
                <w:rFonts w:ascii="宋体" w:hAnsi="宋体" w:cs="宋体" w:eastAsia="宋体" w:hint="default"/>
                <w:sz w:val="18"/>
                <w:szCs w:val="18"/>
              </w:rPr>
            </w:pPr>
            <w:r>
              <w:rPr>
                <w:rFonts w:ascii="宋体"/>
                <w:spacing w:val="-1"/>
                <w:sz w:val="18"/>
              </w:rPr>
              <w:t>5,213,188.69</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5"/>
              <w:jc w:val="left"/>
              <w:rPr>
                <w:rFonts w:ascii="宋体" w:hAnsi="宋体" w:cs="宋体" w:eastAsia="宋体" w:hint="default"/>
                <w:sz w:val="18"/>
                <w:szCs w:val="18"/>
              </w:rPr>
            </w:pPr>
            <w:r>
              <w:rPr>
                <w:rFonts w:ascii="宋体" w:hAnsi="宋体" w:cs="宋体" w:eastAsia="宋体" w:hint="default"/>
                <w:spacing w:val="13"/>
                <w:sz w:val="18"/>
                <w:szCs w:val="18"/>
              </w:rPr>
              <w:t>按信用风险特征组合计提坏账</w:t>
            </w:r>
            <w:r>
              <w:rPr>
                <w:rFonts w:ascii="宋体" w:hAnsi="宋体" w:cs="宋体" w:eastAsia="宋体" w:hint="default"/>
                <w:sz w:val="18"/>
                <w:szCs w:val="18"/>
              </w:rPr>
              <w:t> 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4"/>
              <w:jc w:val="right"/>
              <w:rPr>
                <w:rFonts w:ascii="宋体" w:hAnsi="宋体" w:cs="宋体" w:eastAsia="宋体" w:hint="default"/>
                <w:sz w:val="18"/>
                <w:szCs w:val="18"/>
              </w:rPr>
            </w:pPr>
            <w:r>
              <w:rPr>
                <w:rFonts w:ascii="宋体"/>
                <w:spacing w:val="-1"/>
                <w:sz w:val="18"/>
              </w:rPr>
              <w:t>66,129,856.48</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5"/>
              <w:jc w:val="right"/>
              <w:rPr>
                <w:rFonts w:ascii="宋体" w:hAnsi="宋体" w:cs="宋体" w:eastAsia="宋体" w:hint="default"/>
                <w:sz w:val="18"/>
                <w:szCs w:val="18"/>
              </w:rPr>
            </w:pPr>
            <w:r>
              <w:rPr>
                <w:rFonts w:ascii="宋体"/>
                <w:spacing w:val="-1"/>
                <w:sz w:val="18"/>
              </w:rPr>
              <w:t>92.69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3"/>
              <w:jc w:val="right"/>
              <w:rPr>
                <w:rFonts w:ascii="宋体" w:hAnsi="宋体" w:cs="宋体" w:eastAsia="宋体" w:hint="default"/>
                <w:sz w:val="18"/>
                <w:szCs w:val="18"/>
              </w:rPr>
            </w:pPr>
            <w:r>
              <w:rPr>
                <w:rFonts w:ascii="宋体"/>
                <w:spacing w:val="-1"/>
                <w:sz w:val="18"/>
              </w:rPr>
              <w:t>2,424,401.80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3"/>
              <w:jc w:val="right"/>
              <w:rPr>
                <w:rFonts w:ascii="宋体" w:hAnsi="宋体" w:cs="宋体" w:eastAsia="宋体" w:hint="default"/>
                <w:sz w:val="18"/>
                <w:szCs w:val="18"/>
              </w:rPr>
            </w:pPr>
            <w:r>
              <w:rPr>
                <w:rFonts w:ascii="宋体"/>
                <w:sz w:val="18"/>
              </w:rPr>
              <w:t>3.67</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9"/>
              <w:jc w:val="right"/>
              <w:rPr>
                <w:rFonts w:ascii="宋体" w:hAnsi="宋体" w:cs="宋体" w:eastAsia="宋体" w:hint="default"/>
                <w:sz w:val="18"/>
                <w:szCs w:val="18"/>
              </w:rPr>
            </w:pPr>
            <w:r>
              <w:rPr>
                <w:rFonts w:ascii="宋体"/>
                <w:spacing w:val="-1"/>
                <w:sz w:val="18"/>
              </w:rPr>
              <w:t>63,705,454.68</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5"/>
              <w:jc w:val="left"/>
              <w:rPr>
                <w:rFonts w:ascii="宋体" w:hAnsi="宋体" w:cs="宋体" w:eastAsia="宋体" w:hint="default"/>
                <w:sz w:val="18"/>
                <w:szCs w:val="18"/>
              </w:rPr>
            </w:pPr>
            <w:r>
              <w:rPr>
                <w:rFonts w:ascii="宋体" w:hAnsi="宋体" w:cs="宋体" w:eastAsia="宋体" w:hint="default"/>
                <w:spacing w:val="13"/>
                <w:sz w:val="18"/>
                <w:szCs w:val="18"/>
              </w:rPr>
              <w:t>单项金额虽不重大但单项计提</w:t>
            </w:r>
            <w:r>
              <w:rPr>
                <w:rFonts w:ascii="宋体" w:hAnsi="宋体" w:cs="宋体" w:eastAsia="宋体" w:hint="default"/>
                <w:sz w:val="18"/>
                <w:szCs w:val="18"/>
              </w:rPr>
              <w:t> 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266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b/>
                <w:w w:val="95"/>
                <w:sz w:val="18"/>
              </w:rPr>
              <w:t>71,343,045.17</w:t>
            </w:r>
            <w:r>
              <w:rPr>
                <w:rFonts w:ascii="宋体"/>
                <w:sz w:val="18"/>
              </w:rPr>
            </w:r>
          </w:p>
        </w:tc>
        <w:tc>
          <w:tcPr>
            <w:tcW w:w="8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b/>
                <w:sz w:val="18"/>
              </w:rPr>
              <w:t>100.00</w:t>
            </w:r>
            <w:r>
              <w:rPr>
                <w:rFonts w:ascii="宋体"/>
                <w:sz w:val="18"/>
              </w:rPr>
            </w: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b/>
                <w:w w:val="95"/>
                <w:sz w:val="18"/>
              </w:rPr>
              <w:t>2,424,401.80</w:t>
            </w:r>
            <w:r>
              <w:rPr>
                <w:rFonts w:ascii="宋体"/>
                <w:sz w:val="18"/>
              </w:rPr>
            </w:r>
          </w:p>
        </w:tc>
        <w:tc>
          <w:tcPr>
            <w:tcW w:w="7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b/>
                <w:sz w:val="18"/>
              </w:rPr>
              <w:t>3.40</w:t>
            </w:r>
            <w:r>
              <w:rPr>
                <w:rFonts w:ascii="宋体"/>
                <w:sz w:val="18"/>
              </w:rPr>
            </w:r>
          </w:p>
        </w:tc>
        <w:tc>
          <w:tcPr>
            <w:tcW w:w="152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b/>
                <w:w w:val="95"/>
                <w:sz w:val="18"/>
              </w:rPr>
              <w:t>68,918,643.37</w:t>
            </w:r>
            <w:r>
              <w:rPr>
                <w:rFonts w:ascii="宋体"/>
                <w:sz w:val="18"/>
              </w:rPr>
            </w:r>
          </w:p>
        </w:tc>
      </w:tr>
    </w:tbl>
    <w:p>
      <w:pPr>
        <w:spacing w:line="240" w:lineRule="auto" w:before="13"/>
        <w:rPr>
          <w:rFonts w:ascii="宋体" w:hAnsi="宋体" w:cs="宋体" w:eastAsia="宋体" w:hint="default"/>
          <w:sz w:val="7"/>
          <w:szCs w:val="7"/>
        </w:rPr>
      </w:pPr>
    </w:p>
    <w:p>
      <w:pPr>
        <w:pStyle w:val="BodyText"/>
        <w:spacing w:line="240" w:lineRule="auto"/>
        <w:ind w:left="661" w:right="2370"/>
        <w:jc w:val="left"/>
      </w:pPr>
      <w:r>
        <w:rPr/>
        <w:t>1）</w:t>
      </w:r>
      <w:r>
        <w:rPr>
          <w:spacing w:val="25"/>
        </w:rPr>
        <w:t> </w:t>
      </w:r>
      <w:r>
        <w:rPr/>
        <w:t>年末单项金额重大并单独计提坏账准备的其他应收款</w:t>
      </w:r>
    </w:p>
    <w:p>
      <w:pPr>
        <w:spacing w:line="240" w:lineRule="auto" w:before="1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810"/>
        <w:gridCol w:w="1842"/>
        <w:gridCol w:w="1277"/>
        <w:gridCol w:w="1556"/>
        <w:gridCol w:w="2238"/>
      </w:tblGrid>
      <w:tr>
        <w:trPr>
          <w:trHeight w:val="415" w:hRule="exact"/>
        </w:trPr>
        <w:tc>
          <w:tcPr>
            <w:tcW w:w="1810"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691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810" w:type="dxa"/>
            <w:vMerge/>
            <w:tcBorders>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367"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9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71"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c>
          <w:tcPr>
            <w:tcW w:w="2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677" w:right="0"/>
              <w:jc w:val="left"/>
              <w:rPr>
                <w:rFonts w:ascii="宋体" w:hAnsi="宋体" w:cs="宋体" w:eastAsia="宋体" w:hint="default"/>
                <w:sz w:val="22"/>
                <w:szCs w:val="22"/>
              </w:rPr>
            </w:pPr>
            <w:r>
              <w:rPr>
                <w:rFonts w:ascii="宋体" w:hAnsi="宋体" w:cs="宋体" w:eastAsia="宋体" w:hint="default"/>
                <w:b/>
                <w:bCs/>
                <w:sz w:val="22"/>
                <w:szCs w:val="22"/>
              </w:rPr>
              <w:t>计提理由</w:t>
            </w:r>
            <w:r>
              <w:rPr>
                <w:rFonts w:ascii="宋体" w:hAnsi="宋体" w:cs="宋体" w:eastAsia="宋体" w:hint="default"/>
                <w:sz w:val="22"/>
                <w:szCs w:val="22"/>
              </w:rPr>
            </w:r>
          </w:p>
        </w:tc>
      </w:tr>
      <w:tr>
        <w:trPr>
          <w:trHeight w:val="402" w:hRule="exact"/>
        </w:trPr>
        <w:tc>
          <w:tcPr>
            <w:tcW w:w="1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关税及增值税</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10" w:right="0"/>
              <w:jc w:val="left"/>
              <w:rPr>
                <w:rFonts w:ascii="宋体" w:hAnsi="宋体" w:cs="宋体" w:eastAsia="宋体" w:hint="default"/>
                <w:sz w:val="22"/>
                <w:szCs w:val="22"/>
              </w:rPr>
            </w:pPr>
            <w:r>
              <w:rPr>
                <w:rFonts w:ascii="宋体"/>
                <w:sz w:val="22"/>
              </w:rPr>
              <w:t>2,724,632.97</w:t>
            </w:r>
          </w:p>
        </w:tc>
        <w:tc>
          <w:tcPr>
            <w:tcW w:w="1277"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single" w:sz="2" w:space="0" w:color="000000"/>
            </w:tcBorders>
          </w:tcPr>
          <w:p>
            <w:pPr/>
          </w:p>
        </w:tc>
        <w:tc>
          <w:tcPr>
            <w:tcW w:w="2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税金，不存在风险</w:t>
            </w:r>
          </w:p>
        </w:tc>
      </w:tr>
      <w:tr>
        <w:trPr>
          <w:trHeight w:val="414" w:hRule="exact"/>
        </w:trPr>
        <w:tc>
          <w:tcPr>
            <w:tcW w:w="18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410" w:right="0"/>
              <w:jc w:val="left"/>
              <w:rPr>
                <w:rFonts w:ascii="宋体" w:hAnsi="宋体" w:cs="宋体" w:eastAsia="宋体" w:hint="default"/>
                <w:sz w:val="22"/>
                <w:szCs w:val="22"/>
              </w:rPr>
            </w:pPr>
            <w:r>
              <w:rPr>
                <w:rFonts w:ascii="宋体"/>
                <w:b/>
                <w:sz w:val="22"/>
              </w:rPr>
              <w:t>2,724,632.97</w:t>
            </w:r>
            <w:r>
              <w:rPr>
                <w:rFonts w:ascii="宋体"/>
                <w:sz w:val="22"/>
              </w:rPr>
            </w:r>
          </w:p>
        </w:tc>
        <w:tc>
          <w:tcPr>
            <w:tcW w:w="1277" w:type="dxa"/>
            <w:tcBorders>
              <w:top w:val="single" w:sz="2" w:space="0" w:color="000000"/>
              <w:left w:val="single" w:sz="2" w:space="0" w:color="000000"/>
              <w:bottom w:val="single" w:sz="12" w:space="0" w:color="000000"/>
              <w:right w:val="single" w:sz="2" w:space="0" w:color="000000"/>
            </w:tcBorders>
          </w:tcPr>
          <w:p>
            <w:pPr/>
          </w:p>
        </w:tc>
        <w:tc>
          <w:tcPr>
            <w:tcW w:w="1556" w:type="dxa"/>
            <w:tcBorders>
              <w:top w:val="single" w:sz="2" w:space="0" w:color="000000"/>
              <w:left w:val="single" w:sz="2" w:space="0" w:color="000000"/>
              <w:bottom w:val="single" w:sz="12" w:space="0" w:color="000000"/>
              <w:right w:val="single" w:sz="2" w:space="0" w:color="000000"/>
            </w:tcBorders>
          </w:tcPr>
          <w:p>
            <w:pPr/>
          </w:p>
        </w:tc>
        <w:tc>
          <w:tcPr>
            <w:tcW w:w="223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7"/>
          <w:szCs w:val="7"/>
        </w:rPr>
      </w:pPr>
    </w:p>
    <w:p>
      <w:pPr>
        <w:pStyle w:val="BodyText"/>
        <w:spacing w:line="240" w:lineRule="auto"/>
        <w:ind w:left="661" w:right="2370"/>
        <w:jc w:val="left"/>
      </w:pPr>
      <w:r>
        <w:rPr/>
        <w:t>2）</w:t>
      </w:r>
      <w:r>
        <w:rPr>
          <w:spacing w:val="25"/>
        </w:rPr>
        <w:t> </w:t>
      </w:r>
      <w:r>
        <w:rPr/>
        <w:t>组合中，按账龄分析法计提坏账准备的其他应收款</w:t>
      </w:r>
    </w:p>
    <w:p>
      <w:pPr>
        <w:spacing w:line="240" w:lineRule="auto" w:before="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59"/>
        <w:gridCol w:w="1982"/>
        <w:gridCol w:w="1884"/>
        <w:gridCol w:w="1898"/>
      </w:tblGrid>
      <w:tr>
        <w:trPr>
          <w:trHeight w:val="417" w:hRule="exact"/>
        </w:trPr>
        <w:tc>
          <w:tcPr>
            <w:tcW w:w="2959"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7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59" w:type="dxa"/>
            <w:vMerge/>
            <w:tcBorders>
              <w:left w:val="nil" w:sz="6" w:space="0" w:color="auto"/>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5"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52,530,072.42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525,300.72</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68"/>
              <w:jc w:val="right"/>
              <w:rPr>
                <w:rFonts w:ascii="宋体" w:hAnsi="宋体" w:cs="宋体" w:eastAsia="宋体" w:hint="default"/>
                <w:sz w:val="22"/>
                <w:szCs w:val="22"/>
              </w:rPr>
            </w:pPr>
            <w:r>
              <w:rPr>
                <w:rFonts w:ascii="宋体"/>
                <w:spacing w:val="-1"/>
                <w:sz w:val="22"/>
              </w:rPr>
              <w:t>1.00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12,688,484.02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1,268,848.40</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68"/>
              <w:jc w:val="right"/>
              <w:rPr>
                <w:rFonts w:ascii="宋体" w:hAnsi="宋体" w:cs="宋体" w:eastAsia="宋体" w:hint="default"/>
                <w:sz w:val="22"/>
                <w:szCs w:val="22"/>
              </w:rPr>
            </w:pPr>
            <w:r>
              <w:rPr>
                <w:rFonts w:ascii="宋体"/>
                <w:spacing w:val="-1"/>
                <w:sz w:val="22"/>
              </w:rPr>
              <w:t>10.00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1,245,197.28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373,559.18</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68"/>
              <w:jc w:val="right"/>
              <w:rPr>
                <w:rFonts w:ascii="宋体" w:hAnsi="宋体" w:cs="宋体" w:eastAsia="宋体" w:hint="default"/>
                <w:sz w:val="22"/>
                <w:szCs w:val="22"/>
              </w:rPr>
            </w:pPr>
            <w:r>
              <w:rPr>
                <w:rFonts w:ascii="宋体"/>
                <w:spacing w:val="-1"/>
                <w:sz w:val="22"/>
              </w:rPr>
              <w:t>30.00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1,532,702.08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1,532,702.08</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68"/>
              <w:jc w:val="right"/>
              <w:rPr>
                <w:rFonts w:ascii="宋体" w:hAnsi="宋体" w:cs="宋体" w:eastAsia="宋体" w:hint="default"/>
                <w:sz w:val="22"/>
                <w:szCs w:val="22"/>
              </w:rPr>
            </w:pPr>
            <w:r>
              <w:rPr>
                <w:rFonts w:ascii="宋体"/>
                <w:spacing w:val="-1"/>
                <w:sz w:val="22"/>
              </w:rPr>
              <w:t>100.00</w:t>
            </w:r>
          </w:p>
        </w:tc>
      </w:tr>
      <w:tr>
        <w:trPr>
          <w:trHeight w:val="417" w:hRule="exact"/>
        </w:trPr>
        <w:tc>
          <w:tcPr>
            <w:tcW w:w="29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67,996,455.80</w:t>
            </w:r>
            <w:r>
              <w:rPr>
                <w:rFonts w:ascii="宋体"/>
                <w:spacing w:val="-1"/>
                <w:sz w:val="22"/>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3,700,410.38</w:t>
            </w:r>
            <w:r>
              <w:rPr>
                <w:rFonts w:ascii="宋体"/>
                <w:spacing w:val="-1"/>
                <w:sz w:val="22"/>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68"/>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400" w:lineRule="auto"/>
        <w:ind w:left="661" w:right="2370"/>
        <w:jc w:val="left"/>
      </w:pPr>
      <w:r>
        <w:rPr>
          <w:spacing w:val="-2"/>
        </w:rPr>
        <w:t>注：该组合系以应收款项的账龄为信用风险特征划分组合。</w:t>
      </w:r>
      <w:r>
        <w:rPr>
          <w:spacing w:val="-73"/>
        </w:rPr>
        <w:t> </w:t>
      </w:r>
      <w:r>
        <w:rPr>
          <w:spacing w:val="-73"/>
        </w:rPr>
      </w:r>
      <w:r>
        <w:rPr/>
        <w:t>4）</w:t>
      </w:r>
      <w:r>
        <w:rPr>
          <w:spacing w:val="-35"/>
        </w:rPr>
        <w:t> </w:t>
      </w:r>
      <w:r>
        <w:rPr/>
        <w:t>组合中，采用其他方法计提坏账准备的其他应收款</w:t>
      </w:r>
    </w:p>
    <w:tbl>
      <w:tblPr>
        <w:tblW w:w="0" w:type="auto"/>
        <w:jc w:val="left"/>
        <w:tblInd w:w="118" w:type="dxa"/>
        <w:tblLayout w:type="fixed"/>
        <w:tblCellMar>
          <w:top w:w="0" w:type="dxa"/>
          <w:left w:w="0" w:type="dxa"/>
          <w:bottom w:w="0" w:type="dxa"/>
          <w:right w:w="0" w:type="dxa"/>
        </w:tblCellMar>
        <w:tblLook w:val="01E0"/>
      </w:tblPr>
      <w:tblGrid>
        <w:gridCol w:w="2912"/>
        <w:gridCol w:w="2029"/>
        <w:gridCol w:w="1884"/>
        <w:gridCol w:w="1898"/>
      </w:tblGrid>
      <w:tr>
        <w:trPr>
          <w:trHeight w:val="417" w:hRule="exact"/>
        </w:trPr>
        <w:tc>
          <w:tcPr>
            <w:tcW w:w="291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12" w:type="dxa"/>
            <w:vMerge/>
            <w:tcBorders>
              <w:left w:val="nil" w:sz="6" w:space="0" w:color="auto"/>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8"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39"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7" w:right="0"/>
              <w:jc w:val="left"/>
              <w:rPr>
                <w:rFonts w:ascii="宋体" w:hAnsi="宋体" w:cs="宋体" w:eastAsia="宋体" w:hint="default"/>
                <w:sz w:val="22"/>
                <w:szCs w:val="22"/>
              </w:rPr>
            </w:pPr>
            <w:r>
              <w:rPr>
                <w:rFonts w:ascii="宋体"/>
                <w:sz w:val="22"/>
              </w:rPr>
              <w:t>91,489,457.90</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0.00</w:t>
            </w:r>
          </w:p>
        </w:tc>
      </w:tr>
      <w:tr>
        <w:trPr>
          <w:trHeight w:val="417" w:hRule="exact"/>
        </w:trPr>
        <w:tc>
          <w:tcPr>
            <w:tcW w:w="29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22"/>
                <w:szCs w:val="22"/>
              </w:rPr>
            </w:pPr>
            <w:r>
              <w:rPr>
                <w:rFonts w:ascii="宋体"/>
                <w:b/>
                <w:sz w:val="22"/>
              </w:rPr>
              <w:t>91,489,457.90</w:t>
            </w:r>
            <w:r>
              <w:rPr>
                <w:rFonts w:ascii="宋体"/>
                <w:sz w:val="22"/>
              </w:rPr>
            </w:r>
          </w:p>
        </w:tc>
        <w:tc>
          <w:tcPr>
            <w:tcW w:w="1884"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b/>
                <w:spacing w:val="-1"/>
                <w:sz w:val="22"/>
              </w:rPr>
              <w:t>--</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0" w:footer="873" w:top="1440" w:bottom="1060" w:left="1460" w:right="1440"/>
        </w:sectPr>
      </w:pPr>
    </w:p>
    <w:p>
      <w:pPr>
        <w:spacing w:line="240" w:lineRule="auto" w:before="13"/>
        <w:rPr>
          <w:rFonts w:ascii="宋体" w:hAnsi="宋体" w:cs="宋体" w:eastAsia="宋体" w:hint="default"/>
          <w:sz w:val="16"/>
          <w:szCs w:val="16"/>
        </w:rPr>
      </w:pPr>
    </w:p>
    <w:p>
      <w:pPr>
        <w:pStyle w:val="BodyText"/>
        <w:spacing w:line="283" w:lineRule="auto"/>
        <w:ind w:left="241" w:right="80" w:firstLine="417"/>
        <w:jc w:val="left"/>
      </w:pPr>
      <w:r>
        <w:rPr>
          <w:spacing w:val="-3"/>
        </w:rPr>
        <w:t>注：关联方组合系以应收款项交易对象为信用风险特征划分组合。本公司应收关联方</w:t>
      </w:r>
      <w:r>
        <w:rPr>
          <w:w w:val="100"/>
        </w:rPr>
        <w:t> </w:t>
      </w:r>
      <w:r>
        <w:rPr/>
        <w:t>账款列入本组合。</w:t>
      </w:r>
    </w:p>
    <w:p>
      <w:pPr>
        <w:pStyle w:val="BodyText"/>
        <w:spacing w:line="400" w:lineRule="auto" w:before="150"/>
        <w:ind w:left="680" w:right="3241" w:hanging="15"/>
        <w:jc w:val="left"/>
      </w:pPr>
      <w:r>
        <w:rPr>
          <w:spacing w:val="-1"/>
        </w:rPr>
        <w:t>（2）</w:t>
      </w:r>
      <w:r>
        <w:rPr>
          <w:spacing w:val="-73"/>
        </w:rPr>
        <w:t> </w:t>
      </w:r>
      <w:r>
        <w:rPr>
          <w:spacing w:val="-2"/>
        </w:rPr>
        <w:t>本年度计提、转回（或收回）坏账准备情况</w:t>
      </w:r>
      <w:r>
        <w:rPr>
          <w:spacing w:val="-96"/>
        </w:rPr>
        <w:t> </w:t>
      </w:r>
      <w:r>
        <w:rPr>
          <w:spacing w:val="-96"/>
        </w:rPr>
      </w:r>
      <w:r>
        <w:rPr/>
        <w:t>本年计提坏账准备金额</w:t>
      </w:r>
      <w:r>
        <w:rPr>
          <w:spacing w:val="-62"/>
        </w:rPr>
        <w:t> </w:t>
      </w:r>
      <w:r>
        <w:rPr/>
        <w:t>1,276,008.58</w:t>
      </w:r>
      <w:r>
        <w:rPr>
          <w:spacing w:val="-62"/>
        </w:rPr>
        <w:t> </w:t>
      </w:r>
      <w:r>
        <w:rPr/>
        <w:t>元。</w:t>
      </w:r>
    </w:p>
    <w:p>
      <w:pPr>
        <w:pStyle w:val="BodyText"/>
        <w:spacing w:line="400" w:lineRule="auto" w:before="44"/>
        <w:ind w:left="680" w:right="4877" w:hanging="15"/>
        <w:jc w:val="left"/>
      </w:pPr>
      <w:r>
        <w:rPr/>
        <w:t>（3）</w:t>
      </w:r>
      <w:r>
        <w:rPr>
          <w:spacing w:val="-93"/>
        </w:rPr>
        <w:t> </w:t>
      </w:r>
      <w:r>
        <w:rPr/>
        <w:t>本年度实际核销的其他应收款</w:t>
      </w:r>
      <w:r>
        <w:rPr>
          <w:w w:val="100"/>
        </w:rPr>
        <w:t> </w:t>
      </w:r>
      <w:r>
        <w:rPr/>
        <w:t>无。</w:t>
      </w:r>
    </w:p>
    <w:p>
      <w:pPr>
        <w:pStyle w:val="BodyText"/>
        <w:spacing w:line="240" w:lineRule="auto" w:before="44"/>
        <w:ind w:left="666" w:right="80"/>
        <w:jc w:val="left"/>
      </w:pPr>
      <w:r>
        <w:rPr>
          <w:spacing w:val="-1"/>
        </w:rPr>
        <w:t>（4）</w:t>
      </w:r>
      <w:r>
        <w:rPr>
          <w:spacing w:val="-65"/>
        </w:rPr>
        <w:t> </w:t>
      </w:r>
      <w:r>
        <w:rPr>
          <w:spacing w:val="-2"/>
        </w:rPr>
        <w:t>其他应收款按款项性质分类情况</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651"/>
        <w:gridCol w:w="2537"/>
        <w:gridCol w:w="2535"/>
      </w:tblGrid>
      <w:tr>
        <w:trPr>
          <w:trHeight w:val="415" w:hRule="exact"/>
        </w:trPr>
        <w:tc>
          <w:tcPr>
            <w:tcW w:w="3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604"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25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604" w:right="0"/>
              <w:jc w:val="left"/>
              <w:rPr>
                <w:rFonts w:ascii="宋体" w:hAnsi="宋体" w:cs="宋体" w:eastAsia="宋体" w:hint="default"/>
                <w:sz w:val="22"/>
                <w:szCs w:val="22"/>
              </w:rPr>
            </w:pPr>
            <w:r>
              <w:rPr>
                <w:rFonts w:ascii="宋体" w:hAnsi="宋体" w:cs="宋体" w:eastAsia="宋体" w:hint="default"/>
                <w:b/>
                <w:bCs/>
                <w:sz w:val="22"/>
                <w:szCs w:val="22"/>
              </w:rPr>
              <w:t>年初账面余额</w:t>
            </w:r>
            <w:r>
              <w:rPr>
                <w:rFonts w:ascii="宋体" w:hAnsi="宋体" w:cs="宋体" w:eastAsia="宋体" w:hint="default"/>
                <w:sz w:val="22"/>
                <w:szCs w:val="22"/>
              </w:rPr>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36,208,023.31</w:t>
            </w:r>
          </w:p>
        </w:tc>
        <w:tc>
          <w:tcPr>
            <w:tcW w:w="2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35,183,460.78</w:t>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22,274,187.48</w:t>
            </w:r>
          </w:p>
        </w:tc>
        <w:tc>
          <w:tcPr>
            <w:tcW w:w="2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27,281,086.52</w:t>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537" w:type="dxa"/>
            <w:tcBorders>
              <w:top w:val="single" w:sz="2" w:space="0" w:color="000000"/>
              <w:left w:val="single" w:sz="2" w:space="0" w:color="000000"/>
              <w:bottom w:val="single" w:sz="2" w:space="0" w:color="000000"/>
              <w:right w:val="single" w:sz="2" w:space="0" w:color="000000"/>
            </w:tcBorders>
          </w:tcPr>
          <w:p>
            <w:pPr/>
          </w:p>
        </w:tc>
        <w:tc>
          <w:tcPr>
            <w:tcW w:w="2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1,830,165.05</w:t>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100,817,614.11</w:t>
            </w:r>
          </w:p>
        </w:tc>
        <w:tc>
          <w:tcPr>
            <w:tcW w:w="2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1,835,144.13</w:t>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2,724,632.97</w:t>
            </w:r>
          </w:p>
        </w:tc>
        <w:tc>
          <w:tcPr>
            <w:tcW w:w="2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5,213,188.69</w:t>
            </w:r>
          </w:p>
        </w:tc>
      </w:tr>
      <w:tr>
        <w:trPr>
          <w:trHeight w:val="402" w:hRule="exact"/>
        </w:trPr>
        <w:tc>
          <w:tcPr>
            <w:tcW w:w="3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186,088.80</w:t>
            </w:r>
          </w:p>
        </w:tc>
        <w:tc>
          <w:tcPr>
            <w:tcW w:w="2535"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1"/>
              <w:jc w:val="right"/>
              <w:rPr>
                <w:rFonts w:ascii="宋体" w:hAnsi="宋体" w:cs="宋体" w:eastAsia="宋体" w:hint="default"/>
                <w:sz w:val="22"/>
                <w:szCs w:val="22"/>
              </w:rPr>
            </w:pPr>
            <w:r>
              <w:rPr>
                <w:rFonts w:ascii="宋体"/>
                <w:b/>
                <w:spacing w:val="-1"/>
                <w:sz w:val="22"/>
              </w:rPr>
              <w:t>162,210,546.67</w:t>
            </w:r>
            <w:r>
              <w:rPr>
                <w:rFonts w:ascii="宋体"/>
                <w:spacing w:val="-1"/>
                <w:sz w:val="22"/>
              </w:rPr>
            </w:r>
          </w:p>
        </w:tc>
        <w:tc>
          <w:tcPr>
            <w:tcW w:w="25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71,343,045.17</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66" w:right="80"/>
        <w:jc w:val="left"/>
      </w:pPr>
      <w:r>
        <w:rPr>
          <w:spacing w:val="-1"/>
        </w:rPr>
        <w:t>（5）</w:t>
      </w:r>
      <w:r>
        <w:rPr>
          <w:spacing w:val="-53"/>
        </w:rPr>
        <w:t> </w:t>
      </w:r>
      <w:r>
        <w:rPr>
          <w:spacing w:val="-2"/>
        </w:rPr>
        <w:t>按欠款方归集的年末余额前五名的其他应收款情况：</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33"/>
        <w:gridCol w:w="1727"/>
        <w:gridCol w:w="1558"/>
        <w:gridCol w:w="1176"/>
        <w:gridCol w:w="1910"/>
        <w:gridCol w:w="1419"/>
      </w:tblGrid>
      <w:tr>
        <w:trPr>
          <w:trHeight w:val="565" w:hRule="exact"/>
        </w:trPr>
        <w:tc>
          <w:tcPr>
            <w:tcW w:w="9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0"/>
              <w:ind w:left="5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0"/>
              <w:ind w:left="500"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0"/>
              <w:ind w:left="4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10"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186" w:right="135" w:hanging="44"/>
              <w:jc w:val="left"/>
              <w:rPr>
                <w:rFonts w:ascii="宋体" w:hAnsi="宋体" w:cs="宋体" w:eastAsia="宋体" w:hint="default"/>
                <w:sz w:val="18"/>
                <w:szCs w:val="18"/>
              </w:rPr>
            </w:pPr>
            <w:r>
              <w:rPr>
                <w:rFonts w:ascii="宋体" w:hAnsi="宋体" w:cs="宋体" w:eastAsia="宋体" w:hint="default"/>
                <w:b/>
                <w:bCs/>
                <w:sz w:val="18"/>
                <w:szCs w:val="18"/>
              </w:rPr>
              <w:t>占其他应收款年末余</w:t>
            </w:r>
            <w:r>
              <w:rPr>
                <w:rFonts w:ascii="宋体" w:hAnsi="宋体" w:cs="宋体" w:eastAsia="宋体" w:hint="default"/>
                <w:b/>
                <w:bCs/>
                <w:w w:val="99"/>
                <w:sz w:val="18"/>
                <w:szCs w:val="18"/>
              </w:rPr>
              <w:t> </w:t>
            </w:r>
            <w:r>
              <w:rPr>
                <w:rFonts w:ascii="宋体" w:hAnsi="宋体" w:cs="宋体" w:eastAsia="宋体" w:hint="default"/>
                <w:b/>
                <w:bCs/>
                <w:sz w:val="18"/>
                <w:szCs w:val="18"/>
              </w:rPr>
              <w:t>额合计数的比例(%)</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616" w:right="73" w:hanging="540"/>
              <w:jc w:val="left"/>
              <w:rPr>
                <w:rFonts w:ascii="宋体" w:hAnsi="宋体" w:cs="宋体" w:eastAsia="宋体" w:hint="default"/>
                <w:sz w:val="18"/>
                <w:szCs w:val="18"/>
              </w:rPr>
            </w:pPr>
            <w:r>
              <w:rPr>
                <w:rFonts w:ascii="宋体" w:hAnsi="宋体" w:cs="宋体" w:eastAsia="宋体" w:hint="default"/>
                <w:b/>
                <w:bCs/>
                <w:sz w:val="18"/>
                <w:szCs w:val="18"/>
              </w:rPr>
              <w:t>坏账准备年末余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552" w:hRule="exact"/>
        </w:trPr>
        <w:tc>
          <w:tcPr>
            <w:tcW w:w="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727"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104" w:right="103"/>
              <w:jc w:val="left"/>
              <w:rPr>
                <w:rFonts w:ascii="宋体" w:hAnsi="宋体" w:cs="宋体" w:eastAsia="宋体" w:hint="default"/>
                <w:sz w:val="18"/>
                <w:szCs w:val="18"/>
              </w:rPr>
            </w:pPr>
            <w:r>
              <w:rPr>
                <w:rFonts w:ascii="宋体" w:hAnsi="宋体" w:cs="宋体" w:eastAsia="宋体" w:hint="default"/>
                <w:spacing w:val="8"/>
                <w:sz w:val="18"/>
                <w:szCs w:val="18"/>
              </w:rPr>
              <w:t>借款、投标保证金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278" w:right="0"/>
              <w:jc w:val="left"/>
              <w:rPr>
                <w:rFonts w:ascii="宋体" w:hAnsi="宋体" w:cs="宋体" w:eastAsia="宋体" w:hint="default"/>
                <w:sz w:val="18"/>
                <w:szCs w:val="18"/>
              </w:rPr>
            </w:pPr>
            <w:r>
              <w:rPr>
                <w:rFonts w:ascii="宋体"/>
                <w:sz w:val="18"/>
              </w:rPr>
              <w:t>87,792,215.64</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pacing w:val="-1"/>
                <w:sz w:val="18"/>
              </w:rPr>
              <w:t>54.12</w:t>
            </w: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大客户部备用金</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66" w:right="0"/>
              <w:jc w:val="left"/>
              <w:rPr>
                <w:rFonts w:ascii="宋体" w:hAnsi="宋体" w:cs="宋体" w:eastAsia="宋体" w:hint="default"/>
                <w:sz w:val="18"/>
                <w:szCs w:val="18"/>
              </w:rPr>
            </w:pPr>
            <w:r>
              <w:rPr>
                <w:rFonts w:ascii="宋体"/>
                <w:sz w:val="18"/>
              </w:rPr>
              <w:t>8,092,549.21</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4.99</w:t>
            </w: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679,665.19</w:t>
            </w:r>
          </w:p>
        </w:tc>
      </w:tr>
      <w:tr>
        <w:trPr>
          <w:trHeight w:val="402" w:hRule="exact"/>
        </w:trPr>
        <w:tc>
          <w:tcPr>
            <w:tcW w:w="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366" w:right="0"/>
              <w:jc w:val="left"/>
              <w:rPr>
                <w:rFonts w:ascii="宋体" w:hAnsi="宋体" w:cs="宋体" w:eastAsia="宋体" w:hint="default"/>
                <w:sz w:val="18"/>
                <w:szCs w:val="18"/>
              </w:rPr>
            </w:pPr>
            <w:r>
              <w:rPr>
                <w:rFonts w:ascii="宋体"/>
                <w:sz w:val="18"/>
              </w:rPr>
              <w:t>2,502,837.96</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1.54</w:t>
            </w: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66" w:right="0"/>
              <w:jc w:val="left"/>
              <w:rPr>
                <w:rFonts w:ascii="宋体" w:hAnsi="宋体" w:cs="宋体" w:eastAsia="宋体" w:hint="default"/>
                <w:sz w:val="18"/>
                <w:szCs w:val="18"/>
              </w:rPr>
            </w:pPr>
            <w:r>
              <w:rPr>
                <w:rFonts w:ascii="宋体"/>
                <w:sz w:val="18"/>
              </w:rPr>
              <w:t>2,491,580.00</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1.54</w:t>
            </w: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316,474.00</w:t>
            </w:r>
          </w:p>
        </w:tc>
      </w:tr>
      <w:tr>
        <w:trPr>
          <w:trHeight w:val="402" w:hRule="exact"/>
        </w:trPr>
        <w:tc>
          <w:tcPr>
            <w:tcW w:w="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366" w:right="0"/>
              <w:jc w:val="left"/>
              <w:rPr>
                <w:rFonts w:ascii="宋体" w:hAnsi="宋体" w:cs="宋体" w:eastAsia="宋体" w:hint="default"/>
                <w:sz w:val="18"/>
                <w:szCs w:val="18"/>
              </w:rPr>
            </w:pPr>
            <w:r>
              <w:rPr>
                <w:rFonts w:ascii="宋体"/>
                <w:sz w:val="18"/>
              </w:rPr>
              <w:t>1,407,720.00</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0.87</w:t>
            </w: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14,077.20</w:t>
            </w:r>
          </w:p>
        </w:tc>
      </w:tr>
      <w:tr>
        <w:trPr>
          <w:trHeight w:val="414" w:hRule="exact"/>
        </w:trPr>
        <w:tc>
          <w:tcPr>
            <w:tcW w:w="9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7"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42" w:right="0"/>
              <w:jc w:val="left"/>
              <w:rPr>
                <w:rFonts w:ascii="宋体" w:hAnsi="宋体" w:cs="宋体" w:eastAsia="宋体" w:hint="default"/>
                <w:sz w:val="18"/>
                <w:szCs w:val="18"/>
              </w:rPr>
            </w:pPr>
            <w:r>
              <w:rPr>
                <w:rFonts w:ascii="宋体"/>
                <w:b/>
                <w:sz w:val="18"/>
              </w:rPr>
              <w:t>102,286,902.81</w:t>
            </w:r>
            <w:r>
              <w:rPr>
                <w:rFonts w:ascii="宋体"/>
                <w:sz w:val="18"/>
              </w:rPr>
            </w:r>
          </w:p>
        </w:tc>
        <w:tc>
          <w:tcPr>
            <w:tcW w:w="1176" w:type="dxa"/>
            <w:tcBorders>
              <w:top w:val="single" w:sz="2" w:space="0" w:color="000000"/>
              <w:left w:val="single" w:sz="2" w:space="0" w:color="000000"/>
              <w:bottom w:val="single" w:sz="12" w:space="0" w:color="000000"/>
              <w:right w:val="single" w:sz="2" w:space="0" w:color="000000"/>
            </w:tcBorders>
          </w:tcPr>
          <w:p>
            <w:pPr/>
          </w:p>
        </w:tc>
        <w:tc>
          <w:tcPr>
            <w:tcW w:w="1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sz w:val="18"/>
              </w:rPr>
              <w:t>63.06</w:t>
            </w:r>
            <w:r>
              <w:rPr>
                <w:rFonts w:ascii="宋体"/>
                <w:sz w:val="18"/>
              </w:rPr>
            </w:r>
          </w:p>
        </w:tc>
        <w:tc>
          <w:tcPr>
            <w:tcW w:w="14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1,010,216.39</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51"/>
          <w:pgSz w:w="11910" w:h="16840"/>
          <w:pgMar w:footer="873" w:header="0" w:top="1440" w:bottom="1060" w:left="1460" w:right="1460"/>
          <w:pgNumType w:start="160"/>
        </w:sectPr>
      </w:pPr>
    </w:p>
    <w:p>
      <w:pPr>
        <w:spacing w:line="240" w:lineRule="auto" w:before="4"/>
        <w:rPr>
          <w:rFonts w:ascii="宋体" w:hAnsi="宋体" w:cs="宋体" w:eastAsia="宋体" w:hint="default"/>
          <w:sz w:val="24"/>
          <w:szCs w:val="24"/>
        </w:rPr>
      </w:pPr>
    </w:p>
    <w:p>
      <w:pPr>
        <w:pStyle w:val="BodyText"/>
        <w:tabs>
          <w:tab w:pos="619" w:val="left" w:leader="none"/>
        </w:tabs>
        <w:spacing w:line="240" w:lineRule="auto"/>
        <w:ind w:left="0" w:right="11422"/>
        <w:jc w:val="center"/>
      </w:pPr>
      <w:r>
        <w:rPr>
          <w:spacing w:val="-1"/>
        </w:rPr>
        <w:t>3.</w:t>
        <w:tab/>
      </w:r>
      <w:r>
        <w:rPr>
          <w:spacing w:val="-2"/>
        </w:rPr>
        <w:t>长期股权投资</w:t>
      </w:r>
    </w:p>
    <w:p>
      <w:pPr>
        <w:pStyle w:val="BodyText"/>
        <w:spacing w:line="240" w:lineRule="auto" w:before="192"/>
        <w:ind w:left="67" w:right="11422"/>
        <w:jc w:val="center"/>
      </w:pPr>
      <w:r>
        <w:rPr/>
        <w:t>（1）长期股权投资分类</w:t>
      </w:r>
    </w:p>
    <w:p>
      <w:pPr>
        <w:spacing w:line="240" w:lineRule="auto" w:before="2"/>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2589"/>
        <w:gridCol w:w="2161"/>
        <w:gridCol w:w="2016"/>
        <w:gridCol w:w="1871"/>
        <w:gridCol w:w="1873"/>
        <w:gridCol w:w="1905"/>
        <w:gridCol w:w="1799"/>
      </w:tblGrid>
      <w:tr>
        <w:trPr>
          <w:trHeight w:val="415" w:hRule="exact"/>
        </w:trPr>
        <w:tc>
          <w:tcPr>
            <w:tcW w:w="258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4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557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589" w:type="dxa"/>
            <w:vMerge/>
            <w:tcBorders>
              <w:left w:val="nil" w:sz="6" w:space="0" w:color="auto"/>
              <w:bottom w:val="single" w:sz="2" w:space="0" w:color="000000"/>
              <w:right w:val="single" w:sz="2" w:space="0" w:color="000000"/>
            </w:tcBorders>
          </w:tcPr>
          <w:p>
            <w:pP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71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64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7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7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left="53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25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1,237,752,030.67</w:t>
            </w:r>
          </w:p>
        </w:tc>
        <w:tc>
          <w:tcPr>
            <w:tcW w:w="2016" w:type="dxa"/>
            <w:tcBorders>
              <w:top w:val="single" w:sz="2" w:space="0" w:color="000000"/>
              <w:left w:val="single" w:sz="2" w:space="0" w:color="000000"/>
              <w:bottom w:val="single" w:sz="2" w:space="0" w:color="000000"/>
              <w:right w:val="single" w:sz="2" w:space="0" w:color="000000"/>
            </w:tcBorders>
          </w:tcPr>
          <w:p>
            <w:pPr/>
          </w:p>
        </w:tc>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1,237,752,030.67</w:t>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929,812,030.67</w:t>
            </w:r>
          </w:p>
        </w:tc>
        <w:tc>
          <w:tcPr>
            <w:tcW w:w="1905" w:type="dxa"/>
            <w:tcBorders>
              <w:top w:val="single" w:sz="2" w:space="0" w:color="000000"/>
              <w:left w:val="single" w:sz="2" w:space="0" w:color="000000"/>
              <w:bottom w:val="single" w:sz="2" w:space="0" w:color="000000"/>
              <w:right w:val="single" w:sz="2" w:space="0" w:color="000000"/>
            </w:tcBorders>
          </w:tcPr>
          <w:p>
            <w:pPr/>
          </w:p>
        </w:tc>
        <w:tc>
          <w:tcPr>
            <w:tcW w:w="1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929,812,030.67</w:t>
            </w:r>
          </w:p>
        </w:tc>
      </w:tr>
      <w:tr>
        <w:trPr>
          <w:trHeight w:val="402" w:hRule="exact"/>
        </w:trPr>
        <w:tc>
          <w:tcPr>
            <w:tcW w:w="25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10,841,705.72</w:t>
            </w:r>
          </w:p>
        </w:tc>
        <w:tc>
          <w:tcPr>
            <w:tcW w:w="2016" w:type="dxa"/>
            <w:tcBorders>
              <w:top w:val="single" w:sz="2" w:space="0" w:color="000000"/>
              <w:left w:val="single" w:sz="2" w:space="0" w:color="000000"/>
              <w:bottom w:val="single" w:sz="2" w:space="0" w:color="000000"/>
              <w:right w:val="single" w:sz="2" w:space="0" w:color="000000"/>
            </w:tcBorders>
          </w:tcPr>
          <w:p>
            <w:pPr/>
          </w:p>
        </w:tc>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10,841,705.72</w:t>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3,407,096.61</w:t>
            </w:r>
          </w:p>
        </w:tc>
        <w:tc>
          <w:tcPr>
            <w:tcW w:w="1905" w:type="dxa"/>
            <w:tcBorders>
              <w:top w:val="single" w:sz="2" w:space="0" w:color="000000"/>
              <w:left w:val="single" w:sz="2" w:space="0" w:color="000000"/>
              <w:bottom w:val="single" w:sz="2" w:space="0" w:color="000000"/>
              <w:right w:val="single" w:sz="2" w:space="0" w:color="000000"/>
            </w:tcBorders>
          </w:tcPr>
          <w:p>
            <w:pPr/>
          </w:p>
        </w:tc>
        <w:tc>
          <w:tcPr>
            <w:tcW w:w="1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3,407,096.61</w:t>
            </w:r>
          </w:p>
        </w:tc>
      </w:tr>
      <w:tr>
        <w:trPr>
          <w:trHeight w:val="414" w:hRule="exact"/>
        </w:trPr>
        <w:tc>
          <w:tcPr>
            <w:tcW w:w="25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w w:val="95"/>
                <w:sz w:val="18"/>
              </w:rPr>
              <w:t>1,248,593,736.39</w:t>
            </w:r>
            <w:r>
              <w:rPr>
                <w:rFonts w:ascii="宋体"/>
                <w:sz w:val="18"/>
              </w:rPr>
            </w:r>
          </w:p>
        </w:tc>
        <w:tc>
          <w:tcPr>
            <w:tcW w:w="2016" w:type="dxa"/>
            <w:tcBorders>
              <w:top w:val="single" w:sz="2" w:space="0" w:color="000000"/>
              <w:left w:val="single" w:sz="2" w:space="0" w:color="000000"/>
              <w:bottom w:val="single" w:sz="12" w:space="0" w:color="000000"/>
              <w:right w:val="single" w:sz="2" w:space="0" w:color="000000"/>
            </w:tcBorders>
          </w:tcPr>
          <w:p>
            <w:pPr/>
          </w:p>
        </w:tc>
        <w:tc>
          <w:tcPr>
            <w:tcW w:w="18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b/>
                <w:w w:val="95"/>
                <w:sz w:val="18"/>
              </w:rPr>
              <w:t>1,248,593,736.39</w:t>
            </w:r>
            <w:r>
              <w:rPr>
                <w:rFonts w:ascii="宋体"/>
                <w:sz w:val="18"/>
              </w:rPr>
            </w:r>
          </w:p>
        </w:tc>
        <w:tc>
          <w:tcPr>
            <w:tcW w:w="18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sz w:val="18"/>
              </w:rPr>
              <w:t>933,219,127.28</w:t>
            </w:r>
            <w:r>
              <w:rPr>
                <w:rFonts w:ascii="宋体"/>
                <w:sz w:val="18"/>
              </w:rPr>
            </w:r>
          </w:p>
        </w:tc>
        <w:tc>
          <w:tcPr>
            <w:tcW w:w="1905" w:type="dxa"/>
            <w:tcBorders>
              <w:top w:val="single" w:sz="2" w:space="0" w:color="000000"/>
              <w:left w:val="single" w:sz="2" w:space="0" w:color="000000"/>
              <w:bottom w:val="single" w:sz="12" w:space="0" w:color="000000"/>
              <w:right w:val="single" w:sz="2" w:space="0" w:color="000000"/>
            </w:tcBorders>
          </w:tcPr>
          <w:p>
            <w:pPr/>
          </w:p>
        </w:tc>
        <w:tc>
          <w:tcPr>
            <w:tcW w:w="17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b/>
                <w:sz w:val="18"/>
              </w:rPr>
              <w:t>933,219,127.28</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561" w:right="0"/>
        <w:jc w:val="left"/>
      </w:pPr>
      <w:r>
        <w:rPr/>
        <w:t>（2）对子公司投资</w:t>
      </w:r>
    </w:p>
    <w:p>
      <w:pPr>
        <w:spacing w:line="240" w:lineRule="auto" w:before="3"/>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3689"/>
        <w:gridCol w:w="1713"/>
        <w:gridCol w:w="1713"/>
        <w:gridCol w:w="1419"/>
        <w:gridCol w:w="1820"/>
        <w:gridCol w:w="1930"/>
        <w:gridCol w:w="1930"/>
      </w:tblGrid>
      <w:tr>
        <w:trPr>
          <w:trHeight w:val="415" w:hRule="exact"/>
        </w:trPr>
        <w:tc>
          <w:tcPr>
            <w:tcW w:w="36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9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34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242"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9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242"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284,455,307.04</w:t>
            </w:r>
          </w:p>
        </w:tc>
        <w:tc>
          <w:tcPr>
            <w:tcW w:w="171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284,455,307.04</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107,483,914.43</w:t>
            </w:r>
          </w:p>
        </w:tc>
        <w:tc>
          <w:tcPr>
            <w:tcW w:w="171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107,483,914.43</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400,400,000.00</w:t>
            </w:r>
          </w:p>
        </w:tc>
        <w:tc>
          <w:tcPr>
            <w:tcW w:w="171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400,400,000.00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21,000,000.00</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14,000,000.00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35,000,000.00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39,688,210.20</w:t>
            </w:r>
          </w:p>
        </w:tc>
        <w:tc>
          <w:tcPr>
            <w:tcW w:w="171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39,688,210.20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36,500,000.00</w:t>
            </w:r>
          </w:p>
        </w:tc>
        <w:tc>
          <w:tcPr>
            <w:tcW w:w="171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1,080,000.00</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35,420,000.00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30,000,000.00</w:t>
            </w:r>
          </w:p>
        </w:tc>
        <w:tc>
          <w:tcPr>
            <w:tcW w:w="171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30,000,000.00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284,599.00</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304,599.00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10,000,000.00</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90,000,000.00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100,000,000.00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713" w:type="dxa"/>
            <w:tcBorders>
              <w:top w:val="single" w:sz="2" w:space="0" w:color="000000"/>
              <w:left w:val="single" w:sz="2" w:space="0" w:color="000000"/>
              <w:bottom w:val="single" w:sz="2" w:space="0" w:color="000000"/>
              <w:right w:val="single" w:sz="2" w:space="0" w:color="000000"/>
            </w:tcBorders>
          </w:tcPr>
          <w:p>
            <w:pPr/>
          </w:p>
        </w:tc>
        <w:tc>
          <w:tcPr>
            <w:tcW w:w="1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205,000,000.00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205,000,000.00</w:t>
            </w:r>
          </w:p>
        </w:tc>
        <w:tc>
          <w:tcPr>
            <w:tcW w:w="1930"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6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b/>
                <w:w w:val="95"/>
                <w:sz w:val="18"/>
              </w:rPr>
              <w:t>929,812,030.67</w:t>
            </w:r>
            <w:r>
              <w:rPr>
                <w:rFonts w:ascii="宋体"/>
                <w:sz w:val="18"/>
              </w:rPr>
            </w:r>
          </w:p>
        </w:tc>
        <w:tc>
          <w:tcPr>
            <w:tcW w:w="1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sz w:val="18"/>
              </w:rPr>
              <w:t>309,020,000.00</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b/>
                <w:w w:val="95"/>
                <w:sz w:val="18"/>
              </w:rPr>
              <w:t>1,080,000.00</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w w:val="95"/>
                <w:sz w:val="18"/>
              </w:rPr>
              <w:t>1,237,752,030.67</w:t>
            </w:r>
            <w:r>
              <w:rPr>
                <w:rFonts w:ascii="宋体"/>
                <w:sz w:val="18"/>
              </w:rPr>
            </w:r>
          </w:p>
        </w:tc>
        <w:tc>
          <w:tcPr>
            <w:tcW w:w="1930" w:type="dxa"/>
            <w:tcBorders>
              <w:top w:val="single" w:sz="2" w:space="0" w:color="000000"/>
              <w:left w:val="single" w:sz="2" w:space="0" w:color="000000"/>
              <w:bottom w:val="single" w:sz="12" w:space="0" w:color="000000"/>
              <w:right w:val="single" w:sz="2" w:space="0" w:color="000000"/>
            </w:tcBorders>
          </w:tcPr>
          <w:p>
            <w:pPr/>
          </w:p>
        </w:tc>
        <w:tc>
          <w:tcPr>
            <w:tcW w:w="1930"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2"/>
          <w:footerReference w:type="default" r:id="rId53"/>
          <w:pgSz w:w="16840" w:h="11910" w:orient="landscape"/>
          <w:pgMar w:header="852" w:footer="873" w:top="1440" w:bottom="1060" w:left="1020" w:right="1020"/>
          <w:pgNumType w:start="161"/>
        </w:sectPr>
      </w:pPr>
    </w:p>
    <w:p>
      <w:pPr>
        <w:spacing w:line="240" w:lineRule="auto" w:before="1"/>
        <w:rPr>
          <w:rFonts w:ascii="宋体" w:hAnsi="宋体" w:cs="宋体" w:eastAsia="宋体" w:hint="default"/>
          <w:sz w:val="18"/>
          <w:szCs w:val="18"/>
        </w:rPr>
      </w:pPr>
    </w:p>
    <w:p>
      <w:pPr>
        <w:pStyle w:val="BodyText"/>
        <w:spacing w:line="240" w:lineRule="auto"/>
        <w:ind w:left="561" w:right="0"/>
        <w:jc w:val="left"/>
      </w:pPr>
      <w:r>
        <w:rPr/>
        <w:t>（3）对联营、合营企业投资</w:t>
      </w:r>
    </w:p>
    <w:p>
      <w:pPr>
        <w:spacing w:line="240" w:lineRule="auto" w:before="4"/>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2080"/>
        <w:gridCol w:w="1381"/>
        <w:gridCol w:w="1299"/>
        <w:gridCol w:w="1122"/>
        <w:gridCol w:w="1407"/>
        <w:gridCol w:w="980"/>
        <w:gridCol w:w="838"/>
        <w:gridCol w:w="1407"/>
        <w:gridCol w:w="734"/>
        <w:gridCol w:w="495"/>
        <w:gridCol w:w="1416"/>
        <w:gridCol w:w="1055"/>
      </w:tblGrid>
      <w:tr>
        <w:trPr>
          <w:trHeight w:val="415" w:hRule="exact"/>
        </w:trPr>
        <w:tc>
          <w:tcPr>
            <w:tcW w:w="2080"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81"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282"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416"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55" w:type="dxa"/>
            <w:vMerge w:val="restart"/>
            <w:tcBorders>
              <w:top w:val="single" w:sz="1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255" w:right="73" w:hanging="180"/>
              <w:jc w:val="left"/>
              <w:rPr>
                <w:rFonts w:ascii="宋体" w:hAnsi="宋体" w:cs="宋体" w:eastAsia="宋体" w:hint="default"/>
                <w:sz w:val="18"/>
                <w:szCs w:val="18"/>
              </w:rPr>
            </w:pPr>
            <w:r>
              <w:rPr>
                <w:rFonts w:ascii="宋体" w:hAnsi="宋体" w:cs="宋体" w:eastAsia="宋体" w:hint="default"/>
                <w:b/>
                <w:bCs/>
                <w:sz w:val="18"/>
                <w:szCs w:val="18"/>
              </w:rPr>
              <w:t>减值准备年</w:t>
            </w:r>
            <w:r>
              <w:rPr>
                <w:rFonts w:ascii="宋体" w:hAnsi="宋体" w:cs="宋体" w:eastAsia="宋体" w:hint="default"/>
                <w:b/>
                <w:bCs/>
                <w:w w:val="99"/>
                <w:sz w:val="18"/>
                <w:szCs w:val="18"/>
              </w:rPr>
              <w:t> </w:t>
            </w: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552" w:hRule="exact"/>
        </w:trPr>
        <w:tc>
          <w:tcPr>
            <w:tcW w:w="2080" w:type="dxa"/>
            <w:vMerge/>
            <w:tcBorders>
              <w:left w:val="nil" w:sz="6" w:space="0" w:color="auto"/>
              <w:bottom w:val="single" w:sz="2" w:space="0" w:color="000000"/>
              <w:right w:val="single" w:sz="2" w:space="0" w:color="000000"/>
            </w:tcBorders>
          </w:tcPr>
          <w:p>
            <w:pPr/>
          </w:p>
        </w:tc>
        <w:tc>
          <w:tcPr>
            <w:tcW w:w="1381" w:type="dxa"/>
            <w:vMerge/>
            <w:tcBorders>
              <w:left w:val="single" w:sz="2" w:space="0" w:color="000000"/>
              <w:bottom w:val="single" w:sz="2" w:space="0" w:color="000000"/>
              <w:right w:val="single" w:sz="2" w:space="0" w:color="000000"/>
            </w:tcBorders>
          </w:tcPr>
          <w:p>
            <w:pP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98"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341" w:right="65" w:hanging="272"/>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b/>
                <w:bCs/>
                <w:w w:val="99"/>
                <w:sz w:val="18"/>
                <w:szCs w:val="18"/>
              </w:rPr>
              <w:t> </w:t>
            </w:r>
            <w:r>
              <w:rPr>
                <w:rFonts w:ascii="宋体" w:hAnsi="宋体" w:cs="宋体" w:eastAsia="宋体" w:hint="default"/>
                <w:b/>
                <w:bCs/>
                <w:sz w:val="18"/>
                <w:szCs w:val="18"/>
              </w:rPr>
              <w:t>投资损益</w:t>
            </w:r>
            <w:r>
              <w:rPr>
                <w:rFonts w:ascii="宋体" w:hAnsi="宋体" w:cs="宋体" w:eastAsia="宋体" w:hint="default"/>
                <w:sz w:val="18"/>
                <w:szCs w:val="18"/>
              </w:rPr>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27" w:right="123"/>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236" w:right="51"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339" w:right="64" w:hanging="269"/>
              <w:jc w:val="left"/>
              <w:rPr>
                <w:rFonts w:ascii="宋体" w:hAnsi="宋体" w:cs="宋体" w:eastAsia="宋体" w:hint="default"/>
                <w:sz w:val="18"/>
                <w:szCs w:val="18"/>
              </w:rPr>
            </w:pPr>
            <w:r>
              <w:rPr>
                <w:rFonts w:ascii="宋体" w:hAnsi="宋体" w:cs="宋体" w:eastAsia="宋体" w:hint="default"/>
                <w:b/>
                <w:bCs/>
                <w:sz w:val="18"/>
                <w:szCs w:val="18"/>
              </w:rPr>
              <w:t>宣告发放现金股</w:t>
            </w:r>
            <w:r>
              <w:rPr>
                <w:rFonts w:ascii="宋体" w:hAnsi="宋体" w:cs="宋体" w:eastAsia="宋体" w:hint="default"/>
                <w:b/>
                <w:bCs/>
                <w:w w:val="99"/>
                <w:sz w:val="18"/>
                <w:szCs w:val="18"/>
              </w:rPr>
              <w:t> </w:t>
            </w:r>
            <w:r>
              <w:rPr>
                <w:rFonts w:ascii="宋体" w:hAnsi="宋体" w:cs="宋体" w:eastAsia="宋体" w:hint="default"/>
                <w:b/>
                <w:bCs/>
                <w:sz w:val="18"/>
                <w:szCs w:val="18"/>
              </w:rPr>
              <w:t>利或利润</w:t>
            </w:r>
            <w:r>
              <w:rPr>
                <w:rFonts w:ascii="宋体" w:hAnsi="宋体" w:cs="宋体" w:eastAsia="宋体" w:hint="default"/>
                <w:sz w:val="18"/>
                <w:szCs w:val="18"/>
              </w:rPr>
            </w:r>
          </w:p>
        </w:tc>
        <w:tc>
          <w:tcPr>
            <w:tcW w:w="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94" w:right="90"/>
              <w:jc w:val="left"/>
              <w:rPr>
                <w:rFonts w:ascii="宋体" w:hAnsi="宋体" w:cs="宋体" w:eastAsia="宋体" w:hint="default"/>
                <w:sz w:val="18"/>
                <w:szCs w:val="18"/>
              </w:rPr>
            </w:pPr>
            <w:r>
              <w:rPr>
                <w:rFonts w:ascii="宋体" w:hAnsi="宋体" w:cs="宋体" w:eastAsia="宋体" w:hint="default"/>
                <w:b/>
                <w:bCs/>
                <w:sz w:val="18"/>
                <w:szCs w:val="18"/>
              </w:rPr>
              <w:t>计提减</w:t>
            </w:r>
            <w:r>
              <w:rPr>
                <w:rFonts w:ascii="宋体" w:hAnsi="宋体" w:cs="宋体" w:eastAsia="宋体" w:hint="default"/>
                <w:b/>
                <w:bCs/>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6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6" w:type="dxa"/>
            <w:vMerge/>
            <w:tcBorders>
              <w:left w:val="single" w:sz="2" w:space="0" w:color="000000"/>
              <w:bottom w:val="single" w:sz="2" w:space="0" w:color="000000"/>
              <w:right w:val="single" w:sz="2" w:space="0" w:color="000000"/>
            </w:tcBorders>
          </w:tcPr>
          <w:p>
            <w:pPr/>
          </w:p>
        </w:tc>
        <w:tc>
          <w:tcPr>
            <w:tcW w:w="1055" w:type="dxa"/>
            <w:vMerge/>
            <w:tcBorders>
              <w:left w:val="single" w:sz="2" w:space="0" w:color="000000"/>
              <w:bottom w:val="single" w:sz="2" w:space="0" w:color="000000"/>
              <w:right w:val="nil" w:sz="6" w:space="0" w:color="auto"/>
            </w:tcBorders>
          </w:tcPr>
          <w:p>
            <w:pPr/>
          </w:p>
        </w:tc>
      </w:tr>
      <w:tr>
        <w:trPr>
          <w:trHeight w:val="402" w:hRule="exact"/>
        </w:trPr>
        <w:tc>
          <w:tcPr>
            <w:tcW w:w="2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81" w:type="dxa"/>
            <w:tcBorders>
              <w:top w:val="single" w:sz="2" w:space="0" w:color="000000"/>
              <w:left w:val="single" w:sz="2" w:space="0" w:color="000000"/>
              <w:bottom w:val="single" w:sz="2" w:space="0" w:color="000000"/>
              <w:right w:val="single" w:sz="2" w:space="0" w:color="000000"/>
            </w:tcBorders>
          </w:tcPr>
          <w:p>
            <w:pPr/>
          </w:p>
        </w:tc>
        <w:tc>
          <w:tcPr>
            <w:tcW w:w="129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single" w:sz="2" w:space="0" w:color="000000"/>
            </w:tcBorders>
          </w:tcPr>
          <w:p>
            <w:pPr/>
          </w:p>
        </w:tc>
        <w:tc>
          <w:tcPr>
            <w:tcW w:w="1407" w:type="dxa"/>
            <w:tcBorders>
              <w:top w:val="single" w:sz="2" w:space="0" w:color="000000"/>
              <w:left w:val="single" w:sz="2" w:space="0" w:color="000000"/>
              <w:bottom w:val="single" w:sz="2" w:space="0" w:color="000000"/>
              <w:right w:val="single" w:sz="2" w:space="0" w:color="000000"/>
            </w:tcBorders>
          </w:tcPr>
          <w:p>
            <w:pPr/>
          </w:p>
        </w:tc>
        <w:tc>
          <w:tcPr>
            <w:tcW w:w="980"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1407" w:type="dxa"/>
            <w:tcBorders>
              <w:top w:val="single" w:sz="2" w:space="0" w:color="000000"/>
              <w:left w:val="single" w:sz="2" w:space="0" w:color="000000"/>
              <w:bottom w:val="single" w:sz="2" w:space="0" w:color="000000"/>
              <w:right w:val="single" w:sz="2" w:space="0" w:color="000000"/>
            </w:tcBorders>
          </w:tcPr>
          <w:p>
            <w:pPr/>
          </w:p>
        </w:tc>
        <w:tc>
          <w:tcPr>
            <w:tcW w:w="734" w:type="dxa"/>
            <w:tcBorders>
              <w:top w:val="single" w:sz="2" w:space="0" w:color="000000"/>
              <w:left w:val="single" w:sz="2" w:space="0" w:color="000000"/>
              <w:bottom w:val="single" w:sz="2" w:space="0" w:color="000000"/>
              <w:right w:val="single" w:sz="2" w:space="0" w:color="000000"/>
            </w:tcBorders>
          </w:tcPr>
          <w:p>
            <w:pPr/>
          </w:p>
        </w:tc>
        <w:tc>
          <w:tcPr>
            <w:tcW w:w="49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2080"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49"/>
              <w:jc w:val="left"/>
              <w:rPr>
                <w:rFonts w:ascii="宋体" w:hAnsi="宋体" w:cs="宋体" w:eastAsia="宋体" w:hint="default"/>
                <w:sz w:val="18"/>
                <w:szCs w:val="18"/>
              </w:rPr>
            </w:pPr>
            <w:r>
              <w:rPr>
                <w:rFonts w:ascii="宋体" w:hAnsi="宋体" w:cs="宋体" w:eastAsia="宋体" w:hint="default"/>
                <w:spacing w:val="17"/>
                <w:sz w:val="18"/>
                <w:szCs w:val="18"/>
              </w:rPr>
              <w:t>浙江电腾云光伏科技有</w:t>
            </w:r>
            <w:r>
              <w:rPr>
                <w:rFonts w:ascii="宋体" w:hAnsi="宋体" w:cs="宋体" w:eastAsia="宋体" w:hint="default"/>
                <w:sz w:val="18"/>
                <w:szCs w:val="18"/>
              </w:rPr>
              <w:t> 限公司</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pacing w:val="-1"/>
                <w:sz w:val="18"/>
              </w:rPr>
              <w:t>3,407,096.61</w:t>
            </w:r>
          </w:p>
        </w:tc>
        <w:tc>
          <w:tcPr>
            <w:tcW w:w="129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single" w:sz="2" w:space="0" w:color="000000"/>
            </w:tcBorders>
          </w:tcPr>
          <w:p>
            <w:pP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1"/>
                <w:sz w:val="18"/>
              </w:rPr>
              <w:t>22,919.53</w:t>
            </w:r>
          </w:p>
        </w:tc>
        <w:tc>
          <w:tcPr>
            <w:tcW w:w="980"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1407" w:type="dxa"/>
            <w:tcBorders>
              <w:top w:val="single" w:sz="2" w:space="0" w:color="000000"/>
              <w:left w:val="single" w:sz="2" w:space="0" w:color="000000"/>
              <w:bottom w:val="single" w:sz="2" w:space="0" w:color="000000"/>
              <w:right w:val="single" w:sz="2" w:space="0" w:color="000000"/>
            </w:tcBorders>
          </w:tcPr>
          <w:p>
            <w:pPr/>
          </w:p>
        </w:tc>
        <w:tc>
          <w:tcPr>
            <w:tcW w:w="734" w:type="dxa"/>
            <w:tcBorders>
              <w:top w:val="single" w:sz="2" w:space="0" w:color="000000"/>
              <w:left w:val="single" w:sz="2" w:space="0" w:color="000000"/>
              <w:bottom w:val="single" w:sz="2" w:space="0" w:color="000000"/>
              <w:right w:val="single" w:sz="2" w:space="0" w:color="000000"/>
            </w:tcBorders>
          </w:tcPr>
          <w:p>
            <w:pPr/>
          </w:p>
        </w:tc>
        <w:tc>
          <w:tcPr>
            <w:tcW w:w="49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3,430,016.14</w:t>
            </w: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2080"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49"/>
              <w:jc w:val="left"/>
              <w:rPr>
                <w:rFonts w:ascii="宋体" w:hAnsi="宋体" w:cs="宋体" w:eastAsia="宋体" w:hint="default"/>
                <w:sz w:val="18"/>
                <w:szCs w:val="18"/>
              </w:rPr>
            </w:pPr>
            <w:r>
              <w:rPr>
                <w:rFonts w:ascii="宋体" w:hAnsi="宋体" w:cs="宋体" w:eastAsia="宋体" w:hint="default"/>
                <w:spacing w:val="17"/>
                <w:sz w:val="18"/>
                <w:szCs w:val="18"/>
              </w:rPr>
              <w:t>山东万恩新能源科技有</w:t>
            </w:r>
            <w:r>
              <w:rPr>
                <w:rFonts w:ascii="宋体" w:hAnsi="宋体" w:cs="宋体" w:eastAsia="宋体" w:hint="default"/>
                <w:sz w:val="18"/>
                <w:szCs w:val="18"/>
              </w:rPr>
              <w:t> 限公司</w:t>
            </w:r>
          </w:p>
        </w:tc>
        <w:tc>
          <w:tcPr>
            <w:tcW w:w="1381" w:type="dxa"/>
            <w:tcBorders>
              <w:top w:val="single" w:sz="2" w:space="0" w:color="000000"/>
              <w:left w:val="single" w:sz="2" w:space="0" w:color="000000"/>
              <w:bottom w:val="single" w:sz="2" w:space="0" w:color="000000"/>
              <w:right w:val="single" w:sz="2" w:space="0" w:color="000000"/>
            </w:tcBorders>
          </w:tcPr>
          <w:p>
            <w:pP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3" w:right="0"/>
              <w:jc w:val="center"/>
              <w:rPr>
                <w:rFonts w:ascii="宋体" w:hAnsi="宋体" w:cs="宋体" w:eastAsia="宋体" w:hint="default"/>
                <w:sz w:val="18"/>
                <w:szCs w:val="18"/>
              </w:rPr>
            </w:pPr>
            <w:r>
              <w:rPr>
                <w:rFonts w:ascii="宋体"/>
                <w:sz w:val="18"/>
              </w:rPr>
              <w:t>8,347,172.00</w:t>
            </w:r>
          </w:p>
        </w:tc>
        <w:tc>
          <w:tcPr>
            <w:tcW w:w="1122" w:type="dxa"/>
            <w:tcBorders>
              <w:top w:val="single" w:sz="2" w:space="0" w:color="000000"/>
              <w:left w:val="single" w:sz="2" w:space="0" w:color="000000"/>
              <w:bottom w:val="single" w:sz="2" w:space="0" w:color="000000"/>
              <w:right w:val="single" w:sz="2" w:space="0" w:color="000000"/>
            </w:tcBorders>
          </w:tcPr>
          <w:p>
            <w:pP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1"/>
                <w:sz w:val="18"/>
              </w:rPr>
              <w:t>-935,482.42</w:t>
            </w:r>
          </w:p>
        </w:tc>
        <w:tc>
          <w:tcPr>
            <w:tcW w:w="980"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1407" w:type="dxa"/>
            <w:tcBorders>
              <w:top w:val="single" w:sz="2" w:space="0" w:color="000000"/>
              <w:left w:val="single" w:sz="2" w:space="0" w:color="000000"/>
              <w:bottom w:val="single" w:sz="2" w:space="0" w:color="000000"/>
              <w:right w:val="single" w:sz="2" w:space="0" w:color="000000"/>
            </w:tcBorders>
          </w:tcPr>
          <w:p>
            <w:pPr/>
          </w:p>
        </w:tc>
        <w:tc>
          <w:tcPr>
            <w:tcW w:w="734" w:type="dxa"/>
            <w:tcBorders>
              <w:top w:val="single" w:sz="2" w:space="0" w:color="000000"/>
              <w:left w:val="single" w:sz="2" w:space="0" w:color="000000"/>
              <w:bottom w:val="single" w:sz="2" w:space="0" w:color="000000"/>
              <w:right w:val="single" w:sz="2" w:space="0" w:color="000000"/>
            </w:tcBorders>
          </w:tcPr>
          <w:p>
            <w:pPr/>
          </w:p>
        </w:tc>
        <w:tc>
          <w:tcPr>
            <w:tcW w:w="49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7,411,689.58</w:t>
            </w: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2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39"/>
              <w:jc w:val="right"/>
              <w:rPr>
                <w:rFonts w:ascii="宋体" w:hAnsi="宋体" w:cs="宋体" w:eastAsia="宋体" w:hint="default"/>
                <w:sz w:val="18"/>
                <w:szCs w:val="18"/>
              </w:rPr>
            </w:pPr>
            <w:r>
              <w:rPr>
                <w:rFonts w:ascii="宋体"/>
                <w:b/>
                <w:w w:val="95"/>
                <w:sz w:val="18"/>
              </w:rPr>
              <w:t>3,407,096.61</w:t>
            </w:r>
            <w:r>
              <w:rPr>
                <w:rFonts w:ascii="宋体"/>
                <w:sz w:val="18"/>
              </w:rPr>
            </w:r>
          </w:p>
        </w:tc>
        <w:tc>
          <w:tcPr>
            <w:tcW w:w="12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23" w:right="0"/>
              <w:jc w:val="center"/>
              <w:rPr>
                <w:rFonts w:ascii="宋体" w:hAnsi="宋体" w:cs="宋体" w:eastAsia="宋体" w:hint="default"/>
                <w:sz w:val="18"/>
                <w:szCs w:val="18"/>
              </w:rPr>
            </w:pPr>
            <w:r>
              <w:rPr>
                <w:rFonts w:ascii="宋体"/>
                <w:b/>
                <w:sz w:val="18"/>
              </w:rPr>
              <w:t>8,347,172.00</w:t>
            </w:r>
            <w:r>
              <w:rPr>
                <w:rFonts w:ascii="宋体"/>
                <w:sz w:val="18"/>
              </w:rPr>
            </w:r>
          </w:p>
        </w:tc>
        <w:tc>
          <w:tcPr>
            <w:tcW w:w="1122" w:type="dxa"/>
            <w:tcBorders>
              <w:top w:val="single" w:sz="2" w:space="0" w:color="000000"/>
              <w:left w:val="single" w:sz="2" w:space="0" w:color="000000"/>
              <w:bottom w:val="single" w:sz="12" w:space="0" w:color="000000"/>
              <w:right w:val="single" w:sz="2" w:space="0" w:color="000000"/>
            </w:tcBorders>
          </w:tcPr>
          <w:p>
            <w:pPr/>
          </w:p>
        </w:tc>
        <w:tc>
          <w:tcPr>
            <w:tcW w:w="14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39"/>
              <w:jc w:val="right"/>
              <w:rPr>
                <w:rFonts w:ascii="宋体" w:hAnsi="宋体" w:cs="宋体" w:eastAsia="宋体" w:hint="default"/>
                <w:sz w:val="18"/>
                <w:szCs w:val="18"/>
              </w:rPr>
            </w:pPr>
            <w:r>
              <w:rPr>
                <w:rFonts w:ascii="宋体"/>
                <w:b/>
                <w:w w:val="95"/>
                <w:sz w:val="18"/>
              </w:rPr>
              <w:t>-912,562.89</w:t>
            </w:r>
            <w:r>
              <w:rPr>
                <w:rFonts w:ascii="宋体"/>
                <w:sz w:val="18"/>
              </w:rPr>
            </w:r>
          </w:p>
        </w:tc>
        <w:tc>
          <w:tcPr>
            <w:tcW w:w="980" w:type="dxa"/>
            <w:tcBorders>
              <w:top w:val="single" w:sz="2" w:space="0" w:color="000000"/>
              <w:left w:val="single" w:sz="2" w:space="0" w:color="000000"/>
              <w:bottom w:val="single" w:sz="12" w:space="0" w:color="000000"/>
              <w:right w:val="single" w:sz="2" w:space="0" w:color="000000"/>
            </w:tcBorders>
          </w:tcPr>
          <w:p>
            <w:pPr/>
          </w:p>
        </w:tc>
        <w:tc>
          <w:tcPr>
            <w:tcW w:w="838" w:type="dxa"/>
            <w:tcBorders>
              <w:top w:val="single" w:sz="2" w:space="0" w:color="000000"/>
              <w:left w:val="single" w:sz="2" w:space="0" w:color="000000"/>
              <w:bottom w:val="single" w:sz="12" w:space="0" w:color="000000"/>
              <w:right w:val="single" w:sz="2" w:space="0" w:color="000000"/>
            </w:tcBorders>
          </w:tcPr>
          <w:p>
            <w:pPr/>
          </w:p>
        </w:tc>
        <w:tc>
          <w:tcPr>
            <w:tcW w:w="1407" w:type="dxa"/>
            <w:tcBorders>
              <w:top w:val="single" w:sz="2" w:space="0" w:color="000000"/>
              <w:left w:val="single" w:sz="2" w:space="0" w:color="000000"/>
              <w:bottom w:val="single" w:sz="12" w:space="0" w:color="000000"/>
              <w:right w:val="single" w:sz="2" w:space="0" w:color="000000"/>
            </w:tcBorders>
          </w:tcPr>
          <w:p>
            <w:pPr/>
          </w:p>
        </w:tc>
        <w:tc>
          <w:tcPr>
            <w:tcW w:w="734" w:type="dxa"/>
            <w:tcBorders>
              <w:top w:val="single" w:sz="2" w:space="0" w:color="000000"/>
              <w:left w:val="single" w:sz="2" w:space="0" w:color="000000"/>
              <w:bottom w:val="single" w:sz="12" w:space="0" w:color="000000"/>
              <w:right w:val="single" w:sz="2" w:space="0" w:color="000000"/>
            </w:tcBorders>
          </w:tcPr>
          <w:p>
            <w:pPr/>
          </w:p>
        </w:tc>
        <w:tc>
          <w:tcPr>
            <w:tcW w:w="495"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37"/>
              <w:jc w:val="right"/>
              <w:rPr>
                <w:rFonts w:ascii="宋体" w:hAnsi="宋体" w:cs="宋体" w:eastAsia="宋体" w:hint="default"/>
                <w:sz w:val="18"/>
                <w:szCs w:val="18"/>
              </w:rPr>
            </w:pPr>
            <w:r>
              <w:rPr>
                <w:rFonts w:ascii="宋体"/>
                <w:b/>
                <w:w w:val="95"/>
                <w:sz w:val="18"/>
              </w:rPr>
              <w:t>10,841,705.72</w:t>
            </w:r>
            <w:r>
              <w:rPr>
                <w:rFonts w:ascii="宋体"/>
                <w:sz w:val="18"/>
              </w:rPr>
            </w:r>
          </w:p>
        </w:tc>
        <w:tc>
          <w:tcPr>
            <w:tcW w:w="105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52" w:footer="873" w:top="1440" w:bottom="1060" w:left="1020" w:right="1020"/>
        </w:sectPr>
      </w:pPr>
    </w:p>
    <w:p>
      <w:pPr>
        <w:spacing w:line="240" w:lineRule="auto" w:before="4"/>
        <w:rPr>
          <w:rFonts w:ascii="宋体" w:hAnsi="宋体" w:cs="宋体" w:eastAsia="宋体" w:hint="default"/>
          <w:sz w:val="25"/>
          <w:szCs w:val="25"/>
        </w:rPr>
      </w:pPr>
    </w:p>
    <w:p>
      <w:pPr>
        <w:spacing w:before="44"/>
        <w:ind w:left="5461" w:right="80" w:firstLine="0"/>
        <w:jc w:val="left"/>
        <w:rPr>
          <w:rFonts w:ascii="宋体" w:hAnsi="宋体" w:cs="宋体" w:eastAsia="宋体" w:hint="default"/>
          <w:sz w:val="18"/>
          <w:szCs w:val="18"/>
        </w:rPr>
      </w:pPr>
      <w:r>
        <w:rPr/>
        <w:pict>
          <v:shape style="position:absolute;margin-left:85.080002pt;margin-top:-12.6583pt;width:117.0pt;height:25.32pt;mso-position-horizontal-relative:page;mso-position-vertical-relative:paragraph;z-index:1576" type="#_x0000_t75" stroked="false">
            <v:imagedata r:id="rId28" o:title=""/>
          </v:shape>
        </w:pict>
      </w:r>
      <w:r>
        <w:rPr>
          <w:rFonts w:ascii="宋体" w:hAnsi="宋体" w:cs="宋体" w:eastAsia="宋体" w:hint="default"/>
          <w:sz w:val="18"/>
          <w:szCs w:val="18"/>
        </w:rPr>
        <w:t>浙江万马股份有限公司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3"/>
          <w:szCs w:val="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25.85pt;height:.5pt;mso-position-horizontal-relative:char;mso-position-vertical-relative:line" coordorigin="0,0" coordsize="8517,10">
            <v:group style="position:absolute;left:5;top:5;width:8507;height:2" coordorigin="5,5" coordsize="8507,2">
              <v:shape style="position:absolute;left:5;top:5;width:8507;height:2" coordorigin="5,5" coordsize="8507,0" path="m5,5l8512,5e" filled="false" stroked="true" strokeweight=".47998pt" strokecolor="#4f80bd">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3"/>
          <w:szCs w:val="23"/>
        </w:rPr>
      </w:pPr>
    </w:p>
    <w:p>
      <w:pPr>
        <w:pStyle w:val="BodyText"/>
        <w:tabs>
          <w:tab w:pos="1460" w:val="left" w:leader="none"/>
        </w:tabs>
        <w:spacing w:line="240" w:lineRule="auto"/>
        <w:ind w:left="841" w:right="80"/>
        <w:jc w:val="left"/>
      </w:pPr>
      <w:r>
        <w:rPr>
          <w:spacing w:val="-1"/>
        </w:rPr>
        <w:t>4.</w:t>
        <w:tab/>
      </w:r>
      <w:r>
        <w:rPr>
          <w:spacing w:val="-2"/>
        </w:rPr>
        <w:t>营业收入和营业成本</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071"/>
        <w:gridCol w:w="1914"/>
        <w:gridCol w:w="1914"/>
        <w:gridCol w:w="1914"/>
        <w:gridCol w:w="1910"/>
      </w:tblGrid>
      <w:tr>
        <w:trPr>
          <w:trHeight w:val="415" w:hRule="exact"/>
        </w:trPr>
        <w:tc>
          <w:tcPr>
            <w:tcW w:w="1071"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82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1071" w:type="dxa"/>
            <w:vMerge/>
            <w:tcBorders>
              <w:left w:val="nil" w:sz="6" w:space="0" w:color="auto"/>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0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3,257,041,470.70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2,723,564,001.00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3,282,209,413.67</w:t>
            </w:r>
          </w:p>
        </w:tc>
        <w:tc>
          <w:tcPr>
            <w:tcW w:w="19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2,783,439,997.86</w:t>
            </w:r>
          </w:p>
        </w:tc>
      </w:tr>
      <w:tr>
        <w:trPr>
          <w:trHeight w:val="402" w:hRule="exact"/>
        </w:trPr>
        <w:tc>
          <w:tcPr>
            <w:tcW w:w="10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39,134,315.13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38,552,737.11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44,945,140.59</w:t>
            </w:r>
          </w:p>
        </w:tc>
        <w:tc>
          <w:tcPr>
            <w:tcW w:w="19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44,478,541.50</w:t>
            </w:r>
          </w:p>
        </w:tc>
      </w:tr>
      <w:tr>
        <w:trPr>
          <w:trHeight w:val="414" w:hRule="exact"/>
        </w:trPr>
        <w:tc>
          <w:tcPr>
            <w:tcW w:w="10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w w:val="95"/>
                <w:sz w:val="18"/>
              </w:rPr>
              <w:t>3,296,175,785.83</w:t>
            </w:r>
            <w:r>
              <w:rPr>
                <w:rFonts w:ascii="宋体"/>
                <w:sz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w w:val="95"/>
                <w:sz w:val="18"/>
              </w:rPr>
              <w:t>2,762,116,738.11</w:t>
            </w:r>
            <w:r>
              <w:rPr>
                <w:rFonts w:ascii="宋体"/>
                <w:sz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w w:val="95"/>
                <w:sz w:val="18"/>
              </w:rPr>
              <w:t>3,327,154,554.26</w:t>
            </w:r>
            <w:r>
              <w:rPr>
                <w:rFonts w:ascii="宋体"/>
                <w:sz w:val="18"/>
              </w:rPr>
            </w:r>
          </w:p>
        </w:tc>
        <w:tc>
          <w:tcPr>
            <w:tcW w:w="19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b/>
                <w:w w:val="95"/>
                <w:sz w:val="18"/>
              </w:rPr>
              <w:t>2,827,918,539.36</w:t>
            </w:r>
            <w:r>
              <w:rPr>
                <w:rFonts w:ascii="宋体"/>
                <w:sz w:val="18"/>
              </w:rPr>
            </w:r>
          </w:p>
        </w:tc>
      </w:tr>
    </w:tbl>
    <w:p>
      <w:pPr>
        <w:spacing w:line="240" w:lineRule="auto" w:before="2"/>
        <w:rPr>
          <w:rFonts w:ascii="宋体" w:hAnsi="宋体" w:cs="宋体" w:eastAsia="宋体" w:hint="default"/>
          <w:sz w:val="9"/>
          <w:szCs w:val="9"/>
        </w:rPr>
      </w:pPr>
    </w:p>
    <w:p>
      <w:pPr>
        <w:pStyle w:val="BodyText"/>
        <w:tabs>
          <w:tab w:pos="1460" w:val="left" w:leader="none"/>
        </w:tabs>
        <w:spacing w:line="240" w:lineRule="auto"/>
        <w:ind w:left="841" w:right="80"/>
        <w:jc w:val="left"/>
      </w:pPr>
      <w:r>
        <w:rPr>
          <w:spacing w:val="-1"/>
        </w:rPr>
        <w:t>5.</w:t>
        <w:tab/>
      </w:r>
      <w:r>
        <w:rPr>
          <w:spacing w:val="-2"/>
        </w:rPr>
        <w:t>投资收益</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935"/>
        <w:gridCol w:w="2394"/>
        <w:gridCol w:w="2394"/>
      </w:tblGrid>
      <w:tr>
        <w:trPr>
          <w:trHeight w:val="415" w:hRule="exact"/>
        </w:trPr>
        <w:tc>
          <w:tcPr>
            <w:tcW w:w="39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44"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3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64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-912,562.89</w:t>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527,096.61</w:t>
            </w:r>
          </w:p>
        </w:tc>
      </w:tr>
      <w:tr>
        <w:trPr>
          <w:trHeight w:val="402" w:hRule="exact"/>
        </w:trPr>
        <w:tc>
          <w:tcPr>
            <w:tcW w:w="3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3,060,000.00</w:t>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银行理财收益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1,301,153.49</w:t>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处置长期股权投资收益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11,781.00</w:t>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9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3"/>
              <w:jc w:val="right"/>
              <w:rPr>
                <w:rFonts w:ascii="宋体" w:hAnsi="宋体" w:cs="宋体" w:eastAsia="宋体" w:hint="default"/>
                <w:sz w:val="22"/>
                <w:szCs w:val="22"/>
              </w:rPr>
            </w:pPr>
            <w:r>
              <w:rPr>
                <w:rFonts w:ascii="宋体"/>
                <w:b/>
                <w:spacing w:val="-1"/>
                <w:sz w:val="22"/>
              </w:rPr>
              <w:t>3,460,371.60</w:t>
            </w:r>
            <w:r>
              <w:rPr>
                <w:rFonts w:ascii="宋体"/>
                <w:spacing w:val="-1"/>
                <w:sz w:val="22"/>
              </w:rPr>
            </w:r>
          </w:p>
        </w:tc>
        <w:tc>
          <w:tcPr>
            <w:tcW w:w="2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7"/>
              <w:jc w:val="right"/>
              <w:rPr>
                <w:rFonts w:ascii="宋体" w:hAnsi="宋体" w:cs="宋体" w:eastAsia="宋体" w:hint="default"/>
                <w:sz w:val="22"/>
                <w:szCs w:val="22"/>
              </w:rPr>
            </w:pPr>
            <w:r>
              <w:rPr>
                <w:rFonts w:ascii="宋体"/>
                <w:b/>
                <w:spacing w:val="-1"/>
                <w:sz w:val="22"/>
              </w:rPr>
              <w:t>527,096.61</w:t>
            </w:r>
            <w:r>
              <w:rPr>
                <w:rFonts w:ascii="宋体"/>
                <w:spacing w:val="-1"/>
                <w:sz w:val="22"/>
              </w:rPr>
            </w:r>
          </w:p>
        </w:tc>
      </w:tr>
    </w:tbl>
    <w:p>
      <w:pPr>
        <w:spacing w:line="240" w:lineRule="auto" w:before="2"/>
        <w:rPr>
          <w:rFonts w:ascii="宋体" w:hAnsi="宋体" w:cs="宋体" w:eastAsia="宋体" w:hint="default"/>
          <w:sz w:val="9"/>
          <w:szCs w:val="9"/>
        </w:rPr>
      </w:pPr>
    </w:p>
    <w:p>
      <w:pPr>
        <w:pStyle w:val="Heading4"/>
        <w:spacing w:line="240" w:lineRule="auto"/>
        <w:ind w:right="80"/>
        <w:jc w:val="left"/>
        <w:rPr>
          <w:b w:val="0"/>
          <w:bCs w:val="0"/>
        </w:rPr>
      </w:pPr>
      <w:r>
        <w:rPr/>
        <w:t>十</w:t>
      </w:r>
      <w:r>
        <w:rPr>
          <w:spacing w:val="-71"/>
        </w:rPr>
        <w:t> </w:t>
      </w:r>
      <w:r>
        <w:rPr/>
        <w:t>八</w:t>
      </w:r>
      <w:r>
        <w:rPr>
          <w:spacing w:val="-73"/>
        </w:rPr>
        <w:t> </w:t>
      </w:r>
      <w:r>
        <w:rPr/>
        <w:t>、</w:t>
      </w:r>
      <w:r>
        <w:rPr>
          <w:spacing w:val="-54"/>
        </w:rPr>
        <w:t> </w:t>
      </w:r>
      <w:r>
        <w:rPr/>
        <w:t>财</w:t>
      </w:r>
      <w:r>
        <w:rPr>
          <w:spacing w:val="-71"/>
        </w:rPr>
        <w:t> </w:t>
      </w:r>
      <w:r>
        <w:rPr/>
        <w:t>务</w:t>
      </w:r>
      <w:r>
        <w:rPr>
          <w:spacing w:val="-73"/>
        </w:rPr>
        <w:t> </w:t>
      </w:r>
      <w:r>
        <w:rPr/>
        <w:t>报</w:t>
      </w:r>
      <w:r>
        <w:rPr>
          <w:spacing w:val="-71"/>
        </w:rPr>
        <w:t> </w:t>
      </w:r>
      <w:r>
        <w:rPr/>
        <w:t>告</w:t>
      </w:r>
      <w:r>
        <w:rPr>
          <w:spacing w:val="-71"/>
        </w:rPr>
        <w:t> </w:t>
      </w:r>
      <w:r>
        <w:rPr/>
        <w:t>批</w:t>
      </w:r>
      <w:r>
        <w:rPr>
          <w:spacing w:val="-73"/>
        </w:rPr>
        <w:t> </w:t>
      </w:r>
      <w:r>
        <w:rPr/>
        <w:t>准</w:t>
      </w:r>
      <w:r>
        <w:rPr>
          <w:b w:val="0"/>
          <w:bCs w:val="0"/>
        </w:rPr>
      </w:r>
    </w:p>
    <w:p>
      <w:pPr>
        <w:pStyle w:val="BodyText"/>
        <w:spacing w:line="240" w:lineRule="auto" w:before="192"/>
        <w:ind w:left="901" w:right="80"/>
        <w:jc w:val="left"/>
      </w:pPr>
      <w:r>
        <w:rPr/>
        <w:t>本财务报告于</w:t>
      </w:r>
      <w:r>
        <w:rPr>
          <w:spacing w:val="-57"/>
        </w:rPr>
        <w:t> </w:t>
      </w:r>
      <w:r>
        <w:rPr/>
        <w:t>2016</w:t>
      </w:r>
      <w:r>
        <w:rPr>
          <w:spacing w:val="-60"/>
        </w:rPr>
        <w:t> </w:t>
      </w:r>
      <w:r>
        <w:rPr/>
        <w:t>年</w:t>
      </w:r>
      <w:r>
        <w:rPr>
          <w:spacing w:val="-60"/>
        </w:rPr>
        <w:t> </w:t>
      </w:r>
      <w:r>
        <w:rPr/>
        <w:t>4</w:t>
      </w:r>
      <w:r>
        <w:rPr>
          <w:spacing w:val="-57"/>
        </w:rPr>
        <w:t> </w:t>
      </w:r>
      <w:r>
        <w:rPr/>
        <w:t>月</w:t>
      </w:r>
      <w:r>
        <w:rPr>
          <w:spacing w:val="-57"/>
        </w:rPr>
        <w:t> </w:t>
      </w:r>
      <w:r>
        <w:rPr/>
        <w:t>21</w:t>
      </w:r>
      <w:r>
        <w:rPr>
          <w:spacing w:val="-60"/>
        </w:rPr>
        <w:t> </w:t>
      </w:r>
      <w:r>
        <w:rPr/>
        <w:t>日由本公司董事会批准报出。</w:t>
      </w:r>
    </w:p>
    <w:p>
      <w:pPr>
        <w:spacing w:after="0" w:line="240" w:lineRule="auto"/>
        <w:jc w:val="left"/>
        <w:sectPr>
          <w:headerReference w:type="default" r:id="rId54"/>
          <w:footerReference w:type="default" r:id="rId55"/>
          <w:pgSz w:w="11910" w:h="16840"/>
          <w:pgMar w:header="0" w:footer="1014" w:top="760" w:bottom="1200" w:left="1460" w:right="1460"/>
          <w:pgNumType w:start="163"/>
        </w:sectPr>
      </w:pPr>
    </w:p>
    <w:p>
      <w:pPr>
        <w:spacing w:line="240" w:lineRule="auto" w:before="1"/>
        <w:rPr>
          <w:rFonts w:ascii="宋体" w:hAnsi="宋体" w:cs="宋体" w:eastAsia="宋体" w:hint="default"/>
          <w:sz w:val="27"/>
          <w:szCs w:val="27"/>
        </w:rPr>
      </w:pPr>
    </w:p>
    <w:p>
      <w:pPr>
        <w:pStyle w:val="Heading4"/>
        <w:spacing w:line="240" w:lineRule="auto"/>
        <w:ind w:left="112" w:right="0"/>
        <w:jc w:val="left"/>
        <w:rPr>
          <w:b w:val="0"/>
          <w:bCs w:val="0"/>
        </w:rPr>
      </w:pPr>
      <w:r>
        <w:rPr/>
        <w:t>财</w:t>
      </w:r>
      <w:r>
        <w:rPr>
          <w:spacing w:val="-71"/>
        </w:rPr>
        <w:t> </w:t>
      </w:r>
      <w:r>
        <w:rPr/>
        <w:t>务</w:t>
      </w:r>
      <w:r>
        <w:rPr>
          <w:spacing w:val="-73"/>
        </w:rPr>
        <w:t> </w:t>
      </w:r>
      <w:r>
        <w:rPr/>
        <w:t>报</w:t>
      </w:r>
      <w:r>
        <w:rPr>
          <w:spacing w:val="-71"/>
        </w:rPr>
        <w:t> </w:t>
      </w:r>
      <w:r>
        <w:rPr/>
        <w:t>表</w:t>
      </w:r>
      <w:r>
        <w:rPr>
          <w:spacing w:val="-71"/>
        </w:rPr>
        <w:t> </w:t>
      </w:r>
      <w:r>
        <w:rPr/>
        <w:t>补</w:t>
      </w:r>
      <w:r>
        <w:rPr>
          <w:spacing w:val="-73"/>
        </w:rPr>
        <w:t> </w:t>
      </w:r>
      <w:r>
        <w:rPr/>
        <w:t>充</w:t>
      </w:r>
      <w:r>
        <w:rPr>
          <w:spacing w:val="-71"/>
        </w:rPr>
        <w:t> </w:t>
      </w:r>
      <w:r>
        <w:rPr/>
        <w:t>资</w:t>
      </w:r>
      <w:r>
        <w:rPr>
          <w:spacing w:val="-71"/>
        </w:rPr>
        <w:t> </w:t>
      </w:r>
      <w:r>
        <w:rPr/>
        <w:t>料</w:t>
      </w:r>
      <w:r>
        <w:rPr>
          <w:b w:val="0"/>
          <w:bCs w:val="0"/>
        </w:rPr>
      </w:r>
    </w:p>
    <w:p>
      <w:pPr>
        <w:pStyle w:val="BodyText"/>
        <w:spacing w:line="510" w:lineRule="atLeast" w:before="6"/>
        <w:ind w:left="554" w:right="0" w:hanging="15"/>
        <w:jc w:val="left"/>
      </w:pPr>
      <w:r>
        <w:rPr/>
        <w:t>1.</w:t>
      </w:r>
      <w:r>
        <w:rPr>
          <w:spacing w:val="42"/>
        </w:rPr>
        <w:t> </w:t>
      </w:r>
      <w:r>
        <w:rPr/>
        <w:t>本年非经常性损益明细表</w:t>
      </w:r>
      <w:r>
        <w:rPr>
          <w:w w:val="100"/>
        </w:rPr>
        <w:t> </w:t>
      </w:r>
      <w:r>
        <w:rPr/>
        <w:t>按照中国证券监督管理委员会《公开发行证券的公司信息披露解释性公告第1号—非经常性损益</w:t>
      </w:r>
    </w:p>
    <w:p>
      <w:pPr>
        <w:pStyle w:val="BodyText"/>
        <w:spacing w:line="240" w:lineRule="auto" w:before="72"/>
        <w:ind w:right="0"/>
        <w:jc w:val="left"/>
      </w:pPr>
      <w:r>
        <w:rPr/>
        <w:t>（2008）》的规定，本集团2015年度非经常性损益如下：</w:t>
      </w:r>
    </w:p>
    <w:p>
      <w:pPr>
        <w:spacing w:line="240" w:lineRule="auto" w:before="12"/>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5921"/>
        <w:gridCol w:w="1699"/>
        <w:gridCol w:w="1103"/>
      </w:tblGrid>
      <w:tr>
        <w:trPr>
          <w:trHeight w:val="415" w:hRule="exact"/>
        </w:trPr>
        <w:tc>
          <w:tcPr>
            <w:tcW w:w="59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8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1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spacing w:val="-1"/>
                <w:sz w:val="18"/>
              </w:rPr>
              <w:t>-739,155.41</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spacing w:val="-1"/>
                <w:sz w:val="18"/>
              </w:rPr>
              <w:t>13,013,478.92</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50"/>
              <w:ind w:left="53" w:right="51"/>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被投资单位可辨认净资产公允价值产生的收益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同一控制下企业合并产生的子公司年初至合并日的当期净损益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53" w:right="5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交易性金融负债产生的公允价值变动损益，以及处置交易性金融资产、交</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易性金融负债和可供出售金融资产取得的投资收益</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1"/>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left="741" w:right="0"/>
              <w:jc w:val="left"/>
              <w:rPr>
                <w:rFonts w:ascii="宋体" w:hAnsi="宋体" w:cs="宋体" w:eastAsia="宋体" w:hint="default"/>
                <w:sz w:val="18"/>
                <w:szCs w:val="18"/>
              </w:rPr>
            </w:pPr>
            <w:r>
              <w:rPr>
                <w:rFonts w:ascii="宋体"/>
                <w:sz w:val="18"/>
              </w:rPr>
              <w:t>578,084.16</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spacing w:val="-1"/>
                <w:sz w:val="18"/>
              </w:rPr>
              <w:t>67,318.86</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53"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益的影响</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-629,716.23</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12,290,010.30</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spacing w:val="-1"/>
                <w:sz w:val="18"/>
              </w:rPr>
              <w:t>1,613,128.57</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pacing w:val="-1"/>
                <w:sz w:val="18"/>
              </w:rPr>
              <w:t>4,070.33</w:t>
            </w: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59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37"/>
              <w:jc w:val="right"/>
              <w:rPr>
                <w:rFonts w:ascii="宋体" w:hAnsi="宋体" w:cs="宋体" w:eastAsia="宋体" w:hint="default"/>
                <w:sz w:val="18"/>
                <w:szCs w:val="18"/>
              </w:rPr>
            </w:pPr>
            <w:r>
              <w:rPr>
                <w:rFonts w:ascii="宋体"/>
                <w:b/>
                <w:w w:val="95"/>
                <w:sz w:val="18"/>
              </w:rPr>
              <w:t>10,672,811.40</w:t>
            </w:r>
            <w:r>
              <w:rPr>
                <w:rFonts w:ascii="宋体"/>
                <w:sz w:val="18"/>
              </w:rPr>
            </w:r>
          </w:p>
        </w:tc>
        <w:tc>
          <w:tcPr>
            <w:tcW w:w="1103"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6"/>
          <w:pgSz w:w="11910" w:h="16840"/>
          <w:pgMar w:header="852" w:footer="1014" w:top="1440" w:bottom="1200" w:left="1020" w:right="1020"/>
        </w:sectPr>
      </w:pPr>
    </w:p>
    <w:p>
      <w:pPr>
        <w:spacing w:line="240" w:lineRule="auto" w:before="1"/>
        <w:rPr>
          <w:rFonts w:ascii="宋体" w:hAnsi="宋体" w:cs="宋体" w:eastAsia="宋体" w:hint="default"/>
          <w:sz w:val="18"/>
          <w:szCs w:val="18"/>
        </w:rPr>
      </w:pPr>
    </w:p>
    <w:p>
      <w:pPr>
        <w:pStyle w:val="BodyText"/>
        <w:spacing w:line="240" w:lineRule="auto"/>
        <w:ind w:left="540" w:right="0"/>
        <w:jc w:val="left"/>
      </w:pPr>
      <w:r>
        <w:rPr/>
        <w:t>2.</w:t>
      </w:r>
      <w:r>
        <w:rPr>
          <w:spacing w:val="38"/>
        </w:rPr>
        <w:t> </w:t>
      </w:r>
      <w:r>
        <w:rPr/>
        <w:t>净资产收益率及每股收益</w:t>
      </w:r>
    </w:p>
    <w:p>
      <w:pPr>
        <w:spacing w:line="240" w:lineRule="auto" w:before="6"/>
        <w:rPr>
          <w:rFonts w:ascii="宋体" w:hAnsi="宋体" w:cs="宋体" w:eastAsia="宋体" w:hint="default"/>
          <w:sz w:val="17"/>
          <w:szCs w:val="17"/>
        </w:rPr>
      </w:pPr>
    </w:p>
    <w:p>
      <w:pPr>
        <w:pStyle w:val="BodyText"/>
        <w:spacing w:line="300" w:lineRule="auto" w:before="0"/>
        <w:ind w:right="112" w:firstLine="499"/>
        <w:jc w:val="both"/>
      </w:pPr>
      <w:r>
        <w:rPr>
          <w:spacing w:val="-5"/>
          <w:w w:val="100"/>
        </w:rPr>
        <w:t>按照中国证券监督管理委员会《公开发行证券的公司信息披露编报规则第</w:t>
      </w:r>
      <w:r>
        <w:rPr>
          <w:spacing w:val="-51"/>
          <w:w w:val="100"/>
        </w:rPr>
        <w:t> </w:t>
      </w:r>
      <w:r>
        <w:rPr>
          <w:w w:val="100"/>
        </w:rPr>
        <w:t>9</w:t>
      </w:r>
      <w:r>
        <w:rPr>
          <w:spacing w:val="-54"/>
          <w:w w:val="100"/>
        </w:rPr>
        <w:t> </w:t>
      </w:r>
      <w:r>
        <w:rPr>
          <w:spacing w:val="-2"/>
          <w:w w:val="100"/>
        </w:rPr>
        <w:t>号——净资产收益率</w:t>
      </w:r>
      <w:r>
        <w:rPr>
          <w:w w:val="100"/>
        </w:rPr>
        <w:t> </w:t>
      </w:r>
      <w:r>
        <w:rPr/>
        <w:t>和每股收益的计算及披露（2010</w:t>
      </w:r>
      <w:r>
        <w:rPr>
          <w:spacing w:val="-61"/>
        </w:rPr>
        <w:t> </w:t>
      </w:r>
      <w:r>
        <w:rPr/>
        <w:t>年修订）》的规定，本集团</w:t>
      </w:r>
      <w:r>
        <w:rPr>
          <w:spacing w:val="-61"/>
        </w:rPr>
        <w:t> </w:t>
      </w:r>
      <w:r>
        <w:rPr/>
        <w:t>2015</w:t>
      </w:r>
      <w:r>
        <w:rPr>
          <w:spacing w:val="-61"/>
        </w:rPr>
        <w:t> </w:t>
      </w:r>
      <w:r>
        <w:rPr/>
        <w:t>年度加权平均净资产收益率、基本</w:t>
      </w:r>
      <w:r>
        <w:rPr>
          <w:w w:val="100"/>
        </w:rPr>
        <w:t> </w:t>
      </w:r>
      <w:r>
        <w:rPr/>
        <w:t>每股收益和稀释每股收益如下：</w:t>
      </w:r>
    </w:p>
    <w:p>
      <w:pPr>
        <w:spacing w:line="240" w:lineRule="auto" w:before="11"/>
        <w:rPr>
          <w:rFonts w:ascii="宋体" w:hAnsi="宋体" w:cs="宋体" w:eastAsia="宋体" w:hint="default"/>
          <w:sz w:val="10"/>
          <w:szCs w:val="10"/>
        </w:rPr>
      </w:pPr>
    </w:p>
    <w:tbl>
      <w:tblPr>
        <w:tblW w:w="0" w:type="auto"/>
        <w:jc w:val="left"/>
        <w:tblInd w:w="556" w:type="dxa"/>
        <w:tblLayout w:type="fixed"/>
        <w:tblCellMar>
          <w:top w:w="0" w:type="dxa"/>
          <w:left w:w="0" w:type="dxa"/>
          <w:bottom w:w="0" w:type="dxa"/>
          <w:right w:w="0" w:type="dxa"/>
        </w:tblCellMar>
        <w:tblLook w:val="01E0"/>
      </w:tblPr>
      <w:tblGrid>
        <w:gridCol w:w="4362"/>
        <w:gridCol w:w="1560"/>
        <w:gridCol w:w="1418"/>
        <w:gridCol w:w="1383"/>
      </w:tblGrid>
      <w:tr>
        <w:trPr>
          <w:trHeight w:val="415" w:hRule="exact"/>
        </w:trPr>
        <w:tc>
          <w:tcPr>
            <w:tcW w:w="4362"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560" w:type="dxa"/>
            <w:vMerge w:val="restart"/>
            <w:tcBorders>
              <w:top w:val="single" w:sz="12" w:space="0" w:color="000000"/>
              <w:left w:val="single" w:sz="2" w:space="0" w:color="000000"/>
              <w:right w:val="single" w:sz="2" w:space="0" w:color="000000"/>
            </w:tcBorders>
          </w:tcPr>
          <w:p>
            <w:pPr>
              <w:pStyle w:val="TableParagraph"/>
              <w:spacing w:line="316" w:lineRule="auto" w:before="99"/>
              <w:ind w:left="462" w:right="51" w:hanging="406"/>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w w:val="99"/>
                <w:sz w:val="18"/>
                <w:szCs w:val="18"/>
              </w:rPr>
              <w:t> </w:t>
            </w:r>
            <w:r>
              <w:rPr>
                <w:rFonts w:ascii="宋体" w:hAnsi="宋体" w:cs="宋体" w:eastAsia="宋体" w:hint="default"/>
                <w:b/>
                <w:bCs/>
                <w:sz w:val="18"/>
                <w:szCs w:val="18"/>
              </w:rPr>
              <w:t>益率(%)</w:t>
            </w:r>
            <w:r>
              <w:rPr>
                <w:rFonts w:ascii="宋体" w:hAnsi="宋体" w:cs="宋体" w:eastAsia="宋体" w:hint="default"/>
                <w:sz w:val="18"/>
                <w:szCs w:val="18"/>
              </w:rPr>
            </w:r>
          </w:p>
        </w:tc>
        <w:tc>
          <w:tcPr>
            <w:tcW w:w="28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2" w:hRule="exact"/>
        </w:trPr>
        <w:tc>
          <w:tcPr>
            <w:tcW w:w="4362" w:type="dxa"/>
            <w:vMerge/>
            <w:tcBorders>
              <w:left w:val="nil" w:sz="6" w:space="0" w:color="auto"/>
              <w:bottom w:val="single" w:sz="2" w:space="0" w:color="000000"/>
              <w:right w:val="single" w:sz="2" w:space="0" w:color="000000"/>
            </w:tcBorders>
          </w:tcPr>
          <w:p>
            <w:pPr/>
          </w:p>
        </w:tc>
        <w:tc>
          <w:tcPr>
            <w:tcW w:w="1560"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3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2" w:hRule="exact"/>
        </w:trPr>
        <w:tc>
          <w:tcPr>
            <w:tcW w:w="43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9.63%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0.29</w:t>
            </w:r>
          </w:p>
        </w:tc>
        <w:tc>
          <w:tcPr>
            <w:tcW w:w="13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0.29</w:t>
            </w:r>
          </w:p>
        </w:tc>
      </w:tr>
      <w:tr>
        <w:trPr>
          <w:trHeight w:val="414" w:hRule="exact"/>
        </w:trPr>
        <w:tc>
          <w:tcPr>
            <w:tcW w:w="43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18"/>
                <w:szCs w:val="18"/>
              </w:rPr>
            </w:pPr>
            <w:r>
              <w:rPr>
                <w:rFonts w:ascii="宋体"/>
                <w:sz w:val="18"/>
              </w:rPr>
              <w:t>9.26%</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18"/>
                <w:szCs w:val="18"/>
              </w:rPr>
            </w:pPr>
            <w:r>
              <w:rPr>
                <w:rFonts w:ascii="宋体"/>
                <w:sz w:val="18"/>
              </w:rPr>
              <w:t>0.28</w:t>
            </w:r>
          </w:p>
        </w:tc>
        <w:tc>
          <w:tcPr>
            <w:tcW w:w="13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18"/>
                <w:szCs w:val="18"/>
              </w:rPr>
            </w:pPr>
            <w:r>
              <w:rPr>
                <w:rFonts w:ascii="宋体"/>
                <w:sz w:val="18"/>
              </w:rPr>
              <w:t>0.28</w:t>
            </w:r>
          </w:p>
        </w:tc>
      </w:tr>
    </w:tbl>
    <w:p>
      <w:pPr>
        <w:spacing w:after="0" w:line="240" w:lineRule="auto"/>
        <w:jc w:val="center"/>
        <w:rPr>
          <w:rFonts w:ascii="宋体" w:hAnsi="宋体" w:cs="宋体" w:eastAsia="宋体" w:hint="default"/>
          <w:sz w:val="18"/>
          <w:szCs w:val="18"/>
        </w:rPr>
        <w:sectPr>
          <w:footerReference w:type="default" r:id="rId57"/>
          <w:pgSz w:w="11910" w:h="16840"/>
          <w:pgMar w:footer="1014" w:header="852" w:top="1440" w:bottom="1200" w:left="1020" w:right="1020"/>
          <w:pgNumType w:start="165"/>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spacing w:line="240" w:lineRule="auto" w:before="0"/>
        <w:ind w:left="3247" w:right="0"/>
        <w:jc w:val="left"/>
        <w:rPr>
          <w:b w:val="0"/>
          <w:bCs w:val="0"/>
        </w:rPr>
      </w:pPr>
      <w:bookmarkStart w:name="_bookmark10" w:id="11"/>
      <w:bookmarkEnd w:id="11"/>
      <w:r>
        <w:rPr>
          <w:b w:val="0"/>
          <w:bCs w:val="0"/>
        </w:rPr>
      </w:r>
      <w:r>
        <w:rPr/>
        <w:t>第十一节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spacing w:line="307" w:lineRule="auto" w:before="0"/>
        <w:ind w:left="592" w:right="97"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w:t>
      </w:r>
      <w:r>
        <w:rPr>
          <w:rFonts w:ascii="宋体" w:hAnsi="宋体" w:cs="宋体" w:eastAsia="宋体" w:hint="default"/>
          <w:w w:val="99"/>
          <w:sz w:val="21"/>
          <w:szCs w:val="21"/>
        </w:rPr>
        <w:t> </w:t>
      </w:r>
      <w:r>
        <w:rPr>
          <w:rFonts w:ascii="宋体" w:hAnsi="宋体" w:cs="宋体" w:eastAsia="宋体" w:hint="default"/>
          <w:sz w:val="21"/>
          <w:szCs w:val="21"/>
        </w:rPr>
        <w:t>二、载有会计师事务所盖章、注册会计师签名并盖章的审计报告原件。</w:t>
      </w:r>
      <w:r>
        <w:rPr>
          <w:rFonts w:ascii="宋体" w:hAnsi="宋体" w:cs="宋体" w:eastAsia="宋体" w:hint="default"/>
          <w:w w:val="99"/>
          <w:sz w:val="21"/>
          <w:szCs w:val="21"/>
        </w:rPr>
        <w:t> </w:t>
      </w:r>
      <w:r>
        <w:rPr>
          <w:rFonts w:ascii="宋体" w:hAnsi="宋体" w:cs="宋体" w:eastAsia="宋体" w:hint="default"/>
          <w:w w:val="95"/>
          <w:sz w:val="21"/>
          <w:szCs w:val="21"/>
        </w:rPr>
        <w:t>三、报告期内在中国证监会指定网站上公开披露过的所有文件正本及公告原稿。</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sz w:val="21"/>
          <w:szCs w:val="21"/>
        </w:rPr>
        <w:t>四、载有法定代表人签名的2015年年度报告文本原件。</w:t>
      </w:r>
      <w:r>
        <w:rPr>
          <w:rFonts w:ascii="宋体" w:hAnsi="宋体" w:cs="宋体" w:eastAsia="宋体" w:hint="default"/>
          <w:w w:val="99"/>
          <w:sz w:val="21"/>
          <w:szCs w:val="21"/>
        </w:rPr>
        <w:t> </w:t>
      </w:r>
      <w:r>
        <w:rPr>
          <w:rFonts w:ascii="宋体" w:hAnsi="宋体" w:cs="宋体" w:eastAsia="宋体" w:hint="default"/>
          <w:sz w:val="21"/>
          <w:szCs w:val="21"/>
        </w:rPr>
        <w:t>五、以上备查文件的备置地点：公司董秘办。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614" w:lineRule="auto" w:before="0"/>
        <w:ind w:left="7116" w:right="794" w:hanging="144"/>
        <w:jc w:val="right"/>
        <w:rPr>
          <w:rFonts w:ascii="宋体" w:hAnsi="宋体" w:cs="宋体" w:eastAsia="宋体" w:hint="default"/>
          <w:sz w:val="21"/>
          <w:szCs w:val="21"/>
        </w:rPr>
      </w:pPr>
      <w:r>
        <w:rPr>
          <w:rFonts w:ascii="宋体" w:hAnsi="宋体" w:cs="宋体" w:eastAsia="宋体" w:hint="default"/>
          <w:w w:val="95"/>
          <w:sz w:val="21"/>
          <w:szCs w:val="21"/>
        </w:rPr>
        <w:t>浙江万马股份有限公司</w:t>
      </w:r>
      <w:r>
        <w:rPr>
          <w:rFonts w:ascii="宋体" w:hAnsi="宋体" w:cs="宋体" w:eastAsia="宋体" w:hint="default"/>
          <w:spacing w:val="-13"/>
          <w:w w:val="95"/>
          <w:sz w:val="21"/>
          <w:szCs w:val="21"/>
        </w:rPr>
        <w:t> </w:t>
      </w:r>
      <w:r>
        <w:rPr>
          <w:rFonts w:ascii="宋体" w:hAnsi="宋体" w:cs="宋体" w:eastAsia="宋体" w:hint="default"/>
          <w:spacing w:val="-13"/>
          <w:w w:val="95"/>
          <w:sz w:val="21"/>
          <w:szCs w:val="21"/>
        </w:rPr>
      </w:r>
      <w:r>
        <w:rPr>
          <w:rFonts w:ascii="宋体" w:hAnsi="宋体" w:cs="宋体" w:eastAsia="宋体" w:hint="default"/>
          <w:w w:val="95"/>
          <w:sz w:val="21"/>
          <w:szCs w:val="21"/>
        </w:rPr>
        <w:t>法定代表人：何若虚</w:t>
      </w:r>
      <w:r>
        <w:rPr>
          <w:rFonts w:ascii="宋体" w:hAnsi="宋体" w:cs="宋体" w:eastAsia="宋体" w:hint="default"/>
          <w:sz w:val="21"/>
          <w:szCs w:val="21"/>
        </w:rPr>
      </w:r>
    </w:p>
    <w:p>
      <w:pPr>
        <w:spacing w:before="103"/>
        <w:ind w:left="0" w:right="911" w:firstLine="0"/>
        <w:jc w:val="right"/>
        <w:rPr>
          <w:rFonts w:ascii="宋体" w:hAnsi="宋体" w:cs="宋体" w:eastAsia="宋体" w:hint="default"/>
          <w:sz w:val="21"/>
          <w:szCs w:val="21"/>
        </w:rPr>
      </w:pPr>
      <w:r>
        <w:rPr>
          <w:rFonts w:ascii="宋体" w:hAnsi="宋体" w:cs="宋体" w:eastAsia="宋体" w:hint="default"/>
          <w:w w:val="95"/>
          <w:sz w:val="21"/>
          <w:szCs w:val="21"/>
        </w:rPr>
        <w:t>2016年4月25日</w:t>
      </w:r>
      <w:r>
        <w:rPr>
          <w:rFonts w:ascii="宋体" w:hAnsi="宋体" w:cs="宋体" w:eastAsia="宋体" w:hint="default"/>
          <w:sz w:val="21"/>
          <w:szCs w:val="21"/>
        </w:rPr>
      </w:r>
    </w:p>
    <w:sectPr>
      <w:pgSz w:w="11910" w:h="16840"/>
      <w:pgMar w:header="852" w:footer="1014" w:top="144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1.679504pt;margin-top:780.315674pt;width:67.5pt;height:11.5pt;mso-position-horizontal-relative:page;mso-position-vertical-relative:page;z-index:-801904"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Times New Roman" w:hAnsi="Times New Roman" w:cs="Times New Roman" w:eastAsia="Times New Roman" w:hint="default"/>
                    <w:sz w:val="18"/>
                    <w:szCs w:val="18"/>
                  </w:rPr>
                  <w:t>/</w:t>
                </w:r>
                <w:r>
                  <w:rPr>
                    <w:rFonts w:ascii="宋体" w:hAnsi="宋体" w:cs="宋体" w:eastAsia="宋体" w:hint="default"/>
                    <w:sz w:val="18"/>
                    <w:szCs w:val="18"/>
                  </w:rPr>
                  <w:t>共</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688"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664"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544"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399994pt;margin-top:533.715637pt;width:83pt;height:11.5pt;mso-position-horizontal-relative:page;mso-position-vertical-relative:page;z-index:-801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页</w:t>
                </w:r>
              </w:p>
            </w:txbxContent>
          </v:textbox>
          <w10:wrap type="none"/>
        </v:shape>
      </w:pict>
    </w:r>
    <w:r>
      <w:rPr/>
      <w:pict>
        <v:shape style="position:absolute;margin-left:290.239990pt;margin-top:536.607910pt;width:4.5pt;height:11pt;mso-position-horizontal-relative:page;mso-position-vertical-relative:page;z-index:-801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3.839996pt;margin-top:540.807922pt;width:69.5pt;height:11.6pt;mso-position-horizontal-relative:page;mso-position-vertical-relative:page;z-index:-801400"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页</w:t>
                </w:r>
                <w:r>
                  <w:rPr>
                    <w:rFonts w:ascii="Times New Roman" w:hAnsi="Times New Roman" w:cs="Times New Roman" w:eastAsia="Times New Roman" w:hint="default"/>
                    <w:spacing w:val="-12"/>
                    <w:position w:val="1"/>
                    <w:sz w:val="18"/>
                    <w:szCs w:val="18"/>
                  </w:rPr>
                  <w:t>/  </w:t>
                </w:r>
                <w:r>
                  <w:rPr>
                    <w:rFonts w:ascii="宋体" w:hAnsi="宋体" w:cs="宋体" w:eastAsia="宋体" w:hint="default"/>
                    <w:sz w:val="18"/>
                    <w:szCs w:val="18"/>
                  </w:rPr>
                  <w:t>共</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7.047729pt;width:74.1pt;height:11.6pt;mso-position-horizontal-relative:page;mso-position-vertical-relative:page;z-index:-801304"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页</w:t>
                </w:r>
                <w:r>
                  <w:rPr>
                    <w:rFonts w:ascii="Times New Roman" w:hAnsi="Times New Roman" w:cs="Times New Roman" w:eastAsia="Times New Roman" w:hint="default"/>
                    <w:spacing w:val="-36"/>
                    <w:position w:val="1"/>
                    <w:sz w:val="18"/>
                    <w:szCs w:val="18"/>
                  </w:rPr>
                  <w:t>/            </w:t>
                </w:r>
                <w:r>
                  <w:rPr>
                    <w:rFonts w:ascii="宋体" w:hAnsi="宋体" w:cs="宋体" w:eastAsia="宋体" w:hint="default"/>
                    <w:sz w:val="18"/>
                    <w:szCs w:val="18"/>
                  </w:rPr>
                  <w:t>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679504pt;margin-top:787.047729pt;width:73.6pt;height:11.6pt;mso-position-horizontal-relative:page;mso-position-vertical-relative:page;z-index:-801280"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4"/>
                    <w:sz w:val="18"/>
                    <w:szCs w:val="18"/>
                  </w:rPr>
                  <w:t>页</w:t>
                </w:r>
                <w:r>
                  <w:rPr>
                    <w:rFonts w:ascii="Times New Roman" w:hAnsi="Times New Roman" w:cs="Times New Roman" w:eastAsia="Times New Roman" w:hint="default"/>
                    <w:spacing w:val="-34"/>
                    <w:position w:val="1"/>
                    <w:sz w:val="18"/>
                    <w:szCs w:val="18"/>
                  </w:rPr>
                  <w:t>/          </w:t>
                </w:r>
                <w:r>
                  <w:rPr>
                    <w:rFonts w:ascii="宋体" w:hAnsi="宋体" w:cs="宋体" w:eastAsia="宋体" w:hint="default"/>
                    <w:sz w:val="18"/>
                    <w:szCs w:val="18"/>
                  </w:rPr>
                  <w:t>共</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7.047729pt;width:74.1pt;height:11.6pt;mso-position-horizontal-relative:page;mso-position-vertical-relative:page;z-index:-801256"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页</w:t>
                </w:r>
                <w:r>
                  <w:rPr>
                    <w:rFonts w:ascii="Times New Roman" w:hAnsi="Times New Roman" w:cs="Times New Roman" w:eastAsia="Times New Roman" w:hint="default"/>
                    <w:spacing w:val="-36"/>
                    <w:position w:val="1"/>
                    <w:sz w:val="18"/>
                    <w:szCs w:val="18"/>
                  </w:rPr>
                  <w:t>/            </w:t>
                </w:r>
                <w:r>
                  <w:rPr>
                    <w:rFonts w:ascii="宋体" w:hAnsi="宋体" w:cs="宋体" w:eastAsia="宋体" w:hint="default"/>
                    <w:sz w:val="18"/>
                    <w:szCs w:val="18"/>
                  </w:rPr>
                  <w:t>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7.047729pt;width:74.1pt;height:11.5pt;mso-position-horizontal-relative:page;mso-position-vertical-relative:page;z-index:-801160"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页</w:t>
                </w:r>
                <w:r>
                  <w:rPr>
                    <w:rFonts w:ascii="Times New Roman" w:hAnsi="Times New Roman" w:cs="Times New Roman" w:eastAsia="Times New Roman" w:hint="default"/>
                    <w:spacing w:val="-36"/>
                    <w:position w:val="1"/>
                    <w:sz w:val="18"/>
                    <w:szCs w:val="18"/>
                  </w:rPr>
                  <w:t>/            </w:t>
                </w:r>
                <w:r>
                  <w:rPr>
                    <w:rFonts w:ascii="宋体" w:hAnsi="宋体" w:cs="宋体" w:eastAsia="宋体" w:hint="default"/>
                    <w:sz w:val="18"/>
                    <w:szCs w:val="18"/>
                  </w:rPr>
                  <w:t>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880"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7.047729pt;width:74.1pt;height:11.5pt;mso-position-horizontal-relative:page;mso-position-vertical-relative:page;z-index:-801136"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页</w:t>
                </w:r>
                <w:r>
                  <w:rPr>
                    <w:rFonts w:ascii="Times New Roman" w:hAnsi="Times New Roman" w:cs="Times New Roman" w:eastAsia="Times New Roman" w:hint="default"/>
                    <w:spacing w:val="-36"/>
                    <w:position w:val="1"/>
                    <w:sz w:val="18"/>
                    <w:szCs w:val="18"/>
                  </w:rPr>
                  <w:t>/            </w:t>
                </w:r>
                <w:r>
                  <w:rPr>
                    <w:rFonts w:ascii="宋体" w:hAnsi="宋体" w:cs="宋体" w:eastAsia="宋体" w:hint="default"/>
                    <w:sz w:val="18"/>
                    <w:szCs w:val="18"/>
                  </w:rPr>
                  <w:t>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7.047729pt;width:74.1pt;height:11.5pt;mso-position-horizontal-relative:page;mso-position-vertical-relative:page;z-index:-801112"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页</w:t>
                </w:r>
                <w:r>
                  <w:rPr>
                    <w:rFonts w:ascii="Times New Roman" w:hAnsi="Times New Roman" w:cs="Times New Roman" w:eastAsia="Times New Roman" w:hint="default"/>
                    <w:spacing w:val="-36"/>
                    <w:position w:val="1"/>
                    <w:sz w:val="18"/>
                    <w:szCs w:val="18"/>
                  </w:rPr>
                  <w:t>/            </w:t>
                </w:r>
                <w:r>
                  <w:rPr>
                    <w:rFonts w:ascii="宋体" w:hAnsi="宋体" w:cs="宋体" w:eastAsia="宋体" w:hint="default"/>
                    <w:sz w:val="18"/>
                    <w:szCs w:val="18"/>
                  </w:rPr>
                  <w:t>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7.047729pt;width:74.1pt;height:11.5pt;mso-position-horizontal-relative:page;mso-position-vertical-relative:page;z-index:-801088" type="#_x0000_t202" filled="false" stroked="false">
          <v:textbox inset="0,0,0,0">
            <w:txbxContent>
              <w:p>
                <w:pPr>
                  <w:spacing w:line="216"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页</w:t>
                </w:r>
                <w:r>
                  <w:rPr>
                    <w:rFonts w:ascii="Times New Roman" w:hAnsi="Times New Roman" w:cs="Times New Roman" w:eastAsia="Times New Roman" w:hint="default"/>
                    <w:spacing w:val="-36"/>
                    <w:position w:val="1"/>
                    <w:sz w:val="18"/>
                    <w:szCs w:val="18"/>
                  </w:rPr>
                  <w:t>/            </w:t>
                </w:r>
                <w:r>
                  <w:rPr>
                    <w:rFonts w:ascii="宋体" w:hAnsi="宋体" w:cs="宋体" w:eastAsia="宋体" w:hint="default"/>
                    <w:sz w:val="18"/>
                    <w:szCs w:val="18"/>
                  </w:rPr>
                  <w:t>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167</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4pt;margin-top:787.047729pt;width:87.45pt;height:11.6pt;mso-position-horizontal-relative:page;mso-position-vertical-relative:page;z-index:-80106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页</w:t>
                </w:r>
                <w:r>
                  <w:rPr>
                    <w:rFonts w:ascii="Times New Roman" w:hAnsi="Times New Roman" w:cs="Times New Roman" w:eastAsia="Times New Roman" w:hint="default"/>
                    <w:spacing w:val="9"/>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4pt;margin-top:787.047729pt;width:87.45pt;height:11.6pt;mso-position-horizontal-relative:page;mso-position-vertical-relative:page;z-index:-8010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页</w:t>
                </w:r>
                <w:r>
                  <w:rPr>
                    <w:rFonts w:ascii="Times New Roman" w:hAnsi="Times New Roman" w:cs="Times New Roman" w:eastAsia="Times New Roman" w:hint="default"/>
                    <w:spacing w:val="9"/>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4pt;margin-top:787.047729pt;width:87.45pt;height:11.6pt;mso-position-horizontal-relative:page;mso-position-vertical-relative:page;z-index:-80101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160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页</w:t>
                </w:r>
                <w:r>
                  <w:rPr>
                    <w:rFonts w:ascii="Times New Roman" w:hAnsi="Times New Roman" w:cs="Times New Roman" w:eastAsia="Times New Roman" w:hint="default"/>
                    <w:spacing w:val="9"/>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119507pt;margin-top:540.807922pt;width:87.45pt;height:11.6pt;mso-position-horizontal-relative:page;mso-position-vertical-relative:page;z-index:-80092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161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页</w:t>
                </w:r>
                <w:r>
                  <w:rPr>
                    <w:rFonts w:ascii="Times New Roman" w:hAnsi="Times New Roman" w:cs="Times New Roman" w:eastAsia="Times New Roman" w:hint="default"/>
                    <w:spacing w:val="10"/>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4pt;margin-top:780.487427pt;width:87.45pt;height:18.2pt;mso-position-horizontal-relative:page;mso-position-vertical-relative:page;z-index:-800896" type="#_x0000_t202" filled="false" stroked="false">
          <v:textbox inset="0,0,0,0">
            <w:txbxContent>
              <w:p>
                <w:pPr>
                  <w:spacing w:before="98"/>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163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页</w:t>
                </w:r>
                <w:r>
                  <w:rPr>
                    <w:rFonts w:ascii="Times New Roman" w:hAnsi="Times New Roman" w:cs="Times New Roman" w:eastAsia="Times New Roman" w:hint="default"/>
                    <w:spacing w:val="9"/>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856"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879501pt;margin-top:780.207947pt;width:87.6pt;height:11.6pt;mso-position-horizontal-relative:page;mso-position-vertical-relative:page;z-index:-80080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165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页</w:t>
                </w:r>
                <w:r>
                  <w:rPr>
                    <w:rFonts w:ascii="Times New Roman" w:hAnsi="Times New Roman" w:cs="Times New Roman" w:eastAsia="Times New Roman" w:hint="default"/>
                    <w:spacing w:val="9"/>
                    <w:position w:val="1"/>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832"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808"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784"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760"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736"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59485pt;margin-top:780.315674pt;width:83pt;height:13.9pt;mso-position-horizontal-relative:page;mso-position-vertical-relative:page;z-index:-801712" type="#_x0000_t202" filled="false" stroked="false">
          <v:textbox inset="0,0,0,0">
            <w:txbxContent>
              <w:p>
                <w:pPr>
                  <w:spacing w:line="26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页</w:t>
                </w:r>
                <w:r>
                  <w:rPr>
                    <w:rFonts w:ascii="Times New Roman" w:hAnsi="Times New Roman" w:cs="Times New Roman" w:eastAsia="Times New Roman" w:hint="default"/>
                    <w:spacing w:val="-20"/>
                    <w:position w:val="-4"/>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166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480026pt;width:137.28pt;height:25.32pt;mso-position-horizontal-relative:page;mso-position-vertical-relative:page;z-index:-801976" type="#_x0000_t75" stroked="false">
          <v:imagedata r:id="rId1" o:title=""/>
        </v:shape>
      </w:pict>
    </w:r>
    <w:r>
      <w:rPr/>
      <w:pict>
        <v:group style="position:absolute;margin-left:56.700001pt;margin-top:72.440018pt;width:481.9pt;height:.1pt;mso-position-horizontal-relative:page;mso-position-vertical-relative:page;z-index:-801952" coordorigin="1134,1449" coordsize="9638,2">
          <v:shape style="position:absolute;left:1134;top:1449;width:9638;height:2" coordorigin="1134,1449" coordsize="9638,0" path="m1134,1449l10772,1449e" filled="false" stroked="true" strokeweight=".47998pt" strokecolor="#4f80bd">
            <v:path arrowok="t"/>
          </v:shape>
          <w10:wrap type="none"/>
        </v:group>
      </w:pict>
    </w:r>
    <w:r>
      <w:rPr/>
      <w:pict>
        <v:shapetype id="_x0000_t202" o:spt="202" coordsize="21600,21600" path="m,l,21600r21600,l21600,xe">
          <v:stroke joinstyle="miter"/>
          <v:path gradientshapeok="t" o:connecttype="rect"/>
        </v:shapetype>
        <v:shape style="position:absolute;margin-left:373.040009pt;margin-top:59.11565pt;width:166.55pt;height:11.5pt;mso-position-horizontal-relative:page;mso-position-vertical-relative:page;z-index:-801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600014pt;width:117pt;height:25.32pt;mso-position-horizontal-relative:page;mso-position-vertical-relative:page;z-index:-800992" type="#_x0000_t75" stroked="false">
          <v:imagedata r:id="rId1" o:title=""/>
        </v:shape>
      </w:pict>
    </w:r>
    <w:r>
      <w:rPr/>
      <w:pict>
        <v:group style="position:absolute;margin-left:56.700001pt;margin-top:72.490005pt;width:728.3pt;height:.1pt;mso-position-horizontal-relative:page;mso-position-vertical-relative:page;z-index:-800968" coordorigin="1134,1450" coordsize="14566,2">
          <v:shape style="position:absolute;left:1134;top:1450;width:14566;height:2" coordorigin="1134,1450" coordsize="14566,0" path="m1134,1450l15700,1450e" filled="false" stroked="true" strokeweight=".47998pt" strokecolor="#4f80bd">
            <v:path arrowok="t"/>
          </v:shape>
          <w10:wrap type="none"/>
        </v:group>
      </w:pict>
    </w:r>
    <w:r>
      <w:rPr/>
      <w:pict>
        <v:shape style="position:absolute;margin-left:613.76001pt;margin-top:59.235638pt;width:168.45pt;height:11.4pt;mso-position-horizontal-relative:page;mso-position-vertical-relative:page;z-index:-800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600025pt;width:117pt;height:25.32pt;mso-position-horizontal-relative:page;mso-position-vertical-relative:page;z-index:-800872" type="#_x0000_t75" stroked="false">
          <v:imagedata r:id="rId1" o:title=""/>
        </v:shape>
      </w:pict>
    </w:r>
    <w:r>
      <w:rPr/>
      <w:pict>
        <v:group style="position:absolute;margin-left:56.700001pt;margin-top:72.490013pt;width:481.9pt;height:.1pt;mso-position-horizontal-relative:page;mso-position-vertical-relative:page;z-index:-800848" coordorigin="1134,1450" coordsize="9638,2">
          <v:shape style="position:absolute;left:1134;top:1450;width:9638;height:2" coordorigin="1134,1450" coordsize="9638,0" path="m1134,1450l10772,1450e" filled="false" stroked="true" strokeweight=".47998pt" strokecolor="#4f80bd">
            <v:path arrowok="t"/>
          </v:shape>
          <w10:wrap type="none"/>
        </v:group>
      </w:pict>
    </w:r>
    <w:r>
      <w:rPr/>
      <w:pict>
        <v:shape style="position:absolute;margin-left:366.200012pt;margin-top:59.235649pt;width:168.6pt;height:11.4pt;mso-position-horizontal-relative:page;mso-position-vertical-relative:page;z-index:-800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0.759491pt;margin-top:59.235649pt;width:168.45pt;height:11.4pt;mso-position-horizontal-relative:page;mso-position-vertical-relative:page;z-index:-801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600025pt;width:117pt;height:25.32pt;mso-position-horizontal-relative:page;mso-position-vertical-relative:page;z-index:-801616" type="#_x0000_t75" stroked="false">
          <v:imagedata r:id="rId1" o:title=""/>
        </v:shape>
      </w:pict>
    </w:r>
    <w:r>
      <w:rPr/>
      <w:pict>
        <v:group style="position:absolute;margin-left:56.700001pt;margin-top:72.490013pt;width:481.9pt;height:.1pt;mso-position-horizontal-relative:page;mso-position-vertical-relative:page;z-index:-801592" coordorigin="1134,1450" coordsize="9638,2">
          <v:shape style="position:absolute;left:1134;top:1450;width:9638;height:2" coordorigin="1134,1450" coordsize="9638,0" path="m1134,1450l10772,1450e" filled="false" stroked="true" strokeweight=".47998pt" strokecolor="#4f80bd">
            <v:path arrowok="t"/>
          </v:shape>
          <w10:wrap type="none"/>
        </v:group>
      </w:pict>
    </w:r>
    <w:r>
      <w:rPr/>
      <w:pict>
        <v:shape style="position:absolute;margin-left:370.759491pt;margin-top:59.235649pt;width:168.45pt;height:11.4pt;mso-position-horizontal-relative:page;mso-position-vertical-relative:page;z-index:-801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2.599987pt;width:117pt;height:25.32pt;mso-position-horizontal-relative:page;mso-position-vertical-relative:page;z-index:-801520" type="#_x0000_t75" stroked="false">
          <v:imagedata r:id="rId1" o:title=""/>
        </v:shape>
      </w:pict>
    </w:r>
    <w:r>
      <w:rPr/>
      <w:pict>
        <v:group style="position:absolute;margin-left:56.700001pt;margin-top:72.489975pt;width:728.5pt;height:.1pt;mso-position-horizontal-relative:page;mso-position-vertical-relative:page;z-index:-801496" coordorigin="1134,1450" coordsize="14570,2">
          <v:shape style="position:absolute;left:1134;top:1450;width:14570;height:2" coordorigin="1134,1450" coordsize="14570,0" path="m1134,1450l15704,1450e" filled="false" stroked="true" strokeweight=".47998pt" strokecolor="#4f80bd">
            <v:path arrowok="t"/>
          </v:shape>
          <w10:wrap type="none"/>
        </v:group>
      </w:pict>
    </w:r>
    <w:r>
      <w:rPr/>
      <w:pict>
        <v:shape style="position:absolute;margin-left:613.76001pt;margin-top:59.085613pt;width:168.45pt;height:11.4pt;mso-position-horizontal-relative:page;mso-position-vertical-relative:page;z-index:-801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200001pt;margin-top:42.600014pt;width:117.0pt;height:25.32pt;mso-position-horizontal-relative:page;mso-position-vertical-relative:page;z-index:-801376" type="#_x0000_t75" stroked="false">
          <v:imagedata r:id="rId1" o:title=""/>
        </v:shape>
      </w:pict>
    </w:r>
    <w:r>
      <w:rPr/>
      <w:pict>
        <v:group style="position:absolute;margin-left:56.700001pt;margin-top:72.490005pt;width:482.05pt;height:.1pt;mso-position-horizontal-relative:page;mso-position-vertical-relative:page;z-index:-801352" coordorigin="1134,1450" coordsize="9641,2">
          <v:shape style="position:absolute;left:1134;top:1450;width:9641;height:2" coordorigin="1134,1450" coordsize="9641,0" path="m1134,1450l10775,1450e" filled="false" stroked="true" strokeweight=".47998pt" strokecolor="#4f80bd">
            <v:path arrowok="t"/>
          </v:shape>
          <w10:wrap type="none"/>
        </v:group>
      </w:pict>
    </w:r>
    <w:r>
      <w:rPr/>
      <w:pict>
        <v:shape style="position:absolute;margin-left:370.759491pt;margin-top:59.235638pt;width:168.45pt;height:11.4pt;mso-position-horizontal-relative:page;mso-position-vertical-relative:page;z-index:-801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600014pt;width:117.0pt;height:25.32pt;mso-position-horizontal-relative:page;mso-position-vertical-relative:page;z-index:-801232" type="#_x0000_t75" stroked="false">
          <v:imagedata r:id="rId1" o:title=""/>
        </v:shape>
      </w:pict>
    </w:r>
    <w:r>
      <w:rPr/>
      <w:pict>
        <v:group style="position:absolute;margin-left:85.050003pt;margin-top:72.490005pt;width:425.35pt;height:.1pt;mso-position-horizontal-relative:page;mso-position-vertical-relative:page;z-index:-801208" coordorigin="1701,1450" coordsize="8507,2">
          <v:shape style="position:absolute;left:1701;top:1450;width:8507;height:2" coordorigin="1701,1450" coordsize="8507,0" path="m1701,1450l10208,1450e" filled="false" stroked="true" strokeweight=".47998pt" strokecolor="#4f80bd">
            <v:path arrowok="t"/>
          </v:shape>
          <w10:wrap type="none"/>
        </v:group>
      </w:pict>
    </w:r>
    <w:r>
      <w:rPr/>
      <w:pict>
        <v:shape style="position:absolute;margin-left:345.079498pt;margin-top:59.235638pt;width:166.3pt;height:11.4pt;mso-position-horizontal-relative:page;mso-position-vertical-relative:page;z-index:-801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0"/>
      <w:ind w:left="112"/>
    </w:pPr>
    <w:rPr>
      <w:rFonts w:ascii="宋体" w:hAnsi="宋体" w:eastAsia="宋体"/>
      <w:sz w:val="24"/>
      <w:szCs w:val="24"/>
    </w:rPr>
  </w:style>
  <w:style w:styleId="BodyText" w:type="paragraph">
    <w:name w:val="Body Text"/>
    <w:basedOn w:val="Normal"/>
    <w:uiPriority w:val="1"/>
    <w:qFormat/>
    <w:pPr>
      <w:spacing w:before="33"/>
      <w:ind w:left="112"/>
    </w:pPr>
    <w:rPr>
      <w:rFonts w:ascii="宋体" w:hAnsi="宋体" w:eastAsia="宋体"/>
      <w:sz w:val="22"/>
      <w:szCs w:val="22"/>
    </w:rPr>
  </w:style>
  <w:style w:styleId="Heading1" w:type="paragraph">
    <w:name w:val="Heading 1"/>
    <w:basedOn w:val="Normal"/>
    <w:uiPriority w:val="1"/>
    <w:qFormat/>
    <w:pPr>
      <w:spacing w:before="134"/>
      <w:ind w:left="1"/>
      <w:outlineLvl w:val="1"/>
    </w:pPr>
    <w:rPr>
      <w:rFonts w:ascii="宋体" w:hAnsi="宋体" w:eastAsia="宋体"/>
      <w:b/>
      <w:bCs/>
      <w:sz w:val="32"/>
      <w:szCs w:val="32"/>
    </w:rPr>
  </w:style>
  <w:style w:styleId="Heading2" w:type="paragraph">
    <w:name w:val="Heading 2"/>
    <w:basedOn w:val="Normal"/>
    <w:uiPriority w:val="1"/>
    <w:qFormat/>
    <w:pPr>
      <w:ind w:left="132"/>
      <w:outlineLvl w:val="2"/>
    </w:pPr>
    <w:rPr>
      <w:rFonts w:ascii="宋体" w:hAnsi="宋体" w:eastAsia="宋体"/>
      <w:b/>
      <w:bCs/>
      <w:sz w:val="24"/>
      <w:szCs w:val="24"/>
    </w:rPr>
  </w:style>
  <w:style w:styleId="Heading3" w:type="paragraph">
    <w:name w:val="Heading 3"/>
    <w:basedOn w:val="Normal"/>
    <w:uiPriority w:val="1"/>
    <w:qFormat/>
    <w:pPr>
      <w:spacing w:before="26"/>
      <w:ind w:left="112"/>
      <w:outlineLvl w:val="3"/>
    </w:pPr>
    <w:rPr>
      <w:rFonts w:ascii="宋体" w:hAnsi="宋体" w:eastAsia="宋体"/>
      <w:sz w:val="24"/>
      <w:szCs w:val="24"/>
    </w:rPr>
  </w:style>
  <w:style w:styleId="Heading4" w:type="paragraph">
    <w:name w:val="Heading 4"/>
    <w:basedOn w:val="Normal"/>
    <w:uiPriority w:val="1"/>
    <w:qFormat/>
    <w:pPr>
      <w:spacing w:before="33"/>
      <w:ind w:left="702"/>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hyperlink" Target="http://www.wanma-cable.cn/" TargetMode="External"/><Relationship Id="rId11" Type="http://schemas.openxmlformats.org/officeDocument/2006/relationships/hyperlink" Target="mailto:investor@wanmagroup.com" TargetMode="External"/><Relationship Id="rId12" Type="http://schemas.openxmlformats.org/officeDocument/2006/relationships/hyperlink" Target="http://www.cninfo.com.cn/"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footer" Target="footer3.xml"/><Relationship Id="rId16" Type="http://schemas.openxmlformats.org/officeDocument/2006/relationships/hyperlink" Target="http://www/"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yperlink" Target="http://www.cninfo.com.cn&#20844;&#21496;&#30456;&#20851;&#20844;&#21578;/" TargetMode="Externa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6.jpeg"/><Relationship Id="rId26" Type="http://schemas.openxmlformats.org/officeDocument/2006/relationships/footer" Target="footer11.xml"/><Relationship Id="rId27" Type="http://schemas.openxmlformats.org/officeDocument/2006/relationships/header" Target="header2.xml"/><Relationship Id="rId28" Type="http://schemas.openxmlformats.org/officeDocument/2006/relationships/image" Target="media/image1.jpeg"/><Relationship Id="rId29" Type="http://schemas.openxmlformats.org/officeDocument/2006/relationships/header" Target="header3.xml"/><Relationship Id="rId30" Type="http://schemas.openxmlformats.org/officeDocument/2006/relationships/footer" Target="footer12.xml"/><Relationship Id="rId31" Type="http://schemas.openxmlformats.org/officeDocument/2006/relationships/header" Target="header4.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5.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6.xml"/><Relationship Id="rId39" Type="http://schemas.openxmlformats.org/officeDocument/2006/relationships/footer" Target="footer18.xml"/><Relationship Id="rId40" Type="http://schemas.openxmlformats.org/officeDocument/2006/relationships/header" Target="header7.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header" Target="header8.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header" Target="header9.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footer" Target="footer26.xml"/><Relationship Id="rId51" Type="http://schemas.openxmlformats.org/officeDocument/2006/relationships/footer" Target="footer27.xml"/><Relationship Id="rId52" Type="http://schemas.openxmlformats.org/officeDocument/2006/relationships/header" Target="header10.xml"/><Relationship Id="rId53" Type="http://schemas.openxmlformats.org/officeDocument/2006/relationships/footer" Target="footer28.xml"/><Relationship Id="rId54" Type="http://schemas.openxmlformats.org/officeDocument/2006/relationships/header" Target="header11.xml"/><Relationship Id="rId55" Type="http://schemas.openxmlformats.org/officeDocument/2006/relationships/footer" Target="footer29.xml"/><Relationship Id="rId56" Type="http://schemas.openxmlformats.org/officeDocument/2006/relationships/header" Target="header12.xml"/><Relationship Id="rId57" Type="http://schemas.openxmlformats.org/officeDocument/2006/relationships/footer" Target="footer3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2020-05-04T13:03:54Z</dcterms:created>
  <dcterms:modified xsi:type="dcterms:W3CDTF">2020-05-04T13:03:54Z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WPS Office</vt:lpwstr>
  </property>
  <property fmtid="{D5CDD505-2E9C-101B-9397-08002B2CF9AE}" pid="4" name="LastSaved">
    <vt:filetime>2020-05-04T00:00:00Z</vt:filetime>
  </property>
</Properties>
</file>