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2"/>
        <w:rPr>
          <w:rFonts w:ascii="Times New Roman" w:hAnsi="Times New Roman" w:cs="Times New Roman" w:eastAsia="Times New Roman" w:hint="default"/>
          <w:sz w:val="29"/>
          <w:szCs w:val="29"/>
        </w:rPr>
      </w:pPr>
    </w:p>
    <w:p>
      <w:pPr>
        <w:pStyle w:val="BodyText"/>
        <w:tabs>
          <w:tab w:pos="6165" w:val="left" w:leader="none"/>
        </w:tabs>
        <w:spacing w:line="240" w:lineRule="auto" w:before="44"/>
        <w:ind w:right="0"/>
        <w:jc w:val="left"/>
      </w:pPr>
      <w:r>
        <w:rPr/>
        <w:pict>
          <v:shape style="position:absolute;margin-left:56.759998pt;margin-top:-12.657253pt;width:136.080pt;height:25.32pt;mso-position-horizontal-relative:page;mso-position-vertical-relative:paragraph;z-index:-1066096" type="#_x0000_t75" stroked="false">
            <v:imagedata r:id="rId6" o:title=""/>
          </v:shape>
        </w:pict>
      </w: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浙江万马股份有限公司</w:t>
      </w:r>
      <w:r>
        <w:rPr>
          <w:rFonts w:ascii="宋体" w:hAnsi="宋体" w:cs="宋体" w:eastAsia="宋体" w:hint="default"/>
          <w:sz w:val="36"/>
          <w:szCs w:val="36"/>
        </w:rPr>
      </w:r>
    </w:p>
    <w:p>
      <w:pPr>
        <w:spacing w:before="92"/>
        <w:ind w:left="0" w:right="1014" w:firstLine="0"/>
        <w:jc w:val="center"/>
        <w:rPr>
          <w:rFonts w:ascii="Times New Roman" w:hAnsi="Times New Roman" w:cs="Times New Roman" w:eastAsia="Times New Roman" w:hint="default"/>
          <w:sz w:val="32"/>
          <w:szCs w:val="32"/>
        </w:rPr>
      </w:pPr>
      <w:r>
        <w:rPr>
          <w:rFonts w:ascii="Times New Roman"/>
          <w:sz w:val="32"/>
        </w:rPr>
        <w:t>Zhejiang </w:t>
      </w:r>
      <w:r>
        <w:rPr>
          <w:rFonts w:ascii="Times New Roman"/>
          <w:spacing w:val="-7"/>
          <w:sz w:val="32"/>
        </w:rPr>
        <w:t>Wanma </w:t>
      </w:r>
      <w:r>
        <w:rPr>
          <w:rFonts w:ascii="Times New Roman"/>
          <w:sz w:val="32"/>
        </w:rPr>
        <w:t>Co., Ltd.</w:t>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42"/>
          <w:szCs w:val="42"/>
        </w:rPr>
      </w:pPr>
    </w:p>
    <w:p>
      <w:pPr>
        <w:spacing w:before="0"/>
        <w:ind w:left="0" w:right="1017"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line="2268" w:lineRule="exact"/>
        <w:ind w:left="3799"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1440180" cy="1440179"/>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1440180" cy="1440179"/>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0"/>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29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660" w:bottom="70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2764"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5"/>
        <w:rPr>
          <w:rFonts w:ascii="宋体" w:hAnsi="宋体" w:cs="宋体" w:eastAsia="宋体" w:hint="default"/>
          <w:b/>
          <w:bCs/>
          <w:sz w:val="46"/>
          <w:szCs w:val="46"/>
        </w:rPr>
      </w:pPr>
    </w:p>
    <w:p>
      <w:pPr>
        <w:pStyle w:val="Heading6"/>
        <w:spacing w:line="408" w:lineRule="auto"/>
        <w:ind w:right="0" w:firstLine="420"/>
        <w:jc w:val="left"/>
        <w:rPr>
          <w:b w:val="0"/>
          <w:bCs w:val="0"/>
        </w:rPr>
      </w:pPr>
      <w:r>
        <w:rPr>
          <w:w w:val="95"/>
        </w:rPr>
        <w:t>1.公司董事会、监事会及董事、监事、高级管理人员保证年度报告内容的真实、准确、完整，不存在</w:t>
      </w:r>
      <w:r>
        <w:rPr>
          <w:w w:val="99"/>
        </w:rPr>
        <w:t> </w:t>
      </w:r>
      <w:r>
        <w:rPr/>
        <w:t>虚假记载、误导性陈述或重大遗漏，并承担个别和连带的法律责任。</w:t>
      </w:r>
      <w:r>
        <w:rPr>
          <w:b w:val="0"/>
          <w:bCs w:val="0"/>
        </w:rPr>
      </w:r>
    </w:p>
    <w:p>
      <w:pPr>
        <w:pStyle w:val="Heading6"/>
        <w:spacing w:line="408" w:lineRule="auto" w:before="166"/>
        <w:ind w:right="0" w:firstLine="420"/>
        <w:jc w:val="left"/>
        <w:rPr>
          <w:b w:val="0"/>
          <w:bCs w:val="0"/>
        </w:rPr>
      </w:pPr>
      <w:r>
        <w:rPr>
          <w:w w:val="95"/>
        </w:rPr>
        <w:t>2.公司负责人何若虚、主管会计工作负责人许刚及会计机构负责人(会计主管人员)丁大雷声明：保证</w:t>
      </w:r>
      <w:r>
        <w:rPr>
          <w:spacing w:val="-93"/>
          <w:w w:val="95"/>
        </w:rPr>
        <w:t> </w:t>
      </w:r>
      <w:r>
        <w:rPr>
          <w:spacing w:val="-93"/>
          <w:w w:val="95"/>
        </w:rPr>
      </w:r>
      <w:r>
        <w:rPr/>
        <w:t>年度报告中财务报告的真实、准确、完整。</w:t>
      </w:r>
      <w:r>
        <w:rPr>
          <w:b w:val="0"/>
          <w:bCs w:val="0"/>
        </w:rPr>
      </w:r>
    </w:p>
    <w:p>
      <w:pPr>
        <w:pStyle w:val="Heading6"/>
        <w:spacing w:line="240" w:lineRule="auto" w:before="166"/>
        <w:ind w:left="532" w:right="0"/>
        <w:jc w:val="left"/>
        <w:rPr>
          <w:b w:val="0"/>
          <w:bCs w:val="0"/>
        </w:rPr>
      </w:pPr>
      <w:r>
        <w:rPr/>
        <w:t>3.除下列董事外，其他董事亲自出席了审议本次年报的董事会会议</w:t>
      </w:r>
      <w:r>
        <w:rPr>
          <w:b w:val="0"/>
          <w:bCs w:val="0"/>
        </w:rPr>
      </w:r>
    </w:p>
    <w:p>
      <w:pPr>
        <w:spacing w:line="240" w:lineRule="auto" w:before="8"/>
        <w:rPr>
          <w:rFonts w:ascii="宋体" w:hAnsi="宋体" w:cs="宋体" w:eastAsia="宋体" w:hint="default"/>
          <w:b/>
          <w:bCs/>
          <w:sz w:val="17"/>
          <w:szCs w:val="17"/>
        </w:rPr>
      </w:pPr>
    </w:p>
    <w:tbl>
      <w:tblPr>
        <w:tblW w:w="0" w:type="auto"/>
        <w:jc w:val="left"/>
        <w:tblInd w:w="109" w:type="dxa"/>
        <w:tblLayout w:type="fixed"/>
        <w:tblCellMar>
          <w:top w:w="0" w:type="dxa"/>
          <w:left w:w="0" w:type="dxa"/>
          <w:bottom w:w="0" w:type="dxa"/>
          <w:right w:w="0" w:type="dxa"/>
        </w:tblCellMar>
        <w:tblLook w:val="01E0"/>
      </w:tblPr>
      <w:tblGrid>
        <w:gridCol w:w="2935"/>
        <w:gridCol w:w="2211"/>
        <w:gridCol w:w="2211"/>
        <w:gridCol w:w="2211"/>
      </w:tblGrid>
      <w:tr>
        <w:trPr>
          <w:trHeight w:val="478"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2" w:right="0"/>
              <w:jc w:val="left"/>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2" w:right="0"/>
              <w:jc w:val="left"/>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06"/>
              <w:jc w:val="right"/>
              <w:rPr>
                <w:rFonts w:ascii="宋体" w:hAnsi="宋体" w:cs="宋体" w:eastAsia="宋体" w:hint="default"/>
                <w:sz w:val="21"/>
                <w:szCs w:val="21"/>
              </w:rPr>
            </w:pPr>
            <w:r>
              <w:rPr>
                <w:rFonts w:ascii="宋体" w:hAnsi="宋体" w:cs="宋体" w:eastAsia="宋体" w:hint="default"/>
                <w:w w:val="95"/>
                <w:sz w:val="21"/>
                <w:szCs w:val="21"/>
              </w:rPr>
              <w:t>未亲自出席会议原因</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78"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2" w:right="0"/>
              <w:jc w:val="left"/>
              <w:rPr>
                <w:rFonts w:ascii="宋体" w:hAnsi="宋体" w:cs="宋体" w:eastAsia="宋体" w:hint="default"/>
                <w:sz w:val="21"/>
                <w:szCs w:val="21"/>
              </w:rPr>
            </w:pPr>
            <w:r>
              <w:rPr>
                <w:rFonts w:ascii="宋体" w:hAnsi="宋体" w:cs="宋体" w:eastAsia="宋体" w:hint="default"/>
                <w:sz w:val="21"/>
                <w:szCs w:val="21"/>
              </w:rPr>
              <w:t>何若虚</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6"/>
              <w:jc w:val="right"/>
              <w:rPr>
                <w:rFonts w:ascii="宋体" w:hAnsi="宋体" w:cs="宋体" w:eastAsia="宋体" w:hint="default"/>
                <w:sz w:val="21"/>
                <w:szCs w:val="21"/>
              </w:rPr>
            </w:pPr>
            <w:r>
              <w:rPr>
                <w:rFonts w:ascii="宋体" w:hAnsi="宋体" w:cs="宋体" w:eastAsia="宋体" w:hint="default"/>
                <w:w w:val="95"/>
                <w:sz w:val="21"/>
                <w:szCs w:val="21"/>
              </w:rPr>
              <w:t>因其他公务安排</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3" w:right="0"/>
              <w:jc w:val="left"/>
              <w:rPr>
                <w:rFonts w:ascii="宋体" w:hAnsi="宋体" w:cs="宋体" w:eastAsia="宋体" w:hint="default"/>
                <w:sz w:val="21"/>
                <w:szCs w:val="21"/>
              </w:rPr>
            </w:pPr>
            <w:r>
              <w:rPr>
                <w:rFonts w:ascii="宋体" w:hAnsi="宋体" w:cs="宋体" w:eastAsia="宋体" w:hint="default"/>
                <w:sz w:val="21"/>
                <w:szCs w:val="21"/>
              </w:rPr>
              <w:t>姚伟国</w:t>
            </w:r>
          </w:p>
        </w:tc>
      </w:tr>
    </w:tbl>
    <w:p>
      <w:pPr>
        <w:spacing w:line="240" w:lineRule="auto" w:before="5"/>
        <w:rPr>
          <w:rFonts w:ascii="宋体" w:hAnsi="宋体" w:cs="宋体" w:eastAsia="宋体" w:hint="default"/>
          <w:b/>
          <w:bCs/>
          <w:sz w:val="11"/>
          <w:szCs w:val="11"/>
        </w:rPr>
      </w:pPr>
    </w:p>
    <w:p>
      <w:pPr>
        <w:pStyle w:val="Heading6"/>
        <w:spacing w:line="408" w:lineRule="auto" w:before="34"/>
        <w:ind w:right="0" w:firstLine="420"/>
        <w:jc w:val="left"/>
        <w:rPr>
          <w:b w:val="0"/>
          <w:bCs w:val="0"/>
        </w:rPr>
      </w:pPr>
      <w:r>
        <w:rPr>
          <w:spacing w:val="3"/>
          <w:w w:val="98"/>
        </w:rPr>
        <w:t>4</w:t>
      </w:r>
      <w:r>
        <w:rPr>
          <w:spacing w:val="1"/>
          <w:w w:val="98"/>
        </w:rPr>
        <w:t>.</w:t>
      </w:r>
      <w:r>
        <w:rPr>
          <w:spacing w:val="4"/>
          <w:w w:val="99"/>
        </w:rPr>
        <w:t>请</w:t>
      </w:r>
      <w:r>
        <w:rPr>
          <w:spacing w:val="2"/>
          <w:w w:val="99"/>
        </w:rPr>
        <w:t>投</w:t>
      </w:r>
      <w:r>
        <w:rPr>
          <w:spacing w:val="4"/>
          <w:w w:val="99"/>
        </w:rPr>
        <w:t>资者</w:t>
      </w:r>
      <w:r>
        <w:rPr>
          <w:spacing w:val="2"/>
          <w:w w:val="99"/>
        </w:rPr>
        <w:t>认</w:t>
      </w:r>
      <w:r>
        <w:rPr>
          <w:spacing w:val="4"/>
          <w:w w:val="99"/>
        </w:rPr>
        <w:t>真</w:t>
      </w:r>
      <w:r>
        <w:rPr>
          <w:spacing w:val="2"/>
          <w:w w:val="99"/>
        </w:rPr>
        <w:t>阅</w:t>
      </w:r>
      <w:r>
        <w:rPr>
          <w:spacing w:val="4"/>
          <w:w w:val="99"/>
        </w:rPr>
        <w:t>读本</w:t>
      </w:r>
      <w:r>
        <w:rPr>
          <w:spacing w:val="2"/>
          <w:w w:val="99"/>
        </w:rPr>
        <w:t>年</w:t>
      </w:r>
      <w:r>
        <w:rPr>
          <w:spacing w:val="4"/>
          <w:w w:val="99"/>
        </w:rPr>
        <w:t>度报</w:t>
      </w:r>
      <w:r>
        <w:rPr>
          <w:spacing w:val="2"/>
          <w:w w:val="99"/>
        </w:rPr>
        <w:t>告</w:t>
      </w:r>
      <w:r>
        <w:rPr>
          <w:spacing w:val="4"/>
          <w:w w:val="99"/>
        </w:rPr>
        <w:t>全</w:t>
      </w:r>
      <w:r>
        <w:rPr>
          <w:spacing w:val="2"/>
          <w:w w:val="99"/>
        </w:rPr>
        <w:t>文</w:t>
      </w:r>
      <w:r>
        <w:rPr>
          <w:spacing w:val="4"/>
          <w:w w:val="99"/>
        </w:rPr>
        <w:t>，并</w:t>
      </w:r>
      <w:r>
        <w:rPr>
          <w:spacing w:val="2"/>
          <w:w w:val="99"/>
        </w:rPr>
        <w:t>特</w:t>
      </w:r>
      <w:r>
        <w:rPr>
          <w:spacing w:val="4"/>
          <w:w w:val="99"/>
        </w:rPr>
        <w:t>别注</w:t>
      </w:r>
      <w:r>
        <w:rPr>
          <w:spacing w:val="2"/>
          <w:w w:val="99"/>
        </w:rPr>
        <w:t>意</w:t>
      </w:r>
      <w:r>
        <w:rPr>
          <w:spacing w:val="4"/>
          <w:w w:val="99"/>
        </w:rPr>
        <w:t>风</w:t>
      </w:r>
      <w:r>
        <w:rPr>
          <w:spacing w:val="2"/>
          <w:w w:val="99"/>
        </w:rPr>
        <w:t>险</w:t>
      </w:r>
      <w:r>
        <w:rPr>
          <w:spacing w:val="4"/>
          <w:w w:val="99"/>
        </w:rPr>
        <w:t>因素</w:t>
      </w:r>
      <w:r>
        <w:rPr>
          <w:spacing w:val="-101"/>
          <w:w w:val="99"/>
        </w:rPr>
        <w:t>（</w:t>
      </w:r>
      <w:r>
        <w:rPr>
          <w:spacing w:val="2"/>
          <w:w w:val="99"/>
        </w:rPr>
        <w:t>“</w:t>
      </w:r>
      <w:r>
        <w:rPr>
          <w:spacing w:val="4"/>
          <w:w w:val="99"/>
        </w:rPr>
        <w:t>第</w:t>
      </w:r>
      <w:r>
        <w:rPr>
          <w:spacing w:val="2"/>
          <w:w w:val="99"/>
        </w:rPr>
        <w:t>四</w:t>
      </w:r>
      <w:r>
        <w:rPr>
          <w:w w:val="99"/>
        </w:rPr>
        <w:t>节</w:t>
      </w:r>
      <w:r>
        <w:rPr>
          <w:spacing w:val="6"/>
        </w:rPr>
        <w:t> </w:t>
      </w:r>
      <w:r>
        <w:rPr>
          <w:spacing w:val="4"/>
          <w:w w:val="99"/>
        </w:rPr>
        <w:t>经</w:t>
      </w:r>
      <w:r>
        <w:rPr>
          <w:spacing w:val="2"/>
          <w:w w:val="99"/>
        </w:rPr>
        <w:t>营</w:t>
      </w:r>
      <w:r>
        <w:rPr>
          <w:spacing w:val="4"/>
          <w:w w:val="99"/>
        </w:rPr>
        <w:t>情况</w:t>
      </w:r>
      <w:r>
        <w:rPr>
          <w:spacing w:val="2"/>
          <w:w w:val="99"/>
        </w:rPr>
        <w:t>讨</w:t>
      </w:r>
      <w:r>
        <w:rPr>
          <w:spacing w:val="4"/>
          <w:w w:val="99"/>
        </w:rPr>
        <w:t>论</w:t>
      </w:r>
      <w:r>
        <w:rPr>
          <w:spacing w:val="2"/>
          <w:w w:val="99"/>
        </w:rPr>
        <w:t>与</w:t>
      </w:r>
      <w:r>
        <w:rPr>
          <w:spacing w:val="4"/>
          <w:w w:val="99"/>
        </w:rPr>
        <w:t>分</w:t>
      </w:r>
      <w:r>
        <w:rPr>
          <w:spacing w:val="2"/>
          <w:w w:val="99"/>
        </w:rPr>
        <w:t>析</w:t>
      </w:r>
      <w:r>
        <w:rPr>
          <w:spacing w:val="4"/>
          <w:w w:val="99"/>
        </w:rPr>
        <w:t>”</w:t>
      </w:r>
      <w:r>
        <w:rPr>
          <w:spacing w:val="3"/>
          <w:w w:val="98"/>
        </w:rPr>
        <w:t>-</w:t>
      </w:r>
      <w:r>
        <w:rPr>
          <w:spacing w:val="4"/>
          <w:w w:val="99"/>
        </w:rPr>
        <w:t>“</w:t>
      </w:r>
      <w:r>
        <w:rPr>
          <w:w w:val="99"/>
        </w:rPr>
        <w:t>公</w:t>
      </w:r>
      <w:r>
        <w:rPr>
          <w:w w:val="99"/>
        </w:rPr>
        <w:t> </w:t>
      </w:r>
      <w:r>
        <w:rPr>
          <w:spacing w:val="2"/>
          <w:w w:val="99"/>
        </w:rPr>
        <w:t>司未来</w:t>
      </w:r>
      <w:r>
        <w:rPr>
          <w:spacing w:val="-1"/>
          <w:w w:val="99"/>
        </w:rPr>
        <w:t>发</w:t>
      </w:r>
      <w:r>
        <w:rPr>
          <w:spacing w:val="2"/>
          <w:w w:val="99"/>
        </w:rPr>
        <w:t>展的展望”中“风险因</w:t>
      </w:r>
      <w:r>
        <w:rPr>
          <w:spacing w:val="-1"/>
          <w:w w:val="99"/>
        </w:rPr>
        <w:t>素</w:t>
      </w:r>
      <w:r>
        <w:rPr>
          <w:spacing w:val="2"/>
          <w:w w:val="99"/>
        </w:rPr>
        <w:t>”相关内</w:t>
      </w:r>
      <w:r>
        <w:rPr>
          <w:spacing w:val="-1"/>
          <w:w w:val="99"/>
        </w:rPr>
        <w:t>容</w:t>
      </w:r>
      <w:r>
        <w:rPr>
          <w:spacing w:val="-104"/>
          <w:w w:val="99"/>
        </w:rPr>
        <w:t>）</w:t>
      </w:r>
      <w:r>
        <w:rPr>
          <w:w w:val="99"/>
        </w:rPr>
        <w:t>。</w:t>
      </w:r>
      <w:r>
        <w:rPr>
          <w:b w:val="0"/>
          <w:bCs w:val="0"/>
        </w:rPr>
      </w:r>
    </w:p>
    <w:p>
      <w:pPr>
        <w:pStyle w:val="Heading6"/>
        <w:spacing w:line="240" w:lineRule="auto" w:before="166"/>
        <w:ind w:left="532" w:right="0"/>
        <w:jc w:val="left"/>
        <w:rPr>
          <w:b w:val="0"/>
          <w:bCs w:val="0"/>
        </w:rPr>
      </w:pPr>
      <w:r>
        <w:rPr>
          <w:spacing w:val="4"/>
        </w:rPr>
        <w:t>5.公司经本次董事会审议通过的利润分配预案为：以公司总股本</w:t>
      </w:r>
      <w:r>
        <w:rPr>
          <w:spacing w:val="-62"/>
        </w:rPr>
        <w:t> </w:t>
      </w:r>
      <w:r>
        <w:rPr/>
        <w:t>1,035,489,098</w:t>
      </w:r>
      <w:r>
        <w:rPr>
          <w:spacing w:val="-21"/>
        </w:rPr>
        <w:t> </w:t>
      </w:r>
      <w:r>
        <w:rPr>
          <w:spacing w:val="4"/>
        </w:rPr>
        <w:t>股为基数向全体股</w:t>
      </w:r>
      <w:r>
        <w:rPr>
          <w:b w:val="0"/>
          <w:bCs w:val="0"/>
          <w:spacing w:val="4"/>
        </w:rPr>
      </w:r>
    </w:p>
    <w:p>
      <w:pPr>
        <w:spacing w:line="240" w:lineRule="auto" w:before="10"/>
        <w:rPr>
          <w:rFonts w:ascii="宋体" w:hAnsi="宋体" w:cs="宋体" w:eastAsia="宋体" w:hint="default"/>
          <w:b/>
          <w:bCs/>
          <w:sz w:val="14"/>
          <w:szCs w:val="14"/>
        </w:rPr>
      </w:pPr>
    </w:p>
    <w:p>
      <w:pPr>
        <w:pStyle w:val="Heading6"/>
        <w:spacing w:line="408" w:lineRule="auto"/>
        <w:ind w:right="0"/>
        <w:jc w:val="left"/>
        <w:rPr>
          <w:b w:val="0"/>
          <w:bCs w:val="0"/>
        </w:rPr>
      </w:pPr>
      <w:r>
        <w:rPr/>
        <w:t>东每</w:t>
      </w:r>
      <w:r>
        <w:rPr>
          <w:spacing w:val="-57"/>
        </w:rPr>
        <w:t> </w:t>
      </w:r>
      <w:r>
        <w:rPr/>
        <w:t>10</w:t>
      </w:r>
      <w:r>
        <w:rPr>
          <w:spacing w:val="-59"/>
        </w:rPr>
        <w:t> </w:t>
      </w:r>
      <w:r>
        <w:rPr>
          <w:spacing w:val="3"/>
        </w:rPr>
        <w:t>股派发现金股利人民币</w:t>
      </w:r>
      <w:r>
        <w:rPr>
          <w:spacing w:val="-57"/>
        </w:rPr>
        <w:t> </w:t>
      </w:r>
      <w:r>
        <w:rPr/>
        <w:t>0.20</w:t>
      </w:r>
      <w:r>
        <w:rPr>
          <w:spacing w:val="-58"/>
        </w:rPr>
        <w:t> </w:t>
      </w:r>
      <w:r>
        <w:rPr>
          <w:spacing w:val="3"/>
        </w:rPr>
        <w:t>元(含税)，合计派发现金红利</w:t>
      </w:r>
      <w:r>
        <w:rPr>
          <w:spacing w:val="-10"/>
        </w:rPr>
        <w:t> </w:t>
      </w:r>
      <w:r>
        <w:rPr/>
        <w:t>20,709,781.96</w:t>
      </w:r>
      <w:r>
        <w:rPr>
          <w:spacing w:val="-14"/>
        </w:rPr>
        <w:t> </w:t>
      </w:r>
      <w:r>
        <w:rPr>
          <w:spacing w:val="3"/>
        </w:rPr>
        <w:t>元，其余未分配利润</w:t>
      </w:r>
      <w:r>
        <w:rPr>
          <w:w w:val="99"/>
        </w:rPr>
        <w:t> </w:t>
      </w:r>
      <w:r>
        <w:rPr/>
        <w:t>结转以后年度进行分配。</w:t>
      </w:r>
      <w:r>
        <w:rPr>
          <w:b w:val="0"/>
          <w:bCs w:val="0"/>
        </w:rPr>
      </w:r>
    </w:p>
    <w:p>
      <w:pPr>
        <w:spacing w:after="0" w:line="408" w:lineRule="auto"/>
        <w:jc w:val="left"/>
        <w:sectPr>
          <w:headerReference w:type="default" r:id="rId8"/>
          <w:footerReference w:type="default" r:id="rId9"/>
          <w:pgSz w:w="11910" w:h="16840"/>
          <w:pgMar w:header="890" w:footer="1012" w:top="142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1262" w:val="left" w:leader="none"/>
        </w:tabs>
        <w:spacing w:line="460" w:lineRule="exact" w:before="0"/>
        <w:ind w:left="0" w:right="102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0"/>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5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rPr>
              <w:t>9</w:t>
            </w:r>
          </w:hyperlink>
        </w:p>
        <w:p>
          <w:pPr>
            <w:pStyle w:val="TOC1"/>
            <w:tabs>
              <w:tab w:pos="9752" w:val="right" w:leader="dot"/>
            </w:tabs>
            <w:spacing w:line="240" w:lineRule="auto" w:before="101"/>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13</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37</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51</w:t>
            </w:r>
          </w:hyperlink>
        </w:p>
        <w:p>
          <w:pPr>
            <w:pStyle w:val="TOC1"/>
            <w:tabs>
              <w:tab w:pos="9752" w:val="right" w:leader="dot"/>
            </w:tabs>
            <w:spacing w:line="240" w:lineRule="auto" w:before="101"/>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56</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57</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64</w:t>
            </w:r>
          </w:hyperlink>
        </w:p>
        <w:p>
          <w:pPr>
            <w:pStyle w:val="TOC1"/>
            <w:tabs>
              <w:tab w:pos="9752" w:val="right" w:leader="dot"/>
            </w:tabs>
            <w:spacing w:line="240" w:lineRule="auto" w:before="101"/>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69</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72</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169</w:t>
            </w:r>
          </w:hyperlink>
        </w:p>
        <w:p>
          <w:pPr/>
          <w:r>
            <w:fldChar w:fldCharType="end"/>
          </w:r>
        </w:p>
      </w:sdtContent>
    </w:sdt>
    <w:p>
      <w:pPr>
        <w:spacing w:after="0"/>
        <w:sectPr>
          <w:pgSz w:w="11910" w:h="16840"/>
          <w:pgMar w:header="890" w:footer="1012" w:top="1420" w:bottom="1200" w:left="1020" w:right="0"/>
        </w:sectPr>
      </w:pPr>
    </w:p>
    <w:p>
      <w:pPr>
        <w:pStyle w:val="BodyText"/>
        <w:tabs>
          <w:tab w:pos="6288" w:val="left" w:leader="none"/>
        </w:tabs>
        <w:spacing w:line="236" w:lineRule="exact" w:before="391"/>
        <w:ind w:left="235" w:right="1132"/>
        <w:jc w:val="left"/>
      </w:pPr>
      <w:r>
        <w:rPr/>
        <w:pict>
          <v:shape style="position:absolute;margin-left:70.800003pt;margin-top:3.62001pt;width:136.080pt;height:25.32pt;mso-position-horizontal-relative:page;mso-position-vertical-relative:paragraph;z-index:-1066072" type="#_x0000_t75" stroked="false">
            <v:imagedata r:id="rId6" o:title=""/>
          </v:shape>
        </w:pict>
      </w: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59"/>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5"/>
          <w:u w:val="single" w:color="538DD3"/>
        </w:rPr>
        <w:t> </w:t>
      </w:r>
      <w:r>
        <w:rPr>
          <w:u w:val="single" w:color="538DD3"/>
        </w:rPr>
        <w:t>年年度报告全</w:t>
      </w:r>
      <w:r>
        <w:rPr/>
      </w:r>
      <w:r>
        <w:rPr/>
        <w:t> </w:t>
      </w:r>
      <w:r>
        <w:rPr>
          <w:u w:val="single" w:color="538DD3"/>
        </w:rPr>
        <w:t>文</w:t>
      </w:r>
      <w:r>
        <w:rPr/>
      </w:r>
    </w:p>
    <w:p>
      <w:pPr>
        <w:tabs>
          <w:tab w:pos="801" w:val="left" w:leader="none"/>
        </w:tabs>
        <w:spacing w:before="757"/>
        <w:ind w:left="0" w:right="899"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524"/>
        <w:gridCol w:w="621"/>
        <w:gridCol w:w="5424"/>
      </w:tblGrid>
      <w:tr>
        <w:trPr>
          <w:trHeight w:val="327" w:hRule="exact"/>
        </w:trPr>
        <w:tc>
          <w:tcPr>
            <w:tcW w:w="3524"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2"/>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万马股份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万马集团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万马联合控股集团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r>
      <w:tr>
        <w:trPr>
          <w:trHeight w:val="634"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300" w:lineRule="auto" w:before="11"/>
              <w:ind w:left="98" w:right="198"/>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电气电缆集团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万马投资集团</w:t>
            </w:r>
            <w:r>
              <w:rPr>
                <w:rFonts w:ascii="Times New Roman" w:hAnsi="Times New Roman" w:cs="Times New Roman" w:eastAsia="Times New Roman" w:hint="default"/>
                <w:sz w:val="18"/>
                <w:szCs w:val="18"/>
              </w:rPr>
              <w:t>/</w:t>
            </w:r>
            <w:r>
              <w:rPr>
                <w:rFonts w:ascii="宋体" w:hAnsi="宋体" w:cs="宋体" w:eastAsia="宋体" w:hint="default"/>
                <w:sz w:val="18"/>
                <w:szCs w:val="18"/>
              </w:rPr>
              <w:t>智 能科技集团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11"/>
              <w:ind w:left="102" w:right="96"/>
              <w:jc w:val="left"/>
              <w:rPr>
                <w:rFonts w:ascii="宋体" w:hAnsi="宋体" w:cs="宋体" w:eastAsia="宋体" w:hint="default"/>
                <w:sz w:val="18"/>
                <w:szCs w:val="18"/>
              </w:rPr>
            </w:pPr>
            <w:r>
              <w:rPr>
                <w:rFonts w:ascii="宋体" w:hAnsi="宋体" w:cs="宋体" w:eastAsia="宋体" w:hint="default"/>
                <w:spacing w:val="-1"/>
                <w:sz w:val="18"/>
                <w:szCs w:val="18"/>
              </w:rPr>
              <w:t>浙江万马智能科技集团有限公司（曾用名：浙江万马电气电缆集团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有限公司、浙江万马投资集团有限公司）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万马电缆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万马高分子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万马特缆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专用线缆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天屹通信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万马奔腾新能源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浙江万马奔腾新能源产业有限公司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新能源投资公司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万马新能源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爱充网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海立斯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万马光伏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电腾云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香港骐骥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奥创科技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Optrum Technology</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（奥创科技有限责任公司）</w:t>
            </w:r>
          </w:p>
        </w:tc>
      </w:tr>
      <w:tr>
        <w:trPr>
          <w:trHeight w:val="634"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300" w:lineRule="auto" w:before="12"/>
              <w:ind w:left="98" w:right="248"/>
              <w:jc w:val="left"/>
              <w:rPr>
                <w:rFonts w:ascii="宋体" w:hAnsi="宋体" w:cs="宋体" w:eastAsia="宋体" w:hint="default"/>
                <w:sz w:val="18"/>
                <w:szCs w:val="18"/>
              </w:rPr>
            </w:pP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2" w:hRule="exact"/>
        </w:trPr>
        <w:tc>
          <w:tcPr>
            <w:tcW w:w="35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7" w:hRule="exact"/>
        </w:trPr>
        <w:tc>
          <w:tcPr>
            <w:tcW w:w="352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10"/>
          <w:footerReference w:type="default" r:id="rId11"/>
          <w:pgSz w:w="11910" w:h="16840"/>
          <w:pgMar w:header="0" w:footer="1012" w:top="800" w:bottom="1200" w:left="1180" w:right="0"/>
          <w:pgNumType w:start="4"/>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726" w:right="2654"/>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232" w:right="2654"/>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481"/>
        <w:gridCol w:w="2756"/>
        <w:gridCol w:w="2156"/>
        <w:gridCol w:w="2176"/>
      </w:tblGrid>
      <w:tr>
        <w:trPr>
          <w:trHeight w:val="327" w:hRule="exact"/>
        </w:trPr>
        <w:tc>
          <w:tcPr>
            <w:tcW w:w="2481"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万马股份</w:t>
            </w:r>
          </w:p>
        </w:tc>
        <w:tc>
          <w:tcPr>
            <w:tcW w:w="2156"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002276</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088" w:type="dxa"/>
            <w:gridSpan w:val="3"/>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万马股份</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Zhejiang </w:t>
            </w:r>
            <w:r>
              <w:rPr>
                <w:rFonts w:ascii="Times New Roman"/>
                <w:spacing w:val="-4"/>
                <w:sz w:val="18"/>
              </w:rPr>
              <w:t>Wanma </w:t>
            </w:r>
            <w:r>
              <w:rPr>
                <w:rFonts w:ascii="Times New Roman"/>
                <w:sz w:val="18"/>
              </w:rPr>
              <w:t>Co.,</w:t>
            </w:r>
            <w:r>
              <w:rPr>
                <w:rFonts w:ascii="Times New Roman"/>
                <w:spacing w:val="-4"/>
                <w:sz w:val="18"/>
              </w:rPr>
              <w:t> </w:t>
            </w:r>
            <w:r>
              <w:rPr>
                <w:rFonts w:ascii="Times New Roman"/>
                <w:sz w:val="18"/>
              </w:rPr>
              <w:t>Ltd.</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pacing w:val="-4"/>
                <w:sz w:val="18"/>
              </w:rPr>
              <w:t>Wanma </w:t>
            </w:r>
            <w:r>
              <w:rPr>
                <w:rFonts w:ascii="Times New Roman"/>
                <w:sz w:val="18"/>
              </w:rPr>
              <w:t>Co.,</w:t>
            </w:r>
            <w:r>
              <w:rPr>
                <w:rFonts w:ascii="Times New Roman"/>
                <w:spacing w:val="1"/>
                <w:sz w:val="18"/>
              </w:rPr>
              <w:t> </w:t>
            </w:r>
            <w:r>
              <w:rPr>
                <w:rFonts w:ascii="Times New Roman"/>
                <w:sz w:val="18"/>
              </w:rPr>
              <w:t>Ltd</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浙江省杭州市临安区青山湖街道鹤亭街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浙江省杭州市临安区青山湖街道鹤亭街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48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08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hyperlink r:id="rId13">
              <w:r>
                <w:rPr>
                  <w:rFonts w:ascii="Times New Roman"/>
                  <w:sz w:val="18"/>
                </w:rPr>
                <w:t>http://www.wanma-cable.cn</w:t>
              </w:r>
            </w:hyperlink>
          </w:p>
        </w:tc>
      </w:tr>
      <w:tr>
        <w:trPr>
          <w:trHeight w:val="327" w:hRule="exact"/>
        </w:trPr>
        <w:tc>
          <w:tcPr>
            <w:tcW w:w="2481"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88" w:type="dxa"/>
            <w:gridSpan w:val="3"/>
            <w:tcBorders>
              <w:top w:val="single" w:sz="4" w:space="0" w:color="000000"/>
              <w:left w:val="single" w:sz="4" w:space="0" w:color="000000"/>
              <w:bottom w:val="single" w:sz="8" w:space="0" w:color="000000"/>
              <w:right w:val="single" w:sz="8"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hyperlink r:id="rId14">
              <w:r>
                <w:rPr>
                  <w:rFonts w:ascii="Times New Roman"/>
                  <w:sz w:val="18"/>
                </w:rPr>
                <w:t>investor@wanmagroup.com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32" w:right="265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489"/>
        <w:gridCol w:w="3240"/>
        <w:gridCol w:w="3840"/>
      </w:tblGrid>
      <w:tr>
        <w:trPr>
          <w:trHeight w:val="327" w:hRule="exact"/>
        </w:trPr>
        <w:tc>
          <w:tcPr>
            <w:tcW w:w="2489" w:type="dxa"/>
            <w:tcBorders>
              <w:top w:val="single" w:sz="8" w:space="0" w:color="000000"/>
              <w:left w:val="single" w:sz="8" w:space="0" w:color="000000"/>
              <w:bottom w:val="single" w:sz="4" w:space="0" w:color="000000"/>
              <w:right w:val="single" w:sz="4" w:space="0" w:color="000000"/>
            </w:tcBorders>
            <w:shd w:val="clear" w:color="auto" w:fill="D2D2D2"/>
          </w:tcPr>
          <w:p>
            <w:pPr/>
          </w:p>
        </w:tc>
        <w:tc>
          <w:tcPr>
            <w:tcW w:w="3240"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40"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489"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赵宇恺</w:t>
            </w:r>
          </w:p>
        </w:tc>
        <w:tc>
          <w:tcPr>
            <w:tcW w:w="3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邵淑青</w:t>
            </w:r>
          </w:p>
        </w:tc>
      </w:tr>
      <w:tr>
        <w:trPr>
          <w:trHeight w:val="322" w:hRule="exact"/>
        </w:trPr>
        <w:tc>
          <w:tcPr>
            <w:tcW w:w="2489"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浙江省杭州市西湖区天目山路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浙江省杭州市临安区青山湖街道鹤亭街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22" w:hRule="exact"/>
        </w:trPr>
        <w:tc>
          <w:tcPr>
            <w:tcW w:w="2489"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0571-63755256</w:t>
            </w:r>
          </w:p>
        </w:tc>
        <w:tc>
          <w:tcPr>
            <w:tcW w:w="3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0571-63755192</w:t>
            </w:r>
          </w:p>
        </w:tc>
      </w:tr>
      <w:tr>
        <w:trPr>
          <w:trHeight w:val="322" w:hRule="exact"/>
        </w:trPr>
        <w:tc>
          <w:tcPr>
            <w:tcW w:w="2489"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0571-63755256</w:t>
            </w:r>
          </w:p>
        </w:tc>
        <w:tc>
          <w:tcPr>
            <w:tcW w:w="3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0571-63755256</w:t>
            </w:r>
          </w:p>
        </w:tc>
      </w:tr>
      <w:tr>
        <w:trPr>
          <w:trHeight w:val="327" w:hRule="exact"/>
        </w:trPr>
        <w:tc>
          <w:tcPr>
            <w:tcW w:w="2489"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hyperlink r:id="rId14">
              <w:r>
                <w:rPr>
                  <w:rFonts w:ascii="Times New Roman"/>
                  <w:sz w:val="18"/>
                </w:rPr>
                <w:t>investor@wanmagroup.com</w:t>
              </w:r>
            </w:hyperlink>
          </w:p>
        </w:tc>
        <w:tc>
          <w:tcPr>
            <w:tcW w:w="384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hyperlink r:id="rId14">
              <w:r>
                <w:rPr>
                  <w:rFonts w:ascii="Times New Roman"/>
                  <w:sz w:val="18"/>
                </w:rPr>
                <w:t>investor@wanmagroup.com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32" w:right="265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739"/>
        <w:gridCol w:w="5829"/>
      </w:tblGrid>
      <w:tr>
        <w:trPr>
          <w:trHeight w:val="327" w:hRule="exact"/>
        </w:trPr>
        <w:tc>
          <w:tcPr>
            <w:tcW w:w="3739"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29"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322" w:hRule="exact"/>
        </w:trPr>
        <w:tc>
          <w:tcPr>
            <w:tcW w:w="3739"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2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r>
      <w:tr>
        <w:trPr>
          <w:trHeight w:val="327" w:hRule="exact"/>
        </w:trPr>
        <w:tc>
          <w:tcPr>
            <w:tcW w:w="3739"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2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公司董秘办</w:t>
            </w:r>
          </w:p>
        </w:tc>
      </w:tr>
    </w:tbl>
    <w:p>
      <w:pPr>
        <w:spacing w:line="240" w:lineRule="auto" w:before="2"/>
        <w:rPr>
          <w:rFonts w:ascii="宋体" w:hAnsi="宋体" w:cs="宋体" w:eastAsia="宋体" w:hint="default"/>
          <w:b/>
          <w:bCs/>
          <w:sz w:val="18"/>
          <w:szCs w:val="18"/>
        </w:rPr>
      </w:pPr>
    </w:p>
    <w:p>
      <w:pPr>
        <w:pStyle w:val="Heading2"/>
        <w:spacing w:line="240" w:lineRule="auto" w:before="26"/>
        <w:ind w:left="232" w:right="2654"/>
        <w:jc w:val="left"/>
        <w:rPr>
          <w:b w:val="0"/>
          <w:bCs w:val="0"/>
        </w:rPr>
      </w:pPr>
      <w:bookmarkStart w:name="四、注册变更情况" w:id="8"/>
      <w:bookmarkEnd w:id="8"/>
      <w:r>
        <w:rPr>
          <w:b w:val="0"/>
          <w:bCs w:val="0"/>
        </w:rPr>
      </w: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475"/>
        <w:gridCol w:w="7093"/>
      </w:tblGrid>
      <w:tr>
        <w:trPr>
          <w:trHeight w:val="327" w:hRule="exact"/>
        </w:trPr>
        <w:tc>
          <w:tcPr>
            <w:tcW w:w="2475"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093"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913300007043088475</w:t>
            </w:r>
          </w:p>
        </w:tc>
      </w:tr>
      <w:tr>
        <w:trPr>
          <w:trHeight w:val="321" w:hRule="exact"/>
        </w:trPr>
        <w:tc>
          <w:tcPr>
            <w:tcW w:w="2475" w:type="dxa"/>
            <w:tcBorders>
              <w:top w:val="single" w:sz="4" w:space="0" w:color="000000"/>
              <w:left w:val="single" w:sz="8" w:space="0" w:color="000000"/>
              <w:bottom w:val="nil" w:sz="6" w:space="0" w:color="auto"/>
              <w:right w:val="single" w:sz="4" w:space="0" w:color="000000"/>
            </w:tcBorders>
            <w:shd w:val="clear" w:color="auto" w:fill="D2D2D2"/>
          </w:tcPr>
          <w:p>
            <w:pPr/>
          </w:p>
        </w:tc>
        <w:tc>
          <w:tcPr>
            <w:tcW w:w="7093"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自上市以来，公司一直主营电力电缆业务。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年公司实施重大资产重组，增加线缆及</w:t>
            </w:r>
          </w:p>
        </w:tc>
      </w:tr>
      <w:tr>
        <w:trPr>
          <w:trHeight w:val="308" w:hRule="exact"/>
        </w:trPr>
        <w:tc>
          <w:tcPr>
            <w:tcW w:w="2475" w:type="dxa"/>
            <w:tcBorders>
              <w:top w:val="nil" w:sz="6" w:space="0" w:color="auto"/>
              <w:left w:val="single" w:sz="8" w:space="0" w:color="000000"/>
              <w:bottom w:val="nil" w:sz="6" w:space="0" w:color="auto"/>
              <w:right w:val="single" w:sz="4" w:space="0" w:color="000000"/>
            </w:tcBorders>
            <w:shd w:val="clear" w:color="auto" w:fill="D2D2D2"/>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w:t>
            </w:r>
          </w:p>
        </w:tc>
        <w:tc>
          <w:tcPr>
            <w:tcW w:w="7093" w:type="dxa"/>
            <w:tcBorders>
              <w:top w:val="nil" w:sz="6" w:space="0" w:color="auto"/>
              <w:left w:val="single" w:sz="4" w:space="0" w:color="000000"/>
              <w:bottom w:val="nil" w:sz="6" w:space="0" w:color="auto"/>
              <w:right w:val="single" w:sz="8"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新领域用材料的研发、生产与销售；光纤光缆、同轴电缆、数据通信电缆等系列产品的</w:t>
            </w:r>
          </w:p>
        </w:tc>
      </w:tr>
      <w:tr>
        <w:trPr>
          <w:trHeight w:val="312" w:hRule="exact"/>
        </w:trPr>
        <w:tc>
          <w:tcPr>
            <w:tcW w:w="2475" w:type="dxa"/>
            <w:tcBorders>
              <w:top w:val="nil" w:sz="6" w:space="0" w:color="auto"/>
              <w:left w:val="single" w:sz="8" w:space="0" w:color="000000"/>
              <w:bottom w:val="nil" w:sz="6" w:space="0" w:color="auto"/>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化情况（如有）</w:t>
            </w:r>
          </w:p>
        </w:tc>
        <w:tc>
          <w:tcPr>
            <w:tcW w:w="7093"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研发、生产与销售。近几年来，公司新能源充电桩系列产品的研发、生产、销售量迅速</w:t>
            </w:r>
          </w:p>
        </w:tc>
      </w:tr>
      <w:tr>
        <w:trPr>
          <w:trHeight w:val="317" w:hRule="exact"/>
        </w:trPr>
        <w:tc>
          <w:tcPr>
            <w:tcW w:w="2475" w:type="dxa"/>
            <w:tcBorders>
              <w:top w:val="nil" w:sz="6" w:space="0" w:color="auto"/>
              <w:left w:val="single" w:sz="8" w:space="0" w:color="000000"/>
              <w:bottom w:val="single" w:sz="4" w:space="0" w:color="000000"/>
              <w:right w:val="single" w:sz="4" w:space="0" w:color="000000"/>
            </w:tcBorders>
            <w:shd w:val="clear" w:color="auto" w:fill="D2D2D2"/>
          </w:tcPr>
          <w:p>
            <w:pPr/>
          </w:p>
        </w:tc>
        <w:tc>
          <w:tcPr>
            <w:tcW w:w="7093"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增长，并根据市场需求，新增充电网络运维服务、充电网投资等新能源相关业务。</w:t>
            </w:r>
          </w:p>
        </w:tc>
      </w:tr>
      <w:tr>
        <w:trPr>
          <w:trHeight w:val="345" w:hRule="exact"/>
        </w:trPr>
        <w:tc>
          <w:tcPr>
            <w:tcW w:w="2475"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历次控股股东的变更情</w:t>
            </w:r>
            <w:r>
              <w:rPr>
                <w:rFonts w:ascii="宋体" w:hAnsi="宋体" w:cs="宋体" w:eastAsia="宋体" w:hint="default"/>
                <w:spacing w:val="-82"/>
                <w:sz w:val="18"/>
                <w:szCs w:val="18"/>
              </w:rPr>
              <w:t>况</w:t>
            </w:r>
            <w:r>
              <w:rPr>
                <w:rFonts w:ascii="宋体" w:hAnsi="宋体" w:cs="宋体" w:eastAsia="宋体" w:hint="default"/>
                <w:sz w:val="18"/>
                <w:szCs w:val="18"/>
              </w:rPr>
              <w:t>（如</w:t>
            </w:r>
          </w:p>
        </w:tc>
        <w:tc>
          <w:tcPr>
            <w:tcW w:w="7093"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left"/>
        <w:rPr>
          <w:rFonts w:ascii="宋体" w:hAnsi="宋体" w:cs="宋体" w:eastAsia="宋体" w:hint="default"/>
          <w:sz w:val="18"/>
          <w:szCs w:val="18"/>
        </w:rPr>
        <w:sectPr>
          <w:headerReference w:type="default" r:id="rId12"/>
          <w:pgSz w:w="11910" w:h="16840"/>
          <w:pgMar w:header="890" w:footer="1012" w:top="1420" w:bottom="1200" w:left="900" w:right="0"/>
        </w:sectPr>
      </w:pPr>
    </w:p>
    <w:p>
      <w:pPr>
        <w:spacing w:line="240" w:lineRule="auto" w:before="8"/>
        <w:rPr>
          <w:rFonts w:ascii="宋体" w:hAnsi="宋体" w:cs="宋体" w:eastAsia="宋体" w:hint="default"/>
          <w:b/>
          <w:bCs/>
          <w:sz w:val="3"/>
          <w:szCs w:val="3"/>
        </w:rPr>
      </w:pPr>
    </w:p>
    <w:p>
      <w:pPr>
        <w:spacing w:line="360" w:lineRule="exact"/>
        <w:ind w:left="11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0.35pt;height:18.05pt;mso-position-horizontal-relative:char;mso-position-vertical-relative:line" coordorigin="0,0" coordsize="9607,361">
            <v:group style="position:absolute;left:27;top:18;width:2465;height:317" coordorigin="27,18" coordsize="2465,317">
              <v:shape style="position:absolute;left:27;top:18;width:2465;height:317" coordorigin="27,18" coordsize="2465,317" path="m27,18l2492,18,2492,335,27,335,27,18xe" filled="true" fillcolor="#d2d2d2" stroked="false">
                <v:path arrowok="t"/>
                <v:fill type="solid"/>
              </v:shape>
            </v:group>
            <v:group style="position:absolute;left:29;top:14;width:9549;height:2" coordorigin="29,14" coordsize="9549,2">
              <v:shape style="position:absolute;left:29;top:14;width:9549;height:2" coordorigin="29,14" coordsize="9549,0" path="m29,14l9578,14e" filled="false" stroked="true" strokeweight=".48pt" strokecolor="#000000">
                <v:path arrowok="t"/>
              </v:shape>
            </v:group>
            <v:group style="position:absolute;left:10;top:341;width:9588;height:2" coordorigin="10,341" coordsize="9588,2">
              <v:shape style="position:absolute;left:10;top:341;width:9588;height:2" coordorigin="10,341" coordsize="9588,0" path="m10,341l9597,341e" filled="false" stroked="true" strokeweight=".96pt" strokecolor="#000000">
                <v:path arrowok="t"/>
              </v:shape>
            </v:group>
            <v:group style="position:absolute;left:19;top:10;width:2;height:342" coordorigin="19,10" coordsize="2,342">
              <v:shape style="position:absolute;left:19;top:10;width:2;height:342" coordorigin="19,10" coordsize="0,342" path="m19,10l19,351e" filled="false" stroked="true" strokeweight=".96pt" strokecolor="#000000">
                <v:path arrowok="t"/>
              </v:shape>
            </v:group>
            <v:group style="position:absolute;left:9587;top:10;width:2;height:342" coordorigin="9587,10" coordsize="2,342">
              <v:shape style="position:absolute;left:9587;top:10;width:2;height:342" coordorigin="9587,10" coordsize="0,342" path="m9587,10l9587,351e" filled="false" stroked="true" strokeweight=".96pt" strokecolor="#000000">
                <v:path arrowok="t"/>
              </v:shape>
            </v:group>
            <v:group style="position:absolute;left:2494;top:10;width:2;height:322" coordorigin="2494,10" coordsize="2,322">
              <v:shape style="position:absolute;left:2494;top:10;width:2;height:322" coordorigin="2494,10" coordsize="0,322" path="m2494,10l2494,332e" filled="false" stroked="true" strokeweight=".48pt" strokecolor="#000000">
                <v:path arrowok="t"/>
              </v:shape>
              <v:shape style="position:absolute;left:19;top:14;width:2475;height:327" type="#_x0000_t202" filled="false" stroked="false">
                <v:textbox inset="0,0,0,0">
                  <w:txbxContent>
                    <w:p>
                      <w:pPr>
                        <w:spacing w:before="16"/>
                        <w:ind w:left="107"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v:group>
          </v:group>
        </w:pict>
      </w:r>
      <w:r>
        <w:rPr>
          <w:rFonts w:ascii="宋体" w:hAnsi="宋体" w:cs="宋体" w:eastAsia="宋体" w:hint="default"/>
          <w:position w:val="-6"/>
          <w:sz w:val="20"/>
          <w:szCs w:val="20"/>
        </w:rPr>
      </w:r>
    </w:p>
    <w:p>
      <w:pPr>
        <w:spacing w:line="240" w:lineRule="auto" w:before="5"/>
        <w:rPr>
          <w:rFonts w:ascii="宋体" w:hAnsi="宋体" w:cs="宋体" w:eastAsia="宋体" w:hint="default"/>
          <w:b/>
          <w:bCs/>
          <w:sz w:val="17"/>
          <w:szCs w:val="17"/>
        </w:rPr>
      </w:pPr>
    </w:p>
    <w:p>
      <w:pPr>
        <w:pStyle w:val="Heading2"/>
        <w:spacing w:line="240" w:lineRule="auto" w:before="26"/>
        <w:ind w:left="252" w:right="1119"/>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2" w:right="1119"/>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662"/>
        <w:gridCol w:w="6906"/>
      </w:tblGrid>
      <w:tr>
        <w:trPr>
          <w:trHeight w:val="327" w:hRule="exact"/>
        </w:trPr>
        <w:tc>
          <w:tcPr>
            <w:tcW w:w="2662"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2" w:hRule="exact"/>
        </w:trPr>
        <w:tc>
          <w:tcPr>
            <w:tcW w:w="2662"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 </w:t>
            </w:r>
            <w:r>
              <w:rPr>
                <w:rFonts w:ascii="Times New Roman" w:hAnsi="Times New Roman" w:cs="Times New Roman" w:eastAsia="Times New Roman" w:hint="default"/>
                <w:sz w:val="18"/>
                <w:szCs w:val="18"/>
              </w:rPr>
              <w:t>8  </w:t>
            </w:r>
            <w:r>
              <w:rPr>
                <w:rFonts w:ascii="宋体" w:hAnsi="宋体" w:cs="宋体" w:eastAsia="宋体" w:hint="default"/>
                <w:sz w:val="18"/>
                <w:szCs w:val="18"/>
              </w:rPr>
              <w:t>号富华大厦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层</w:t>
            </w:r>
          </w:p>
        </w:tc>
      </w:tr>
      <w:tr>
        <w:trPr>
          <w:trHeight w:val="327" w:hRule="exact"/>
        </w:trPr>
        <w:tc>
          <w:tcPr>
            <w:tcW w:w="2662"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罗玉成、刘向荣</w:t>
            </w:r>
          </w:p>
        </w:tc>
      </w:tr>
    </w:tbl>
    <w:p>
      <w:pPr>
        <w:pStyle w:val="BodyText"/>
        <w:spacing w:line="240" w:lineRule="auto" w:before="52"/>
        <w:ind w:left="252" w:right="1119"/>
        <w:jc w:val="left"/>
      </w:pPr>
      <w:r>
        <w:rPr/>
        <w:t>公司聘请的报告期内履行持续督导职责的保荐机构</w:t>
      </w:r>
    </w:p>
    <w:p>
      <w:pPr>
        <w:pStyle w:val="BodyText"/>
        <w:spacing w:line="240" w:lineRule="auto" w:before="115"/>
        <w:ind w:left="252" w:right="1119"/>
        <w:jc w:val="left"/>
      </w:pPr>
      <w:r>
        <w:rPr/>
        <w:t>√ 适用 □ 不适用</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392"/>
        <w:gridCol w:w="2392"/>
        <w:gridCol w:w="2392"/>
        <w:gridCol w:w="2392"/>
      </w:tblGrid>
      <w:tr>
        <w:trPr>
          <w:trHeight w:val="327" w:hRule="exact"/>
        </w:trPr>
        <w:tc>
          <w:tcPr>
            <w:tcW w:w="2392"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639" w:hRule="exact"/>
        </w:trPr>
        <w:tc>
          <w:tcPr>
            <w:tcW w:w="239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c>
          <w:tcPr>
            <w:tcW w:w="23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杭州市江干区五星路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浙商证券大厦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赵华、陈忠志</w:t>
            </w:r>
          </w:p>
        </w:tc>
        <w:tc>
          <w:tcPr>
            <w:tcW w:w="239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pStyle w:val="BodyText"/>
        <w:spacing w:line="240" w:lineRule="auto" w:before="52"/>
        <w:ind w:left="252" w:right="1119"/>
        <w:jc w:val="left"/>
      </w:pPr>
      <w:r>
        <w:rPr/>
        <w:t>公司聘请的报告期内履行持续督导职责的财务顾问</w:t>
      </w:r>
    </w:p>
    <w:p>
      <w:pPr>
        <w:pStyle w:val="BodyText"/>
        <w:spacing w:line="240" w:lineRule="auto" w:before="115"/>
        <w:ind w:left="252" w:right="1119"/>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52" w:right="1119"/>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2" w:right="1119"/>
        <w:jc w:val="left"/>
      </w:pPr>
      <w:r>
        <w:rPr/>
        <w:t>公司是否需追溯调整或重述以前年度会计数据</w:t>
      </w:r>
    </w:p>
    <w:p>
      <w:pPr>
        <w:pStyle w:val="BodyText"/>
        <w:spacing w:line="240" w:lineRule="auto" w:before="115"/>
        <w:ind w:left="252" w:right="1119"/>
        <w:jc w:val="left"/>
      </w:pPr>
      <w:r>
        <w:rPr/>
        <w:t>□ 是 √ 否</w:t>
      </w:r>
    </w:p>
    <w:p>
      <w:pPr>
        <w:spacing w:line="240" w:lineRule="auto" w:before="3"/>
        <w:rPr>
          <w:rFonts w:ascii="宋体" w:hAnsi="宋体" w:cs="宋体" w:eastAsia="宋体" w:hint="default"/>
          <w:sz w:val="8"/>
          <w:szCs w:val="8"/>
        </w:rPr>
      </w:pPr>
    </w:p>
    <w:tbl>
      <w:tblPr>
        <w:tblW w:w="0" w:type="auto"/>
        <w:jc w:val="left"/>
        <w:tblInd w:w="239" w:type="dxa"/>
        <w:tblLayout w:type="fixed"/>
        <w:tblCellMar>
          <w:top w:w="0" w:type="dxa"/>
          <w:left w:w="0" w:type="dxa"/>
          <w:bottom w:w="0" w:type="dxa"/>
          <w:right w:w="0" w:type="dxa"/>
        </w:tblCellMar>
        <w:tblLook w:val="01E0"/>
      </w:tblPr>
      <w:tblGrid>
        <w:gridCol w:w="3347"/>
        <w:gridCol w:w="1555"/>
        <w:gridCol w:w="1555"/>
        <w:gridCol w:w="1555"/>
        <w:gridCol w:w="1557"/>
      </w:tblGrid>
      <w:tr>
        <w:trPr>
          <w:trHeight w:val="412" w:hRule="exact"/>
        </w:trPr>
        <w:tc>
          <w:tcPr>
            <w:tcW w:w="334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5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5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8,739,834,605.92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7,408,734,019.51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17.97%</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9"/>
              <w:jc w:val="right"/>
              <w:rPr>
                <w:rFonts w:ascii="Times New Roman" w:hAnsi="Times New Roman" w:cs="Times New Roman" w:eastAsia="Times New Roman" w:hint="default"/>
                <w:sz w:val="18"/>
                <w:szCs w:val="18"/>
              </w:rPr>
            </w:pPr>
            <w:r>
              <w:rPr>
                <w:rFonts w:ascii="Times New Roman"/>
                <w:spacing w:val="-1"/>
                <w:sz w:val="18"/>
              </w:rPr>
              <w:t>6,379,646,046.28</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111,714,711.22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114,951,714.07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-2.82%</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215,218,216.65</w:t>
            </w:r>
          </w:p>
        </w:tc>
      </w:tr>
      <w:tr>
        <w:trPr>
          <w:trHeight w:val="714"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92" w:right="17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100,661,508.45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75,541,795.34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33.25%</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203,877,410.98</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638,571,286.93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-940,404,275.35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167.90%</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280,206,930.88</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2"/>
                <w:sz w:val="18"/>
              </w:rPr>
              <w:t>0.11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0.12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z w:val="18"/>
              </w:rPr>
              <w:t>-8.33%</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2"/>
                <w:sz w:val="18"/>
              </w:rPr>
              <w:t>0.11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0.12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-8.33%</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3.26%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z w:val="18"/>
              </w:rPr>
              <w:t>-0.49%</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9"/>
              <w:jc w:val="right"/>
              <w:rPr>
                <w:rFonts w:ascii="Times New Roman" w:hAnsi="Times New Roman" w:cs="Times New Roman" w:eastAsia="Times New Roman" w:hint="default"/>
                <w:sz w:val="18"/>
                <w:szCs w:val="18"/>
              </w:rPr>
            </w:pPr>
            <w:r>
              <w:rPr>
                <w:rFonts w:ascii="Times New Roman"/>
                <w:sz w:val="18"/>
              </w:rPr>
              <w:t>7.16%</w:t>
            </w:r>
          </w:p>
        </w:tc>
      </w:tr>
      <w:tr>
        <w:trPr>
          <w:trHeight w:val="634"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592" w:right="141" w:hanging="452"/>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55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34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7,343,777,417.11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7,043,224,157.58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4.27%</w:t>
            </w:r>
          </w:p>
        </w:tc>
        <w:tc>
          <w:tcPr>
            <w:tcW w:w="15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5,031,968,958.20</w:t>
            </w:r>
          </w:p>
        </w:tc>
      </w:tr>
      <w:tr>
        <w:trPr>
          <w:trHeight w:val="412" w:hRule="exact"/>
        </w:trPr>
        <w:tc>
          <w:tcPr>
            <w:tcW w:w="334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4,015,421,137.23</w:t>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3,974,250,037.64</w:t>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1.04%</w:t>
            </w:r>
          </w:p>
        </w:tc>
        <w:tc>
          <w:tcPr>
            <w:tcW w:w="15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0"/>
              <w:ind w:right="89"/>
              <w:jc w:val="right"/>
              <w:rPr>
                <w:rFonts w:ascii="Times New Roman" w:hAnsi="Times New Roman" w:cs="Times New Roman" w:eastAsia="Times New Roman" w:hint="default"/>
                <w:sz w:val="18"/>
                <w:szCs w:val="18"/>
              </w:rPr>
            </w:pPr>
            <w:r>
              <w:rPr>
                <w:rFonts w:ascii="Times New Roman"/>
                <w:spacing w:val="-1"/>
                <w:sz w:val="18"/>
              </w:rPr>
              <w:t>3,067,547,051.36</w:t>
            </w:r>
          </w:p>
        </w:tc>
      </w:tr>
    </w:tbl>
    <w:p>
      <w:pPr>
        <w:spacing w:line="240" w:lineRule="auto" w:before="1"/>
        <w:rPr>
          <w:rFonts w:ascii="宋体" w:hAnsi="宋体" w:cs="宋体" w:eastAsia="宋体" w:hint="default"/>
          <w:sz w:val="18"/>
          <w:szCs w:val="18"/>
        </w:rPr>
      </w:pPr>
    </w:p>
    <w:p>
      <w:pPr>
        <w:pStyle w:val="Heading2"/>
        <w:spacing w:line="240" w:lineRule="auto" w:before="26"/>
        <w:ind w:left="252" w:right="1119"/>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52" w:right="1119"/>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52" w:right="2654"/>
        <w:jc w:val="left"/>
      </w:pPr>
      <w:r>
        <w:rPr/>
        <w:t>□ 适用 √ 不适用 公司报告期不存在按照国际会计准则与按照中国会计准则披露的财务报告中净利润和净资产差异情况。</w:t>
      </w:r>
    </w:p>
    <w:p>
      <w:pPr>
        <w:spacing w:after="0" w:line="360" w:lineRule="auto"/>
        <w:jc w:val="left"/>
        <w:sectPr>
          <w:pgSz w:w="11910" w:h="16840"/>
          <w:pgMar w:header="890" w:footer="1012" w:top="1420" w:bottom="1200" w:left="880" w:right="0"/>
        </w:sectPr>
      </w:pPr>
    </w:p>
    <w:p>
      <w:pPr>
        <w:spacing w:line="240" w:lineRule="auto" w:before="6"/>
        <w:rPr>
          <w:rFonts w:ascii="宋体" w:hAnsi="宋体" w:cs="宋体" w:eastAsia="宋体" w:hint="default"/>
          <w:sz w:val="23"/>
          <w:szCs w:val="23"/>
        </w:rPr>
      </w:pPr>
    </w:p>
    <w:p>
      <w:pPr>
        <w:pStyle w:val="BodyText"/>
        <w:spacing w:line="360" w:lineRule="auto" w:before="44"/>
        <w:ind w:left="232" w:right="2654"/>
        <w:jc w:val="left"/>
      </w:pPr>
      <w:bookmarkStart w:name="2、同时按照境外会计准则与按照中国会计准则披露的财务报告中净利润和净资产差异情况" w:id="13"/>
      <w:bookmarkEnd w:id="13"/>
      <w:r>
        <w:rPr/>
      </w:r>
      <w:r>
        <w:rPr/>
        <w:t>□ 适用 √ 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2"/>
        <w:spacing w:line="240" w:lineRule="auto"/>
        <w:ind w:left="232" w:right="2654"/>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327" w:hRule="exact"/>
        </w:trPr>
        <w:tc>
          <w:tcPr>
            <w:tcW w:w="2621" w:type="dxa"/>
            <w:tcBorders>
              <w:top w:val="single" w:sz="8" w:space="0" w:color="000000"/>
              <w:left w:val="single" w:sz="8" w:space="0" w:color="000000"/>
              <w:bottom w:val="single" w:sz="4" w:space="0" w:color="000000"/>
              <w:right w:val="single" w:sz="4" w:space="0" w:color="000000"/>
            </w:tcBorders>
            <w:shd w:val="clear" w:color="auto" w:fill="D2D2D2"/>
          </w:tcPr>
          <w:p>
            <w:pPr/>
          </w:p>
        </w:tc>
        <w:tc>
          <w:tcPr>
            <w:tcW w:w="1740"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0"/>
              <w:ind w:left="50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1,735,786,509.40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2,452,161,734.05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2,144,454,136.36</w:t>
            </w:r>
          </w:p>
        </w:tc>
        <w:tc>
          <w:tcPr>
            <w:tcW w:w="173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0"/>
              <w:ind w:right="93"/>
              <w:jc w:val="right"/>
              <w:rPr>
                <w:rFonts w:ascii="Times New Roman" w:hAnsi="Times New Roman" w:cs="Times New Roman" w:eastAsia="Times New Roman" w:hint="default"/>
                <w:sz w:val="18"/>
                <w:szCs w:val="18"/>
              </w:rPr>
            </w:pPr>
            <w:r>
              <w:rPr>
                <w:rFonts w:ascii="Times New Roman"/>
                <w:spacing w:val="-1"/>
                <w:sz w:val="18"/>
              </w:rPr>
              <w:t>2,407,432,226.11</w:t>
            </w:r>
          </w:p>
        </w:tc>
      </w:tr>
      <w:tr>
        <w:trPr>
          <w:trHeight w:val="402" w:hRule="exact"/>
        </w:trPr>
        <w:tc>
          <w:tcPr>
            <w:tcW w:w="262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-28,254,818.31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67,182,935.93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28,019,891.04</w:t>
            </w:r>
          </w:p>
        </w:tc>
        <w:tc>
          <w:tcPr>
            <w:tcW w:w="173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44,766,702.56</w:t>
            </w:r>
          </w:p>
        </w:tc>
      </w:tr>
      <w:tr>
        <w:trPr>
          <w:trHeight w:val="634" w:hRule="exact"/>
        </w:trPr>
        <w:tc>
          <w:tcPr>
            <w:tcW w:w="2621"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316" w:lineRule="auto" w:before="9"/>
              <w:ind w:left="98"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-20,173,547.30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54,585,921.64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28,304,187.86</w:t>
            </w:r>
          </w:p>
        </w:tc>
        <w:tc>
          <w:tcPr>
            <w:tcW w:w="173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37,944,946.25</w:t>
            </w:r>
          </w:p>
        </w:tc>
      </w:tr>
      <w:tr>
        <w:trPr>
          <w:trHeight w:val="407" w:hRule="exact"/>
        </w:trPr>
        <w:tc>
          <w:tcPr>
            <w:tcW w:w="2621"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-249,859,912.12</w:t>
            </w:r>
          </w:p>
        </w:tc>
        <w:tc>
          <w:tcPr>
            <w:tcW w:w="173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511,497,702.02</w:t>
            </w:r>
          </w:p>
        </w:tc>
        <w:tc>
          <w:tcPr>
            <w:tcW w:w="173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282,825,726.68</w:t>
            </w:r>
          </w:p>
        </w:tc>
        <w:tc>
          <w:tcPr>
            <w:tcW w:w="173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94,107,770.35</w:t>
            </w:r>
          </w:p>
        </w:tc>
      </w:tr>
    </w:tbl>
    <w:p>
      <w:pPr>
        <w:pStyle w:val="BodyText"/>
        <w:spacing w:line="240" w:lineRule="auto" w:before="51"/>
        <w:ind w:left="232" w:right="2654"/>
        <w:jc w:val="left"/>
      </w:pPr>
      <w:r>
        <w:rPr/>
        <w:t>上述财务指标或其加总数是否与公司已披露季度报告、半年度报告相关财务指标存在重大差异</w:t>
      </w:r>
    </w:p>
    <w:p>
      <w:pPr>
        <w:pStyle w:val="BodyText"/>
        <w:spacing w:line="240" w:lineRule="auto" w:before="115"/>
        <w:ind w:left="232" w:right="2654"/>
        <w:jc w:val="left"/>
      </w:pPr>
      <w:r>
        <w:rPr/>
        <w:t>□ 是 √ 否</w:t>
      </w:r>
    </w:p>
    <w:p>
      <w:pPr>
        <w:spacing w:line="240" w:lineRule="auto" w:before="1"/>
        <w:rPr>
          <w:rFonts w:ascii="宋体" w:hAnsi="宋体" w:cs="宋体" w:eastAsia="宋体" w:hint="default"/>
          <w:sz w:val="25"/>
          <w:szCs w:val="25"/>
        </w:rPr>
      </w:pPr>
    </w:p>
    <w:p>
      <w:pPr>
        <w:pStyle w:val="Heading2"/>
        <w:spacing w:line="240" w:lineRule="auto"/>
        <w:ind w:left="232" w:right="2654"/>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32" w:right="2654"/>
        <w:jc w:val="left"/>
      </w:pPr>
      <w:r>
        <w:rPr/>
        <w:t>√ 适用 □ 不适用</w:t>
      </w:r>
    </w:p>
    <w:p>
      <w:pPr>
        <w:pStyle w:val="BodyText"/>
        <w:spacing w:line="240" w:lineRule="auto" w:before="115"/>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499"/>
        <w:gridCol w:w="1453"/>
        <w:gridCol w:w="1453"/>
        <w:gridCol w:w="1453"/>
        <w:gridCol w:w="1710"/>
      </w:tblGrid>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01" w:right="145"/>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-227,841.42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-133,635.18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3" w:right="154"/>
              <w:jc w:val="left"/>
              <w:rPr>
                <w:rFonts w:ascii="宋体" w:hAnsi="宋体" w:cs="宋体" w:eastAsia="宋体" w:hint="default"/>
                <w:sz w:val="18"/>
                <w:szCs w:val="18"/>
              </w:rPr>
            </w:pPr>
            <w:r>
              <w:rPr>
                <w:rFonts w:ascii="宋体" w:hAnsi="宋体" w:cs="宋体" w:eastAsia="宋体" w:hint="default"/>
                <w:sz w:val="18"/>
                <w:szCs w:val="18"/>
              </w:rPr>
              <w:t>系处置固定资产损 失</w:t>
            </w:r>
          </w:p>
        </w:tc>
      </w:tr>
      <w:tr>
        <w:trPr>
          <w:trHeight w:val="634"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45"/>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14,365,848.70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1" w:right="145"/>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20,788,389.25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17,088,498.20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17,537,690.57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13,766,720.37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8,976,817.79</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系银行理财收益</w:t>
            </w:r>
          </w:p>
        </w:tc>
      </w:tr>
      <w:tr>
        <w:trPr>
          <w:trHeight w:val="2194"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1" w:right="14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-19,597,662.95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3,179,207.15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-490,558.00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4"/>
              <w:jc w:val="both"/>
              <w:rPr>
                <w:rFonts w:ascii="宋体" w:hAnsi="宋体" w:cs="宋体" w:eastAsia="宋体" w:hint="default"/>
                <w:sz w:val="18"/>
                <w:szCs w:val="18"/>
              </w:rPr>
            </w:pPr>
            <w:r>
              <w:rPr>
                <w:rFonts w:ascii="宋体" w:hAnsi="宋体" w:cs="宋体" w:eastAsia="宋体" w:hint="default"/>
                <w:sz w:val="18"/>
                <w:szCs w:val="18"/>
              </w:rPr>
              <w:t>公司开展套期保值 业务，期货价格波 动超出现货价格波 动部分列入套保无 效部分及开展远期 结购汇公允价值变 动和交割收益</w:t>
            </w:r>
          </w:p>
        </w:tc>
      </w:tr>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17,247.00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-1,774,147.06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-889,957.27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-3,816,491.29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479,587.11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2,426,400.26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1,612,782.50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608,239.60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656,254.16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160,664.93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11,053,202.77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39,409,918.73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11,340,805.67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16"/>
          <w:pgSz w:w="11910" w:h="16840"/>
          <w:pgMar w:header="890" w:footer="1012" w:top="1760" w:bottom="1200" w:left="900" w:right="0"/>
        </w:sectPr>
      </w:pPr>
    </w:p>
    <w:p>
      <w:pPr>
        <w:pStyle w:val="BodyText"/>
        <w:spacing w:line="240" w:lineRule="auto" w:before="66"/>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t>□ 适用 √ 不适用</w:t>
      </w:r>
    </w:p>
    <w:p>
      <w:pPr>
        <w:pStyle w:val="BodyText"/>
        <w:spacing w:line="300" w:lineRule="auto" w:before="117"/>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headerReference w:type="default" r:id="rId17"/>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08"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Heading6"/>
        <w:spacing w:line="240" w:lineRule="auto" w:before="2"/>
        <w:ind w:left="518" w:right="0"/>
        <w:jc w:val="left"/>
        <w:rPr>
          <w:b w:val="0"/>
          <w:bCs w:val="0"/>
        </w:rPr>
      </w:pPr>
      <w:r>
        <w:rPr/>
        <w:t>公司主要业务涉及电线电缆、新材料、新能源三大行业：</w:t>
      </w:r>
      <w:r>
        <w:rPr>
          <w:b w:val="0"/>
          <w:bCs w:val="0"/>
        </w:rPr>
      </w:r>
    </w:p>
    <w:p>
      <w:pPr>
        <w:spacing w:line="240" w:lineRule="auto" w:before="10"/>
        <w:rPr>
          <w:rFonts w:ascii="宋体" w:hAnsi="宋体" w:cs="宋体" w:eastAsia="宋体" w:hint="default"/>
          <w:b/>
          <w:bCs/>
          <w:sz w:val="14"/>
          <w:szCs w:val="14"/>
        </w:rPr>
      </w:pPr>
    </w:p>
    <w:p>
      <w:pPr>
        <w:pStyle w:val="Heading7"/>
        <w:spacing w:line="448" w:lineRule="auto"/>
        <w:ind w:left="595" w:right="1120" w:hanging="63"/>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电线电缆</w:t>
      </w:r>
      <w:r>
        <w:rPr>
          <w:rFonts w:ascii="宋体" w:hAnsi="宋体" w:cs="宋体" w:eastAsia="宋体" w:hint="default"/>
          <w:b/>
          <w:bCs/>
          <w:w w:val="99"/>
        </w:rPr>
        <w:t> </w:t>
      </w:r>
      <w:r>
        <w:rPr>
          <w:w w:val="95"/>
        </w:rPr>
        <w:t>公司以绿色能源传输为已任，能为客户提供智能输电解决方案。产品大类主要包括电力电缆（</w:t>
      </w:r>
      <w:r>
        <w:rPr>
          <w:rFonts w:ascii="Times New Roman" w:hAnsi="Times New Roman" w:cs="Times New Roman" w:eastAsia="Times New Roman" w:hint="default"/>
          <w:w w:val="95"/>
        </w:rPr>
        <w:t>500kV</w:t>
      </w:r>
      <w:r>
        <w:rPr>
          <w:rFonts w:ascii="Times New Roman" w:hAnsi="Times New Roman" w:cs="Times New Roman" w:eastAsia="Times New Roman" w:hint="default"/>
        </w:rPr>
      </w:r>
    </w:p>
    <w:p>
      <w:pPr>
        <w:pStyle w:val="Heading7"/>
        <w:spacing w:line="266" w:lineRule="exact"/>
        <w:ind w:right="0"/>
        <w:jc w:val="left"/>
      </w:pPr>
      <w:r>
        <w:rPr>
          <w:spacing w:val="-1"/>
          <w:w w:val="99"/>
        </w:rPr>
        <w:t>及</w:t>
      </w:r>
      <w:r>
        <w:rPr>
          <w:spacing w:val="2"/>
          <w:w w:val="99"/>
        </w:rPr>
        <w:t>以</w:t>
      </w:r>
      <w:r>
        <w:rPr>
          <w:spacing w:val="-1"/>
          <w:w w:val="99"/>
        </w:rPr>
        <w:t>下</w:t>
      </w:r>
      <w:r>
        <w:rPr>
          <w:spacing w:val="2"/>
          <w:w w:val="99"/>
        </w:rPr>
        <w:t>的</w:t>
      </w:r>
      <w:r>
        <w:rPr>
          <w:spacing w:val="-1"/>
          <w:w w:val="99"/>
        </w:rPr>
        <w:t>超</w:t>
      </w:r>
      <w:r>
        <w:rPr>
          <w:spacing w:val="2"/>
          <w:w w:val="99"/>
        </w:rPr>
        <w:t>高</w:t>
      </w:r>
      <w:r>
        <w:rPr>
          <w:spacing w:val="-1"/>
          <w:w w:val="99"/>
        </w:rPr>
        <w:t>压</w:t>
      </w:r>
      <w:r>
        <w:rPr>
          <w:spacing w:val="2"/>
          <w:w w:val="99"/>
        </w:rPr>
        <w:t>交</w:t>
      </w:r>
      <w:r>
        <w:rPr>
          <w:spacing w:val="-1"/>
          <w:w w:val="99"/>
        </w:rPr>
        <w:t>联</w:t>
      </w:r>
      <w:r>
        <w:rPr>
          <w:spacing w:val="2"/>
          <w:w w:val="99"/>
        </w:rPr>
        <w:t>聚</w:t>
      </w:r>
      <w:r>
        <w:rPr>
          <w:spacing w:val="-1"/>
          <w:w w:val="99"/>
        </w:rPr>
        <w:t>乙</w:t>
      </w:r>
      <w:r>
        <w:rPr>
          <w:spacing w:val="2"/>
          <w:w w:val="99"/>
        </w:rPr>
        <w:t>烯</w:t>
      </w:r>
      <w:r>
        <w:rPr>
          <w:spacing w:val="-1"/>
          <w:w w:val="99"/>
        </w:rPr>
        <w:t>绝</w:t>
      </w:r>
      <w:r>
        <w:rPr>
          <w:spacing w:val="2"/>
          <w:w w:val="99"/>
        </w:rPr>
        <w:t>缘</w:t>
      </w:r>
      <w:r>
        <w:rPr>
          <w:spacing w:val="-1"/>
          <w:w w:val="99"/>
        </w:rPr>
        <w:t>电</w:t>
      </w:r>
      <w:r>
        <w:rPr>
          <w:spacing w:val="2"/>
          <w:w w:val="99"/>
        </w:rPr>
        <w:t>缆、</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k</w:t>
      </w:r>
      <w:r>
        <w:rPr>
          <w:rFonts w:ascii="Times New Roman" w:hAnsi="Times New Roman" w:cs="Times New Roman" w:eastAsia="Times New Roman" w:hint="default"/>
          <w:w w:val="99"/>
        </w:rPr>
        <w:t>V</w:t>
      </w:r>
      <w:r>
        <w:rPr>
          <w:spacing w:val="2"/>
          <w:w w:val="99"/>
        </w:rPr>
        <w:t>～</w:t>
      </w:r>
      <w:r>
        <w:rPr>
          <w:rFonts w:ascii="Times New Roman" w:hAnsi="Times New Roman" w:cs="Times New Roman" w:eastAsia="Times New Roman" w:hint="default"/>
          <w:spacing w:val="1"/>
          <w:w w:val="99"/>
        </w:rPr>
        <w:t>35</w:t>
      </w:r>
      <w:r>
        <w:rPr>
          <w:rFonts w:ascii="Times New Roman" w:hAnsi="Times New Roman" w:cs="Times New Roman" w:eastAsia="Times New Roman" w:hint="default"/>
          <w:spacing w:val="-2"/>
          <w:w w:val="99"/>
        </w:rPr>
        <w:t>k</w:t>
      </w:r>
      <w:r>
        <w:rPr>
          <w:rFonts w:ascii="Times New Roman" w:hAnsi="Times New Roman" w:cs="Times New Roman" w:eastAsia="Times New Roman" w:hint="default"/>
          <w:w w:val="99"/>
        </w:rPr>
        <w:t>V</w:t>
      </w:r>
      <w:r>
        <w:rPr>
          <w:spacing w:val="-1"/>
          <w:w w:val="99"/>
        </w:rPr>
        <w:t>的</w:t>
      </w:r>
      <w:r>
        <w:rPr>
          <w:spacing w:val="2"/>
          <w:w w:val="99"/>
        </w:rPr>
        <w:t>中</w:t>
      </w:r>
      <w:r>
        <w:rPr>
          <w:spacing w:val="-1"/>
          <w:w w:val="99"/>
        </w:rPr>
        <w:t>压</w:t>
      </w:r>
      <w:r>
        <w:rPr>
          <w:spacing w:val="2"/>
          <w:w w:val="99"/>
        </w:rPr>
        <w:t>电</w:t>
      </w:r>
      <w:r>
        <w:rPr>
          <w:spacing w:val="-1"/>
          <w:w w:val="99"/>
        </w:rPr>
        <w:t>缆</w:t>
      </w:r>
      <w:r>
        <w:rPr>
          <w:spacing w:val="2"/>
          <w:w w:val="99"/>
        </w:rPr>
        <w:t>、</w:t>
      </w:r>
      <w:r>
        <w:rPr>
          <w:spacing w:val="-1"/>
          <w:w w:val="99"/>
        </w:rPr>
        <w:t>低</w:t>
      </w:r>
      <w:r>
        <w:rPr>
          <w:spacing w:val="2"/>
          <w:w w:val="99"/>
        </w:rPr>
        <w:t>压</w:t>
      </w:r>
      <w:r>
        <w:rPr>
          <w:spacing w:val="-1"/>
          <w:w w:val="99"/>
        </w:rPr>
        <w:t>电</w:t>
      </w:r>
      <w:r>
        <w:rPr>
          <w:spacing w:val="2"/>
          <w:w w:val="99"/>
        </w:rPr>
        <w:t>缆</w:t>
      </w:r>
      <w:r>
        <w:rPr>
          <w:spacing w:val="-104"/>
          <w:w w:val="99"/>
        </w:rPr>
        <w:t>）</w:t>
      </w:r>
      <w:r>
        <w:rPr>
          <w:spacing w:val="-1"/>
          <w:w w:val="99"/>
        </w:rPr>
        <w:t>、</w:t>
      </w:r>
      <w:r>
        <w:rPr>
          <w:spacing w:val="2"/>
          <w:w w:val="99"/>
        </w:rPr>
        <w:t>防</w:t>
      </w:r>
      <w:r>
        <w:rPr>
          <w:spacing w:val="-1"/>
          <w:w w:val="99"/>
        </w:rPr>
        <w:t>火</w:t>
      </w:r>
      <w:r>
        <w:rPr>
          <w:spacing w:val="2"/>
          <w:w w:val="99"/>
        </w:rPr>
        <w:t>耐</w:t>
      </w:r>
      <w:r>
        <w:rPr>
          <w:spacing w:val="-1"/>
          <w:w w:val="99"/>
        </w:rPr>
        <w:t>火</w:t>
      </w:r>
      <w:r>
        <w:rPr>
          <w:spacing w:val="2"/>
          <w:w w:val="99"/>
        </w:rPr>
        <w:t>电</w:t>
      </w:r>
      <w:r>
        <w:rPr>
          <w:spacing w:val="-1"/>
          <w:w w:val="99"/>
        </w:rPr>
        <w:t>缆</w:t>
      </w:r>
      <w:r>
        <w:rPr>
          <w:spacing w:val="2"/>
          <w:w w:val="99"/>
        </w:rPr>
        <w:t>、</w:t>
      </w:r>
      <w:r>
        <w:rPr>
          <w:spacing w:val="-1"/>
          <w:w w:val="99"/>
        </w:rPr>
        <w:t>特</w:t>
      </w:r>
      <w:r>
        <w:rPr>
          <w:spacing w:val="2"/>
          <w:w w:val="99"/>
        </w:rPr>
        <w:t>种</w:t>
      </w:r>
      <w:r>
        <w:rPr>
          <w:spacing w:val="-1"/>
          <w:w w:val="99"/>
        </w:rPr>
        <w:t>电</w:t>
      </w:r>
      <w:r>
        <w:rPr>
          <w:spacing w:val="2"/>
          <w:w w:val="99"/>
        </w:rPr>
        <w:t>缆</w:t>
      </w:r>
      <w:r>
        <w:rPr>
          <w:w w:val="99"/>
        </w:rPr>
        <w:t>、</w:t>
      </w:r>
      <w:r>
        <w:rPr/>
      </w:r>
    </w:p>
    <w:p>
      <w:pPr>
        <w:pStyle w:val="Heading7"/>
        <w:spacing w:line="408" w:lineRule="auto" w:before="177"/>
        <w:ind w:right="0"/>
        <w:jc w:val="left"/>
      </w:pPr>
      <w:r>
        <w:rPr>
          <w:w w:val="95"/>
        </w:rPr>
        <w:t>民用建筑线缆、光纤光缆、同轴电缆、数据通信电缆、高端智能装备线缆等系列产品，是国内拥有完整线</w:t>
      </w:r>
      <w:r>
        <w:rPr>
          <w:spacing w:val="37"/>
          <w:w w:val="95"/>
        </w:rPr>
        <w:t> </w:t>
      </w:r>
      <w:r>
        <w:rPr>
          <w:spacing w:val="37"/>
          <w:w w:val="95"/>
        </w:rPr>
      </w:r>
      <w:r>
        <w:rPr/>
        <w:t>缆产业链的</w:t>
      </w:r>
      <w:r>
        <w:rPr>
          <w:rFonts w:ascii="Times New Roman" w:hAnsi="Times New Roman" w:cs="Times New Roman" w:eastAsia="Times New Roman" w:hint="default"/>
        </w:rPr>
        <w:t>“</w:t>
      </w:r>
      <w:r>
        <w:rPr/>
        <w:t>综合线缆供应商</w:t>
      </w:r>
      <w:r>
        <w:rPr>
          <w:rFonts w:ascii="Times New Roman" w:hAnsi="Times New Roman" w:cs="Times New Roman" w:eastAsia="Times New Roman" w:hint="default"/>
        </w:rPr>
        <w:t>”</w:t>
      </w:r>
      <w:r>
        <w:rPr/>
        <w:t>。</w:t>
      </w:r>
    </w:p>
    <w:p>
      <w:pPr>
        <w:pStyle w:val="Heading7"/>
        <w:spacing w:line="400" w:lineRule="auto" w:before="170"/>
        <w:ind w:right="1132" w:firstLine="482"/>
        <w:jc w:val="both"/>
      </w:pPr>
      <w:r>
        <w:rPr>
          <w:spacing w:val="-2"/>
        </w:rPr>
        <w:t>我国电线电缆行业集中度正在提高，技术水平在快速提升。公司产品种类齐全，具备电力传输一体化</w:t>
      </w:r>
      <w:r>
        <w:rPr>
          <w:w w:val="99"/>
        </w:rPr>
        <w:t> </w:t>
      </w:r>
      <w:r>
        <w:rPr>
          <w:w w:val="95"/>
        </w:rPr>
        <w:t>解决能力，超高压电缆、防火电缆、风能电缆等线缆产品处于国内领先地位。经中国电器工业协会电线电</w:t>
      </w:r>
      <w:r>
        <w:rPr>
          <w:spacing w:val="39"/>
          <w:w w:val="95"/>
        </w:rPr>
        <w:t> </w:t>
      </w:r>
      <w:r>
        <w:rPr>
          <w:spacing w:val="39"/>
          <w:w w:val="95"/>
        </w:rPr>
      </w:r>
      <w:r>
        <w:rPr>
          <w:w w:val="95"/>
        </w:rPr>
        <w:t>缆分会和上海电缆研究所联合评比，万马股份荣获</w:t>
      </w:r>
      <w:r>
        <w:rPr>
          <w:rFonts w:ascii="Times New Roman" w:hAnsi="Times New Roman" w:cs="Times New Roman" w:eastAsia="Times New Roman" w:hint="default"/>
          <w:w w:val="95"/>
        </w:rPr>
        <w:t>“2018</w:t>
      </w:r>
      <w:r>
        <w:rPr>
          <w:w w:val="95"/>
        </w:rPr>
        <w:t>中国线缆行业最具竞争力企业</w:t>
      </w:r>
      <w:r>
        <w:rPr>
          <w:rFonts w:ascii="Times New Roman" w:hAnsi="Times New Roman" w:cs="Times New Roman" w:eastAsia="Times New Roman" w:hint="default"/>
          <w:w w:val="95"/>
        </w:rPr>
        <w:t>10</w:t>
      </w:r>
      <w:r>
        <w:rPr>
          <w:w w:val="95"/>
        </w:rPr>
        <w:t>强</w:t>
      </w:r>
      <w:r>
        <w:rPr>
          <w:rFonts w:ascii="Times New Roman" w:hAnsi="Times New Roman" w:cs="Times New Roman" w:eastAsia="Times New Roman" w:hint="default"/>
          <w:w w:val="95"/>
        </w:rPr>
        <w:t>”</w:t>
      </w:r>
      <w:r>
        <w:rPr>
          <w:w w:val="95"/>
        </w:rPr>
        <w:t>；经《中国能</w:t>
      </w:r>
      <w:r>
        <w:rPr>
          <w:spacing w:val="57"/>
          <w:w w:val="95"/>
        </w:rPr>
        <w:t> </w:t>
      </w:r>
      <w:r>
        <w:rPr>
          <w:spacing w:val="57"/>
          <w:w w:val="95"/>
        </w:rPr>
      </w:r>
      <w:r>
        <w:rPr/>
        <w:t>源报》与中国能源经济研究院联合评比，公司荣登</w:t>
      </w:r>
      <w:r>
        <w:rPr>
          <w:rFonts w:ascii="Times New Roman" w:hAnsi="Times New Roman" w:cs="Times New Roman" w:eastAsia="Times New Roman" w:hint="default"/>
        </w:rPr>
        <w:t>“2018</w:t>
      </w:r>
      <w:r>
        <w:rPr/>
        <w:t>全球新能源企业</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榜单，位列第</w:t>
      </w:r>
      <w:r>
        <w:rPr>
          <w:rFonts w:ascii="Times New Roman" w:hAnsi="Times New Roman" w:cs="Times New Roman" w:eastAsia="Times New Roman" w:hint="default"/>
        </w:rPr>
        <w:t>132</w:t>
      </w:r>
      <w:r>
        <w:rPr/>
        <w:t>位。</w:t>
      </w:r>
    </w:p>
    <w:p>
      <w:pPr>
        <w:pStyle w:val="Heading7"/>
        <w:spacing w:line="400" w:lineRule="auto" w:before="177"/>
        <w:ind w:right="1025" w:firstLine="482"/>
        <w:jc w:val="left"/>
      </w:pPr>
      <w:r>
        <w:rPr>
          <w:spacing w:val="-2"/>
          <w:w w:val="99"/>
        </w:rPr>
        <w:t>公司在同轴电缆行业拥有广泛的销售渠道和良好的客户关系，在欧美等高端市场和国内外中高端同轴</w:t>
      </w:r>
      <w:r>
        <w:rPr>
          <w:w w:val="99"/>
        </w:rPr>
        <w:t> </w:t>
      </w:r>
      <w:r>
        <w:rPr/>
        <w:t>电缆行业享有声誉，是美国</w:t>
      </w:r>
      <w:r>
        <w:rPr>
          <w:rFonts w:ascii="Times New Roman" w:hAnsi="Times New Roman" w:cs="Times New Roman" w:eastAsia="Times New Roman" w:hint="default"/>
        </w:rPr>
        <w:t>DTV</w:t>
      </w:r>
      <w:r>
        <w:rPr/>
        <w:t>公司在中国主要的卫星电视用同轴电缆的供应商；拥有世界上最先进的物</w:t>
      </w:r>
      <w:r>
        <w:rPr>
          <w:w w:val="99"/>
        </w:rPr>
        <w:t> </w:t>
      </w:r>
      <w:r>
        <w:rPr/>
        <w:t>理发泡串联生产线（奥地利罗森泰生产线）以及符合美国</w:t>
      </w:r>
      <w:r>
        <w:rPr>
          <w:rFonts w:ascii="Times New Roman" w:hAnsi="Times New Roman" w:cs="Times New Roman" w:eastAsia="Times New Roman" w:hint="default"/>
        </w:rPr>
        <w:t>SCTE</w:t>
      </w:r>
      <w:r>
        <w:rPr/>
        <w:t>标准、</w:t>
      </w:r>
      <w:r>
        <w:rPr>
          <w:rFonts w:ascii="Times New Roman" w:hAnsi="Times New Roman" w:cs="Times New Roman" w:eastAsia="Times New Roman" w:hint="default"/>
        </w:rPr>
        <w:t>UL</w:t>
      </w:r>
      <w:r>
        <w:rPr/>
        <w:t>标准和德国莱茵认证的电缆实验</w:t>
      </w:r>
      <w:r>
        <w:rPr>
          <w:w w:val="99"/>
        </w:rPr>
        <w:t> </w:t>
      </w:r>
      <w:r>
        <w:rPr/>
        <w:t>室及电缆材料检测中心，同时建立了完善的同轴电缆生产在线实时监控系统，确保了产品质量得到有效保</w:t>
      </w:r>
      <w:r>
        <w:rPr>
          <w:w w:val="99"/>
        </w:rPr>
        <w:t> </w:t>
      </w:r>
      <w:r>
        <w:rPr>
          <w:spacing w:val="-3"/>
        </w:rPr>
        <w:t>障。公司未来将紧紧抓住电子信息与通信行业的快速发展期，不断做大做强高端工业装备控制线缆及线束、</w:t>
      </w:r>
      <w:r>
        <w:rPr>
          <w:w w:val="99"/>
        </w:rPr>
        <w:t> </w:t>
      </w:r>
      <w:r>
        <w:rPr/>
        <w:t>电子连接线、高速数据线等业务领域，开拓新的业务空间，逐步实现新的增长点。</w:t>
      </w:r>
    </w:p>
    <w:p>
      <w:pPr>
        <w:pStyle w:val="Heading7"/>
        <w:spacing w:line="448" w:lineRule="auto" w:before="131"/>
        <w:ind w:left="595" w:right="1119" w:firstLine="28"/>
        <w:jc w:val="left"/>
      </w:pPr>
      <w:r>
        <w:rPr>
          <w:rFonts w:ascii="Times New Roman" w:hAnsi="Times New Roman" w:cs="Times New Roman" w:eastAsia="Times New Roman" w:hint="default"/>
          <w:b/>
          <w:bCs/>
        </w:rPr>
        <w:t>2.</w:t>
      </w:r>
      <w:r>
        <w:rPr>
          <w:rFonts w:ascii="宋体" w:hAnsi="宋体" w:cs="宋体" w:eastAsia="宋体" w:hint="default"/>
          <w:b/>
          <w:bCs/>
        </w:rPr>
        <w:t>新材料</w:t>
      </w:r>
      <w:r>
        <w:rPr>
          <w:rFonts w:ascii="宋体" w:hAnsi="宋体" w:cs="宋体" w:eastAsia="宋体" w:hint="default"/>
          <w:b/>
          <w:bCs/>
          <w:w w:val="99"/>
        </w:rPr>
        <w:t> </w:t>
      </w:r>
      <w:r>
        <w:rPr>
          <w:spacing w:val="-2"/>
        </w:rPr>
        <w:t>万马高分子专业从事化学交联电力电缆绝缘、屏蔽材料、电缆用阻燃性材料以及环保型高分子新材料</w:t>
      </w:r>
    </w:p>
    <w:p>
      <w:pPr>
        <w:pStyle w:val="Heading7"/>
        <w:spacing w:line="240" w:lineRule="auto" w:before="10"/>
        <w:ind w:right="0"/>
        <w:jc w:val="left"/>
      </w:pPr>
      <w:r>
        <w:rPr/>
        <w:t>的研发、生产与销售，是国内从事化学交联电缆绝缘材料生产历史悠久的企业，公司主要产品包括：</w:t>
      </w:r>
    </w:p>
    <w:p>
      <w:pPr>
        <w:spacing w:line="240" w:lineRule="auto" w:before="9"/>
        <w:rPr>
          <w:rFonts w:ascii="宋体" w:hAnsi="宋体" w:cs="宋体" w:eastAsia="宋体" w:hint="default"/>
          <w:sz w:val="26"/>
          <w:szCs w:val="26"/>
        </w:rPr>
      </w:pPr>
    </w:p>
    <w:p>
      <w:pPr>
        <w:pStyle w:val="Heading7"/>
        <w:spacing w:line="386" w:lineRule="auto"/>
        <w:ind w:right="1120" w:firstLine="482"/>
        <w:jc w:val="left"/>
      </w:pPr>
      <w:r>
        <w:rPr>
          <w:rFonts w:ascii="Times New Roman" w:hAnsi="Times New Roman" w:cs="Times New Roman" w:eastAsia="Times New Roman" w:hint="default"/>
        </w:rPr>
        <w:t>110kV</w:t>
      </w:r>
      <w:r>
        <w:rPr/>
        <w:t>及以上化学交联聚乙烯高压电缆用绝缘料、</w:t>
      </w:r>
      <w:r>
        <w:rPr>
          <w:rFonts w:ascii="Times New Roman" w:hAnsi="Times New Roman" w:cs="Times New Roman" w:eastAsia="Times New Roman" w:hint="default"/>
        </w:rPr>
        <w:t>35kV</w:t>
      </w:r>
      <w:r>
        <w:rPr/>
        <w:t>及以下化学交联聚乙烯电缆用绝缘料、</w:t>
      </w:r>
      <w:r>
        <w:rPr>
          <w:rFonts w:ascii="Times New Roman" w:hAnsi="Times New Roman" w:cs="Times New Roman" w:eastAsia="Times New Roman" w:hint="default"/>
        </w:rPr>
        <w:t>35kV</w:t>
      </w:r>
      <w:r>
        <w:rPr>
          <w:rFonts w:ascii="Times New Roman" w:hAnsi="Times New Roman" w:cs="Times New Roman" w:eastAsia="Times New Roman" w:hint="default"/>
          <w:w w:val="99"/>
        </w:rPr>
        <w:t> </w:t>
      </w:r>
      <w:r>
        <w:rPr>
          <w:spacing w:val="-1"/>
          <w:w w:val="95"/>
        </w:rPr>
        <w:t>及以下化学交联黑色聚乙烯架空电缆用绝缘料、</w:t>
      </w:r>
      <w:r>
        <w:rPr>
          <w:rFonts w:ascii="Times New Roman" w:hAnsi="Times New Roman" w:cs="Times New Roman" w:eastAsia="Times New Roman" w:hint="default"/>
          <w:spacing w:val="-1"/>
          <w:w w:val="95"/>
        </w:rPr>
        <w:t>35kV</w:t>
      </w:r>
      <w:r>
        <w:rPr>
          <w:spacing w:val="-1"/>
          <w:w w:val="95"/>
        </w:rPr>
        <w:t>及以下抗水树电缆用绝缘料；中高压电缆用内外屏蔽</w:t>
      </w:r>
      <w:r>
        <w:rPr>
          <w:spacing w:val="41"/>
          <w:w w:val="95"/>
        </w:rPr>
        <w:t> </w:t>
      </w:r>
      <w:r>
        <w:rPr>
          <w:spacing w:val="41"/>
          <w:w w:val="95"/>
        </w:rPr>
      </w:r>
      <w:r>
        <w:rPr/>
        <w:t>料；特种 </w:t>
      </w:r>
      <w:r>
        <w:rPr>
          <w:rFonts w:ascii="Times New Roman" w:hAnsi="Times New Roman" w:cs="Times New Roman" w:eastAsia="Times New Roman" w:hint="default"/>
        </w:rPr>
        <w:t>PVC</w:t>
      </w:r>
      <w:r>
        <w:rPr>
          <w:rFonts w:ascii="Times New Roman" w:hAnsi="Times New Roman" w:cs="Times New Roman" w:eastAsia="Times New Roman" w:hint="default"/>
          <w:spacing w:val="20"/>
        </w:rPr>
        <w:t> </w:t>
      </w:r>
      <w:r>
        <w:rPr/>
        <w:t>料；一步法、两步法及特种硅烷交联聚乙烯绝缘料、自然交联聚乙烯电缆料；热塑性、辐</w:t>
      </w:r>
    </w:p>
    <w:p>
      <w:pPr>
        <w:spacing w:after="0" w:line="386" w:lineRule="auto"/>
        <w:jc w:val="left"/>
        <w:sectPr>
          <w:pgSz w:w="11910" w:h="16840"/>
          <w:pgMar w:header="890" w:footer="1012" w:top="1420" w:bottom="1200" w:left="1020" w:right="0"/>
        </w:sectPr>
      </w:pPr>
    </w:p>
    <w:p>
      <w:pPr>
        <w:pStyle w:val="Heading7"/>
        <w:spacing w:line="240" w:lineRule="auto" w:before="120"/>
        <w:ind w:left="252" w:right="0"/>
        <w:jc w:val="both"/>
      </w:pPr>
      <w:r>
        <w:rPr/>
        <w:t>照型低烟无卤系列电缆料；弹性体</w:t>
      </w:r>
      <w:r>
        <w:rPr>
          <w:rFonts w:ascii="Times New Roman" w:hAnsi="Times New Roman" w:cs="Times New Roman" w:eastAsia="Times New Roman" w:hint="default"/>
        </w:rPr>
        <w:t>TPE</w:t>
      </w:r>
      <w:r>
        <w:rPr/>
        <w:t>、</w:t>
      </w:r>
      <w:r>
        <w:rPr>
          <w:rFonts w:ascii="Times New Roman" w:hAnsi="Times New Roman" w:cs="Times New Roman" w:eastAsia="Times New Roman" w:hint="default"/>
        </w:rPr>
        <w:t>TPU</w:t>
      </w:r>
      <w:r>
        <w:rPr/>
        <w:t>等。</w:t>
      </w:r>
    </w:p>
    <w:p>
      <w:pPr>
        <w:spacing w:line="240" w:lineRule="auto" w:before="6"/>
        <w:rPr>
          <w:rFonts w:ascii="宋体" w:hAnsi="宋体" w:cs="宋体" w:eastAsia="宋体" w:hint="default"/>
          <w:sz w:val="25"/>
          <w:szCs w:val="25"/>
        </w:rPr>
      </w:pPr>
    </w:p>
    <w:p>
      <w:pPr>
        <w:pStyle w:val="Heading7"/>
        <w:spacing w:line="398" w:lineRule="auto"/>
        <w:ind w:left="252" w:right="1119" w:firstLine="482"/>
        <w:jc w:val="left"/>
      </w:pPr>
      <w:r>
        <w:rPr/>
        <w:t>万马高分子是国内领先的新材料企业，经中国电器工业协会电线电缆分会和上海电缆研究所联合评</w:t>
      </w:r>
      <w:r>
        <w:rPr>
          <w:w w:val="99"/>
        </w:rPr>
        <w:t> </w:t>
      </w:r>
      <w:r>
        <w:rPr>
          <w:w w:val="95"/>
        </w:rPr>
        <w:t>比，万马高分子荣获</w:t>
      </w:r>
      <w:r>
        <w:rPr>
          <w:rFonts w:ascii="Times New Roman" w:hAnsi="Times New Roman" w:cs="Times New Roman" w:eastAsia="Times New Roman" w:hint="default"/>
          <w:w w:val="95"/>
        </w:rPr>
        <w:t>“2018</w:t>
      </w:r>
      <w:r>
        <w:rPr>
          <w:w w:val="95"/>
        </w:rPr>
        <w:t>中国线缆原材料（非金属）行业最具竞争力企业</w:t>
      </w:r>
      <w:r>
        <w:rPr>
          <w:rFonts w:ascii="Times New Roman" w:hAnsi="Times New Roman" w:cs="Times New Roman" w:eastAsia="Times New Roman" w:hint="default"/>
          <w:w w:val="95"/>
        </w:rPr>
        <w:t>10</w:t>
      </w:r>
      <w:r>
        <w:rPr>
          <w:w w:val="95"/>
        </w:rPr>
        <w:t>强</w:t>
      </w:r>
      <w:r>
        <w:rPr>
          <w:rFonts w:ascii="Times New Roman" w:hAnsi="Times New Roman" w:cs="Times New Roman" w:eastAsia="Times New Roman" w:hint="default"/>
          <w:w w:val="95"/>
        </w:rPr>
        <w:t>”</w:t>
      </w:r>
      <w:r>
        <w:rPr>
          <w:w w:val="95"/>
        </w:rPr>
        <w:t>。公司以电缆材料为主导</w:t>
      </w:r>
      <w:r>
        <w:rPr>
          <w:spacing w:val="60"/>
          <w:w w:val="95"/>
        </w:rPr>
        <w:t> </w:t>
      </w:r>
      <w:r>
        <w:rPr>
          <w:spacing w:val="60"/>
          <w:w w:val="95"/>
        </w:rPr>
      </w:r>
      <w:r>
        <w:rPr/>
        <w:t>作产业延伸，其中</w:t>
      </w:r>
      <w:r>
        <w:rPr>
          <w:rFonts w:ascii="Times New Roman" w:hAnsi="Times New Roman" w:cs="Times New Roman" w:eastAsia="Times New Roman" w:hint="default"/>
        </w:rPr>
        <w:t>35kV</w:t>
      </w:r>
      <w:r>
        <w:rPr/>
        <w:t>及以下中低压电缆绝缘料已连续多年位居行业龙头地位；公司开发的</w:t>
      </w:r>
      <w:r>
        <w:rPr>
          <w:rFonts w:ascii="Times New Roman" w:hAnsi="Times New Roman" w:cs="Times New Roman" w:eastAsia="Times New Roman" w:hint="default"/>
        </w:rPr>
        <w:t>“</w:t>
      </w:r>
      <w:r>
        <w:rPr/>
        <w:t>高压电缆</w:t>
      </w:r>
    </w:p>
    <w:p>
      <w:pPr>
        <w:pStyle w:val="Heading7"/>
        <w:spacing w:line="386" w:lineRule="auto" w:before="24"/>
        <w:ind w:left="252" w:right="1171"/>
        <w:jc w:val="both"/>
      </w:pPr>
      <w:r>
        <w:rPr/>
        <w:t>（</w:t>
      </w:r>
      <w:r>
        <w:rPr>
          <w:rFonts w:ascii="Times New Roman" w:hAnsi="Times New Roman" w:cs="Times New Roman" w:eastAsia="Times New Roman" w:hint="default"/>
        </w:rPr>
        <w:t>110kV</w:t>
      </w:r>
      <w:r>
        <w:rPr/>
        <w:t>）超净</w:t>
      </w:r>
      <w:r>
        <w:rPr>
          <w:rFonts w:ascii="Times New Roman" w:hAnsi="Times New Roman" w:cs="Times New Roman" w:eastAsia="Times New Roman" w:hint="default"/>
        </w:rPr>
        <w:t>XLPE</w:t>
      </w:r>
      <w:r>
        <w:rPr/>
        <w:t>绝缘料</w:t>
      </w:r>
      <w:r>
        <w:rPr>
          <w:rFonts w:ascii="Times New Roman" w:hAnsi="Times New Roman" w:cs="Times New Roman" w:eastAsia="Times New Roman" w:hint="default"/>
        </w:rPr>
        <w:t>”</w:t>
      </w:r>
      <w:r>
        <w:rPr/>
        <w:t>打破国际垄断，被国家科技部列为</w:t>
      </w:r>
      <w:r>
        <w:rPr>
          <w:rFonts w:ascii="Times New Roman" w:hAnsi="Times New Roman" w:cs="Times New Roman" w:eastAsia="Times New Roman" w:hint="default"/>
        </w:rPr>
        <w:t>2014</w:t>
      </w:r>
      <w:r>
        <w:rPr/>
        <w:t>年度国家重点新产品计划立项项目，</w:t>
      </w:r>
      <w:r>
        <w:rPr>
          <w:w w:val="99"/>
        </w:rPr>
        <w:t> </w:t>
      </w:r>
      <w:r>
        <w:rPr>
          <w:w w:val="95"/>
        </w:rPr>
        <w:t>并取得了不错的市场认可，</w:t>
      </w:r>
      <w:r>
        <w:rPr>
          <w:rFonts w:ascii="Times New Roman" w:hAnsi="Times New Roman" w:cs="Times New Roman" w:eastAsia="Times New Roman" w:hint="default"/>
          <w:w w:val="95"/>
        </w:rPr>
        <w:t>220kV</w:t>
      </w:r>
      <w:r>
        <w:rPr>
          <w:w w:val="95"/>
        </w:rPr>
        <w:t>高压电缆绝缘料，通过了由中国电力企业联合会组织的国家级新产品鉴</w:t>
      </w:r>
      <w:r>
        <w:rPr>
          <w:spacing w:val="57"/>
          <w:w w:val="95"/>
        </w:rPr>
        <w:t> </w:t>
      </w:r>
      <w:r>
        <w:rPr>
          <w:spacing w:val="57"/>
          <w:w w:val="95"/>
        </w:rPr>
      </w:r>
      <w:r>
        <w:rPr>
          <w:w w:val="95"/>
        </w:rPr>
        <w:t>定。公司近年研发的低烟无卤、特种</w:t>
      </w:r>
      <w:r>
        <w:rPr>
          <w:rFonts w:ascii="Times New Roman" w:hAnsi="Times New Roman" w:cs="Times New Roman" w:eastAsia="Times New Roman" w:hint="default"/>
          <w:w w:val="95"/>
        </w:rPr>
        <w:t>PVC</w:t>
      </w:r>
      <w:r>
        <w:rPr>
          <w:w w:val="95"/>
        </w:rPr>
        <w:t>、</w:t>
      </w:r>
      <w:r>
        <w:rPr>
          <w:rFonts w:ascii="Times New Roman" w:hAnsi="Times New Roman" w:cs="Times New Roman" w:eastAsia="Times New Roman" w:hint="default"/>
          <w:w w:val="95"/>
        </w:rPr>
        <w:t>TPE</w:t>
      </w:r>
      <w:r>
        <w:rPr>
          <w:w w:val="95"/>
        </w:rPr>
        <w:t>等材料，成功进入通讯、新能源、消费电子、海洋、航天</w:t>
      </w:r>
      <w:r>
        <w:rPr>
          <w:spacing w:val="56"/>
          <w:w w:val="95"/>
        </w:rPr>
        <w:t> </w:t>
      </w:r>
      <w:r>
        <w:rPr>
          <w:spacing w:val="56"/>
          <w:w w:val="95"/>
        </w:rPr>
      </w:r>
      <w:r>
        <w:rPr/>
        <w:t>航空等高端装备市场，公司已发展成为行业内规模大、品类全的综合材料服务商，竞争优势明显。</w:t>
      </w:r>
    </w:p>
    <w:p>
      <w:pPr>
        <w:pStyle w:val="Heading7"/>
        <w:spacing w:line="448" w:lineRule="auto" w:before="144"/>
        <w:ind w:left="735" w:right="1119" w:firstLine="148"/>
        <w:jc w:val="left"/>
      </w:pPr>
      <w:r>
        <w:rPr>
          <w:rFonts w:ascii="Times New Roman" w:hAnsi="Times New Roman" w:cs="Times New Roman" w:eastAsia="Times New Roman" w:hint="default"/>
          <w:b/>
          <w:bCs/>
        </w:rPr>
        <w:t>3.</w:t>
      </w:r>
      <w:r>
        <w:rPr>
          <w:rFonts w:ascii="宋体" w:hAnsi="宋体" w:cs="宋体" w:eastAsia="宋体" w:hint="default"/>
          <w:b/>
          <w:bCs/>
        </w:rPr>
        <w:t>新能源</w:t>
      </w:r>
      <w:r>
        <w:rPr>
          <w:rFonts w:ascii="宋体" w:hAnsi="宋体" w:cs="宋体" w:eastAsia="宋体" w:hint="default"/>
          <w:b/>
          <w:bCs/>
          <w:w w:val="99"/>
        </w:rPr>
        <w:t> </w:t>
      </w:r>
      <w:r>
        <w:rPr>
          <w:spacing w:val="-2"/>
        </w:rPr>
        <w:t>公司在新能源领域已具备完善的产业基础，从充电设备制造、全国主要城市充电设施投资与合作到充</w:t>
      </w:r>
    </w:p>
    <w:p>
      <w:pPr>
        <w:pStyle w:val="Heading7"/>
        <w:spacing w:line="240" w:lineRule="auto" w:before="10"/>
        <w:ind w:left="252" w:right="0"/>
        <w:jc w:val="both"/>
      </w:pPr>
      <w:r>
        <w:rPr/>
        <w:t>电网络建设运营，能为用户提供整体解决方案及一站式服务。</w:t>
      </w:r>
    </w:p>
    <w:p>
      <w:pPr>
        <w:spacing w:line="240" w:lineRule="auto" w:before="9"/>
        <w:rPr>
          <w:rFonts w:ascii="宋体" w:hAnsi="宋体" w:cs="宋体" w:eastAsia="宋体" w:hint="default"/>
          <w:sz w:val="26"/>
          <w:szCs w:val="26"/>
        </w:rPr>
      </w:pPr>
    </w:p>
    <w:p>
      <w:pPr>
        <w:pStyle w:val="Heading7"/>
        <w:spacing w:line="400" w:lineRule="auto"/>
        <w:ind w:left="252" w:right="0" w:firstLine="482"/>
        <w:jc w:val="left"/>
      </w:pPr>
      <w:r>
        <w:rPr>
          <w:spacing w:val="-2"/>
          <w:w w:val="95"/>
        </w:rPr>
        <w:t>公司充电设备产品齐全，拥有从</w:t>
      </w:r>
      <w:r>
        <w:rPr>
          <w:rFonts w:ascii="Times New Roman" w:hAnsi="Times New Roman" w:cs="Times New Roman" w:eastAsia="Times New Roman" w:hint="default"/>
          <w:spacing w:val="-2"/>
          <w:w w:val="95"/>
        </w:rPr>
        <w:t>7KW</w:t>
      </w:r>
      <w:r>
        <w:rPr>
          <w:spacing w:val="-2"/>
          <w:w w:val="95"/>
        </w:rPr>
        <w:t>到</w:t>
      </w:r>
      <w:r>
        <w:rPr>
          <w:rFonts w:ascii="Times New Roman" w:hAnsi="Times New Roman" w:cs="Times New Roman" w:eastAsia="Times New Roman" w:hint="default"/>
          <w:spacing w:val="-2"/>
          <w:w w:val="95"/>
        </w:rPr>
        <w:t>360KW</w:t>
      </w:r>
      <w:r>
        <w:rPr>
          <w:spacing w:val="-2"/>
          <w:w w:val="95"/>
        </w:rPr>
        <w:t>功率的产品线，包括大功率一体式</w:t>
      </w:r>
      <w:r>
        <w:rPr>
          <w:rFonts w:ascii="Times New Roman" w:hAnsi="Times New Roman" w:cs="Times New Roman" w:eastAsia="Times New Roman" w:hint="default"/>
          <w:spacing w:val="-2"/>
          <w:w w:val="95"/>
        </w:rPr>
        <w:t>/</w:t>
      </w:r>
      <w:r>
        <w:rPr>
          <w:spacing w:val="-2"/>
          <w:w w:val="95"/>
        </w:rPr>
        <w:t>分体式直流充电桩、</w:t>
      </w:r>
      <w:r>
        <w:rPr>
          <w:w w:val="99"/>
        </w:rPr>
        <w:t> </w:t>
      </w:r>
      <w:r>
        <w:rPr/>
        <w:t>壁挂式交流充电桩、智能交流充电桩等，公司正积极开发大功率、智能化充电设备。万马新能源投资公司</w:t>
      </w:r>
      <w:r>
        <w:rPr>
          <w:w w:val="99"/>
        </w:rPr>
        <w:t> </w:t>
      </w:r>
      <w:r>
        <w:rPr/>
        <w:t>确立</w:t>
      </w:r>
      <w:r>
        <w:rPr>
          <w:rFonts w:ascii="Times New Roman" w:hAnsi="Times New Roman" w:cs="Times New Roman" w:eastAsia="Times New Roman" w:hint="default"/>
        </w:rPr>
        <w:t>“</w:t>
      </w:r>
      <w:r>
        <w:rPr/>
        <w:t>迎着需求建站</w:t>
      </w:r>
      <w:r>
        <w:rPr>
          <w:rFonts w:ascii="Times New Roman" w:hAnsi="Times New Roman" w:cs="Times New Roman" w:eastAsia="Times New Roman" w:hint="default"/>
        </w:rPr>
        <w:t>”</w:t>
      </w:r>
      <w:r>
        <w:rPr/>
        <w:t>的思路，构建</w:t>
      </w:r>
      <w:r>
        <w:rPr>
          <w:rFonts w:ascii="Times New Roman" w:hAnsi="Times New Roman" w:cs="Times New Roman" w:eastAsia="Times New Roman" w:hint="default"/>
        </w:rPr>
        <w:t>“</w:t>
      </w:r>
      <w:r>
        <w:rPr/>
        <w:t>智能化城市快充网</w:t>
      </w:r>
      <w:r>
        <w:rPr>
          <w:rFonts w:ascii="Times New Roman" w:hAnsi="Times New Roman" w:cs="Times New Roman" w:eastAsia="Times New Roman" w:hint="default"/>
        </w:rPr>
        <w:t>”</w:t>
      </w:r>
      <w:r>
        <w:rPr/>
        <w:t>。万马爱充主营桩联网的运营及衍生业务，公司拥</w:t>
      </w:r>
      <w:r>
        <w:rPr>
          <w:w w:val="99"/>
        </w:rPr>
        <w:t> </w:t>
      </w:r>
      <w:r>
        <w:rPr/>
        <w:t>有芯片级别的充电桩智能化接入的技术储备及完整解决方案，并提供个性化开发支持，提供全流程响应。</w:t>
      </w:r>
      <w:r>
        <w:rPr>
          <w:w w:val="99"/>
        </w:rPr>
        <w:t> </w:t>
      </w:r>
      <w:r>
        <w:rPr/>
        <w:t>桩联网运营方面，万马新能源实现自有桩体及第三方企业桩的接入、托管、运营，并成功为多地第三方客</w:t>
      </w:r>
      <w:r>
        <w:rPr>
          <w:w w:val="99"/>
        </w:rPr>
        <w:t> </w:t>
      </w:r>
      <w:r>
        <w:rPr/>
        <w:t>户开发、代运营桩联网。</w:t>
      </w:r>
    </w:p>
    <w:p>
      <w:pPr>
        <w:spacing w:line="240" w:lineRule="auto" w:before="12"/>
        <w:rPr>
          <w:rFonts w:ascii="宋体" w:hAnsi="宋体" w:cs="宋体" w:eastAsia="宋体" w:hint="default"/>
          <w:sz w:val="15"/>
          <w:szCs w:val="15"/>
        </w:rPr>
      </w:pPr>
    </w:p>
    <w:p>
      <w:pPr>
        <w:pStyle w:val="Heading7"/>
        <w:spacing w:line="386" w:lineRule="auto"/>
        <w:ind w:left="252" w:right="1135" w:firstLine="482"/>
        <w:jc w:val="left"/>
      </w:pPr>
      <w:r>
        <w:rPr>
          <w:spacing w:val="-4"/>
          <w:w w:val="99"/>
        </w:rPr>
        <w:t>根据国务院</w:t>
      </w:r>
      <w:r>
        <w:rPr>
          <w:rFonts w:ascii="Times New Roman" w:hAnsi="Times New Roman" w:cs="Times New Roman" w:eastAsia="Times New Roman" w:hint="default"/>
          <w:spacing w:val="-4"/>
          <w:w w:val="99"/>
        </w:rPr>
        <w:t>2012</w:t>
      </w:r>
      <w:r>
        <w:rPr>
          <w:spacing w:val="-4"/>
          <w:w w:val="99"/>
        </w:rPr>
        <w:t>年</w:t>
      </w:r>
      <w:r>
        <w:rPr>
          <w:rFonts w:ascii="Times New Roman" w:hAnsi="Times New Roman" w:cs="Times New Roman" w:eastAsia="Times New Roman" w:hint="default"/>
          <w:spacing w:val="-4"/>
          <w:w w:val="99"/>
        </w:rPr>
        <w:t>6</w:t>
      </w:r>
      <w:r>
        <w:rPr>
          <w:spacing w:val="-4"/>
          <w:w w:val="99"/>
        </w:rPr>
        <w:t>月印发的《节能与新能源汽车产业发展规划（</w:t>
      </w:r>
      <w:r>
        <w:rPr>
          <w:rFonts w:ascii="Times New Roman" w:hAnsi="Times New Roman" w:cs="Times New Roman" w:eastAsia="Times New Roman" w:hint="default"/>
          <w:spacing w:val="-4"/>
          <w:w w:val="99"/>
        </w:rPr>
        <w:t>2012—2020</w:t>
      </w:r>
      <w:r>
        <w:rPr>
          <w:spacing w:val="-4"/>
          <w:w w:val="99"/>
        </w:rPr>
        <w:t>年）》，我国计划到</w:t>
      </w:r>
      <w:r>
        <w:rPr>
          <w:rFonts w:ascii="Times New Roman" w:hAnsi="Times New Roman" w:cs="Times New Roman" w:eastAsia="Times New Roman" w:hint="default"/>
          <w:spacing w:val="-4"/>
          <w:w w:val="99"/>
        </w:rPr>
        <w:t>2020</w:t>
      </w:r>
      <w:r>
        <w:rPr>
          <w:rFonts w:ascii="Times New Roman" w:hAnsi="Times New Roman" w:cs="Times New Roman" w:eastAsia="Times New Roman" w:hint="default"/>
          <w:w w:val="99"/>
        </w:rPr>
        <w:t> </w:t>
      </w:r>
      <w:r>
        <w:rPr>
          <w:w w:val="95"/>
        </w:rPr>
        <w:t>年，纯电动汽车和插电式混合动力汽车生产能力达</w:t>
      </w:r>
      <w:r>
        <w:rPr>
          <w:rFonts w:ascii="Times New Roman" w:hAnsi="Times New Roman" w:cs="Times New Roman" w:eastAsia="Times New Roman" w:hint="default"/>
          <w:w w:val="95"/>
        </w:rPr>
        <w:t>200</w:t>
      </w:r>
      <w:r>
        <w:rPr>
          <w:w w:val="95"/>
        </w:rPr>
        <w:t>万辆、累计产销量超过</w:t>
      </w:r>
      <w:r>
        <w:rPr>
          <w:rFonts w:ascii="Times New Roman" w:hAnsi="Times New Roman" w:cs="Times New Roman" w:eastAsia="Times New Roman" w:hint="default"/>
          <w:w w:val="95"/>
        </w:rPr>
        <w:t>500</w:t>
      </w:r>
      <w:r>
        <w:rPr>
          <w:w w:val="95"/>
        </w:rPr>
        <w:t>万辆。国家发改委、国家</w:t>
      </w:r>
      <w:r>
        <w:rPr>
          <w:spacing w:val="38"/>
          <w:w w:val="95"/>
        </w:rPr>
        <w:t> </w:t>
      </w:r>
      <w:r>
        <w:rPr>
          <w:spacing w:val="38"/>
          <w:w w:val="95"/>
        </w:rPr>
      </w:r>
      <w:r>
        <w:rPr>
          <w:spacing w:val="-2"/>
          <w:w w:val="99"/>
        </w:rPr>
        <w:t>能源局、工信部和住建部联合印发的《电动汽车充电基础设施发展指南（</w:t>
      </w:r>
      <w:r>
        <w:rPr>
          <w:rFonts w:ascii="Times New Roman" w:hAnsi="Times New Roman" w:cs="Times New Roman" w:eastAsia="Times New Roman" w:hint="default"/>
          <w:spacing w:val="-2"/>
          <w:w w:val="99"/>
        </w:rPr>
        <w:t>2015-2020</w:t>
      </w:r>
      <w:r>
        <w:rPr>
          <w:spacing w:val="-2"/>
          <w:w w:val="99"/>
        </w:rPr>
        <w:t>）》提出的充电基础设</w:t>
      </w:r>
      <w:r>
        <w:rPr>
          <w:spacing w:val="-85"/>
          <w:w w:val="99"/>
        </w:rPr>
        <w:t> </w:t>
      </w:r>
      <w:r>
        <w:rPr>
          <w:spacing w:val="-85"/>
          <w:w w:val="99"/>
        </w:rPr>
      </w:r>
      <w:r>
        <w:rPr/>
        <w:t>施建设目标是：到</w:t>
      </w:r>
      <w:r>
        <w:rPr>
          <w:rFonts w:ascii="Times New Roman" w:hAnsi="Times New Roman" w:cs="Times New Roman" w:eastAsia="Times New Roman" w:hint="default"/>
        </w:rPr>
        <w:t>2020</w:t>
      </w:r>
      <w:r>
        <w:rPr/>
        <w:t>年，新增集中式充换电站超过</w:t>
      </w:r>
      <w:r>
        <w:rPr>
          <w:rFonts w:ascii="Times New Roman" w:hAnsi="Times New Roman" w:cs="Times New Roman" w:eastAsia="Times New Roman" w:hint="default"/>
        </w:rPr>
        <w:t>1.2</w:t>
      </w:r>
      <w:r>
        <w:rPr/>
        <w:t>万座，分散式充电桩超过</w:t>
      </w:r>
      <w:r>
        <w:rPr>
          <w:rFonts w:ascii="Times New Roman" w:hAnsi="Times New Roman" w:cs="Times New Roman" w:eastAsia="Times New Roman" w:hint="default"/>
        </w:rPr>
        <w:t>480</w:t>
      </w:r>
      <w:r>
        <w:rPr/>
        <w:t>万个，满足全国</w:t>
      </w:r>
      <w:r>
        <w:rPr>
          <w:rFonts w:ascii="Times New Roman" w:hAnsi="Times New Roman" w:cs="Times New Roman" w:eastAsia="Times New Roman" w:hint="default"/>
        </w:rPr>
        <w:t>500</w:t>
      </w:r>
      <w:r>
        <w:rPr>
          <w:rFonts w:ascii="Times New Roman" w:hAnsi="Times New Roman" w:cs="Times New Roman" w:eastAsia="Times New Roman" w:hint="default"/>
          <w:w w:val="99"/>
        </w:rPr>
        <w:t> </w:t>
      </w:r>
      <w:r>
        <w:rPr>
          <w:w w:val="95"/>
        </w:rPr>
        <w:t>万辆电动汽车充电需求。中国充电联盟年度工作报告发布的统计数据显示，截至</w:t>
      </w:r>
      <w:r>
        <w:rPr>
          <w:rFonts w:ascii="Times New Roman" w:hAnsi="Times New Roman" w:cs="Times New Roman" w:eastAsia="Times New Roman" w:hint="default"/>
          <w:w w:val="95"/>
        </w:rPr>
        <w:t>2018</w:t>
      </w:r>
      <w:r>
        <w:rPr>
          <w:w w:val="95"/>
        </w:rPr>
        <w:t>年底，我国已建成充</w:t>
      </w:r>
      <w:r>
        <w:rPr>
          <w:spacing w:val="37"/>
          <w:w w:val="95"/>
        </w:rPr>
        <w:t> </w:t>
      </w:r>
      <w:r>
        <w:rPr>
          <w:spacing w:val="37"/>
          <w:w w:val="95"/>
        </w:rPr>
      </w:r>
      <w:r>
        <w:rPr/>
        <w:t>电桩</w:t>
      </w:r>
      <w:r>
        <w:rPr>
          <w:rFonts w:ascii="Times New Roman" w:hAnsi="Times New Roman" w:cs="Times New Roman" w:eastAsia="Times New Roman" w:hint="default"/>
        </w:rPr>
        <w:t>80.8</w:t>
      </w:r>
      <w:r>
        <w:rPr/>
        <w:t>万台，其中公共充电桩</w:t>
      </w:r>
      <w:r>
        <w:rPr>
          <w:rFonts w:ascii="Times New Roman" w:hAnsi="Times New Roman" w:cs="Times New Roman" w:eastAsia="Times New Roman" w:hint="default"/>
        </w:rPr>
        <w:t>33</w:t>
      </w:r>
      <w:r>
        <w:rPr/>
        <w:t>万台。由此可见，新能源充电设备投资建设运营市场空间较大。</w:t>
      </w:r>
    </w:p>
    <w:p>
      <w:pPr>
        <w:spacing w:line="240" w:lineRule="auto" w:before="0"/>
        <w:rPr>
          <w:rFonts w:ascii="宋体" w:hAnsi="宋体" w:cs="宋体" w:eastAsia="宋体" w:hint="default"/>
          <w:sz w:val="18"/>
          <w:szCs w:val="18"/>
        </w:rPr>
      </w:pPr>
    </w:p>
    <w:p>
      <w:pPr>
        <w:pStyle w:val="Heading2"/>
        <w:spacing w:line="240" w:lineRule="auto"/>
        <w:ind w:left="252"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252"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5"/>
          <w:szCs w:val="25"/>
        </w:rPr>
      </w:pPr>
    </w:p>
    <w:p>
      <w:pPr>
        <w:spacing w:line="680" w:lineRule="exact"/>
        <w:ind w:left="11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0.35pt;height:34.050pt;mso-position-horizontal-relative:char;mso-position-vertical-relative:line" coordorigin="0,0" coordsize="9607,681">
            <v:group style="position:absolute;left:27;top:27;width:1085;height:639" coordorigin="27,27" coordsize="1085,639">
              <v:shape style="position:absolute;left:27;top:27;width:1085;height:639" coordorigin="27,27" coordsize="1085,639" path="m27,27l1112,27,1112,666,27,666,27,27xe" filled="true" fillcolor="#d2d2d2" stroked="false">
                <v:path arrowok="t"/>
                <v:fill type="solid"/>
              </v:shape>
            </v:group>
            <v:group style="position:absolute;left:1117;top:27;width:8463;height:639" coordorigin="1117,27" coordsize="8463,639">
              <v:shape style="position:absolute;left:1117;top:27;width:8463;height:639" coordorigin="1117,27" coordsize="8463,639" path="m1117,27l9580,27,9580,666,1117,666,1117,27xe" filled="true" fillcolor="#d2d2d2" stroked="false">
                <v:path arrowok="t"/>
                <v:fill type="solid"/>
              </v:shape>
            </v:group>
            <v:group style="position:absolute;left:10;top:19;width:9588;height:2" coordorigin="10,19" coordsize="9588,2">
              <v:shape style="position:absolute;left:10;top:19;width:9588;height:2" coordorigin="10,19" coordsize="9588,0" path="m10,19l9597,19e" filled="false" stroked="true" strokeweight=".96pt" strokecolor="#000000">
                <v:path arrowok="t"/>
              </v:shape>
            </v:group>
            <v:group style="position:absolute;left:29;top:666;width:9549;height:2" coordorigin="29,666" coordsize="9549,2">
              <v:shape style="position:absolute;left:29;top:666;width:9549;height:2" coordorigin="29,666" coordsize="9549,0" path="m29,666l9578,666e" filled="false" stroked="true" strokeweight=".48pt" strokecolor="#000000">
                <v:path arrowok="t"/>
              </v:shape>
            </v:group>
            <v:group style="position:absolute;left:19;top:10;width:2;height:662" coordorigin="19,10" coordsize="2,662">
              <v:shape style="position:absolute;left:19;top:10;width:2;height:662" coordorigin="19,10" coordsize="0,662" path="m19,10l19,671e" filled="false" stroked="true" strokeweight=".96pt" strokecolor="#000000">
                <v:path arrowok="t"/>
              </v:shape>
            </v:group>
            <v:group style="position:absolute;left:9587;top:29;width:2;height:643" coordorigin="9587,29" coordsize="2,643">
              <v:shape style="position:absolute;left:9587;top:29;width:2;height:643" coordorigin="9587,29" coordsize="0,643" path="m9587,29l9587,671e" filled="false" stroked="true" strokeweight=".96pt" strokecolor="#000000">
                <v:path arrowok="t"/>
              </v:shape>
            </v:group>
            <v:group style="position:absolute;left:1114;top:29;width:2;height:633" coordorigin="1114,29" coordsize="2,633">
              <v:shape style="position:absolute;left:1114;top:29;width:2;height:633" coordorigin="1114,29" coordsize="0,633" path="m1114,29l1114,662e" filled="false" stroked="true" strokeweight=".48pt" strokecolor="#000000">
                <v:path arrowok="t"/>
              </v:shape>
              <v:shape style="position:absolute;left:19;top:19;width:1095;height:648" type="#_x0000_t202" filled="false" stroked="false">
                <v:textbox inset="0,0,0,0">
                  <w:txbxContent>
                    <w:p>
                      <w:pPr>
                        <w:spacing w:line="240" w:lineRule="auto" w:before="12"/>
                        <w:rPr>
                          <w:rFonts w:ascii="宋体" w:hAnsi="宋体" w:cs="宋体" w:eastAsia="宋体" w:hint="default"/>
                          <w:b/>
                          <w:bCs/>
                          <w:sz w:val="13"/>
                          <w:szCs w:val="13"/>
                        </w:rPr>
                      </w:pPr>
                    </w:p>
                    <w:p>
                      <w:pPr>
                        <w:spacing w:before="0"/>
                        <w:ind w:left="186" w:right="0" w:firstLine="0"/>
                        <w:jc w:val="left"/>
                        <w:rPr>
                          <w:rFonts w:ascii="宋体" w:hAnsi="宋体" w:cs="宋体" w:eastAsia="宋体" w:hint="default"/>
                          <w:sz w:val="18"/>
                          <w:szCs w:val="18"/>
                        </w:rPr>
                      </w:pPr>
                      <w:r>
                        <w:rPr>
                          <w:rFonts w:ascii="宋体" w:hAnsi="宋体" w:cs="宋体" w:eastAsia="宋体" w:hint="default"/>
                          <w:sz w:val="18"/>
                          <w:szCs w:val="18"/>
                        </w:rPr>
                        <w:t>主要资产</w:t>
                      </w:r>
                    </w:p>
                  </w:txbxContent>
                </v:textbox>
                <w10:wrap type="none"/>
              </v:shape>
              <v:shape style="position:absolute;left:4809;top:25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重大变化说明</w:t>
                      </w:r>
                    </w:p>
                  </w:txbxContent>
                </v:textbox>
                <w10:wrap type="none"/>
              </v:shape>
            </v:group>
          </v:group>
        </w:pict>
      </w:r>
      <w:r>
        <w:rPr>
          <w:rFonts w:ascii="宋体" w:hAnsi="宋体" w:cs="宋体" w:eastAsia="宋体" w:hint="default"/>
          <w:position w:val="-13"/>
          <w:sz w:val="20"/>
          <w:szCs w:val="20"/>
        </w:rPr>
      </w:r>
    </w:p>
    <w:p>
      <w:pPr>
        <w:spacing w:after="0" w:line="680" w:lineRule="exact"/>
        <w:rPr>
          <w:rFonts w:ascii="宋体" w:hAnsi="宋体" w:cs="宋体" w:eastAsia="宋体" w:hint="default"/>
          <w:sz w:val="20"/>
          <w:szCs w:val="20"/>
        </w:rPr>
        <w:sectPr>
          <w:pgSz w:w="11910" w:h="16840"/>
          <w:pgMar w:header="890" w:footer="1012" w:top="1420" w:bottom="1200" w:left="880" w:right="0"/>
        </w:sectPr>
      </w:pPr>
    </w:p>
    <w:p>
      <w:pPr>
        <w:spacing w:line="240" w:lineRule="auto" w:before="5"/>
        <w:rPr>
          <w:rFonts w:ascii="宋体" w:hAnsi="宋体" w:cs="宋体" w:eastAsia="宋体"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1095"/>
        <w:gridCol w:w="8473"/>
      </w:tblGrid>
      <w:tr>
        <w:trPr>
          <w:trHeight w:val="402" w:hRule="exact"/>
        </w:trPr>
        <w:tc>
          <w:tcPr>
            <w:tcW w:w="1095"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4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095"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固定资产较上年增加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亿元，主要系高级工业电子线项目及充电桩项目建设转入固定资产所致</w:t>
            </w:r>
          </w:p>
        </w:tc>
      </w:tr>
      <w:tr>
        <w:trPr>
          <w:trHeight w:val="402" w:hRule="exact"/>
        </w:trPr>
        <w:tc>
          <w:tcPr>
            <w:tcW w:w="1095"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7" w:hRule="exact"/>
        </w:trPr>
        <w:tc>
          <w:tcPr>
            <w:tcW w:w="1095"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73"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在建工程较上年增加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万元，主要系万马智慧充电创新基地建设投入增加所致</w:t>
            </w:r>
          </w:p>
        </w:tc>
      </w:tr>
    </w:tbl>
    <w:p>
      <w:pPr>
        <w:spacing w:line="240" w:lineRule="auto" w:before="4"/>
        <w:rPr>
          <w:rFonts w:ascii="宋体" w:hAnsi="宋体" w:cs="宋体" w:eastAsia="宋体" w:hint="default"/>
          <w:b/>
          <w:bCs/>
          <w:sz w:val="19"/>
          <w:szCs w:val="19"/>
        </w:rPr>
      </w:pPr>
    </w:p>
    <w:p>
      <w:pPr>
        <w:pStyle w:val="Heading6"/>
        <w:spacing w:line="240" w:lineRule="auto" w:before="34"/>
        <w:ind w:left="232" w:right="2654"/>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32" w:right="2654"/>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32" w:right="7694"/>
        <w:jc w:val="left"/>
      </w:pPr>
      <w:r>
        <w:rPr/>
        <w:t>公司是否需要遵守特殊行业的披露要求 否</w:t>
      </w:r>
    </w:p>
    <w:p>
      <w:pPr>
        <w:spacing w:line="386" w:lineRule="auto" w:before="83"/>
        <w:ind w:left="652" w:right="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产品及服务，追求极致。</w:t>
      </w:r>
      <w:r>
        <w:rPr>
          <w:rFonts w:ascii="宋体" w:hAnsi="宋体" w:cs="宋体" w:eastAsia="宋体" w:hint="default"/>
          <w:b/>
          <w:bCs/>
          <w:w w:val="99"/>
          <w:sz w:val="21"/>
          <w:szCs w:val="21"/>
        </w:rPr>
        <w:t> </w:t>
      </w:r>
      <w:r>
        <w:rPr>
          <w:rFonts w:ascii="宋体" w:hAnsi="宋体" w:cs="宋体" w:eastAsia="宋体" w:hint="default"/>
          <w:w w:val="95"/>
          <w:sz w:val="21"/>
          <w:szCs w:val="21"/>
        </w:rPr>
        <w:t>公司通过不断提升研发能力，产品与技术实力不断提升，产品系列得到进一步拓展，综合一体化的服</w:t>
      </w:r>
      <w:r>
        <w:rPr>
          <w:rFonts w:ascii="宋体" w:hAnsi="宋体" w:cs="宋体" w:eastAsia="宋体" w:hint="default"/>
          <w:sz w:val="21"/>
          <w:szCs w:val="21"/>
        </w:rPr>
      </w:r>
    </w:p>
    <w:p>
      <w:pPr>
        <w:pStyle w:val="Heading7"/>
        <w:spacing w:line="396" w:lineRule="auto" w:before="65"/>
        <w:ind w:left="232" w:right="915"/>
        <w:jc w:val="left"/>
      </w:pPr>
      <w:r>
        <w:rPr/>
        <w:t>务能力强。公司在中高端线缆产品竞争中持续占据市场优势地位，是国内防火阻燃线缆产品品类最齐全的</w:t>
      </w:r>
      <w:r>
        <w:rPr>
          <w:w w:val="99"/>
        </w:rPr>
        <w:t> </w:t>
      </w:r>
      <w:r>
        <w:rPr/>
        <w:t>厂家之一；公司稳定占据国内</w:t>
      </w:r>
      <w:r>
        <w:rPr>
          <w:rFonts w:ascii="Times New Roman" w:hAnsi="Times New Roman" w:cs="Times New Roman" w:eastAsia="Times New Roman" w:hint="default"/>
        </w:rPr>
        <w:t>35kV</w:t>
      </w:r>
      <w:r>
        <w:rPr/>
        <w:t>及以下中低压电缆绝缘料行业龙头地位。公司开发的</w:t>
      </w:r>
      <w:r>
        <w:rPr>
          <w:rFonts w:ascii="Times New Roman" w:hAnsi="Times New Roman" w:cs="Times New Roman" w:eastAsia="Times New Roman" w:hint="default"/>
        </w:rPr>
        <w:t>110kV</w:t>
      </w:r>
      <w:r>
        <w:rPr/>
        <w:t>及以上高压</w:t>
      </w:r>
      <w:r>
        <w:rPr>
          <w:w w:val="99"/>
        </w:rPr>
        <w:t> </w:t>
      </w:r>
      <w:r>
        <w:rPr/>
        <w:t>电缆绝缘料、高压直流电缆料、抗水树电缆绝缘材料等产品，填补国内空白，打破国际垄断，获得发明专</w:t>
      </w:r>
      <w:r>
        <w:rPr>
          <w:w w:val="99"/>
        </w:rPr>
        <w:t> </w:t>
      </w:r>
      <w:r>
        <w:rPr/>
        <w:t>利；高压电缆</w:t>
      </w:r>
      <w:r>
        <w:rPr>
          <w:rFonts w:ascii="Times New Roman" w:hAnsi="Times New Roman" w:cs="Times New Roman" w:eastAsia="Times New Roman" w:hint="default"/>
        </w:rPr>
        <w:t>(110kV)</w:t>
      </w:r>
      <w:r>
        <w:rPr/>
        <w:t>超净</w:t>
      </w:r>
      <w:r>
        <w:rPr>
          <w:rFonts w:ascii="Times New Roman" w:hAnsi="Times New Roman" w:cs="Times New Roman" w:eastAsia="Times New Roman" w:hint="default"/>
        </w:rPr>
        <w:t>XLPE</w:t>
      </w:r>
      <w:r>
        <w:rPr/>
        <w:t>绝缘料被列入科技部国家重点新产品计划立项项目；公司研发的抗水树电</w:t>
      </w:r>
      <w:r>
        <w:rPr>
          <w:w w:val="99"/>
        </w:rPr>
        <w:t> </w:t>
      </w:r>
      <w:r>
        <w:rPr>
          <w:w w:val="95"/>
        </w:rPr>
        <w:t>缆绝缘材料，是目前国内唯一通过武高所检测的电缆材料。特种</w:t>
      </w:r>
      <w:r>
        <w:rPr>
          <w:rFonts w:ascii="Times New Roman" w:hAnsi="Times New Roman" w:cs="Times New Roman" w:eastAsia="Times New Roman" w:hint="default"/>
          <w:w w:val="95"/>
        </w:rPr>
        <w:t>PVC</w:t>
      </w:r>
      <w:r>
        <w:rPr>
          <w:w w:val="95"/>
        </w:rPr>
        <w:t>电缆料通过</w:t>
      </w:r>
      <w:r>
        <w:rPr>
          <w:rFonts w:ascii="Times New Roman" w:hAnsi="Times New Roman" w:cs="Times New Roman" w:eastAsia="Times New Roman" w:hint="default"/>
          <w:w w:val="95"/>
        </w:rPr>
        <w:t>UL</w:t>
      </w:r>
      <w:r>
        <w:rPr>
          <w:w w:val="95"/>
        </w:rPr>
        <w:t>认证，进入美洲市场，</w:t>
      </w:r>
      <w:r>
        <w:rPr>
          <w:spacing w:val="67"/>
          <w:w w:val="95"/>
        </w:rPr>
        <w:t> </w:t>
      </w:r>
      <w:r>
        <w:rPr>
          <w:spacing w:val="67"/>
          <w:w w:val="95"/>
        </w:rPr>
      </w:r>
      <w:r>
        <w:rPr/>
        <w:t>应用于</w:t>
      </w:r>
      <w:r>
        <w:rPr>
          <w:rFonts w:ascii="Times New Roman" w:hAnsi="Times New Roman" w:cs="Times New Roman" w:eastAsia="Times New Roman" w:hint="default"/>
        </w:rPr>
        <w:t>5G</w:t>
      </w:r>
      <w:r>
        <w:rPr/>
        <w:t>数据缆和光电混合缆，并成功进入了汽车线行业。</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spacing w:line="386" w:lineRule="auto" w:before="0"/>
        <w:ind w:left="652" w:right="915" w:firstLine="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专有设备，量身定制。</w:t>
      </w:r>
      <w:r>
        <w:rPr>
          <w:rFonts w:ascii="宋体" w:hAnsi="宋体" w:cs="宋体" w:eastAsia="宋体" w:hint="default"/>
          <w:b/>
          <w:bCs/>
          <w:w w:val="99"/>
          <w:sz w:val="21"/>
          <w:szCs w:val="21"/>
        </w:rPr>
        <w:t> </w:t>
      </w:r>
      <w:r>
        <w:rPr>
          <w:rFonts w:ascii="宋体" w:hAnsi="宋体" w:cs="宋体" w:eastAsia="宋体" w:hint="default"/>
          <w:w w:val="95"/>
          <w:sz w:val="21"/>
          <w:szCs w:val="21"/>
        </w:rPr>
        <w:t>公司拥有</w:t>
      </w:r>
      <w:r>
        <w:rPr>
          <w:rFonts w:ascii="Times New Roman" w:hAnsi="Times New Roman" w:cs="Times New Roman" w:eastAsia="Times New Roman" w:hint="default"/>
          <w:w w:val="95"/>
          <w:sz w:val="21"/>
          <w:szCs w:val="21"/>
        </w:rPr>
        <w:t>110kV</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500kV</w:t>
      </w:r>
      <w:r>
        <w:rPr>
          <w:rFonts w:ascii="宋体" w:hAnsi="宋体" w:cs="宋体" w:eastAsia="宋体" w:hint="default"/>
          <w:w w:val="95"/>
          <w:sz w:val="21"/>
          <w:szCs w:val="21"/>
        </w:rPr>
        <w:t>立式生产线</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条，是公司在总结多年电缆生产经验的基础上，为最大限度地满</w:t>
      </w:r>
      <w:r>
        <w:rPr>
          <w:rFonts w:ascii="宋体" w:hAnsi="宋体" w:cs="宋体" w:eastAsia="宋体" w:hint="default"/>
          <w:sz w:val="21"/>
          <w:szCs w:val="21"/>
        </w:rPr>
      </w:r>
    </w:p>
    <w:p>
      <w:pPr>
        <w:pStyle w:val="Heading7"/>
        <w:spacing w:line="403" w:lineRule="auto" w:before="35"/>
        <w:ind w:left="232" w:right="1130"/>
        <w:jc w:val="both"/>
      </w:pPr>
      <w:r>
        <w:rPr>
          <w:w w:val="95"/>
        </w:rPr>
        <w:t>足客户对产品质量的需求与供应商合作定制的专用生产线，其在设计、选型等多方面进行了技术优化，生</w:t>
      </w:r>
      <w:r>
        <w:rPr>
          <w:spacing w:val="43"/>
          <w:w w:val="95"/>
        </w:rPr>
        <w:t> </w:t>
      </w:r>
      <w:r>
        <w:rPr>
          <w:spacing w:val="43"/>
          <w:w w:val="95"/>
        </w:rPr>
      </w:r>
      <w:r>
        <w:rPr>
          <w:w w:val="95"/>
        </w:rPr>
        <w:t>产的产品质量国内领先；公司配备了整套高压绝缘料后吸法生产设备，建立了全封闭净化车间和高精度的</w:t>
      </w:r>
      <w:r>
        <w:rPr>
          <w:spacing w:val="40"/>
          <w:w w:val="95"/>
        </w:rPr>
        <w:t> </w:t>
      </w:r>
      <w:r>
        <w:rPr>
          <w:spacing w:val="40"/>
          <w:w w:val="95"/>
        </w:rPr>
      </w:r>
      <w:r>
        <w:rPr>
          <w:w w:val="99"/>
        </w:rPr>
        <w:t>检测设备，成功实现高压电缆绝缘料的国产化；公司拥有国际先进交联技术生产线（瑞士布斯生产线），</w:t>
      </w:r>
      <w:r>
        <w:rPr>
          <w:spacing w:val="-94"/>
          <w:w w:val="99"/>
        </w:rPr>
        <w:t> </w:t>
      </w:r>
      <w:r>
        <w:rPr>
          <w:spacing w:val="-94"/>
          <w:w w:val="99"/>
        </w:rPr>
      </w:r>
      <w:r>
        <w:rPr>
          <w:w w:val="99"/>
        </w:rPr>
        <w:t>高精度的检测设备（</w:t>
      </w:r>
      <w:r>
        <w:rPr>
          <w:rFonts w:ascii="Times New Roman" w:hAnsi="Times New Roman" w:cs="Times New Roman" w:eastAsia="Times New Roman" w:hint="default"/>
          <w:w w:val="99"/>
        </w:rPr>
        <w:t>OCS</w:t>
      </w:r>
      <w:r>
        <w:rPr>
          <w:w w:val="99"/>
        </w:rPr>
        <w:t>），设计建成了全封闭的净化车间，保证了高压电缆绝缘料技术与质量的国际领</w:t>
      </w:r>
      <w:r>
        <w:rPr>
          <w:spacing w:val="-85"/>
          <w:w w:val="99"/>
        </w:rPr>
        <w:t> </w:t>
      </w:r>
      <w:r>
        <w:rPr>
          <w:spacing w:val="-85"/>
          <w:w w:val="99"/>
        </w:rPr>
      </w:r>
      <w:r>
        <w:rPr/>
        <w:t>先地位。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386" w:lineRule="auto" w:before="0"/>
        <w:ind w:left="652" w:right="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关键管理技术人才，职业化。</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公司已形成适合自身发展阶段特点及满足战略布局需要的人才选用模式。内部人才培养提升</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外部人</w:t>
      </w:r>
      <w:r>
        <w:rPr>
          <w:rFonts w:ascii="宋体" w:hAnsi="宋体" w:cs="宋体" w:eastAsia="宋体" w:hint="default"/>
          <w:spacing w:val="2"/>
          <w:sz w:val="21"/>
          <w:szCs w:val="21"/>
        </w:rPr>
      </w:r>
    </w:p>
    <w:p>
      <w:pPr>
        <w:pStyle w:val="Heading7"/>
        <w:spacing w:line="240" w:lineRule="auto" w:before="35"/>
        <w:ind w:left="232" w:right="915"/>
        <w:jc w:val="left"/>
      </w:pPr>
      <w:r>
        <w:rPr/>
        <w:t>才引进相结合，以工作业绩及实际能力为主要考核指标。近年来，公司在各经营实体中积极推进事业合伙</w:t>
      </w:r>
    </w:p>
    <w:p>
      <w:pPr>
        <w:spacing w:after="0" w:line="240" w:lineRule="auto"/>
        <w:jc w:val="left"/>
        <w:sectPr>
          <w:pgSz w:w="11910" w:h="16840"/>
          <w:pgMar w:header="890" w:footer="1012" w:top="1420" w:bottom="1200" w:left="900" w:right="0"/>
        </w:sectPr>
      </w:pPr>
    </w:p>
    <w:p>
      <w:pPr>
        <w:pStyle w:val="Heading7"/>
        <w:spacing w:line="240" w:lineRule="auto" w:before="120"/>
        <w:ind w:right="0"/>
        <w:jc w:val="left"/>
      </w:pPr>
      <w:r>
        <w:rPr/>
        <w:t>人模式，激励团队协作，目标一致，共创共建，使公司整体发展要求与个人利益保持平衡。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6" w:lineRule="auto" w:before="137"/>
        <w:ind w:left="532" w:right="0" w:firstLine="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全产业链，整体解决方案提供者。</w:t>
      </w:r>
      <w:r>
        <w:rPr>
          <w:rFonts w:ascii="宋体" w:hAnsi="宋体" w:cs="宋体" w:eastAsia="宋体" w:hint="default"/>
          <w:b/>
          <w:bCs/>
          <w:w w:val="99"/>
          <w:sz w:val="21"/>
          <w:szCs w:val="21"/>
        </w:rPr>
        <w:t> </w:t>
      </w:r>
      <w:r>
        <w:rPr>
          <w:rFonts w:ascii="宋体" w:hAnsi="宋体" w:cs="宋体" w:eastAsia="宋体" w:hint="default"/>
          <w:w w:val="95"/>
          <w:sz w:val="21"/>
          <w:szCs w:val="21"/>
        </w:rPr>
        <w:t>公司能为客户提供全面、多样化的产品选择与增值服务，已形成了从线缆料到电力电缆、通信电缆、</w:t>
      </w:r>
      <w:r>
        <w:rPr>
          <w:rFonts w:ascii="宋体" w:hAnsi="宋体" w:cs="宋体" w:eastAsia="宋体" w:hint="default"/>
          <w:sz w:val="21"/>
          <w:szCs w:val="21"/>
        </w:rPr>
      </w:r>
    </w:p>
    <w:p>
      <w:pPr>
        <w:pStyle w:val="Heading7"/>
        <w:spacing w:line="400" w:lineRule="auto" w:before="65"/>
        <w:ind w:right="0"/>
        <w:jc w:val="left"/>
      </w:pPr>
      <w:r>
        <w:rPr/>
        <w:t>数据电缆等的全产业链布局。万马高分子是国内交联绝缘料行业的龙头企业，能长期稳定提供高品质绝缘</w:t>
      </w:r>
      <w:r>
        <w:rPr>
          <w:w w:val="99"/>
        </w:rPr>
        <w:t> </w:t>
      </w:r>
      <w:r>
        <w:rPr/>
        <w:t>料；同时，公司采购绝缘材料在销售和运输费用上获得了一定的成本优势，是国内电缆行业独特的具有该</w:t>
      </w:r>
      <w:r>
        <w:rPr>
          <w:w w:val="99"/>
        </w:rPr>
        <w:t> </w:t>
      </w:r>
      <w:r>
        <w:rPr>
          <w:spacing w:val="-3"/>
        </w:rPr>
        <w:t>产业链优势的公司。万马新能源产业拥有制造、投资、运营三驾马车，秉承“生产</w:t>
      </w:r>
      <w:r>
        <w:rPr>
          <w:rFonts w:ascii="Times New Roman" w:hAnsi="Times New Roman" w:cs="Times New Roman" w:eastAsia="Times New Roman" w:hint="default"/>
          <w:spacing w:val="-3"/>
        </w:rPr>
        <w:t>—</w:t>
      </w:r>
      <w:r>
        <w:rPr>
          <w:spacing w:val="-3"/>
        </w:rPr>
        <w:t>建设</w:t>
      </w:r>
      <w:r>
        <w:rPr>
          <w:rFonts w:ascii="Times New Roman" w:hAnsi="Times New Roman" w:cs="Times New Roman" w:eastAsia="Times New Roman" w:hint="default"/>
          <w:spacing w:val="-3"/>
        </w:rPr>
        <w:t>—</w:t>
      </w:r>
      <w:r>
        <w:rPr>
          <w:spacing w:val="-3"/>
        </w:rPr>
        <w:t>运维”的思想，</w:t>
      </w:r>
      <w:r>
        <w:rPr>
          <w:w w:val="99"/>
        </w:rPr>
        <w:t> </w:t>
      </w:r>
      <w:r>
        <w:rPr/>
        <w:t>万马新能源事业具备充电一体服务优势。</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7"/>
        <w:spacing w:line="386" w:lineRule="auto"/>
        <w:ind w:right="0" w:firstLine="420"/>
        <w:jc w:val="left"/>
      </w:pPr>
      <w:r>
        <w:rPr>
          <w:w w:val="95"/>
        </w:rPr>
        <w:t>截至报告期末，公司拥有有效知识产权</w:t>
      </w:r>
      <w:r>
        <w:rPr>
          <w:rFonts w:ascii="Times New Roman" w:hAnsi="Times New Roman" w:cs="Times New Roman" w:eastAsia="Times New Roman" w:hint="default"/>
          <w:w w:val="95"/>
        </w:rPr>
        <w:t>360</w:t>
      </w:r>
      <w:r>
        <w:rPr>
          <w:w w:val="95"/>
        </w:rPr>
        <w:t>项，其中发明专利</w:t>
      </w:r>
      <w:r>
        <w:rPr>
          <w:rFonts w:ascii="Times New Roman" w:hAnsi="Times New Roman" w:cs="Times New Roman" w:eastAsia="Times New Roman" w:hint="default"/>
          <w:w w:val="95"/>
        </w:rPr>
        <w:t>31</w:t>
      </w:r>
      <w:r>
        <w:rPr>
          <w:w w:val="95"/>
        </w:rPr>
        <w:t>项、实用新型专利</w:t>
      </w:r>
      <w:r>
        <w:rPr>
          <w:rFonts w:ascii="Times New Roman" w:hAnsi="Times New Roman" w:cs="Times New Roman" w:eastAsia="Times New Roman" w:hint="default"/>
          <w:w w:val="95"/>
        </w:rPr>
        <w:t>265</w:t>
      </w:r>
      <w:r>
        <w:rPr>
          <w:w w:val="95"/>
        </w:rPr>
        <w:t>项、外观设计专</w:t>
      </w:r>
      <w:r>
        <w:rPr>
          <w:w w:val="99"/>
        </w:rPr>
        <w:t> </w:t>
      </w:r>
      <w:r>
        <w:rPr/>
        <w:t>利</w:t>
      </w:r>
      <w:r>
        <w:rPr>
          <w:rFonts w:ascii="Times New Roman" w:hAnsi="Times New Roman" w:cs="Times New Roman" w:eastAsia="Times New Roman" w:hint="default"/>
        </w:rPr>
        <w:t>43</w:t>
      </w:r>
      <w:r>
        <w:rPr/>
        <w:t>项、软件著作权</w:t>
      </w:r>
      <w:r>
        <w:rPr>
          <w:rFonts w:ascii="Times New Roman" w:hAnsi="Times New Roman" w:cs="Times New Roman" w:eastAsia="Times New Roman" w:hint="default"/>
        </w:rPr>
        <w:t>21</w:t>
      </w:r>
      <w:r>
        <w:rPr/>
        <w:t>项。</w:t>
      </w:r>
      <w:r>
        <w:rPr>
          <w:rFonts w:ascii="Times New Roman" w:hAnsi="Times New Roman" w:cs="Times New Roman" w:eastAsia="Times New Roman" w:hint="default"/>
        </w:rPr>
        <w:t>2018</w:t>
      </w:r>
      <w:r>
        <w:rPr/>
        <w:t>年，公司及子公司有</w:t>
      </w:r>
      <w:r>
        <w:rPr>
          <w:rFonts w:ascii="Times New Roman" w:hAnsi="Times New Roman" w:cs="Times New Roman" w:eastAsia="Times New Roman" w:hint="default"/>
        </w:rPr>
        <w:t>15</w:t>
      </w:r>
      <w:r>
        <w:rPr/>
        <w:t>项新产品通过省级新产品鉴定。</w:t>
      </w:r>
    </w:p>
    <w:p>
      <w:pPr>
        <w:spacing w:after="0" w:line="386" w:lineRule="auto"/>
        <w:jc w:val="left"/>
        <w:sectPr>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28"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532" w:right="1214"/>
        <w:jc w:val="left"/>
      </w:pPr>
      <w:r>
        <w:rPr>
          <w:rFonts w:ascii="宋体" w:hAnsi="宋体" w:cs="宋体" w:eastAsia="宋体" w:hint="default"/>
          <w:b/>
          <w:bCs/>
        </w:rPr>
        <w:t>（一）行业背景</w:t>
      </w:r>
      <w:r>
        <w:rPr>
          <w:rFonts w:ascii="宋体" w:hAnsi="宋体" w:cs="宋体" w:eastAsia="宋体" w:hint="default"/>
          <w:b/>
          <w:bCs/>
          <w:w w:val="99"/>
        </w:rPr>
        <w:t> </w:t>
      </w:r>
      <w:r>
        <w:rPr/>
        <w:t>报告期，我国经济从高速发展到高质量发展转变；在金融去杠杆的背景下，实体企业遇</w:t>
      </w:r>
    </w:p>
    <w:p>
      <w:pPr>
        <w:pStyle w:val="Heading3"/>
        <w:spacing w:line="357" w:lineRule="auto"/>
        <w:ind w:right="1171"/>
        <w:jc w:val="both"/>
      </w:pPr>
      <w:r>
        <w:rPr/>
        <w:t>到融资难、融资贵等挑战。电线电缆行业集中度加速提升，转型升级深入发展，在调结构、 去产能等政策的推动下，行业总体朝规范发展，品牌与质量成为业内企业竞争的关键因素， 行业企业头部化生存效应日渐明显。</w:t>
      </w:r>
    </w:p>
    <w:p>
      <w:pPr>
        <w:spacing w:line="240" w:lineRule="auto" w:before="6"/>
        <w:rPr>
          <w:rFonts w:ascii="宋体" w:hAnsi="宋体" w:cs="宋体" w:eastAsia="宋体" w:hint="default"/>
          <w:sz w:val="32"/>
          <w:szCs w:val="32"/>
        </w:rPr>
      </w:pPr>
    </w:p>
    <w:p>
      <w:pPr>
        <w:spacing w:line="420" w:lineRule="auto" w:before="0"/>
        <w:ind w:left="532" w:right="1214" w:firstLine="24"/>
        <w:jc w:val="left"/>
        <w:rPr>
          <w:rFonts w:ascii="宋体" w:hAnsi="宋体" w:cs="宋体" w:eastAsia="宋体" w:hint="default"/>
          <w:sz w:val="24"/>
          <w:szCs w:val="24"/>
        </w:rPr>
      </w:pPr>
      <w:r>
        <w:rPr>
          <w:rFonts w:ascii="宋体" w:hAnsi="宋体" w:cs="宋体" w:eastAsia="宋体" w:hint="default"/>
          <w:b/>
          <w:bCs/>
          <w:sz w:val="24"/>
          <w:szCs w:val="24"/>
        </w:rPr>
        <w:t>（二）报告期，公司各业务板块整体发展质量均有提升</w:t>
      </w:r>
      <w:r>
        <w:rPr>
          <w:rFonts w:ascii="宋体" w:hAnsi="宋体" w:cs="宋体" w:eastAsia="宋体" w:hint="default"/>
          <w:b/>
          <w:bCs/>
          <w:w w:val="99"/>
          <w:sz w:val="24"/>
          <w:szCs w:val="24"/>
        </w:rPr>
        <w:t> </w:t>
      </w:r>
      <w:r>
        <w:rPr>
          <w:rFonts w:ascii="宋体" w:hAnsi="宋体" w:cs="宋体" w:eastAsia="宋体" w:hint="default"/>
          <w:sz w:val="24"/>
          <w:szCs w:val="24"/>
        </w:rPr>
        <w:t>为把握新的发展机遇，近年来公司通过加大研发投入，增强自身创新能力和技术实力，</w:t>
      </w:r>
    </w:p>
    <w:p>
      <w:pPr>
        <w:pStyle w:val="Heading3"/>
        <w:spacing w:line="288" w:lineRule="exact" w:before="0"/>
        <w:ind w:right="0"/>
        <w:jc w:val="both"/>
      </w:pPr>
      <w:r>
        <w:rPr/>
        <w:t>推动公司整体技术水平的提升。</w:t>
      </w:r>
    </w:p>
    <w:p>
      <w:pPr>
        <w:spacing w:line="240" w:lineRule="auto" w:before="9"/>
        <w:rPr>
          <w:rFonts w:ascii="宋体" w:hAnsi="宋体" w:cs="宋体" w:eastAsia="宋体" w:hint="default"/>
          <w:sz w:val="23"/>
          <w:szCs w:val="23"/>
        </w:rPr>
      </w:pPr>
    </w:p>
    <w:p>
      <w:pPr>
        <w:pStyle w:val="Heading3"/>
        <w:spacing w:line="357" w:lineRule="auto" w:before="0"/>
        <w:ind w:right="0" w:firstLine="480"/>
        <w:jc w:val="left"/>
      </w:pPr>
      <w:r>
        <w:rPr/>
        <w:t>报告期，公司精细管理与运作，将信息化、数据化等管理手段应用到企业管理中，专注 主业，重视技术研发，制造精品，打造核心竞争力，跻身头部。</w:t>
      </w:r>
    </w:p>
    <w:p>
      <w:pPr>
        <w:pStyle w:val="Heading3"/>
        <w:spacing w:line="338" w:lineRule="auto" w:before="192"/>
        <w:ind w:right="1132" w:firstLine="480"/>
        <w:jc w:val="both"/>
      </w:pPr>
      <w:r>
        <w:rPr/>
        <w:t>报告期，公司实现营业收入 </w:t>
      </w:r>
      <w:r>
        <w:rPr>
          <w:rFonts w:ascii="Times New Roman" w:hAnsi="Times New Roman" w:cs="Times New Roman" w:eastAsia="Times New Roman" w:hint="default"/>
        </w:rPr>
        <w:t>87.40 </w:t>
      </w:r>
      <w:r>
        <w:rPr/>
        <w:t>亿元，同比增长</w:t>
      </w:r>
      <w:r>
        <w:rPr>
          <w:spacing w:val="61"/>
        </w:rPr>
        <w:t> </w:t>
      </w:r>
      <w:r>
        <w:rPr>
          <w:rFonts w:ascii="Times New Roman" w:hAnsi="Times New Roman" w:cs="Times New Roman" w:eastAsia="Times New Roman" w:hint="default"/>
        </w:rPr>
        <w:t>17.97%</w:t>
      </w:r>
      <w:r>
        <w:rPr/>
        <w:t>；归属于上市公司股东净利 润 </w:t>
      </w:r>
      <w:r>
        <w:rPr>
          <w:rFonts w:ascii="Times New Roman" w:hAnsi="Times New Roman" w:cs="Times New Roman" w:eastAsia="Times New Roman" w:hint="default"/>
        </w:rPr>
        <w:t>1.12</w:t>
      </w:r>
      <w:r>
        <w:rPr>
          <w:rFonts w:ascii="Times New Roman" w:hAnsi="Times New Roman" w:cs="Times New Roman" w:eastAsia="Times New Roman" w:hint="default"/>
          <w:spacing w:val="10"/>
        </w:rPr>
        <w:t> </w:t>
      </w:r>
      <w:r>
        <w:rPr>
          <w:spacing w:val="2"/>
        </w:rPr>
        <w:t>亿元，与上年基本持平。报告期，公司经营绩效持续改善，各板块毛利率均有所提</w:t>
      </w:r>
      <w:r>
        <w:rPr/>
        <w:t> 升。各板块总体经营情况如下：</w:t>
      </w:r>
    </w:p>
    <w:p>
      <w:pPr>
        <w:pStyle w:val="Heading2"/>
        <w:spacing w:line="240" w:lineRule="auto" w:before="211"/>
        <w:ind w:left="554" w:right="0"/>
        <w:jc w:val="left"/>
        <w:rPr>
          <w:b w:val="0"/>
          <w:bCs w:val="0"/>
        </w:rPr>
      </w:pPr>
      <w:r>
        <w:rPr>
          <w:color w:val="444444"/>
        </w:rPr>
        <w:t>1.新材料板块：夯实基础，再上台阶。</w:t>
      </w:r>
      <w:r>
        <w:rPr>
          <w:b w:val="0"/>
          <w:bCs w:val="0"/>
        </w:rPr>
      </w:r>
    </w:p>
    <w:p>
      <w:pPr>
        <w:spacing w:line="240" w:lineRule="auto" w:before="9"/>
        <w:rPr>
          <w:rFonts w:ascii="宋体" w:hAnsi="宋体" w:cs="宋体" w:eastAsia="宋体" w:hint="default"/>
          <w:b/>
          <w:bCs/>
          <w:sz w:val="23"/>
          <w:szCs w:val="23"/>
        </w:rPr>
      </w:pPr>
    </w:p>
    <w:p>
      <w:pPr>
        <w:pStyle w:val="Heading3"/>
        <w:spacing w:line="345" w:lineRule="auto" w:before="0"/>
        <w:ind w:right="1025" w:firstLine="422"/>
        <w:jc w:val="left"/>
      </w:pPr>
      <w:r>
        <w:rPr/>
        <w:t>报告期，新材料板块围绕“拓市场、调结构、降成本、强质量、提效率、控风险、抓安 全、建团队”等工作重点，取得较好业绩。报告期，新材料板块实现销售收入 </w:t>
      </w:r>
      <w:r>
        <w:rPr>
          <w:rFonts w:ascii="Times New Roman" w:hAnsi="Times New Roman" w:cs="Times New Roman" w:eastAsia="Times New Roman" w:hint="default"/>
        </w:rPr>
        <w:t>24.59 </w:t>
      </w:r>
      <w:r>
        <w:rPr/>
        <w:t>亿元， 同比增长 </w:t>
      </w:r>
      <w:r>
        <w:rPr>
          <w:rFonts w:ascii="Times New Roman" w:hAnsi="Times New Roman" w:cs="Times New Roman" w:eastAsia="Times New Roman" w:hint="default"/>
        </w:rPr>
        <w:t>36.20%</w:t>
      </w:r>
      <w:r>
        <w:rPr/>
        <w:t>，发出实物量同比增长</w:t>
      </w:r>
      <w:r>
        <w:rPr>
          <w:spacing w:val="-3"/>
        </w:rPr>
        <w:t> </w:t>
      </w:r>
      <w:r>
        <w:rPr>
          <w:rFonts w:ascii="Times New Roman" w:hAnsi="Times New Roman" w:cs="Times New Roman" w:eastAsia="Times New Roman" w:hint="default"/>
        </w:rPr>
        <w:t>45.15%</w:t>
      </w:r>
      <w:r>
        <w:rPr/>
        <w:t>，超额完成</w:t>
      </w:r>
      <w:r>
        <w:rPr>
          <w:rFonts w:ascii="Times New Roman" w:hAnsi="Times New Roman" w:cs="Times New Roman" w:eastAsia="Times New Roman" w:hint="default"/>
        </w:rPr>
        <w:t>2018</w:t>
      </w:r>
      <w:r>
        <w:rPr/>
        <w:t>年度各项经营计划。主要经 营举措：</w:t>
      </w:r>
    </w:p>
    <w:p>
      <w:pPr>
        <w:pStyle w:val="Heading3"/>
        <w:spacing w:line="357" w:lineRule="auto" w:before="204"/>
        <w:ind w:right="998" w:firstLine="422"/>
        <w:jc w:val="left"/>
      </w:pPr>
      <w:r>
        <w:rPr>
          <w:rFonts w:ascii="宋体" w:hAnsi="宋体" w:cs="宋体" w:eastAsia="宋体" w:hint="default"/>
          <w:b/>
          <w:bCs/>
          <w:spacing w:val="-4"/>
        </w:rPr>
        <w:t>（1）调整产品结构，初显成效</w:t>
      </w:r>
      <w:r>
        <w:rPr>
          <w:spacing w:val="-4"/>
        </w:rPr>
        <w:t>。注入产品专注力，为目标市场提供专业的产品，超高压、</w:t>
      </w:r>
      <w:r>
        <w:rPr/>
        <w:t> 低烟无卤、特种PVC等产品的销量大幅增长；组建子公司、事业部，致力于生产细分市场需求 的产品；对每个客户定制的产品进行捆绑，利用灵活创新的产品组合，为客户提供针对性服 务。</w:t>
      </w:r>
    </w:p>
    <w:p>
      <w:pPr>
        <w:spacing w:after="0" w:line="357" w:lineRule="auto"/>
        <w:jc w:val="left"/>
        <w:sectPr>
          <w:pgSz w:w="11910" w:h="16840"/>
          <w:pgMar w:header="890" w:footer="1012" w:top="1420" w:bottom="1200" w:left="1020" w:right="0"/>
        </w:sectPr>
      </w:pPr>
    </w:p>
    <w:p>
      <w:pPr>
        <w:pStyle w:val="Heading3"/>
        <w:spacing w:line="357" w:lineRule="auto" w:before="97"/>
        <w:ind w:right="1132" w:firstLine="422"/>
        <w:jc w:val="both"/>
      </w:pPr>
      <w:r>
        <w:rPr>
          <w:rFonts w:ascii="宋体" w:hAnsi="宋体" w:cs="宋体" w:eastAsia="宋体" w:hint="default"/>
          <w:b/>
          <w:bCs/>
          <w:spacing w:val="-1"/>
        </w:rPr>
        <w:t>（2）以市场为导向，进行组织变革</w:t>
      </w:r>
      <w:r>
        <w:rPr>
          <w:spacing w:val="-1"/>
        </w:rPr>
        <w:t>。细化考核单元，推进业务单元以事业部或子公司模</w:t>
      </w:r>
      <w:r>
        <w:rPr/>
        <w:t> 式运作，使产品研发、生产专业化；为贴近客户，异地设立子公司，本地化运作，继四川子 公司后，报告期设立广东清远子公司。各子公司规范经营，部分已实现盈利，共同推动万马 新材料板块再上新台阶。</w:t>
      </w:r>
    </w:p>
    <w:p>
      <w:pPr>
        <w:pStyle w:val="Heading3"/>
        <w:spacing w:line="357" w:lineRule="auto" w:before="192"/>
        <w:ind w:right="1132" w:firstLine="422"/>
        <w:jc w:val="both"/>
      </w:pPr>
      <w:r>
        <w:rPr>
          <w:rFonts w:ascii="宋体" w:hAnsi="宋体" w:cs="宋体" w:eastAsia="宋体" w:hint="default"/>
          <w:b/>
          <w:bCs/>
          <w:spacing w:val="-1"/>
        </w:rPr>
        <w:t>（3）坚持走新型工业化和信息化融合之路</w:t>
      </w:r>
      <w:r>
        <w:rPr>
          <w:spacing w:val="-1"/>
        </w:rPr>
        <w:t>。顺应物联网等新技术和产业变革新趋势，推</w:t>
      </w:r>
      <w:r>
        <w:rPr/>
        <w:t> 进生产设备互联互通，设备运行数据实时反馈，运营效率明显提升。万马高分子的“电缆材 料智能制造试点示范”项目被工信部列入2017年智能制造试点示范项目。</w:t>
      </w:r>
    </w:p>
    <w:p>
      <w:pPr>
        <w:spacing w:line="240" w:lineRule="auto" w:before="1"/>
        <w:rPr>
          <w:rFonts w:ascii="宋体" w:hAnsi="宋体" w:cs="宋体" w:eastAsia="宋体" w:hint="default"/>
          <w:sz w:val="27"/>
          <w:szCs w:val="27"/>
        </w:rPr>
      </w:pPr>
    </w:p>
    <w:p>
      <w:pPr>
        <w:spacing w:line="620" w:lineRule="atLeast" w:before="0"/>
        <w:ind w:left="535" w:right="1211" w:firstLine="0"/>
        <w:jc w:val="left"/>
        <w:rPr>
          <w:rFonts w:ascii="宋体" w:hAnsi="宋体" w:cs="宋体" w:eastAsia="宋体" w:hint="default"/>
          <w:sz w:val="24"/>
          <w:szCs w:val="24"/>
        </w:rPr>
      </w:pPr>
      <w:r>
        <w:rPr>
          <w:rFonts w:ascii="宋体" w:hAnsi="宋体" w:cs="宋体" w:eastAsia="宋体" w:hint="default"/>
          <w:b/>
          <w:bCs/>
          <w:sz w:val="24"/>
          <w:szCs w:val="24"/>
        </w:rPr>
        <w:t>2.新能源产业：把握投资节奏，提升充电效能。</w:t>
      </w:r>
      <w:r>
        <w:rPr>
          <w:rFonts w:ascii="宋体" w:hAnsi="宋体" w:cs="宋体" w:eastAsia="宋体" w:hint="default"/>
          <w:b/>
          <w:bCs/>
          <w:w w:val="99"/>
          <w:sz w:val="24"/>
          <w:szCs w:val="24"/>
        </w:rPr>
        <w:t> </w:t>
      </w:r>
      <w:r>
        <w:rPr>
          <w:rFonts w:ascii="宋体" w:hAnsi="宋体" w:cs="宋体" w:eastAsia="宋体" w:hint="default"/>
          <w:sz w:val="24"/>
          <w:szCs w:val="24"/>
        </w:rPr>
        <w:t>作为新能源领域较早确立城市集中式快充站建设思路的公司，至今公司已在所进入的城</w:t>
      </w:r>
    </w:p>
    <w:p>
      <w:pPr>
        <w:pStyle w:val="Heading3"/>
        <w:spacing w:line="357" w:lineRule="auto" w:before="154"/>
        <w:ind w:right="1171"/>
        <w:jc w:val="both"/>
      </w:pPr>
      <w:r>
        <w:rPr/>
        <w:t>市形成了有效的电动汽车公共快速充电站网络。公司根据不同城市电动车辆投放的特点，逐 步确立现阶段集中服务各类运营车辆的市场定位，针对网约车、物流车、通勤旅汽大巴等不 同用户进行了充电场站建设形态的细化，在站点选址、设备配套、站点动线设计和附加服务 上形成了一套成熟的管理方案，绝大多数站点采用了车位专用、独立电力报装的建站模式。 随着2018年运营车辆特别是网约车和物流车辆投放速度加快，公司投资的主要城市的单个站 点服务能力逐步提高，从平均10个车位达到接近20个车位规模，充电站整体资产使用效率较 高。</w:t>
      </w:r>
    </w:p>
    <w:p>
      <w:pPr>
        <w:pStyle w:val="Heading3"/>
        <w:spacing w:line="357" w:lineRule="auto" w:before="192"/>
        <w:ind w:right="1171" w:firstLine="422"/>
        <w:jc w:val="both"/>
      </w:pPr>
      <w:r>
        <w:rPr>
          <w:spacing w:val="-18"/>
        </w:rPr>
        <w:t>报告期，新能源板块围绕“产品全”、“网点广”、“充电快”、“运营优”等经营宗旨，开</w:t>
      </w:r>
      <w:r>
        <w:rPr/>
        <w:t> 展各项经营活动。截至报告期末，公司新能源板块累计在全国设立</w:t>
      </w:r>
      <w:r>
        <w:rPr>
          <w:spacing w:val="-60"/>
        </w:rPr>
        <w:t> </w:t>
      </w:r>
      <w:r>
        <w:rPr/>
        <w:t>17</w:t>
      </w:r>
      <w:r>
        <w:rPr>
          <w:spacing w:val="-60"/>
        </w:rPr>
        <w:t> </w:t>
      </w:r>
      <w:r>
        <w:rPr/>
        <w:t>家充电运营公司，200</w:t>
      </w:r>
    </w:p>
    <w:p>
      <w:pPr>
        <w:pStyle w:val="Heading3"/>
        <w:spacing w:line="240" w:lineRule="auto"/>
        <w:ind w:right="0"/>
        <w:jc w:val="both"/>
      </w:pPr>
      <w:r>
        <w:rPr/>
        <w:t>余座大型充电站，联网充电终端</w:t>
      </w:r>
      <w:r>
        <w:rPr>
          <w:spacing w:val="-64"/>
        </w:rPr>
        <w:t> </w:t>
      </w:r>
      <w:r>
        <w:rPr/>
        <w:t>6,396</w:t>
      </w:r>
      <w:r>
        <w:rPr>
          <w:spacing w:val="-64"/>
        </w:rPr>
        <w:t> </w:t>
      </w:r>
      <w:r>
        <w:rPr>
          <w:spacing w:val="-3"/>
        </w:rPr>
        <w:t>个。报告期实现充电量</w:t>
      </w:r>
      <w:r>
        <w:rPr>
          <w:spacing w:val="-7"/>
        </w:rPr>
        <w:t> </w:t>
      </w:r>
      <w:r>
        <w:rPr/>
        <w:t>1.23</w:t>
      </w:r>
      <w:r>
        <w:rPr>
          <w:spacing w:val="-64"/>
        </w:rPr>
        <w:t> </w:t>
      </w:r>
      <w:r>
        <w:rPr>
          <w:spacing w:val="-4"/>
        </w:rPr>
        <w:t>亿度，较上年增长</w:t>
      </w:r>
      <w:r>
        <w:rPr>
          <w:spacing w:val="-64"/>
        </w:rPr>
        <w:t> </w:t>
      </w:r>
      <w:r>
        <w:rPr/>
        <w:t>243%。</w:t>
      </w:r>
    </w:p>
    <w:p>
      <w:pPr>
        <w:spacing w:line="240" w:lineRule="auto" w:before="9"/>
        <w:rPr>
          <w:rFonts w:ascii="宋体" w:hAnsi="宋体" w:cs="宋体" w:eastAsia="宋体" w:hint="default"/>
          <w:sz w:val="23"/>
          <w:szCs w:val="23"/>
        </w:rPr>
      </w:pPr>
    </w:p>
    <w:p>
      <w:pPr>
        <w:pStyle w:val="Heading2"/>
        <w:spacing w:line="240" w:lineRule="auto"/>
        <w:ind w:left="535" w:right="0"/>
        <w:jc w:val="left"/>
        <w:rPr>
          <w:b w:val="0"/>
          <w:bCs w:val="0"/>
        </w:rPr>
      </w:pPr>
      <w:r>
        <w:rPr/>
        <w:t>（1）产品全：提升产品性能，主推直流快充桩。</w:t>
      </w:r>
      <w:r>
        <w:rPr>
          <w:b w:val="0"/>
          <w:bCs w:val="0"/>
        </w:rPr>
      </w:r>
    </w:p>
    <w:p>
      <w:pPr>
        <w:spacing w:line="240" w:lineRule="auto" w:before="9"/>
        <w:rPr>
          <w:rFonts w:ascii="宋体" w:hAnsi="宋体" w:cs="宋体" w:eastAsia="宋体" w:hint="default"/>
          <w:b/>
          <w:bCs/>
          <w:sz w:val="23"/>
          <w:szCs w:val="23"/>
        </w:rPr>
      </w:pPr>
    </w:p>
    <w:p>
      <w:pPr>
        <w:pStyle w:val="Heading3"/>
        <w:spacing w:line="357" w:lineRule="auto" w:before="0"/>
        <w:ind w:right="1132" w:firstLine="420"/>
        <w:jc w:val="both"/>
      </w:pPr>
      <w:r>
        <w:rPr>
          <w:spacing w:val="-6"/>
        </w:rPr>
        <w:t>公司充电桩产品品类齐全，功率覆盖 </w:t>
      </w:r>
      <w:r>
        <w:rPr>
          <w:spacing w:val="-8"/>
        </w:rPr>
        <w:t>7KW-360KW，主推大功率直流快充桩，并已完成</w:t>
      </w:r>
      <w:r>
        <w:rPr>
          <w:spacing w:val="-84"/>
        </w:rPr>
        <w:t> </w:t>
      </w:r>
      <w:r>
        <w:rPr/>
        <w:t>360KW</w:t>
      </w:r>
      <w:r>
        <w:rPr/>
        <w:t> 充电堆的研发，将投放市场。</w:t>
      </w:r>
    </w:p>
    <w:p>
      <w:pPr>
        <w:pStyle w:val="Heading2"/>
        <w:spacing w:line="240" w:lineRule="auto" w:before="192"/>
        <w:ind w:left="535" w:right="0"/>
        <w:jc w:val="left"/>
        <w:rPr>
          <w:b w:val="0"/>
          <w:bCs w:val="0"/>
        </w:rPr>
      </w:pPr>
      <w:r>
        <w:rPr/>
        <w:t>（2）网点广：精准投资电站，建设城市快充网。</w:t>
      </w:r>
      <w:r>
        <w:rPr>
          <w:b w:val="0"/>
          <w:bCs w:val="0"/>
        </w:rPr>
      </w:r>
    </w:p>
    <w:p>
      <w:pPr>
        <w:spacing w:line="240" w:lineRule="auto" w:before="9"/>
        <w:rPr>
          <w:rFonts w:ascii="宋体" w:hAnsi="宋体" w:cs="宋体" w:eastAsia="宋体" w:hint="default"/>
          <w:b/>
          <w:bCs/>
          <w:sz w:val="23"/>
          <w:szCs w:val="23"/>
        </w:rPr>
      </w:pPr>
    </w:p>
    <w:p>
      <w:pPr>
        <w:pStyle w:val="Heading3"/>
        <w:spacing w:line="357" w:lineRule="auto" w:before="0"/>
        <w:ind w:right="0" w:firstLine="420"/>
        <w:jc w:val="left"/>
      </w:pPr>
      <w:r>
        <w:rPr>
          <w:spacing w:val="-1"/>
        </w:rPr>
        <w:t>报告期，公司完善工程管理，精算投资规模，扩大单站规模，根据市场特征和客户特点，</w:t>
      </w:r>
      <w:r>
        <w:rPr/>
        <w:t> 投建符合市场需求的场站。截至报告期末，公司已完成主要城市，如北京、上海、深圳、广 州、杭州、武汉、西安、成都、重庆、南京、苏州、无锡、三亚、福州、泉州等干线充电网</w:t>
      </w:r>
    </w:p>
    <w:p>
      <w:pPr>
        <w:spacing w:after="0" w:line="357" w:lineRule="auto"/>
        <w:jc w:val="left"/>
        <w:sectPr>
          <w:pgSz w:w="11910" w:h="16840"/>
          <w:pgMar w:header="890" w:footer="1012" w:top="1420" w:bottom="1200" w:left="1020" w:right="0"/>
        </w:sectPr>
      </w:pPr>
    </w:p>
    <w:p>
      <w:pPr>
        <w:pStyle w:val="Heading3"/>
        <w:spacing w:line="357" w:lineRule="auto" w:before="97"/>
        <w:ind w:right="1154"/>
        <w:jc w:val="left"/>
      </w:pPr>
      <w:r>
        <w:rPr/>
        <w:t>的搭建，形成为通勤车、网约车、物流车等不同客户、不同需求的充电网。报告期，部分城 市公司实现盈利。（公司的全国充电网络见下图）</w:t>
      </w:r>
    </w:p>
    <w:p>
      <w:pPr>
        <w:spacing w:line="240" w:lineRule="auto" w:before="4"/>
        <w:rPr>
          <w:rFonts w:ascii="宋体" w:hAnsi="宋体" w:cs="宋体" w:eastAsia="宋体" w:hint="default"/>
          <w:sz w:val="2"/>
          <w:szCs w:val="2"/>
        </w:rPr>
      </w:pPr>
    </w:p>
    <w:p>
      <w:pPr>
        <w:spacing w:line="6486" w:lineRule="exact"/>
        <w:ind w:left="115" w:right="0" w:firstLine="0"/>
        <w:rPr>
          <w:rFonts w:ascii="宋体" w:hAnsi="宋体" w:cs="宋体" w:eastAsia="宋体" w:hint="default"/>
          <w:sz w:val="20"/>
          <w:szCs w:val="20"/>
        </w:rPr>
      </w:pPr>
      <w:r>
        <w:rPr>
          <w:rFonts w:ascii="宋体" w:hAnsi="宋体" w:cs="宋体" w:eastAsia="宋体" w:hint="default"/>
          <w:position w:val="-129"/>
          <w:sz w:val="20"/>
          <w:szCs w:val="20"/>
        </w:rPr>
        <w:drawing>
          <wp:inline distT="0" distB="0" distL="0" distR="0">
            <wp:extent cx="6096167" cy="4118991"/>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9" cstate="print"/>
                    <a:stretch>
                      <a:fillRect/>
                    </a:stretch>
                  </pic:blipFill>
                  <pic:spPr>
                    <a:xfrm>
                      <a:off x="0" y="0"/>
                      <a:ext cx="6096167" cy="4118991"/>
                    </a:xfrm>
                    <a:prstGeom prst="rect">
                      <a:avLst/>
                    </a:prstGeom>
                  </pic:spPr>
                </pic:pic>
              </a:graphicData>
            </a:graphic>
          </wp:inline>
        </w:drawing>
      </w:r>
      <w:r>
        <w:rPr>
          <w:rFonts w:ascii="宋体" w:hAnsi="宋体" w:cs="宋体" w:eastAsia="宋体" w:hint="default"/>
          <w:position w:val="-129"/>
          <w:sz w:val="20"/>
          <w:szCs w:val="20"/>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line="388" w:lineRule="auto" w:before="0"/>
        <w:ind w:left="532" w:right="0" w:firstLine="2"/>
        <w:jc w:val="left"/>
        <w:rPr>
          <w:rFonts w:ascii="宋体" w:hAnsi="宋体" w:cs="宋体" w:eastAsia="宋体" w:hint="default"/>
          <w:sz w:val="24"/>
          <w:szCs w:val="24"/>
        </w:rPr>
      </w:pPr>
      <w:r>
        <w:rPr>
          <w:rFonts w:ascii="宋体" w:hAnsi="宋体" w:cs="宋体" w:eastAsia="宋体" w:hint="default"/>
          <w:b/>
          <w:bCs/>
          <w:sz w:val="24"/>
          <w:szCs w:val="24"/>
        </w:rPr>
        <w:t>（3）充电快：优化充电效率，提升运营绩效。</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报告期，公司注重提高单站投资密度，改造老旧设备，提升单站产能。</w:t>
      </w:r>
      <w:r>
        <w:rPr>
          <w:rFonts w:ascii="宋体" w:hAnsi="宋体" w:cs="宋体" w:eastAsia="宋体" w:hint="default"/>
          <w:color w:val="333333"/>
          <w:spacing w:val="2"/>
          <w:sz w:val="24"/>
          <w:szCs w:val="24"/>
        </w:rPr>
        <w:t>优化组织体系，</w:t>
      </w:r>
      <w:r>
        <w:rPr>
          <w:rFonts w:ascii="宋体" w:hAnsi="宋体" w:cs="宋体" w:eastAsia="宋体" w:hint="default"/>
          <w:spacing w:val="2"/>
          <w:sz w:val="24"/>
          <w:szCs w:val="24"/>
        </w:rPr>
      </w:r>
    </w:p>
    <w:p>
      <w:pPr>
        <w:pStyle w:val="Heading3"/>
        <w:spacing w:line="388" w:lineRule="auto" w:before="5"/>
        <w:ind w:left="532" w:right="0" w:hanging="420"/>
        <w:jc w:val="left"/>
      </w:pPr>
      <w:r>
        <w:rPr>
          <w:color w:val="333333"/>
        </w:rPr>
        <w:t>完成组织结构扁平化的调整，提升管理效率。 </w:t>
      </w:r>
      <w:r>
        <w:rPr>
          <w:color w:val="333333"/>
          <w:spacing w:val="-1"/>
        </w:rPr>
        <w:t>报告期，从场站立项到运营，推动场站全生命周期的管理工作。加速场站的投建和投运，</w:t>
      </w:r>
      <w:r>
        <w:rPr>
          <w:spacing w:val="-1"/>
        </w:rPr>
      </w:r>
    </w:p>
    <w:p>
      <w:pPr>
        <w:pStyle w:val="Heading3"/>
        <w:spacing w:line="357" w:lineRule="auto" w:before="5"/>
        <w:ind w:right="1012"/>
        <w:jc w:val="left"/>
      </w:pPr>
      <w:r>
        <w:rPr>
          <w:color w:val="333333"/>
        </w:rPr>
        <w:t>完善充电站的全生命周期管理体系。报告期末，平均单桩充电时增长到期初的近两倍，使用 </w:t>
      </w:r>
      <w:r>
        <w:rPr>
          <w:color w:val="333333"/>
          <w:spacing w:val="-8"/>
        </w:rPr>
        <w:t>效率明显改善。（报告期，公司部分充电站单站售电情况、2017-2018</w:t>
      </w:r>
      <w:r>
        <w:rPr>
          <w:color w:val="333333"/>
          <w:spacing w:val="-43"/>
        </w:rPr>
        <w:t> </w:t>
      </w:r>
      <w:r>
        <w:rPr>
          <w:color w:val="333333"/>
        </w:rPr>
        <w:t>各季度充电情况见下图）</w:t>
      </w:r>
      <w:r>
        <w:rPr/>
      </w:r>
    </w:p>
    <w:p>
      <w:pPr>
        <w:spacing w:line="240" w:lineRule="auto" w:before="10"/>
        <w:rPr>
          <w:rFonts w:ascii="宋体" w:hAnsi="宋体" w:cs="宋体" w:eastAsia="宋体" w:hint="default"/>
          <w:sz w:val="3"/>
          <w:szCs w:val="3"/>
        </w:rPr>
      </w:pPr>
    </w:p>
    <w:p>
      <w:pPr>
        <w:spacing w:line="2755" w:lineRule="exact"/>
        <w:ind w:left="655"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5003900" cy="1749552"/>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20" cstate="print"/>
                    <a:stretch>
                      <a:fillRect/>
                    </a:stretch>
                  </pic:blipFill>
                  <pic:spPr>
                    <a:xfrm>
                      <a:off x="0" y="0"/>
                      <a:ext cx="5003900" cy="1749552"/>
                    </a:xfrm>
                    <a:prstGeom prst="rect">
                      <a:avLst/>
                    </a:prstGeom>
                  </pic:spPr>
                </pic:pic>
              </a:graphicData>
            </a:graphic>
          </wp:inline>
        </w:drawing>
      </w:r>
      <w:r>
        <w:rPr>
          <w:rFonts w:ascii="宋体" w:hAnsi="宋体" w:cs="宋体" w:eastAsia="宋体" w:hint="default"/>
          <w:position w:val="-54"/>
          <w:sz w:val="20"/>
          <w:szCs w:val="20"/>
        </w:rPr>
      </w:r>
    </w:p>
    <w:p>
      <w:pPr>
        <w:spacing w:after="0" w:line="2755" w:lineRule="exact"/>
        <w:rPr>
          <w:rFonts w:ascii="宋体" w:hAnsi="宋体" w:cs="宋体" w:eastAsia="宋体" w:hint="default"/>
          <w:sz w:val="20"/>
          <w:szCs w:val="20"/>
        </w:rPr>
        <w:sectPr>
          <w:headerReference w:type="default" r:id="rId18"/>
          <w:pgSz w:w="11910" w:h="16840"/>
          <w:pgMar w:header="890" w:footer="1012" w:top="1420" w:bottom="1200" w:left="1020" w:right="0"/>
        </w:sectPr>
      </w:pPr>
    </w:p>
    <w:p>
      <w:pPr>
        <w:spacing w:line="240" w:lineRule="auto" w:before="3"/>
        <w:rPr>
          <w:rFonts w:ascii="宋体" w:hAnsi="宋体" w:cs="宋体" w:eastAsia="宋体" w:hint="default"/>
          <w:sz w:val="13"/>
          <w:szCs w:val="13"/>
        </w:rPr>
      </w:pPr>
    </w:p>
    <w:p>
      <w:pPr>
        <w:spacing w:line="4472" w:lineRule="exact"/>
        <w:ind w:left="535"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5247801" cy="2839878"/>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21" cstate="print"/>
                    <a:stretch>
                      <a:fillRect/>
                    </a:stretch>
                  </pic:blipFill>
                  <pic:spPr>
                    <a:xfrm>
                      <a:off x="0" y="0"/>
                      <a:ext cx="5247801" cy="2839878"/>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4"/>
        <w:rPr>
          <w:rFonts w:ascii="宋体" w:hAnsi="宋体" w:cs="宋体" w:eastAsia="宋体" w:hint="default"/>
          <w:sz w:val="11"/>
          <w:szCs w:val="11"/>
        </w:rPr>
      </w:pPr>
    </w:p>
    <w:p>
      <w:pPr>
        <w:spacing w:line="386" w:lineRule="auto" w:before="26"/>
        <w:ind w:left="592" w:right="1154" w:hanging="58"/>
        <w:jc w:val="left"/>
        <w:rPr>
          <w:rFonts w:ascii="宋体" w:hAnsi="宋体" w:cs="宋体" w:eastAsia="宋体" w:hint="default"/>
          <w:sz w:val="24"/>
          <w:szCs w:val="24"/>
        </w:rPr>
      </w:pPr>
      <w:r>
        <w:rPr>
          <w:rFonts w:ascii="宋体" w:hAnsi="宋体" w:cs="宋体" w:eastAsia="宋体" w:hint="default"/>
          <w:b/>
          <w:bCs/>
          <w:sz w:val="24"/>
          <w:szCs w:val="24"/>
        </w:rPr>
        <w:t>（4）运营优：细分市场客户，强化客户体验。</w:t>
      </w:r>
      <w:r>
        <w:rPr>
          <w:rFonts w:ascii="宋体" w:hAnsi="宋体" w:cs="宋体" w:eastAsia="宋体" w:hint="default"/>
          <w:b/>
          <w:bCs/>
          <w:w w:val="99"/>
          <w:sz w:val="24"/>
          <w:szCs w:val="24"/>
        </w:rPr>
        <w:t> </w:t>
      </w:r>
      <w:r>
        <w:rPr>
          <w:rFonts w:ascii="宋体" w:hAnsi="宋体" w:cs="宋体" w:eastAsia="宋体" w:hint="default"/>
          <w:color w:val="333333"/>
          <w:sz w:val="24"/>
          <w:szCs w:val="24"/>
        </w:rPr>
        <w:t>报告期，公司在客户细分及提升客户服务水平上做足功课，在建站选址、站内布局、服</w:t>
      </w:r>
      <w:r>
        <w:rPr>
          <w:rFonts w:ascii="宋体" w:hAnsi="宋体" w:cs="宋体" w:eastAsia="宋体" w:hint="default"/>
          <w:sz w:val="24"/>
          <w:szCs w:val="24"/>
        </w:rPr>
      </w:r>
    </w:p>
    <w:p>
      <w:pPr>
        <w:pStyle w:val="Heading3"/>
        <w:spacing w:line="357" w:lineRule="auto" w:before="7"/>
        <w:ind w:right="1171"/>
        <w:jc w:val="both"/>
      </w:pPr>
      <w:r>
        <w:rPr>
          <w:color w:val="333333"/>
        </w:rPr>
        <w:t>务配套等方面，充分考虑网约车、出租车、物流车等不同客户的充电需求及充电特点</w:t>
      </w:r>
      <w:r>
        <w:rPr/>
        <w:t>，</w:t>
      </w:r>
      <w:r>
        <w:rPr>
          <w:color w:val="333333"/>
        </w:rPr>
        <w:t>通过</w:t>
      </w:r>
      <w:r>
        <w:rPr>
          <w:color w:val="333333"/>
        </w:rPr>
        <w:t> 分时段推出服务产品等策略，提供差异化服务，</w:t>
      </w:r>
      <w:r>
        <w:rPr/>
        <w:t>为客户提供便捷、快速、稳定、增值的</w:t>
      </w:r>
      <w:r>
        <w:rPr>
          <w:color w:val="333333"/>
        </w:rPr>
        <w:t>高品</w:t>
      </w:r>
      <w:r>
        <w:rPr>
          <w:color w:val="333333"/>
        </w:rPr>
        <w:t> 质服务体验，</w:t>
      </w:r>
      <w:r>
        <w:rPr/>
        <w:t>提升服务品牌。</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spacing w:line="357" w:lineRule="auto" w:before="0"/>
        <w:ind w:left="592" w:right="0" w:hanging="58"/>
        <w:jc w:val="left"/>
        <w:rPr>
          <w:rFonts w:ascii="宋体" w:hAnsi="宋体" w:cs="宋体" w:eastAsia="宋体" w:hint="default"/>
          <w:sz w:val="24"/>
          <w:szCs w:val="24"/>
        </w:rPr>
      </w:pPr>
      <w:r>
        <w:rPr>
          <w:rFonts w:ascii="宋体" w:hAnsi="宋体" w:cs="宋体" w:eastAsia="宋体" w:hint="default"/>
          <w:b/>
          <w:bCs/>
          <w:sz w:val="24"/>
          <w:szCs w:val="24"/>
        </w:rPr>
        <w:t>3.线缆业务：销量持续增长。</w:t>
      </w:r>
      <w:r>
        <w:rPr>
          <w:rFonts w:ascii="宋体" w:hAnsi="宋体" w:cs="宋体" w:eastAsia="宋体" w:hint="default"/>
          <w:b/>
          <w:bCs/>
          <w:w w:val="99"/>
          <w:sz w:val="24"/>
          <w:szCs w:val="24"/>
        </w:rPr>
        <w:t> </w:t>
      </w:r>
      <w:r>
        <w:rPr>
          <w:rFonts w:ascii="宋体" w:hAnsi="宋体" w:cs="宋体" w:eastAsia="宋体" w:hint="default"/>
          <w:sz w:val="24"/>
          <w:szCs w:val="24"/>
        </w:rPr>
        <w:t>受益于制造业的升级，向“先进制造”转型，公司在主营业务线缆板块加大技术改造和</w:t>
      </w:r>
    </w:p>
    <w:p>
      <w:pPr>
        <w:pStyle w:val="Heading3"/>
        <w:spacing w:line="357" w:lineRule="auto"/>
        <w:ind w:right="1130"/>
        <w:jc w:val="both"/>
      </w:pPr>
      <w:r>
        <w:rPr>
          <w:spacing w:val="7"/>
        </w:rPr>
        <w:t>设备改造，追求高质量发展。报告期，电力电缆业务实现销售收入</w:t>
      </w:r>
      <w:r>
        <w:rPr>
          <w:spacing w:val="-51"/>
        </w:rPr>
        <w:t> </w:t>
      </w:r>
      <w:r>
        <w:rPr/>
        <w:t>52.43</w:t>
      </w:r>
      <w:r>
        <w:rPr>
          <w:spacing w:val="-49"/>
        </w:rPr>
        <w:t> </w:t>
      </w:r>
      <w:r>
        <w:rPr>
          <w:spacing w:val="6"/>
        </w:rPr>
        <w:t>亿元，同比增长</w:t>
      </w:r>
      <w:r>
        <w:rPr/>
        <w:t> 23.86%，发出实物量同比增长</w:t>
      </w:r>
      <w:r>
        <w:rPr>
          <w:spacing w:val="-79"/>
        </w:rPr>
        <w:t> </w:t>
      </w:r>
      <w:r>
        <w:rPr/>
        <w:t>10.61%。报告期，通信板块海外市场拓展初见成效，国际业务</w:t>
      </w:r>
      <w:r>
        <w:rPr/>
        <w:t> 量同比增长</w:t>
      </w:r>
      <w:r>
        <w:rPr>
          <w:spacing w:val="-60"/>
        </w:rPr>
        <w:t> </w:t>
      </w:r>
      <w:r>
        <w:rPr/>
        <w:t>11%。主要经营策略：</w:t>
      </w:r>
    </w:p>
    <w:p>
      <w:pPr>
        <w:spacing w:line="357" w:lineRule="auto" w:before="36"/>
        <w:ind w:left="535" w:right="0" w:firstLine="0"/>
        <w:jc w:val="left"/>
        <w:rPr>
          <w:rFonts w:ascii="宋体" w:hAnsi="宋体" w:cs="宋体" w:eastAsia="宋体" w:hint="default"/>
          <w:sz w:val="24"/>
          <w:szCs w:val="24"/>
        </w:rPr>
      </w:pPr>
      <w:r>
        <w:rPr>
          <w:rFonts w:ascii="宋体" w:hAnsi="宋体" w:cs="宋体" w:eastAsia="宋体" w:hint="default"/>
          <w:b/>
          <w:bCs/>
          <w:sz w:val="24"/>
          <w:szCs w:val="24"/>
        </w:rPr>
        <w:t>（1）调整销售策略，打通分销渠道。</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报告期，公司调整销售策略，提升销售活动过程质量管理。公司在销售架构调整、区域</w:t>
      </w:r>
    </w:p>
    <w:p>
      <w:pPr>
        <w:pStyle w:val="Heading3"/>
        <w:spacing w:line="357" w:lineRule="auto"/>
        <w:ind w:right="1132"/>
        <w:jc w:val="both"/>
      </w:pPr>
      <w:r>
        <w:rPr/>
        <w:t>布局、政策制定等方面下足功夫，丰富销售模式，全面推进分销业务。报告期分销销售收入</w:t>
      </w:r>
      <w:r>
        <w:rPr>
          <w:spacing w:val="-89"/>
        </w:rPr>
        <w:t> </w:t>
      </w:r>
      <w:r>
        <w:rPr>
          <w:spacing w:val="-89"/>
        </w:rPr>
      </w:r>
      <w:r>
        <w:rPr/>
        <w:t>同比增长</w:t>
      </w:r>
      <w:r>
        <w:rPr>
          <w:spacing w:val="-60"/>
        </w:rPr>
        <w:t> </w:t>
      </w:r>
      <w:r>
        <w:rPr/>
        <w:t>26%。</w:t>
      </w:r>
    </w:p>
    <w:p>
      <w:pPr>
        <w:spacing w:line="357" w:lineRule="auto" w:before="36"/>
        <w:ind w:left="772" w:right="0" w:hanging="240"/>
        <w:jc w:val="left"/>
        <w:rPr>
          <w:rFonts w:ascii="宋体" w:hAnsi="宋体" w:cs="宋体" w:eastAsia="宋体" w:hint="default"/>
          <w:sz w:val="24"/>
          <w:szCs w:val="24"/>
        </w:rPr>
      </w:pPr>
      <w:r>
        <w:rPr>
          <w:rFonts w:ascii="宋体" w:hAnsi="宋体" w:cs="宋体" w:eastAsia="宋体" w:hint="default"/>
          <w:b/>
          <w:bCs/>
          <w:sz w:val="24"/>
          <w:szCs w:val="24"/>
        </w:rPr>
        <w:t>（2）流程优化，提升运营效率。</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报告期，公司以业务赋能为主要目的，结合信息化升级需求，对公司内部业务流程进</w:t>
      </w:r>
    </w:p>
    <w:p>
      <w:pPr>
        <w:pStyle w:val="Heading3"/>
        <w:spacing w:line="357" w:lineRule="auto"/>
        <w:ind w:right="1132"/>
        <w:jc w:val="both"/>
      </w:pPr>
      <w:r>
        <w:rPr>
          <w:spacing w:val="2"/>
        </w:rPr>
        <w:t>行了全面的梳理、优化，以持续变革方式对端到端的业务流程进行了再造，明确流程</w:t>
      </w:r>
      <w:r>
        <w:rPr>
          <w:spacing w:val="-54"/>
        </w:rPr>
        <w:t> </w:t>
      </w:r>
      <w:r>
        <w:rPr/>
        <w:t>OWNER</w:t>
      </w:r>
      <w:r>
        <w:rPr/>
        <w:t> 在日常业务开展中的职责及定位。</w:t>
      </w:r>
    </w:p>
    <w:p>
      <w:pPr>
        <w:spacing w:after="0" w:line="357" w:lineRule="auto"/>
        <w:jc w:val="both"/>
        <w:sectPr>
          <w:pgSz w:w="11910" w:h="16840"/>
          <w:pgMar w:header="890" w:footer="1012" w:top="1420" w:bottom="1200" w:left="1020" w:right="0"/>
        </w:sectPr>
      </w:pPr>
    </w:p>
    <w:p>
      <w:pPr>
        <w:spacing w:line="357" w:lineRule="auto" w:before="97"/>
        <w:ind w:left="552" w:right="1115" w:firstLine="2"/>
        <w:jc w:val="left"/>
        <w:rPr>
          <w:rFonts w:ascii="宋体" w:hAnsi="宋体" w:cs="宋体" w:eastAsia="宋体" w:hint="default"/>
          <w:sz w:val="24"/>
          <w:szCs w:val="24"/>
        </w:rPr>
      </w:pPr>
      <w:r>
        <w:rPr>
          <w:rFonts w:ascii="宋体" w:hAnsi="宋体" w:cs="宋体" w:eastAsia="宋体" w:hint="default"/>
          <w:b/>
          <w:bCs/>
          <w:sz w:val="24"/>
          <w:szCs w:val="24"/>
        </w:rPr>
        <w:t>（3）聚焦核心产品，优化新品结构。</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报告期，公司大力推进新产品销售，其中防火电缆销售同比增长</w:t>
      </w:r>
      <w:r>
        <w:rPr>
          <w:rFonts w:ascii="宋体" w:hAnsi="宋体" w:cs="宋体" w:eastAsia="宋体" w:hint="default"/>
          <w:spacing w:val="-49"/>
          <w:sz w:val="24"/>
          <w:szCs w:val="24"/>
        </w:rPr>
        <w:t> </w:t>
      </w:r>
      <w:r>
        <w:rPr>
          <w:rFonts w:ascii="宋体" w:hAnsi="宋体" w:cs="宋体" w:eastAsia="宋体" w:hint="default"/>
          <w:spacing w:val="-3"/>
          <w:sz w:val="24"/>
          <w:szCs w:val="24"/>
        </w:rPr>
        <w:t>55%，布电线销售同比增</w:t>
      </w:r>
    </w:p>
    <w:p>
      <w:pPr>
        <w:pStyle w:val="Heading3"/>
        <w:spacing w:line="357" w:lineRule="auto"/>
        <w:ind w:left="132" w:right="1129"/>
        <w:jc w:val="both"/>
      </w:pPr>
      <w:r>
        <w:rPr/>
        <w:t>长</w:t>
      </w:r>
      <w:r>
        <w:rPr>
          <w:spacing w:val="-60"/>
        </w:rPr>
        <w:t> </w:t>
      </w:r>
      <w:r>
        <w:rPr/>
        <w:t>37%，控制线缆销售同比增长</w:t>
      </w:r>
      <w:r>
        <w:rPr>
          <w:spacing w:val="-58"/>
        </w:rPr>
        <w:t> </w:t>
      </w:r>
      <w:r>
        <w:rPr>
          <w:spacing w:val="-3"/>
        </w:rPr>
        <w:t>47%。公司成立市场中心，强化产品策略、品牌建设、新品推</w:t>
      </w:r>
      <w:r>
        <w:rPr/>
        <w:t> </w:t>
      </w:r>
      <w:r>
        <w:rPr>
          <w:spacing w:val="-7"/>
        </w:rPr>
        <w:t>广等职能。公司“额定电压 </w:t>
      </w:r>
      <w:r>
        <w:rPr/>
        <w:t>750V</w:t>
      </w:r>
      <w:r>
        <w:rPr>
          <w:spacing w:val="-95"/>
        </w:rPr>
        <w:t> </w:t>
      </w:r>
      <w:r>
        <w:rPr>
          <w:spacing w:val="-5"/>
        </w:rPr>
        <w:t>及以下矿物绝缘电缆”符合“品字标”浙江制造的标准要求,</w:t>
      </w:r>
      <w:r>
        <w:rPr/>
        <w:t> 成为杭州市临安区首批取得“品字标”浙江制造认证证书的企业。</w:t>
      </w:r>
    </w:p>
    <w:p>
      <w:pPr>
        <w:spacing w:line="357" w:lineRule="auto" w:before="36"/>
        <w:ind w:left="672" w:right="1115" w:hanging="120"/>
        <w:jc w:val="left"/>
        <w:rPr>
          <w:rFonts w:ascii="宋体" w:hAnsi="宋体" w:cs="宋体" w:eastAsia="宋体" w:hint="default"/>
          <w:sz w:val="24"/>
          <w:szCs w:val="24"/>
        </w:rPr>
      </w:pPr>
      <w:r>
        <w:rPr>
          <w:rFonts w:ascii="宋体" w:hAnsi="宋体" w:cs="宋体" w:eastAsia="宋体" w:hint="default"/>
          <w:b/>
          <w:bCs/>
          <w:sz w:val="24"/>
          <w:szCs w:val="24"/>
        </w:rPr>
        <w:t>（4）强化运营资金管理，提高资金使用效率。</w:t>
      </w:r>
      <w:r>
        <w:rPr>
          <w:rFonts w:ascii="宋体" w:hAnsi="宋体" w:cs="宋体" w:eastAsia="宋体" w:hint="default"/>
          <w:b/>
          <w:bCs/>
          <w:w w:val="99"/>
          <w:sz w:val="24"/>
          <w:szCs w:val="24"/>
        </w:rPr>
        <w:t> </w:t>
      </w:r>
      <w:r>
        <w:rPr>
          <w:rFonts w:ascii="宋体" w:hAnsi="宋体" w:cs="宋体" w:eastAsia="宋体" w:hint="default"/>
          <w:spacing w:val="-1"/>
          <w:sz w:val="24"/>
          <w:szCs w:val="24"/>
        </w:rPr>
        <w:t>报告期，面对铜价持续上涨带来的运营资金占用规模增加，公司对运营资金从融资、接</w:t>
      </w:r>
    </w:p>
    <w:p>
      <w:pPr>
        <w:pStyle w:val="Heading3"/>
        <w:spacing w:line="357" w:lineRule="auto"/>
        <w:ind w:left="132" w:right="1132"/>
        <w:jc w:val="both"/>
      </w:pPr>
      <w:r>
        <w:rPr/>
        <w:t>单、排产、采购付款、库存、货款回笼、保函保证金管理等各方面进行了调整，采用内紧外</w:t>
      </w:r>
      <w:r>
        <w:rPr>
          <w:spacing w:val="-89"/>
        </w:rPr>
        <w:t> </w:t>
      </w:r>
      <w:r>
        <w:rPr>
          <w:spacing w:val="-89"/>
        </w:rPr>
      </w:r>
      <w:r>
        <w:rPr/>
        <w:t>引的方式，压力引导生产、服务支持及业务人员，从各个环节进行资金占用管理，有效地支</w:t>
      </w:r>
      <w:r>
        <w:rPr>
          <w:spacing w:val="-89"/>
        </w:rPr>
        <w:t> </w:t>
      </w:r>
      <w:r>
        <w:rPr>
          <w:spacing w:val="-89"/>
        </w:rPr>
      </w:r>
      <w:r>
        <w:rPr/>
        <w:t>持业务发展。</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2"/>
        <w:spacing w:line="240" w:lineRule="auto"/>
        <w:ind w:left="132"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32"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both"/>
      </w:pPr>
      <w:r>
        <w:rPr/>
        <w:t>参见“经营情况讨论与分析”中的“一、概述”相关内容。</w:t>
      </w:r>
    </w:p>
    <w:p>
      <w:pPr>
        <w:spacing w:line="240" w:lineRule="auto" w:before="0"/>
        <w:rPr>
          <w:rFonts w:ascii="宋体" w:hAnsi="宋体" w:cs="宋体" w:eastAsia="宋体" w:hint="default"/>
          <w:sz w:val="18"/>
          <w:szCs w:val="18"/>
        </w:rPr>
      </w:pPr>
    </w:p>
    <w:p>
      <w:pPr>
        <w:pStyle w:val="Heading6"/>
        <w:spacing w:line="240" w:lineRule="auto" w:before="118"/>
        <w:ind w:left="132"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32"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32" w:hRule="exact"/>
        </w:trPr>
        <w:tc>
          <w:tcPr>
            <w:tcW w:w="1596" w:type="dxa"/>
            <w:vMerge w:val="restart"/>
            <w:tcBorders>
              <w:top w:val="single" w:sz="12" w:space="0" w:color="000000"/>
              <w:left w:val="single" w:sz="12" w:space="0" w:color="000000"/>
              <w:right w:val="single" w:sz="4" w:space="0" w:color="000000"/>
            </w:tcBorders>
            <w:shd w:val="clear" w:color="auto" w:fill="D2D2D2"/>
          </w:tcPr>
          <w:p>
            <w:pPr/>
          </w:p>
        </w:tc>
        <w:tc>
          <w:tcPr>
            <w:tcW w:w="318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tcBorders>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12" w:space="0" w:color="000000"/>
            </w:tcBorders>
            <w:shd w:val="clear" w:color="auto" w:fill="D2D2D2"/>
          </w:tcPr>
          <w:p>
            <w:pP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8,739,834,605.92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7,408,734,019.51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17.97%</w:t>
            </w:r>
          </w:p>
        </w:tc>
      </w:tr>
      <w:tr>
        <w:trPr>
          <w:trHeight w:val="322" w:hRule="exact"/>
        </w:trPr>
        <w:tc>
          <w:tcPr>
            <w:tcW w:w="9566"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3"/>
              <w:ind w:left="92"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8,516,936,572.60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6,969,476,775.91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94.07%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22.20%</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162,134,558.35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404,206,749.88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5.46%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-59.89%</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60,763,474.97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35,050,493.72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0.47%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73.36%</w:t>
            </w:r>
          </w:p>
        </w:tc>
      </w:tr>
      <w:tr>
        <w:trPr>
          <w:trHeight w:val="322" w:hRule="exact"/>
        </w:trPr>
        <w:tc>
          <w:tcPr>
            <w:tcW w:w="9566"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5,243,153,980.59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4,233,276,242.53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57.14%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23.86%</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692,036,186.47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879,698,886.56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11.87%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-21.33%</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2,458,547,965.76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1,805,072,446.57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24.37%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36.20%</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pacing w:val="-8"/>
                <w:sz w:val="18"/>
                <w:szCs w:val="18"/>
              </w:rPr>
              <w:t>贸易、服务及其他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346,096,473.10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490,686,443.85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6.62%</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-29.47%</w:t>
            </w:r>
          </w:p>
        </w:tc>
      </w:tr>
      <w:tr>
        <w:trPr>
          <w:trHeight w:val="322" w:hRule="exact"/>
        </w:trPr>
        <w:tc>
          <w:tcPr>
            <w:tcW w:w="9566"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4,219,703,986.08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3,096,372,066.17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41.79%</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36.28%</w:t>
            </w:r>
          </w:p>
        </w:tc>
      </w:tr>
      <w:tr>
        <w:trPr>
          <w:trHeight w:val="320"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1,097,237,409.69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1,031,294,748.74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13.92%</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6.39%</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00" w:right="0"/>
        </w:sectPr>
      </w:pP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1,152,208,397.65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1,033,616,828.32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13.95%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2"/>
                <w:sz w:val="18"/>
              </w:rPr>
              <w:t>11.47%</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841,423,641.45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718,443,259.16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9.70%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17.12%</w:t>
            </w:r>
          </w:p>
        </w:tc>
      </w:tr>
      <w:tr>
        <w:trPr>
          <w:trHeight w:val="332" w:hRule="exact"/>
        </w:trPr>
        <w:tc>
          <w:tcPr>
            <w:tcW w:w="159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1,429,261,171.05</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16.35%</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1,529,007,117.12</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20.64%</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-6.52%</w:t>
            </w:r>
          </w:p>
        </w:tc>
      </w:tr>
    </w:tbl>
    <w:p>
      <w:pPr>
        <w:spacing w:line="240" w:lineRule="auto" w:before="5"/>
        <w:rPr>
          <w:rFonts w:ascii="宋体" w:hAnsi="宋体" w:cs="宋体" w:eastAsia="宋体" w:hint="default"/>
          <w:sz w:val="19"/>
          <w:szCs w:val="19"/>
        </w:rPr>
      </w:pPr>
    </w:p>
    <w:p>
      <w:pPr>
        <w:pStyle w:val="Heading6"/>
        <w:spacing w:line="240" w:lineRule="auto" w:before="34"/>
        <w:ind w:left="132" w:right="111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90" w:footer="1012" w:top="1420" w:bottom="1200" w:left="1000" w:right="0"/>
        </w:sectPr>
      </w:pPr>
    </w:p>
    <w:p>
      <w:pPr>
        <w:pStyle w:val="BodyText"/>
        <w:spacing w:line="357" w:lineRule="auto" w:before="44"/>
        <w:ind w:left="132"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32" w:right="0"/>
        <w:jc w:val="left"/>
      </w:pPr>
      <w:r>
        <w:rPr/>
        <w:t>单位：元</w:t>
      </w:r>
    </w:p>
    <w:p>
      <w:pPr>
        <w:spacing w:after="0" w:line="240" w:lineRule="auto"/>
        <w:jc w:val="left"/>
        <w:sectPr>
          <w:type w:val="continuous"/>
          <w:pgSz w:w="11910" w:h="16840"/>
          <w:pgMar w:top="660" w:bottom="700" w:left="1000" w:right="0"/>
          <w:cols w:num="2" w:equalWidth="0">
            <w:col w:w="3193" w:space="5725"/>
            <w:col w:w="1992"/>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01"/>
        <w:gridCol w:w="1690"/>
        <w:gridCol w:w="1710"/>
        <w:gridCol w:w="918"/>
        <w:gridCol w:w="1314"/>
        <w:gridCol w:w="1367"/>
        <w:gridCol w:w="1371"/>
      </w:tblGrid>
      <w:tr>
        <w:trPr>
          <w:trHeight w:val="644" w:hRule="exact"/>
        </w:trPr>
        <w:tc>
          <w:tcPr>
            <w:tcW w:w="120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6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01" w:right="109"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11"/>
              <w:ind w:left="321" w:right="12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322"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8,516,936,572.60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7,233,176,582.81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21.44%</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0.53%</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162,134,558.35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164,948,797.40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-1.74%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-59.20%</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-1.71%</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8,679,071,130.95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7,398,125,380.21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14.76%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16.31%</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1.02%</w:t>
            </w:r>
          </w:p>
        </w:tc>
      </w:tr>
      <w:tr>
        <w:trPr>
          <w:trHeight w:val="322"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5,243,153,980.59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4,485,361,609.12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14.45%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23.50%</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0.25%</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692,036,186.47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549,024,830.18</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20.67%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-23.33%</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2.08%</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2,458,547,965.76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2,104,822,569.49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14.39%</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33.92%</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1.46%</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285,332,998.13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258,916,371.42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9.26%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-41.25%</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5.98%</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8,679,071,130.95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7,398,125,380.21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14.76%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16.31%</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1.02%</w:t>
            </w:r>
          </w:p>
        </w:tc>
      </w:tr>
      <w:tr>
        <w:trPr>
          <w:trHeight w:val="322"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4,219,703,986.08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3,565,571,691.08</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15.50%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34.87%</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0.88%</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1,097,237,409.69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954,160,835.56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13.04%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5.86%</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0.44%</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1,152,208,397.65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973,064,225.53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15.55%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11.03%</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0.34%</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841,423,641.45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724,623,790.97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13.88%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16.77%</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0.26%</w:t>
            </w:r>
          </w:p>
        </w:tc>
      </w:tr>
      <w:tr>
        <w:trPr>
          <w:trHeight w:val="322"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1,368,497,696.08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1,180,704,837.07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13.72%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-10.44%</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1.97%</w:t>
            </w:r>
          </w:p>
        </w:tc>
      </w:tr>
      <w:tr>
        <w:trPr>
          <w:trHeight w:val="332" w:hRule="exact"/>
        </w:trPr>
        <w:tc>
          <w:tcPr>
            <w:tcW w:w="12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8,679,071,130.95</w:t>
            </w:r>
          </w:p>
        </w:tc>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7,398,125,380.21</w:t>
            </w:r>
          </w:p>
        </w:tc>
        <w:tc>
          <w:tcPr>
            <w:tcW w:w="9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14.76%</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17.70%</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16.31%</w:t>
            </w:r>
          </w:p>
        </w:tc>
        <w:tc>
          <w:tcPr>
            <w:tcW w:w="13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1.02%</w:t>
            </w:r>
          </w:p>
        </w:tc>
      </w:tr>
    </w:tbl>
    <w:p>
      <w:pPr>
        <w:pStyle w:val="BodyText"/>
        <w:spacing w:line="240" w:lineRule="auto" w:before="51"/>
        <w:ind w:left="132" w:right="111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32" w:right="1115"/>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32" w:right="111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15"/>
        <w:jc w:val="left"/>
      </w:pPr>
      <w:r>
        <w:rPr/>
        <w:t>√ 是 □ 否</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465"/>
        <w:gridCol w:w="1723"/>
        <w:gridCol w:w="1594"/>
        <w:gridCol w:w="1594"/>
      </w:tblGrid>
      <w:tr>
        <w:trPr>
          <w:trHeight w:val="332" w:hRule="exact"/>
        </w:trPr>
        <w:tc>
          <w:tcPr>
            <w:tcW w:w="159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4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72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81,158.80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73,373.00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10.61%</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80,015.72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78,360.72</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2"/>
                <w:sz w:val="18"/>
              </w:rPr>
              <w:t>2.11%</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5,461.10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9,181.14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-40.52%</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公里</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570,199.03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591,148.57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-3.54%</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公里</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614,394.76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643,633.68</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-4.54%</w:t>
            </w:r>
          </w:p>
        </w:tc>
      </w:tr>
      <w:tr>
        <w:trPr>
          <w:trHeight w:val="320"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公里</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32,105.21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24,768.57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29.62%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700" w:left="1000" w:right="0"/>
        </w:sectPr>
      </w:pPr>
    </w:p>
    <w:p>
      <w:pPr>
        <w:spacing w:line="240" w:lineRule="auto" w:before="5"/>
        <w:rPr>
          <w:rFonts w:ascii="宋体" w:hAnsi="宋体" w:cs="宋体" w:eastAsia="宋体" w:hint="default"/>
          <w:sz w:val="4"/>
          <w:szCs w:val="4"/>
        </w:rPr>
      </w:pPr>
    </w:p>
    <w:tbl>
      <w:tblPr>
        <w:tblW w:w="0" w:type="auto"/>
        <w:jc w:val="left"/>
        <w:tblInd w:w="239" w:type="dxa"/>
        <w:tblLayout w:type="fixed"/>
        <w:tblCellMar>
          <w:top w:w="0" w:type="dxa"/>
          <w:left w:w="0" w:type="dxa"/>
          <w:bottom w:w="0" w:type="dxa"/>
          <w:right w:w="0" w:type="dxa"/>
        </w:tblCellMar>
        <w:tblLook w:val="01E0"/>
      </w:tblPr>
      <w:tblGrid>
        <w:gridCol w:w="1596"/>
        <w:gridCol w:w="1594"/>
        <w:gridCol w:w="1465"/>
        <w:gridCol w:w="1723"/>
        <w:gridCol w:w="1594"/>
        <w:gridCol w:w="1594"/>
      </w:tblGrid>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261,912.55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180,441.54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45.15%</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277,731.55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188,935.83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47.00%</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4,462.74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4,028.17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10.79%</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41,422.17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53,432.23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-22.48%</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41,364.00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53,323.40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-22.43%</w:t>
            </w:r>
          </w:p>
        </w:tc>
      </w:tr>
      <w:tr>
        <w:trPr>
          <w:trHeight w:val="332" w:hRule="exact"/>
        </w:trPr>
        <w:tc>
          <w:tcPr>
            <w:tcW w:w="1596" w:type="dxa"/>
            <w:vMerge/>
            <w:tcBorders>
              <w:left w:val="single" w:sz="12"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7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336.00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394.17</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-14.76%</w:t>
            </w:r>
          </w:p>
        </w:tc>
      </w:tr>
    </w:tbl>
    <w:p>
      <w:pPr>
        <w:pStyle w:val="BodyText"/>
        <w:spacing w:line="240" w:lineRule="auto" w:before="52"/>
        <w:ind w:left="252" w:right="1119"/>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left="252" w:right="1119"/>
        <w:jc w:val="left"/>
      </w:pPr>
      <w:r>
        <w:rPr/>
        <w:t>√ 适用 □ 不适用</w:t>
      </w:r>
    </w:p>
    <w:p>
      <w:pPr>
        <w:pStyle w:val="BodyText"/>
        <w:spacing w:line="316" w:lineRule="auto" w:before="117"/>
        <w:ind w:left="252" w:right="1141" w:firstLine="360"/>
        <w:jc w:val="both"/>
      </w:pPr>
      <w:r>
        <w:rPr/>
        <w:t>注：通常在计算产品产销量时，存在以下公式：期末库存数量=期初库存数量+当期入库数量-当期出库数量。其中，当 </w:t>
      </w:r>
      <w:r>
        <w:rPr>
          <w:spacing w:val="-2"/>
        </w:rPr>
        <w:t>期出库数量包括销售出库、自用出库（包括再加工领用、深加工领用和非生产领用）、报废出库等多种因素；上表当期出库</w:t>
      </w:r>
      <w:r>
        <w:rPr>
          <w:spacing w:val="-71"/>
        </w:rPr>
        <w:t> </w:t>
      </w:r>
      <w:r>
        <w:rPr>
          <w:spacing w:val="-71"/>
        </w:rPr>
      </w:r>
      <w:r>
        <w:rPr/>
        <w:t>仅包含销售出库，所以直接用“期末库存数量=期初库存数量+本期生产数量-本期销售数量”作为计算的基础，会存在计算</w:t>
      </w:r>
      <w:r>
        <w:rPr/>
        <w:t> 结果与实际不符的情况。具体到公司的各类产品，存在的自用出库情况：</w:t>
      </w:r>
    </w:p>
    <w:p>
      <w:pPr>
        <w:pStyle w:val="BodyText"/>
        <w:spacing w:line="240" w:lineRule="auto" w:before="19"/>
        <w:ind w:left="612" w:right="1119"/>
        <w:jc w:val="left"/>
      </w:pPr>
      <w:r>
        <w:rPr/>
        <w:t>1.电力产品中自用及返工出库</w:t>
      </w:r>
      <w:r>
        <w:rPr>
          <w:spacing w:val="-4"/>
        </w:rPr>
        <w:t> </w:t>
      </w:r>
      <w:r>
        <w:rPr/>
        <w:t>2,576.96吨；</w:t>
      </w:r>
    </w:p>
    <w:p>
      <w:pPr>
        <w:pStyle w:val="BodyText"/>
        <w:spacing w:line="240" w:lineRule="auto" w:before="76"/>
        <w:ind w:left="612" w:right="1119"/>
        <w:jc w:val="left"/>
      </w:pPr>
      <w:r>
        <w:rPr/>
        <w:t>2.高分子材料产品中自用及返工出库15,384.43吨；</w:t>
      </w:r>
    </w:p>
    <w:p>
      <w:pPr>
        <w:pStyle w:val="BodyText"/>
        <w:spacing w:line="240" w:lineRule="auto" w:before="76"/>
        <w:ind w:left="612" w:right="1119"/>
        <w:jc w:val="left"/>
      </w:pPr>
      <w:r>
        <w:rPr/>
        <w:t>3.通信产品中自用 36,859.09</w:t>
      </w:r>
      <w:r>
        <w:rPr>
          <w:spacing w:val="-4"/>
        </w:rPr>
        <w:t> </w:t>
      </w:r>
      <w:r>
        <w:rPr/>
        <w:t>公里。</w:t>
      </w:r>
    </w:p>
    <w:p>
      <w:pPr>
        <w:spacing w:line="240" w:lineRule="auto" w:before="0"/>
        <w:rPr>
          <w:rFonts w:ascii="宋体" w:hAnsi="宋体" w:cs="宋体" w:eastAsia="宋体" w:hint="default"/>
          <w:sz w:val="18"/>
          <w:szCs w:val="18"/>
        </w:rPr>
      </w:pPr>
    </w:p>
    <w:p>
      <w:pPr>
        <w:pStyle w:val="Heading6"/>
        <w:spacing w:line="240" w:lineRule="auto" w:before="118"/>
        <w:ind w:left="252" w:right="1119"/>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1119"/>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252" w:right="1119"/>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252" w:right="1119"/>
        <w:jc w:val="left"/>
      </w:pPr>
      <w:r>
        <w:rPr/>
        <w:t>行业和产品分类</w:t>
      </w:r>
    </w:p>
    <w:p>
      <w:pPr>
        <w:pStyle w:val="BodyText"/>
        <w:spacing w:line="240" w:lineRule="auto" w:before="115"/>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239" w:type="dxa"/>
        <w:tblLayout w:type="fixed"/>
        <w:tblCellMar>
          <w:top w:w="0" w:type="dxa"/>
          <w:left w:w="0" w:type="dxa"/>
          <w:bottom w:w="0" w:type="dxa"/>
          <w:right w:w="0" w:type="dxa"/>
        </w:tblCellMar>
        <w:tblLook w:val="01E0"/>
      </w:tblPr>
      <w:tblGrid>
        <w:gridCol w:w="1128"/>
        <w:gridCol w:w="509"/>
        <w:gridCol w:w="1727"/>
        <w:gridCol w:w="1527"/>
        <w:gridCol w:w="1946"/>
        <w:gridCol w:w="1582"/>
        <w:gridCol w:w="1152"/>
      </w:tblGrid>
      <w:tr>
        <w:trPr>
          <w:trHeight w:val="332" w:hRule="exact"/>
        </w:trPr>
        <w:tc>
          <w:tcPr>
            <w:tcW w:w="112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509"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16"/>
              <w:ind w:left="159" w:right="157"/>
              <w:jc w:val="left"/>
              <w:rPr>
                <w:rFonts w:ascii="宋体" w:hAnsi="宋体" w:cs="宋体" w:eastAsia="宋体" w:hint="default"/>
                <w:sz w:val="18"/>
                <w:szCs w:val="18"/>
              </w:rPr>
            </w:pPr>
            <w:r>
              <w:rPr>
                <w:rFonts w:ascii="宋体" w:hAnsi="宋体" w:cs="宋体" w:eastAsia="宋体" w:hint="default"/>
                <w:sz w:val="18"/>
                <w:szCs w:val="18"/>
              </w:rPr>
              <w:t>项 目</w:t>
            </w:r>
          </w:p>
        </w:tc>
        <w:tc>
          <w:tcPr>
            <w:tcW w:w="325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2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2"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128" w:type="dxa"/>
            <w:vMerge/>
            <w:tcBorders>
              <w:left w:val="single" w:sz="12"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2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52" w:type="dxa"/>
            <w:vMerge/>
            <w:tcBorders>
              <w:left w:val="single" w:sz="4" w:space="0" w:color="000000"/>
              <w:bottom w:val="single" w:sz="4" w:space="0" w:color="000000"/>
              <w:right w:val="single" w:sz="12" w:space="0" w:color="000000"/>
            </w:tcBorders>
            <w:shd w:val="clear" w:color="auto" w:fill="D2D2D2"/>
          </w:tcPr>
          <w:p>
            <w:pPr/>
          </w:p>
        </w:tc>
      </w:tr>
      <w:tr>
        <w:trPr>
          <w:trHeight w:val="322" w:hRule="exact"/>
        </w:trPr>
        <w:tc>
          <w:tcPr>
            <w:tcW w:w="11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7,233,176,582.81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97.15%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5,956,165,713.61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93.21%</w:t>
            </w:r>
          </w:p>
        </w:tc>
        <w:tc>
          <w:tcPr>
            <w:tcW w:w="1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21.44%</w:t>
            </w:r>
          </w:p>
        </w:tc>
      </w:tr>
      <w:tr>
        <w:trPr>
          <w:trHeight w:val="322" w:hRule="exact"/>
        </w:trPr>
        <w:tc>
          <w:tcPr>
            <w:tcW w:w="11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509"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164,948,797.40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404,318,479.87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6.33%</w:t>
            </w:r>
          </w:p>
        </w:tc>
        <w:tc>
          <w:tcPr>
            <w:tcW w:w="1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-59.20%</w:t>
            </w:r>
          </w:p>
        </w:tc>
      </w:tr>
      <w:tr>
        <w:trPr>
          <w:trHeight w:val="322" w:hRule="exact"/>
        </w:trPr>
        <w:tc>
          <w:tcPr>
            <w:tcW w:w="11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9"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47,023,479.98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0.63%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29,614,300.83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0.46%</w:t>
            </w:r>
          </w:p>
        </w:tc>
        <w:tc>
          <w:tcPr>
            <w:tcW w:w="1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58.79%</w:t>
            </w:r>
          </w:p>
        </w:tc>
      </w:tr>
      <w:tr>
        <w:trPr>
          <w:trHeight w:val="332" w:hRule="exact"/>
        </w:trPr>
        <w:tc>
          <w:tcPr>
            <w:tcW w:w="112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9" w:type="dxa"/>
            <w:tcBorders>
              <w:top w:val="single" w:sz="4" w:space="0" w:color="000000"/>
              <w:left w:val="single" w:sz="4" w:space="0" w:color="000000"/>
              <w:bottom w:val="single" w:sz="12" w:space="0" w:color="000000"/>
              <w:right w:val="single" w:sz="4" w:space="0" w:color="000000"/>
            </w:tcBorders>
          </w:tcPr>
          <w:p>
            <w:pPr/>
          </w:p>
        </w:tc>
        <w:tc>
          <w:tcPr>
            <w:tcW w:w="1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7,445,148,860.19</w:t>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6,390,098,494.31</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16.51%</w:t>
            </w:r>
          </w:p>
        </w:tc>
      </w:tr>
    </w:tbl>
    <w:p>
      <w:pPr>
        <w:pStyle w:val="BodyText"/>
        <w:spacing w:line="240" w:lineRule="auto" w:before="51"/>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239" w:type="dxa"/>
        <w:tblLayout w:type="fixed"/>
        <w:tblCellMar>
          <w:top w:w="0" w:type="dxa"/>
          <w:left w:w="0" w:type="dxa"/>
          <w:bottom w:w="0" w:type="dxa"/>
          <w:right w:w="0" w:type="dxa"/>
        </w:tblCellMar>
        <w:tblLook w:val="01E0"/>
      </w:tblPr>
      <w:tblGrid>
        <w:gridCol w:w="1628"/>
        <w:gridCol w:w="509"/>
        <w:gridCol w:w="1654"/>
        <w:gridCol w:w="1482"/>
        <w:gridCol w:w="1564"/>
        <w:gridCol w:w="1600"/>
        <w:gridCol w:w="1134"/>
      </w:tblGrid>
      <w:tr>
        <w:trPr>
          <w:trHeight w:val="412" w:hRule="exact"/>
        </w:trPr>
        <w:tc>
          <w:tcPr>
            <w:tcW w:w="162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509"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95"/>
              <w:ind w:left="158" w:right="158"/>
              <w:jc w:val="left"/>
              <w:rPr>
                <w:rFonts w:ascii="宋体" w:hAnsi="宋体" w:cs="宋体" w:eastAsia="宋体" w:hint="default"/>
                <w:sz w:val="18"/>
                <w:szCs w:val="18"/>
              </w:rPr>
            </w:pPr>
            <w:r>
              <w:rPr>
                <w:rFonts w:ascii="宋体" w:hAnsi="宋体" w:cs="宋体" w:eastAsia="宋体" w:hint="default"/>
                <w:sz w:val="18"/>
                <w:szCs w:val="18"/>
              </w:rPr>
              <w:t>项 目</w:t>
            </w:r>
          </w:p>
        </w:tc>
        <w:tc>
          <w:tcPr>
            <w:tcW w:w="3136"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6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134"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28" w:type="dxa"/>
            <w:vMerge/>
            <w:tcBorders>
              <w:left w:val="single" w:sz="12"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34"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6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5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4,485,361,609.12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60.25%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3,631,940,488.52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56.84%</w:t>
            </w:r>
          </w:p>
        </w:tc>
        <w:tc>
          <w:tcPr>
            <w:tcW w:w="11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23.50%</w:t>
            </w:r>
          </w:p>
        </w:tc>
      </w:tr>
      <w:tr>
        <w:trPr>
          <w:trHeight w:val="402" w:hRule="exact"/>
        </w:trPr>
        <w:tc>
          <w:tcPr>
            <w:tcW w:w="16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5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549,024,830.18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7.37%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716,124,098.09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11.21%</w:t>
            </w:r>
          </w:p>
        </w:tc>
        <w:tc>
          <w:tcPr>
            <w:tcW w:w="11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-23.33%</w:t>
            </w:r>
          </w:p>
        </w:tc>
      </w:tr>
      <w:tr>
        <w:trPr>
          <w:trHeight w:val="402" w:hRule="exact"/>
        </w:trPr>
        <w:tc>
          <w:tcPr>
            <w:tcW w:w="16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5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2,104,822,569.49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28.27%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1,571,715,653.77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24.60%</w:t>
            </w:r>
          </w:p>
        </w:tc>
        <w:tc>
          <w:tcPr>
            <w:tcW w:w="11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33.92%</w:t>
            </w:r>
          </w:p>
        </w:tc>
      </w:tr>
      <w:tr>
        <w:trPr>
          <w:trHeight w:val="402" w:hRule="exact"/>
        </w:trPr>
        <w:tc>
          <w:tcPr>
            <w:tcW w:w="16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pacing w:val="-4"/>
                <w:sz w:val="18"/>
                <w:szCs w:val="18"/>
              </w:rPr>
              <w:t>贸易、服务及其他</w:t>
            </w:r>
          </w:p>
        </w:tc>
        <w:tc>
          <w:tcPr>
            <w:tcW w:w="5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305,939,851.40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4.11%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470,318,253.93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7.35%</w:t>
            </w:r>
          </w:p>
        </w:tc>
        <w:tc>
          <w:tcPr>
            <w:tcW w:w="11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-34.95%</w:t>
            </w:r>
          </w:p>
        </w:tc>
      </w:tr>
      <w:tr>
        <w:trPr>
          <w:trHeight w:val="412" w:hRule="exact"/>
        </w:trPr>
        <w:tc>
          <w:tcPr>
            <w:tcW w:w="162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9" w:type="dxa"/>
            <w:tcBorders>
              <w:top w:val="single" w:sz="4" w:space="0" w:color="000000"/>
              <w:left w:val="single" w:sz="4" w:space="0" w:color="000000"/>
              <w:bottom w:val="single" w:sz="12" w:space="0" w:color="000000"/>
              <w:right w:val="single" w:sz="4" w:space="0" w:color="000000"/>
            </w:tcBorders>
          </w:tcPr>
          <w:p>
            <w:pP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7,445,148,860.19</w:t>
            </w:r>
          </w:p>
        </w:tc>
        <w:tc>
          <w:tcPr>
            <w:tcW w:w="1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6,390,098,494.31</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13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16.51%</w:t>
            </w:r>
          </w:p>
        </w:tc>
      </w:tr>
    </w:tbl>
    <w:p>
      <w:pPr>
        <w:pStyle w:val="BodyText"/>
        <w:spacing w:line="240" w:lineRule="auto" w:before="50"/>
        <w:ind w:left="252" w:right="1119"/>
        <w:jc w:val="left"/>
      </w:pPr>
      <w:r>
        <w:rPr/>
        <w:t>说明</w:t>
      </w:r>
    </w:p>
    <w:p>
      <w:pPr>
        <w:spacing w:line="240" w:lineRule="auto" w:before="2"/>
        <w:rPr>
          <w:rFonts w:ascii="宋体" w:hAnsi="宋体" w:cs="宋体" w:eastAsia="宋体" w:hint="default"/>
          <w:sz w:val="7"/>
          <w:szCs w:val="7"/>
        </w:rPr>
      </w:pPr>
    </w:p>
    <w:p>
      <w:pPr>
        <w:spacing w:line="499" w:lineRule="exact"/>
        <w:ind w:left="117"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0.9pt;height:25pt;mso-position-horizontal-relative:char;mso-position-vertical-relative:line" coordorigin="0,0" coordsize="9618,500">
            <v:group style="position:absolute;left:42;top:41;width:1461;height:438" coordorigin="42,41" coordsize="1461,438">
              <v:shape style="position:absolute;left:42;top:41;width:1461;height:438" coordorigin="42,41" coordsize="1461,438" path="m42,41l1503,41,1503,479,42,479,42,41xe" filled="true" fillcolor="#dbdbdb" stroked="false">
                <v:path arrowok="t"/>
                <v:fill type="solid"/>
              </v:shape>
            </v:group>
            <v:group style="position:absolute;left:1508;top:41;width:8069;height:438" coordorigin="1508,41" coordsize="8069,438">
              <v:shape style="position:absolute;left:1508;top:41;width:8069;height:438" coordorigin="1508,41" coordsize="8069,438" path="m1508,41l9577,41,9577,479,1508,479,1508,41xe" filled="true" fillcolor="#dbdbdb" stroked="false">
                <v:path arrowok="t"/>
                <v:fill type="solid"/>
              </v:shape>
            </v:group>
            <v:group style="position:absolute;left:14;top:29;width:9589;height:2" coordorigin="14,29" coordsize="9589,2">
              <v:shape style="position:absolute;left:14;top:29;width:9589;height:2" coordorigin="14,29" coordsize="9589,0" path="m14,29l9603,29e" filled="false" stroked="true" strokeweight="1.44pt" strokecolor="#000000">
                <v:path arrowok="t"/>
              </v:shape>
            </v:group>
            <v:group style="position:absolute;left:43;top:480;width:9532;height:2" coordorigin="43,480" coordsize="9532,2">
              <v:shape style="position:absolute;left:43;top:480;width:9532;height:2" coordorigin="43,480" coordsize="9532,0" path="m43,480l9574,480e" filled="false" stroked="true" strokeweight=".48pt" strokecolor="#000000">
                <v:path arrowok="t"/>
              </v:shape>
            </v:group>
            <v:group style="position:absolute;left:29;top:14;width:2;height:471" coordorigin="29,14" coordsize="2,471">
              <v:shape style="position:absolute;left:29;top:14;width:2;height:471" coordorigin="29,14" coordsize="0,471" path="m29,14l29,485e" filled="false" stroked="true" strokeweight="1.44pt" strokecolor="#000000">
                <v:path arrowok="t"/>
              </v:shape>
            </v:group>
            <v:group style="position:absolute;left:9589;top:43;width:2;height:442" coordorigin="9589,43" coordsize="2,442">
              <v:shape style="position:absolute;left:9589;top:43;width:2;height:442" coordorigin="9589,43" coordsize="0,442" path="m9589,43l9589,485e" filled="false" stroked="true" strokeweight="1.44pt" strokecolor="#000000">
                <v:path arrowok="t"/>
              </v:shape>
            </v:group>
            <v:group style="position:absolute;left:1505;top:43;width:2;height:433" coordorigin="1505,43" coordsize="2,433">
              <v:shape style="position:absolute;left:1505;top:43;width:2;height:433" coordorigin="1505,43" coordsize="0,433" path="m1505,43l1505,475e" filled="false" stroked="true" strokeweight=".48pt" strokecolor="#000000">
                <v:path arrowok="t"/>
              </v:shape>
              <v:shape style="position:absolute;left:29;top:29;width:1476;height:452" type="#_x0000_t202" filled="false" stroked="false">
                <v:textbox inset="0,0,0,0">
                  <w:txbxContent>
                    <w:p>
                      <w:pPr>
                        <w:spacing w:before="68"/>
                        <w:ind w:left="337" w:right="0" w:firstLine="0"/>
                        <w:jc w:val="left"/>
                        <w:rPr>
                          <w:rFonts w:ascii="宋体" w:hAnsi="宋体" w:cs="宋体" w:eastAsia="宋体" w:hint="default"/>
                          <w:sz w:val="20"/>
                          <w:szCs w:val="20"/>
                        </w:rPr>
                      </w:pPr>
                      <w:r>
                        <w:rPr>
                          <w:rFonts w:ascii="宋体" w:hAnsi="宋体" w:cs="宋体" w:eastAsia="宋体" w:hint="default"/>
                          <w:sz w:val="20"/>
                          <w:szCs w:val="20"/>
                        </w:rPr>
                        <w:t>成本项目</w:t>
                      </w:r>
                    </w:p>
                  </w:txbxContent>
                </v:textbox>
                <w10:wrap type="none"/>
              </v:shape>
              <v:shape style="position:absolute;left:5147;top:159;width:799;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电力产品</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9"/>
          <w:sz w:val="20"/>
          <w:szCs w:val="20"/>
        </w:rPr>
      </w:r>
    </w:p>
    <w:p>
      <w:pPr>
        <w:spacing w:after="0" w:line="499" w:lineRule="exact"/>
        <w:rPr>
          <w:rFonts w:ascii="宋体" w:hAnsi="宋体" w:cs="宋体" w:eastAsia="宋体" w:hint="default"/>
          <w:sz w:val="20"/>
          <w:szCs w:val="20"/>
        </w:rPr>
        <w:sectPr>
          <w:pgSz w:w="11910" w:h="16840"/>
          <w:pgMar w:header="890" w:footer="1012" w:top="1420" w:bottom="1200" w:left="880" w:right="0"/>
        </w:sectPr>
      </w:pPr>
    </w:p>
    <w:tbl>
      <w:tblPr>
        <w:tblW w:w="0" w:type="auto"/>
        <w:jc w:val="left"/>
        <w:tblInd w:w="111" w:type="dxa"/>
        <w:tblLayout w:type="fixed"/>
        <w:tblCellMar>
          <w:top w:w="0" w:type="dxa"/>
          <w:left w:w="0" w:type="dxa"/>
          <w:bottom w:w="0" w:type="dxa"/>
          <w:right w:w="0" w:type="dxa"/>
        </w:tblCellMar>
        <w:tblLook w:val="01E0"/>
      </w:tblPr>
      <w:tblGrid>
        <w:gridCol w:w="1476"/>
        <w:gridCol w:w="2452"/>
        <w:gridCol w:w="1414"/>
        <w:gridCol w:w="2037"/>
        <w:gridCol w:w="1059"/>
        <w:gridCol w:w="1122"/>
      </w:tblGrid>
      <w:tr>
        <w:trPr>
          <w:trHeight w:val="422" w:hRule="exact"/>
        </w:trPr>
        <w:tc>
          <w:tcPr>
            <w:tcW w:w="1476" w:type="dxa"/>
            <w:vMerge w:val="restart"/>
            <w:tcBorders>
              <w:top w:val="single" w:sz="4" w:space="0" w:color="000000"/>
              <w:left w:val="single" w:sz="12" w:space="0" w:color="000000"/>
              <w:right w:val="single" w:sz="4" w:space="0" w:color="000000"/>
            </w:tcBorders>
            <w:shd w:val="clear" w:color="auto" w:fill="DBDBDB"/>
          </w:tcPr>
          <w:p>
            <w:pPr/>
          </w:p>
        </w:tc>
        <w:tc>
          <w:tcPr>
            <w:tcW w:w="386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9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22" w:type="dxa"/>
            <w:vMerge w:val="restart"/>
            <w:tcBorders>
              <w:top w:val="single" w:sz="4" w:space="0" w:color="000000"/>
              <w:left w:val="single" w:sz="4" w:space="0" w:color="000000"/>
              <w:right w:val="single" w:sz="12" w:space="0" w:color="000000"/>
            </w:tcBorders>
            <w:shd w:val="clear" w:color="auto" w:fill="DBDBDB"/>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422" w:hRule="exact"/>
        </w:trPr>
        <w:tc>
          <w:tcPr>
            <w:tcW w:w="1476" w:type="dxa"/>
            <w:vMerge/>
            <w:tcBorders>
              <w:left w:val="single" w:sz="12" w:space="0" w:color="000000"/>
              <w:bottom w:val="single" w:sz="4" w:space="0" w:color="000000"/>
              <w:right w:val="single" w:sz="4" w:space="0" w:color="000000"/>
            </w:tcBorders>
            <w:shd w:val="clear" w:color="auto" w:fill="DBDBDB"/>
          </w:tcPr>
          <w:p>
            <w:pPr/>
          </w:p>
        </w:tc>
        <w:tc>
          <w:tcPr>
            <w:tcW w:w="24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left="102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left="217"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1"/>
              <w:jc w:val="right"/>
              <w:rPr>
                <w:rFonts w:ascii="宋体" w:hAnsi="宋体" w:cs="宋体" w:eastAsia="宋体" w:hint="default"/>
                <w:sz w:val="20"/>
                <w:szCs w:val="20"/>
              </w:rPr>
            </w:pPr>
            <w:r>
              <w:rPr>
                <w:rFonts w:ascii="宋体" w:hAnsi="宋体" w:cs="宋体" w:eastAsia="宋体" w:hint="default"/>
                <w:spacing w:val="-5"/>
                <w:w w:val="95"/>
                <w:sz w:val="20"/>
                <w:szCs w:val="20"/>
              </w:rPr>
              <w:t>占比（</w:t>
            </w:r>
            <w:r>
              <w:rPr>
                <w:rFonts w:ascii="Times New Roman" w:hAnsi="Times New Roman" w:cs="Times New Roman" w:eastAsia="Times New Roman" w:hint="default"/>
                <w:spacing w:val="-5"/>
                <w:w w:val="95"/>
                <w:sz w:val="20"/>
                <w:szCs w:val="20"/>
              </w:rPr>
              <w:t>%</w:t>
            </w:r>
            <w:r>
              <w:rPr>
                <w:rFonts w:ascii="宋体" w:hAnsi="宋体" w:cs="宋体" w:eastAsia="宋体" w:hint="default"/>
                <w:spacing w:val="-5"/>
                <w:w w:val="95"/>
                <w:sz w:val="20"/>
                <w:szCs w:val="20"/>
              </w:rPr>
              <w:t>）</w:t>
            </w:r>
            <w:r>
              <w:rPr>
                <w:rFonts w:ascii="宋体" w:hAnsi="宋体" w:cs="宋体" w:eastAsia="宋体" w:hint="default"/>
                <w:spacing w:val="-5"/>
                <w:sz w:val="20"/>
                <w:szCs w:val="20"/>
              </w:rPr>
            </w:r>
          </w:p>
        </w:tc>
        <w:tc>
          <w:tcPr>
            <w:tcW w:w="1122" w:type="dxa"/>
            <w:vMerge/>
            <w:tcBorders>
              <w:left w:val="single" w:sz="4" w:space="0" w:color="000000"/>
              <w:bottom w:val="single" w:sz="4" w:space="0" w:color="000000"/>
              <w:right w:val="single" w:sz="12" w:space="0" w:color="000000"/>
            </w:tcBorders>
            <w:shd w:val="clear" w:color="auto" w:fill="DBDBDB"/>
          </w:tcPr>
          <w:p>
            <w:pP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4,224,053,587.90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94.17%</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3,399,780,042.77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93.60%</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24.24%</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70,370,580.86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1.57%</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62,045,755.86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1.71%</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13.42%</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32,752,889.08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0.73%</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26,815,585.08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0.74%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22.14%</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2"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57,000,483.42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1.27%</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55,054,618.16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1.52%</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3.53%</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101,184,067.86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2.26%</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88,244,486.65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2.43%</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
                <w:sz w:val="18"/>
              </w:rPr>
              <w:t>14.66%</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4,485,361,609.12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3,631,940,488.52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100.00%</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
                <w:sz w:val="18"/>
              </w:rPr>
              <w:t>23.50%</w:t>
            </w:r>
          </w:p>
        </w:tc>
      </w:tr>
      <w:tr>
        <w:trPr>
          <w:trHeight w:val="422" w:hRule="exact"/>
        </w:trPr>
        <w:tc>
          <w:tcPr>
            <w:tcW w:w="1476" w:type="dxa"/>
            <w:vMerge w:val="restart"/>
            <w:tcBorders>
              <w:top w:val="single" w:sz="4" w:space="0" w:color="000000"/>
              <w:left w:val="single" w:sz="12"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8084" w:type="dxa"/>
            <w:gridSpan w:val="5"/>
            <w:tcBorders>
              <w:top w:val="single" w:sz="4" w:space="0" w:color="000000"/>
              <w:left w:val="single" w:sz="4" w:space="0" w:color="000000"/>
              <w:bottom w:val="single" w:sz="4" w:space="0" w:color="000000"/>
              <w:right w:val="single" w:sz="12" w:space="0" w:color="000000"/>
            </w:tcBorders>
            <w:shd w:val="clear" w:color="auto" w:fill="DBDBDB"/>
          </w:tcPr>
          <w:p>
            <w:pPr>
              <w:pStyle w:val="TableParagraph"/>
              <w:spacing w:line="240" w:lineRule="auto" w:before="36"/>
              <w:ind w:left="8" w:right="0"/>
              <w:jc w:val="center"/>
              <w:rPr>
                <w:rFonts w:ascii="宋体" w:hAnsi="宋体" w:cs="宋体" w:eastAsia="宋体" w:hint="default"/>
                <w:sz w:val="20"/>
                <w:szCs w:val="20"/>
              </w:rPr>
            </w:pPr>
            <w:r>
              <w:rPr>
                <w:rFonts w:ascii="宋体" w:hAnsi="宋体" w:cs="宋体" w:eastAsia="宋体" w:hint="default"/>
                <w:sz w:val="20"/>
                <w:szCs w:val="20"/>
              </w:rPr>
              <w:t>通信产品</w:t>
            </w:r>
          </w:p>
        </w:tc>
      </w:tr>
      <w:tr>
        <w:trPr>
          <w:trHeight w:val="422" w:hRule="exact"/>
        </w:trPr>
        <w:tc>
          <w:tcPr>
            <w:tcW w:w="1476" w:type="dxa"/>
            <w:vMerge/>
            <w:tcBorders>
              <w:left w:val="single" w:sz="12" w:space="0" w:color="000000"/>
              <w:right w:val="single" w:sz="4" w:space="0" w:color="000000"/>
            </w:tcBorders>
            <w:shd w:val="clear" w:color="auto" w:fill="DBDBDB"/>
          </w:tcPr>
          <w:p>
            <w:pPr/>
          </w:p>
        </w:tc>
        <w:tc>
          <w:tcPr>
            <w:tcW w:w="386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9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22" w:type="dxa"/>
            <w:vMerge w:val="restart"/>
            <w:tcBorders>
              <w:top w:val="single" w:sz="4" w:space="0" w:color="000000"/>
              <w:left w:val="single" w:sz="4" w:space="0" w:color="000000"/>
              <w:right w:val="single" w:sz="12" w:space="0" w:color="000000"/>
            </w:tcBorders>
            <w:shd w:val="clear" w:color="auto" w:fill="DBDBDB"/>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422" w:hRule="exact"/>
        </w:trPr>
        <w:tc>
          <w:tcPr>
            <w:tcW w:w="1476" w:type="dxa"/>
            <w:vMerge/>
            <w:tcBorders>
              <w:left w:val="single" w:sz="12" w:space="0" w:color="000000"/>
              <w:bottom w:val="single" w:sz="4" w:space="0" w:color="000000"/>
              <w:right w:val="single" w:sz="4" w:space="0" w:color="000000"/>
            </w:tcBorders>
            <w:shd w:val="clear" w:color="auto" w:fill="DBDBDB"/>
          </w:tcPr>
          <w:p>
            <w:pPr/>
          </w:p>
        </w:tc>
        <w:tc>
          <w:tcPr>
            <w:tcW w:w="24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left="102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left="217"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1"/>
              <w:jc w:val="right"/>
              <w:rPr>
                <w:rFonts w:ascii="宋体" w:hAnsi="宋体" w:cs="宋体" w:eastAsia="宋体" w:hint="default"/>
                <w:sz w:val="20"/>
                <w:szCs w:val="20"/>
              </w:rPr>
            </w:pPr>
            <w:r>
              <w:rPr>
                <w:rFonts w:ascii="宋体" w:hAnsi="宋体" w:cs="宋体" w:eastAsia="宋体" w:hint="default"/>
                <w:spacing w:val="-5"/>
                <w:w w:val="95"/>
                <w:sz w:val="20"/>
                <w:szCs w:val="20"/>
              </w:rPr>
              <w:t>占比（</w:t>
            </w:r>
            <w:r>
              <w:rPr>
                <w:rFonts w:ascii="Times New Roman" w:hAnsi="Times New Roman" w:cs="Times New Roman" w:eastAsia="Times New Roman" w:hint="default"/>
                <w:spacing w:val="-5"/>
                <w:w w:val="95"/>
                <w:sz w:val="20"/>
                <w:szCs w:val="20"/>
              </w:rPr>
              <w:t>%</w:t>
            </w:r>
            <w:r>
              <w:rPr>
                <w:rFonts w:ascii="宋体" w:hAnsi="宋体" w:cs="宋体" w:eastAsia="宋体" w:hint="default"/>
                <w:spacing w:val="-5"/>
                <w:w w:val="95"/>
                <w:sz w:val="20"/>
                <w:szCs w:val="20"/>
              </w:rPr>
              <w:t>）</w:t>
            </w:r>
            <w:r>
              <w:rPr>
                <w:rFonts w:ascii="宋体" w:hAnsi="宋体" w:cs="宋体" w:eastAsia="宋体" w:hint="default"/>
                <w:spacing w:val="-5"/>
                <w:sz w:val="20"/>
                <w:szCs w:val="20"/>
              </w:rPr>
            </w:r>
          </w:p>
        </w:tc>
        <w:tc>
          <w:tcPr>
            <w:tcW w:w="1122" w:type="dxa"/>
            <w:vMerge/>
            <w:tcBorders>
              <w:left w:val="single" w:sz="4" w:space="0" w:color="000000"/>
              <w:bottom w:val="single" w:sz="4" w:space="0" w:color="000000"/>
              <w:right w:val="single" w:sz="12" w:space="0" w:color="000000"/>
            </w:tcBorders>
            <w:shd w:val="clear" w:color="auto" w:fill="DBDBDB"/>
          </w:tcPr>
          <w:p>
            <w:pP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474,584,215.17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86.44%</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637,289,693.01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88.99%</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-25.53%</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28,318,960.28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5.16%</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26,043,843.74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3.64%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8.74%</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10,314,806.56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1.88%</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10,280,518.96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1.44%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0.33%</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4,882,714.32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0.89%</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3,675,203.49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0.51%</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32.86%</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30,924,133.85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5.63%</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38,834,838.89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5.42%</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-20.37%</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549,024,830.18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716,124,098.09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100.00%</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-23.33%</w:t>
            </w:r>
          </w:p>
        </w:tc>
      </w:tr>
      <w:tr>
        <w:trPr>
          <w:trHeight w:val="422" w:hRule="exact"/>
        </w:trPr>
        <w:tc>
          <w:tcPr>
            <w:tcW w:w="1476" w:type="dxa"/>
            <w:vMerge w:val="restart"/>
            <w:tcBorders>
              <w:top w:val="single" w:sz="4" w:space="0" w:color="000000"/>
              <w:left w:val="single" w:sz="12"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8084" w:type="dxa"/>
            <w:gridSpan w:val="5"/>
            <w:tcBorders>
              <w:top w:val="single" w:sz="4" w:space="0" w:color="000000"/>
              <w:left w:val="single" w:sz="4" w:space="0" w:color="000000"/>
              <w:bottom w:val="single" w:sz="4" w:space="0" w:color="000000"/>
              <w:right w:val="single" w:sz="12" w:space="0" w:color="000000"/>
            </w:tcBorders>
            <w:shd w:val="clear" w:color="auto" w:fill="DBDBDB"/>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高分子材料</w:t>
            </w:r>
          </w:p>
        </w:tc>
      </w:tr>
      <w:tr>
        <w:trPr>
          <w:trHeight w:val="422" w:hRule="exact"/>
        </w:trPr>
        <w:tc>
          <w:tcPr>
            <w:tcW w:w="1476" w:type="dxa"/>
            <w:vMerge/>
            <w:tcBorders>
              <w:left w:val="single" w:sz="12" w:space="0" w:color="000000"/>
              <w:right w:val="single" w:sz="4" w:space="0" w:color="000000"/>
            </w:tcBorders>
            <w:shd w:val="clear" w:color="auto" w:fill="DBDBDB"/>
          </w:tcPr>
          <w:p>
            <w:pPr/>
          </w:p>
        </w:tc>
        <w:tc>
          <w:tcPr>
            <w:tcW w:w="386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9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22" w:type="dxa"/>
            <w:vMerge w:val="restart"/>
            <w:tcBorders>
              <w:top w:val="single" w:sz="4" w:space="0" w:color="000000"/>
              <w:left w:val="single" w:sz="4" w:space="0" w:color="000000"/>
              <w:right w:val="single" w:sz="12" w:space="0" w:color="000000"/>
            </w:tcBorders>
            <w:shd w:val="clear" w:color="auto" w:fill="DBDBDB"/>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422" w:hRule="exact"/>
        </w:trPr>
        <w:tc>
          <w:tcPr>
            <w:tcW w:w="1476" w:type="dxa"/>
            <w:vMerge/>
            <w:tcBorders>
              <w:left w:val="single" w:sz="12" w:space="0" w:color="000000"/>
              <w:bottom w:val="single" w:sz="4" w:space="0" w:color="000000"/>
              <w:right w:val="single" w:sz="4" w:space="0" w:color="000000"/>
            </w:tcBorders>
            <w:shd w:val="clear" w:color="auto" w:fill="DBDBDB"/>
          </w:tcPr>
          <w:p>
            <w:pPr/>
          </w:p>
        </w:tc>
        <w:tc>
          <w:tcPr>
            <w:tcW w:w="24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left="102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left="217"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6"/>
              <w:ind w:right="1"/>
              <w:jc w:val="right"/>
              <w:rPr>
                <w:rFonts w:ascii="宋体" w:hAnsi="宋体" w:cs="宋体" w:eastAsia="宋体" w:hint="default"/>
                <w:sz w:val="20"/>
                <w:szCs w:val="20"/>
              </w:rPr>
            </w:pPr>
            <w:r>
              <w:rPr>
                <w:rFonts w:ascii="宋体" w:hAnsi="宋体" w:cs="宋体" w:eastAsia="宋体" w:hint="default"/>
                <w:spacing w:val="-5"/>
                <w:w w:val="95"/>
                <w:sz w:val="20"/>
                <w:szCs w:val="20"/>
              </w:rPr>
              <w:t>占比（</w:t>
            </w:r>
            <w:r>
              <w:rPr>
                <w:rFonts w:ascii="Times New Roman" w:hAnsi="Times New Roman" w:cs="Times New Roman" w:eastAsia="Times New Roman" w:hint="default"/>
                <w:spacing w:val="-5"/>
                <w:w w:val="95"/>
                <w:sz w:val="20"/>
                <w:szCs w:val="20"/>
              </w:rPr>
              <w:t>%</w:t>
            </w:r>
            <w:r>
              <w:rPr>
                <w:rFonts w:ascii="宋体" w:hAnsi="宋体" w:cs="宋体" w:eastAsia="宋体" w:hint="default"/>
                <w:spacing w:val="-5"/>
                <w:w w:val="95"/>
                <w:sz w:val="20"/>
                <w:szCs w:val="20"/>
              </w:rPr>
              <w:t>）</w:t>
            </w:r>
            <w:r>
              <w:rPr>
                <w:rFonts w:ascii="宋体" w:hAnsi="宋体" w:cs="宋体" w:eastAsia="宋体" w:hint="default"/>
                <w:spacing w:val="-5"/>
                <w:sz w:val="20"/>
                <w:szCs w:val="20"/>
              </w:rPr>
            </w:r>
          </w:p>
        </w:tc>
        <w:tc>
          <w:tcPr>
            <w:tcW w:w="1122" w:type="dxa"/>
            <w:vMerge/>
            <w:tcBorders>
              <w:left w:val="single" w:sz="4" w:space="0" w:color="000000"/>
              <w:bottom w:val="single" w:sz="4" w:space="0" w:color="000000"/>
              <w:right w:val="single" w:sz="12" w:space="0" w:color="000000"/>
            </w:tcBorders>
            <w:shd w:val="clear" w:color="auto" w:fill="DBDBDB"/>
          </w:tcPr>
          <w:p>
            <w:pP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1,936,857,527.70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92.01%</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1,436,917,010.47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91.44%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34.79%</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28,955,476.99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1.38%</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25,852,224.07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1.64%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41,421,329.57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1.97%</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30,029,247.19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1.91%</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37.94%</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2"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21,839,716.09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1.04%</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18,731,024.86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1.19%</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16.60%</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75,748,519.14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3.60%</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60,186,147.18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3.82%</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
                <w:sz w:val="18"/>
              </w:rPr>
              <w:t>25.86%</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2,104,822,569.49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1,571,715,653.77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100.00%</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
                <w:sz w:val="18"/>
              </w:rPr>
              <w:t>33.92%</w:t>
            </w:r>
          </w:p>
        </w:tc>
      </w:tr>
      <w:tr>
        <w:trPr>
          <w:trHeight w:val="422" w:hRule="exact"/>
        </w:trPr>
        <w:tc>
          <w:tcPr>
            <w:tcW w:w="1476" w:type="dxa"/>
            <w:vMerge w:val="restart"/>
            <w:tcBorders>
              <w:top w:val="single" w:sz="4" w:space="0" w:color="000000"/>
              <w:left w:val="single" w:sz="12"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8084" w:type="dxa"/>
            <w:gridSpan w:val="5"/>
            <w:tcBorders>
              <w:top w:val="single" w:sz="4" w:space="0" w:color="000000"/>
              <w:left w:val="single" w:sz="4" w:space="0" w:color="000000"/>
              <w:bottom w:val="single" w:sz="4" w:space="0" w:color="000000"/>
              <w:right w:val="single" w:sz="12" w:space="0" w:color="000000"/>
            </w:tcBorders>
            <w:shd w:val="clear" w:color="auto" w:fill="DBDBDB"/>
          </w:tcPr>
          <w:p>
            <w:pPr>
              <w:pStyle w:val="TableParagraph"/>
              <w:spacing w:line="240" w:lineRule="auto" w:before="36"/>
              <w:ind w:left="6" w:right="0"/>
              <w:jc w:val="center"/>
              <w:rPr>
                <w:rFonts w:ascii="宋体" w:hAnsi="宋体" w:cs="宋体" w:eastAsia="宋体" w:hint="default"/>
                <w:sz w:val="20"/>
                <w:szCs w:val="20"/>
              </w:rPr>
            </w:pPr>
            <w:r>
              <w:rPr>
                <w:rFonts w:ascii="宋体" w:hAnsi="宋体" w:cs="宋体" w:eastAsia="宋体" w:hint="default"/>
                <w:sz w:val="20"/>
                <w:szCs w:val="20"/>
              </w:rPr>
              <w:t>贸易及其他</w:t>
            </w:r>
          </w:p>
        </w:tc>
      </w:tr>
      <w:tr>
        <w:trPr>
          <w:trHeight w:val="422" w:hRule="exact"/>
        </w:trPr>
        <w:tc>
          <w:tcPr>
            <w:tcW w:w="1476" w:type="dxa"/>
            <w:vMerge/>
            <w:tcBorders>
              <w:left w:val="single" w:sz="12" w:space="0" w:color="000000"/>
              <w:right w:val="single" w:sz="4" w:space="0" w:color="000000"/>
            </w:tcBorders>
            <w:shd w:val="clear" w:color="auto" w:fill="DBDBDB"/>
          </w:tcPr>
          <w:p>
            <w:pPr/>
          </w:p>
        </w:tc>
        <w:tc>
          <w:tcPr>
            <w:tcW w:w="386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9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22" w:type="dxa"/>
            <w:vMerge w:val="restart"/>
            <w:tcBorders>
              <w:top w:val="single" w:sz="4" w:space="0" w:color="000000"/>
              <w:left w:val="single" w:sz="4" w:space="0" w:color="000000"/>
              <w:right w:val="single" w:sz="12" w:space="0" w:color="000000"/>
            </w:tcBorders>
            <w:shd w:val="clear" w:color="auto" w:fill="DBDBDB"/>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422" w:hRule="exact"/>
        </w:trPr>
        <w:tc>
          <w:tcPr>
            <w:tcW w:w="1476" w:type="dxa"/>
            <w:vMerge/>
            <w:tcBorders>
              <w:left w:val="single" w:sz="12" w:space="0" w:color="000000"/>
              <w:bottom w:val="single" w:sz="4" w:space="0" w:color="000000"/>
              <w:right w:val="single" w:sz="4" w:space="0" w:color="000000"/>
            </w:tcBorders>
            <w:shd w:val="clear" w:color="auto" w:fill="DBDBDB"/>
          </w:tcPr>
          <w:p>
            <w:pPr/>
          </w:p>
        </w:tc>
        <w:tc>
          <w:tcPr>
            <w:tcW w:w="24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left="102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left="217"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7"/>
              <w:ind w:right="1"/>
              <w:jc w:val="right"/>
              <w:rPr>
                <w:rFonts w:ascii="宋体" w:hAnsi="宋体" w:cs="宋体" w:eastAsia="宋体" w:hint="default"/>
                <w:sz w:val="20"/>
                <w:szCs w:val="20"/>
              </w:rPr>
            </w:pPr>
            <w:r>
              <w:rPr>
                <w:rFonts w:ascii="宋体" w:hAnsi="宋体" w:cs="宋体" w:eastAsia="宋体" w:hint="default"/>
                <w:spacing w:val="-5"/>
                <w:w w:val="95"/>
                <w:sz w:val="20"/>
                <w:szCs w:val="20"/>
              </w:rPr>
              <w:t>占比（</w:t>
            </w:r>
            <w:r>
              <w:rPr>
                <w:rFonts w:ascii="Times New Roman" w:hAnsi="Times New Roman" w:cs="Times New Roman" w:eastAsia="Times New Roman" w:hint="default"/>
                <w:spacing w:val="-5"/>
                <w:w w:val="95"/>
                <w:sz w:val="20"/>
                <w:szCs w:val="20"/>
              </w:rPr>
              <w:t>%</w:t>
            </w:r>
            <w:r>
              <w:rPr>
                <w:rFonts w:ascii="宋体" w:hAnsi="宋体" w:cs="宋体" w:eastAsia="宋体" w:hint="default"/>
                <w:spacing w:val="-5"/>
                <w:w w:val="95"/>
                <w:sz w:val="20"/>
                <w:szCs w:val="20"/>
              </w:rPr>
              <w:t>）</w:t>
            </w:r>
            <w:r>
              <w:rPr>
                <w:rFonts w:ascii="宋体" w:hAnsi="宋体" w:cs="宋体" w:eastAsia="宋体" w:hint="default"/>
                <w:spacing w:val="-5"/>
                <w:sz w:val="20"/>
                <w:szCs w:val="20"/>
              </w:rPr>
            </w:r>
          </w:p>
        </w:tc>
        <w:tc>
          <w:tcPr>
            <w:tcW w:w="1122" w:type="dxa"/>
            <w:vMerge/>
            <w:tcBorders>
              <w:left w:val="single" w:sz="4" w:space="0" w:color="000000"/>
              <w:bottom w:val="single" w:sz="4" w:space="0" w:color="000000"/>
              <w:right w:val="single" w:sz="12" w:space="0" w:color="000000"/>
            </w:tcBorders>
            <w:shd w:val="clear" w:color="auto" w:fill="DBDBDB"/>
          </w:tcPr>
          <w:p>
            <w:pPr/>
          </w:p>
        </w:tc>
      </w:tr>
      <w:tr>
        <w:trPr>
          <w:trHeight w:val="443"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7"/>
              <w:ind w:left="9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204,892,945.28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66.97%</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436,346,574.10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92.78%</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right="90"/>
              <w:jc w:val="right"/>
              <w:rPr>
                <w:rFonts w:ascii="Times New Roman" w:hAnsi="Times New Roman" w:cs="Times New Roman" w:eastAsia="Times New Roman" w:hint="default"/>
                <w:sz w:val="18"/>
                <w:szCs w:val="18"/>
              </w:rPr>
            </w:pPr>
            <w:r>
              <w:rPr>
                <w:rFonts w:ascii="Times New Roman"/>
                <w:spacing w:val="-1"/>
                <w:sz w:val="18"/>
              </w:rPr>
              <w:t>-53.04%</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1,399,857.38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0.46%</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1,613,176.80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0.34%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
                <w:sz w:val="18"/>
              </w:rPr>
              <w:t>-13.22%</w:t>
            </w:r>
          </w:p>
        </w:tc>
      </w:tr>
      <w:tr>
        <w:trPr>
          <w:trHeight w:val="420"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2"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59,268,924.73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19.37%</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17,707,006.58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z w:val="18"/>
              </w:rPr>
              <w:t>3.76%</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0"/>
              <w:jc w:val="right"/>
              <w:rPr>
                <w:rFonts w:ascii="Times New Roman" w:hAnsi="Times New Roman" w:cs="Times New Roman" w:eastAsia="Times New Roman" w:hint="default"/>
                <w:sz w:val="18"/>
                <w:szCs w:val="18"/>
              </w:rPr>
            </w:pPr>
            <w:r>
              <w:rPr>
                <w:rFonts w:ascii="Times New Roman"/>
                <w:spacing w:val="-1"/>
                <w:sz w:val="18"/>
              </w:rPr>
              <w:t>234.72%</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1012" w:header="890" w:top="1480" w:bottom="1200" w:left="900" w:right="0"/>
          <w:pgNumType w:start="20"/>
        </w:sectPr>
      </w:pPr>
    </w:p>
    <w:p>
      <w:pPr>
        <w:spacing w:line="240" w:lineRule="auto" w:before="5"/>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476"/>
        <w:gridCol w:w="2452"/>
        <w:gridCol w:w="1414"/>
        <w:gridCol w:w="2037"/>
        <w:gridCol w:w="1059"/>
        <w:gridCol w:w="1122"/>
      </w:tblGrid>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30,556,718.98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9.99%</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5,533,052.07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1.18%</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pacing w:val="-1"/>
                <w:sz w:val="18"/>
              </w:rPr>
              <w:t>452.26%</w:t>
            </w:r>
          </w:p>
        </w:tc>
      </w:tr>
      <w:tr>
        <w:trPr>
          <w:trHeight w:val="422" w:hRule="exact"/>
        </w:trPr>
        <w:tc>
          <w:tcPr>
            <w:tcW w:w="14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9,821,405.03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3.21%</w:t>
            </w:r>
          </w:p>
        </w:tc>
        <w:tc>
          <w:tcPr>
            <w:tcW w:w="2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9,118,444.38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1.94%</w:t>
            </w:r>
          </w:p>
        </w:tc>
        <w:tc>
          <w:tcPr>
            <w:tcW w:w="11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7.71%</w:t>
            </w:r>
          </w:p>
        </w:tc>
      </w:tr>
      <w:tr>
        <w:trPr>
          <w:trHeight w:val="463" w:hRule="exact"/>
        </w:trPr>
        <w:tc>
          <w:tcPr>
            <w:tcW w:w="147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9"/>
              <w:ind w:left="9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305,939,851.40</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470,318,253.93</w:t>
            </w:r>
          </w:p>
        </w:tc>
        <w:tc>
          <w:tcPr>
            <w:tcW w:w="1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1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7"/>
              <w:ind w:right="90"/>
              <w:jc w:val="right"/>
              <w:rPr>
                <w:rFonts w:ascii="Times New Roman" w:hAnsi="Times New Roman" w:cs="Times New Roman" w:eastAsia="Times New Roman" w:hint="default"/>
                <w:sz w:val="18"/>
                <w:szCs w:val="18"/>
              </w:rPr>
            </w:pPr>
            <w:r>
              <w:rPr>
                <w:rFonts w:ascii="Times New Roman"/>
                <w:spacing w:val="-1"/>
                <w:sz w:val="18"/>
              </w:rPr>
              <w:t>-34.95%</w:t>
            </w:r>
          </w:p>
        </w:tc>
      </w:tr>
    </w:tbl>
    <w:p>
      <w:pPr>
        <w:spacing w:line="240" w:lineRule="auto" w:before="5"/>
        <w:rPr>
          <w:rFonts w:ascii="宋体" w:hAnsi="宋体" w:cs="宋体" w:eastAsia="宋体" w:hint="default"/>
          <w:sz w:val="19"/>
          <w:szCs w:val="19"/>
        </w:rPr>
      </w:pPr>
    </w:p>
    <w:p>
      <w:pPr>
        <w:pStyle w:val="Heading6"/>
        <w:spacing w:line="240" w:lineRule="auto" w:before="34"/>
        <w:ind w:left="232" w:right="2654"/>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2" w:right="2654"/>
        <w:jc w:val="left"/>
      </w:pPr>
      <w:r>
        <w:rPr/>
        <w:t>√ 是 □ 否</w:t>
      </w:r>
    </w:p>
    <w:p>
      <w:pPr>
        <w:pStyle w:val="BodyText"/>
        <w:spacing w:line="316" w:lineRule="auto" w:before="115"/>
        <w:ind w:left="592" w:right="1132"/>
        <w:jc w:val="left"/>
      </w:pPr>
      <w:r>
        <w:rPr/>
        <w:t>本集团本年度合并范围因新设增加如下4家公司：                                    </w:t>
      </w:r>
      <w:r>
        <w:rPr>
          <w:spacing w:val="18"/>
        </w:rPr>
        <w:t>杭州以田科技有限公司：</w:t>
      </w:r>
      <w:r>
        <w:rPr>
          <w:spacing w:val="-69"/>
        </w:rPr>
        <w:t> </w:t>
      </w:r>
      <w:r>
        <w:rPr>
          <w:spacing w:val="18"/>
        </w:rPr>
        <w:t>系本公司与何军先生共同设立的子公司，</w:t>
      </w:r>
      <w:r>
        <w:rPr>
          <w:spacing w:val="-67"/>
        </w:rPr>
        <w:t> </w:t>
      </w:r>
      <w:r>
        <w:rPr/>
        <w:t>2018</w:t>
      </w:r>
      <w:r>
        <w:rPr>
          <w:spacing w:val="-68"/>
        </w:rPr>
        <w:t> </w:t>
      </w:r>
      <w:r>
        <w:rPr/>
        <w:t>年</w:t>
      </w:r>
      <w:r>
        <w:rPr>
          <w:spacing w:val="-69"/>
        </w:rPr>
        <w:t> </w:t>
      </w:r>
      <w:r>
        <w:rPr/>
        <w:t>1</w:t>
      </w:r>
      <w:r>
        <w:rPr>
          <w:spacing w:val="-68"/>
        </w:rPr>
        <w:t> </w:t>
      </w:r>
      <w:r>
        <w:rPr/>
        <w:t>月</w:t>
      </w:r>
      <w:r>
        <w:rPr>
          <w:spacing w:val="-69"/>
        </w:rPr>
        <w:t> </w:t>
      </w:r>
      <w:r>
        <w:rPr/>
        <w:t>25</w:t>
      </w:r>
      <w:r>
        <w:rPr>
          <w:spacing w:val="-68"/>
        </w:rPr>
        <w:t> </w:t>
      </w:r>
      <w:r>
        <w:rPr>
          <w:spacing w:val="14"/>
        </w:rPr>
        <w:t>日成立，</w:t>
      </w:r>
      <w:r>
        <w:rPr>
          <w:spacing w:val="-67"/>
        </w:rPr>
        <w:t> </w:t>
      </w:r>
      <w:r>
        <w:rPr>
          <w:spacing w:val="17"/>
        </w:rPr>
        <w:t>统一社会信用代码</w:t>
      </w:r>
    </w:p>
    <w:p>
      <w:pPr>
        <w:pStyle w:val="BodyText"/>
        <w:spacing w:line="316" w:lineRule="auto" w:before="19"/>
        <w:ind w:left="592" w:right="915" w:hanging="360"/>
        <w:jc w:val="left"/>
      </w:pPr>
      <w:r>
        <w:rPr/>
        <w:t>91330185MA2BOJ3E6D，注册地浙江临安，注册资本人民币</w:t>
      </w:r>
      <w:r>
        <w:rPr>
          <w:spacing w:val="-1"/>
        </w:rPr>
        <w:t> </w:t>
      </w:r>
      <w:r>
        <w:rPr/>
        <w:t>500.00万元，主营业务为高分子材料研发、生产、销售。</w:t>
      </w:r>
      <w:r>
        <w:rPr/>
        <w:t> </w:t>
      </w:r>
      <w:r>
        <w:rPr>
          <w:spacing w:val="-2"/>
        </w:rPr>
        <w:t>山西万马新能源科技有限公司：系万马联合新能源投资有限公司新设子公司，2018年05月24日成立，统一社会信用代码</w:t>
      </w:r>
    </w:p>
    <w:p>
      <w:pPr>
        <w:pStyle w:val="BodyText"/>
        <w:spacing w:line="316" w:lineRule="auto" w:before="19"/>
        <w:ind w:left="592" w:right="915" w:hanging="360"/>
        <w:jc w:val="left"/>
      </w:pPr>
      <w:r>
        <w:rPr/>
        <w:t>91149900MA0K30FU2B，注册地山西太原，注册资本人民币</w:t>
      </w:r>
      <w:r>
        <w:rPr>
          <w:spacing w:val="-1"/>
        </w:rPr>
        <w:t> </w:t>
      </w:r>
      <w:r>
        <w:rPr/>
        <w:t>5,000.00万元，主营业务为充电设施投资、建设、运营。</w:t>
      </w:r>
      <w:r>
        <w:rPr/>
        <w:t> </w:t>
      </w:r>
      <w:r>
        <w:rPr>
          <w:spacing w:val="-2"/>
        </w:rPr>
        <w:t>佛山万爱新能源科技有限公司：系万马联合新能源投资有限公司新设子公司，2018年08月03日成立，统一社会信用代码</w:t>
      </w:r>
    </w:p>
    <w:p>
      <w:pPr>
        <w:pStyle w:val="BodyText"/>
        <w:spacing w:line="316" w:lineRule="auto" w:before="19"/>
        <w:ind w:left="592" w:right="915" w:hanging="360"/>
        <w:jc w:val="left"/>
      </w:pPr>
      <w:r>
        <w:rPr/>
        <w:t>91440604MA523JXR7C，注册地广东佛山，注册资本人民币500.00万元，主营业务为充电设施投资、建设、运营。 </w:t>
      </w:r>
      <w:r>
        <w:rPr>
          <w:spacing w:val="4"/>
        </w:rPr>
        <w:t>清远万马新材料有限公司：系浙江万马高分子材料有限公司新设子公司，2018年10月17日成立，统一社会信用代码</w:t>
      </w:r>
    </w:p>
    <w:p>
      <w:pPr>
        <w:pStyle w:val="BodyText"/>
        <w:spacing w:line="240" w:lineRule="auto" w:before="19"/>
        <w:ind w:left="232" w:right="915"/>
        <w:jc w:val="left"/>
      </w:pPr>
      <w:r>
        <w:rPr/>
        <w:t>91441802MA52CTXQ5E，注册地广州清远，注册资本人民币</w:t>
      </w:r>
      <w:r>
        <w:rPr>
          <w:spacing w:val="-12"/>
        </w:rPr>
        <w:t> </w:t>
      </w:r>
      <w:r>
        <w:rPr/>
        <w:t>2,000.00万元，主营业务为高分子合成材料生产、销售。</w:t>
      </w:r>
    </w:p>
    <w:p>
      <w:pPr>
        <w:spacing w:line="240" w:lineRule="auto" w:before="0"/>
        <w:rPr>
          <w:rFonts w:ascii="宋体" w:hAnsi="宋体" w:cs="宋体" w:eastAsia="宋体" w:hint="default"/>
          <w:sz w:val="18"/>
          <w:szCs w:val="18"/>
        </w:rPr>
      </w:pPr>
    </w:p>
    <w:p>
      <w:pPr>
        <w:pStyle w:val="Heading6"/>
        <w:spacing w:line="240" w:lineRule="auto" w:before="118"/>
        <w:ind w:left="232" w:right="2654"/>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232" w:right="2654"/>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219" w:type="dxa"/>
        <w:tblLayout w:type="fixed"/>
        <w:tblCellMar>
          <w:top w:w="0" w:type="dxa"/>
          <w:left w:w="0" w:type="dxa"/>
          <w:bottom w:w="0" w:type="dxa"/>
          <w:right w:w="0" w:type="dxa"/>
        </w:tblCellMar>
        <w:tblLook w:val="01E0"/>
      </w:tblPr>
      <w:tblGrid>
        <w:gridCol w:w="4682"/>
        <w:gridCol w:w="4886"/>
      </w:tblGrid>
      <w:tr>
        <w:trPr>
          <w:trHeight w:val="412" w:hRule="exact"/>
        </w:trPr>
        <w:tc>
          <w:tcPr>
            <w:tcW w:w="468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700,863,163.77</w:t>
            </w:r>
          </w:p>
        </w:tc>
      </w:tr>
      <w:tr>
        <w:trPr>
          <w:trHeight w:val="402" w:hRule="exact"/>
        </w:trPr>
        <w:tc>
          <w:tcPr>
            <w:tcW w:w="468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8"/>
              <w:jc w:val="right"/>
              <w:rPr>
                <w:rFonts w:ascii="Times New Roman" w:hAnsi="Times New Roman" w:cs="Times New Roman" w:eastAsia="Times New Roman" w:hint="default"/>
                <w:sz w:val="18"/>
                <w:szCs w:val="18"/>
              </w:rPr>
            </w:pPr>
            <w:r>
              <w:rPr>
                <w:rFonts w:ascii="Times New Roman"/>
                <w:sz w:val="18"/>
              </w:rPr>
              <w:t>8.02%</w:t>
            </w:r>
          </w:p>
        </w:tc>
      </w:tr>
      <w:tr>
        <w:trPr>
          <w:trHeight w:val="412" w:hRule="exact"/>
        </w:trPr>
        <w:tc>
          <w:tcPr>
            <w:tcW w:w="468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8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32" w:right="265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219" w:type="dxa"/>
        <w:tblLayout w:type="fixed"/>
        <w:tblCellMar>
          <w:top w:w="0" w:type="dxa"/>
          <w:left w:w="0" w:type="dxa"/>
          <w:bottom w:w="0" w:type="dxa"/>
          <w:right w:w="0" w:type="dxa"/>
        </w:tblCellMar>
        <w:tblLook w:val="01E0"/>
      </w:tblPr>
      <w:tblGrid>
        <w:gridCol w:w="802"/>
        <w:gridCol w:w="3301"/>
        <w:gridCol w:w="2322"/>
        <w:gridCol w:w="3143"/>
      </w:tblGrid>
      <w:tr>
        <w:trPr>
          <w:trHeight w:val="412" w:hRule="exact"/>
        </w:trPr>
        <w:tc>
          <w:tcPr>
            <w:tcW w:w="80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197,321,521.59</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0"/>
              <w:ind w:left="9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184,377,220.53</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8"/>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121,209,689.74</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0"/>
              <w:ind w:left="9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110,317,140.93</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8"/>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87,637,590.98</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1.00%</w:t>
            </w:r>
          </w:p>
        </w:tc>
      </w:tr>
      <w:tr>
        <w:trPr>
          <w:trHeight w:val="412" w:hRule="exact"/>
        </w:trPr>
        <w:tc>
          <w:tcPr>
            <w:tcW w:w="80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700,863,163.77</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0"/>
              <w:ind w:right="88"/>
              <w:jc w:val="right"/>
              <w:rPr>
                <w:rFonts w:ascii="Times New Roman" w:hAnsi="Times New Roman" w:cs="Times New Roman" w:eastAsia="Times New Roman" w:hint="default"/>
                <w:sz w:val="18"/>
                <w:szCs w:val="18"/>
              </w:rPr>
            </w:pPr>
            <w:r>
              <w:rPr>
                <w:rFonts w:ascii="Times New Roman"/>
                <w:sz w:val="18"/>
              </w:rPr>
              <w:t>8.02%</w:t>
            </w:r>
          </w:p>
        </w:tc>
      </w:tr>
    </w:tbl>
    <w:p>
      <w:pPr>
        <w:pStyle w:val="BodyText"/>
        <w:spacing w:line="240" w:lineRule="auto" w:before="51"/>
        <w:ind w:left="232" w:right="2654"/>
        <w:jc w:val="left"/>
      </w:pPr>
      <w:r>
        <w:rPr/>
        <w:t>主要客户其他情况说明</w:t>
      </w:r>
    </w:p>
    <w:p>
      <w:pPr>
        <w:pStyle w:val="BodyText"/>
        <w:spacing w:line="360" w:lineRule="auto" w:before="115"/>
        <w:ind w:left="232" w:right="9134"/>
        <w:jc w:val="left"/>
      </w:pPr>
      <w:r>
        <w:rPr/>
        <w:t>□ 适用 √ 不适用 公司主要供应商情况</w:t>
      </w:r>
    </w:p>
    <w:p>
      <w:pPr>
        <w:spacing w:after="0" w:line="360" w:lineRule="auto"/>
        <w:jc w:val="left"/>
        <w:sectPr>
          <w:pgSz w:w="11910" w:h="16840"/>
          <w:pgMar w:header="890" w:footer="1012" w:top="1420" w:bottom="1200" w:left="900" w:right="0"/>
        </w:sectPr>
      </w:pP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4964"/>
        <w:gridCol w:w="4604"/>
      </w:tblGrid>
      <w:tr>
        <w:trPr>
          <w:trHeight w:val="412" w:hRule="exact"/>
        </w:trPr>
        <w:tc>
          <w:tcPr>
            <w:tcW w:w="496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2,932,358,181.74</w:t>
            </w:r>
          </w:p>
        </w:tc>
      </w:tr>
      <w:tr>
        <w:trPr>
          <w:trHeight w:val="402" w:hRule="exact"/>
        </w:trPr>
        <w:tc>
          <w:tcPr>
            <w:tcW w:w="496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39.70%</w:t>
            </w:r>
          </w:p>
        </w:tc>
      </w:tr>
      <w:tr>
        <w:trPr>
          <w:trHeight w:val="412" w:hRule="exact"/>
        </w:trPr>
        <w:tc>
          <w:tcPr>
            <w:tcW w:w="496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left="132" w:right="1115"/>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935"/>
        <w:gridCol w:w="3168"/>
        <w:gridCol w:w="2322"/>
        <w:gridCol w:w="3143"/>
      </w:tblGrid>
      <w:tr>
        <w:trPr>
          <w:trHeight w:val="412" w:hRule="exact"/>
        </w:trPr>
        <w:tc>
          <w:tcPr>
            <w:tcW w:w="93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829,031,700.84</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2"/>
                <w:sz w:val="18"/>
              </w:rPr>
              <w:t>11.23%</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611,566,900.73</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8"/>
              <w:jc w:val="right"/>
              <w:rPr>
                <w:rFonts w:ascii="Times New Roman" w:hAnsi="Times New Roman" w:cs="Times New Roman" w:eastAsia="Times New Roman" w:hint="default"/>
                <w:sz w:val="18"/>
                <w:szCs w:val="18"/>
              </w:rPr>
            </w:pPr>
            <w:r>
              <w:rPr>
                <w:rFonts w:ascii="Times New Roman"/>
                <w:sz w:val="18"/>
              </w:rPr>
              <w:t>8.28%</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551,967,052.72</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7.47%</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491,960,901.45</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8"/>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447,831,626.00</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6.06%</w:t>
            </w:r>
          </w:p>
        </w:tc>
      </w:tr>
      <w:tr>
        <w:trPr>
          <w:trHeight w:val="412" w:hRule="exact"/>
        </w:trPr>
        <w:tc>
          <w:tcPr>
            <w:tcW w:w="93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2,932,358,181.74</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39.70%</w:t>
            </w:r>
          </w:p>
        </w:tc>
      </w:tr>
    </w:tbl>
    <w:p>
      <w:pPr>
        <w:pStyle w:val="BodyText"/>
        <w:spacing w:line="240" w:lineRule="auto" w:before="51"/>
        <w:ind w:left="132" w:right="1115"/>
        <w:jc w:val="left"/>
      </w:pPr>
      <w:r>
        <w:rPr/>
        <w:t>主要供应商其他情况说明</w:t>
      </w:r>
    </w:p>
    <w:p>
      <w:pPr>
        <w:pStyle w:val="BodyText"/>
        <w:spacing w:line="240" w:lineRule="auto" w:before="117"/>
        <w:ind w:left="132" w:right="1115"/>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32" w:right="111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01"/>
        <w:gridCol w:w="1472"/>
        <w:gridCol w:w="1473"/>
        <w:gridCol w:w="1227"/>
        <w:gridCol w:w="4395"/>
      </w:tblGrid>
      <w:tr>
        <w:trPr>
          <w:trHeight w:val="332" w:hRule="exact"/>
        </w:trPr>
        <w:tc>
          <w:tcPr>
            <w:tcW w:w="100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7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9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34" w:hRule="exact"/>
        </w:trPr>
        <w:tc>
          <w:tcPr>
            <w:tcW w:w="10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528,920,564.78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441,499,509.24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19.80%</w:t>
            </w:r>
          </w:p>
        </w:tc>
        <w:tc>
          <w:tcPr>
            <w:tcW w:w="439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2"/>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主要系公司业务量增加，中标服务费、销售管理费用、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运费、业务费、以及新能源市场开拓费用增加。</w:t>
            </w:r>
          </w:p>
        </w:tc>
      </w:tr>
      <w:tr>
        <w:trPr>
          <w:trHeight w:val="634" w:hRule="exact"/>
        </w:trPr>
        <w:tc>
          <w:tcPr>
            <w:tcW w:w="10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206,101,586.22</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175,317,509.94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17.56%</w:t>
            </w:r>
          </w:p>
        </w:tc>
        <w:tc>
          <w:tcPr>
            <w:tcW w:w="439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1"/>
              <w:ind w:left="103" w:right="130"/>
              <w:jc w:val="left"/>
              <w:rPr>
                <w:rFonts w:ascii="宋体" w:hAnsi="宋体" w:cs="宋体" w:eastAsia="宋体" w:hint="default"/>
                <w:sz w:val="18"/>
                <w:szCs w:val="18"/>
              </w:rPr>
            </w:pPr>
            <w:r>
              <w:rPr>
                <w:rFonts w:ascii="宋体" w:hAnsi="宋体" w:cs="宋体" w:eastAsia="宋体" w:hint="default"/>
                <w:sz w:val="18"/>
                <w:szCs w:val="18"/>
              </w:rPr>
              <w:t>主要系本期管理人员增加；本期办公费、折旧费等增 加。</w:t>
            </w:r>
          </w:p>
        </w:tc>
      </w:tr>
      <w:tr>
        <w:trPr>
          <w:trHeight w:val="634" w:hRule="exact"/>
        </w:trPr>
        <w:tc>
          <w:tcPr>
            <w:tcW w:w="10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97,653,271.45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62,942,437.37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55.15%</w:t>
            </w:r>
          </w:p>
        </w:tc>
        <w:tc>
          <w:tcPr>
            <w:tcW w:w="439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1"/>
              <w:ind w:left="103" w:right="130"/>
              <w:jc w:val="left"/>
              <w:rPr>
                <w:rFonts w:ascii="宋体" w:hAnsi="宋体" w:cs="宋体" w:eastAsia="宋体" w:hint="default"/>
                <w:sz w:val="18"/>
                <w:szCs w:val="18"/>
              </w:rPr>
            </w:pPr>
            <w:r>
              <w:rPr>
                <w:rFonts w:ascii="宋体" w:hAnsi="宋体" w:cs="宋体" w:eastAsia="宋体" w:hint="default"/>
                <w:sz w:val="18"/>
                <w:szCs w:val="18"/>
              </w:rPr>
              <w:t>主要系本期借款规模较上年增加且平均融资成本增加 以及人民币汇率波动影响。</w:t>
            </w:r>
          </w:p>
        </w:tc>
      </w:tr>
      <w:tr>
        <w:trPr>
          <w:trHeight w:val="644" w:hRule="exact"/>
        </w:trPr>
        <w:tc>
          <w:tcPr>
            <w:tcW w:w="100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312,085,272.64</w:t>
            </w:r>
          </w:p>
        </w:tc>
        <w:tc>
          <w:tcPr>
            <w:tcW w:w="14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269,702,559.84</w:t>
            </w: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15.71%</w:t>
            </w:r>
          </w:p>
        </w:tc>
        <w:tc>
          <w:tcPr>
            <w:tcW w:w="4395"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11"/>
              <w:ind w:left="103" w:right="130"/>
              <w:jc w:val="left"/>
              <w:rPr>
                <w:rFonts w:ascii="宋体" w:hAnsi="宋体" w:cs="宋体" w:eastAsia="宋体" w:hint="default"/>
                <w:sz w:val="18"/>
                <w:szCs w:val="18"/>
              </w:rPr>
            </w:pPr>
            <w:r>
              <w:rPr>
                <w:rFonts w:ascii="宋体" w:hAnsi="宋体" w:cs="宋体" w:eastAsia="宋体" w:hint="default"/>
                <w:sz w:val="18"/>
                <w:szCs w:val="18"/>
              </w:rPr>
              <w:t>主要系公司促进产品技术更新改造，加大产品开发力 度，加大研发投入所致。</w:t>
            </w:r>
          </w:p>
        </w:tc>
      </w:tr>
    </w:tbl>
    <w:p>
      <w:pPr>
        <w:spacing w:line="240" w:lineRule="auto" w:before="5"/>
        <w:rPr>
          <w:rFonts w:ascii="宋体" w:hAnsi="宋体" w:cs="宋体" w:eastAsia="宋体" w:hint="default"/>
          <w:sz w:val="19"/>
          <w:szCs w:val="19"/>
        </w:rPr>
      </w:pPr>
    </w:p>
    <w:p>
      <w:pPr>
        <w:pStyle w:val="Heading6"/>
        <w:spacing w:line="240" w:lineRule="auto" w:before="34"/>
        <w:ind w:left="132" w:right="111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492" w:right="1115" w:hanging="360"/>
        <w:jc w:val="left"/>
      </w:pPr>
      <w:r>
        <w:rPr/>
        <w:t>√ 适用 □ 不适用 </w:t>
      </w:r>
      <w:r>
        <w:rPr>
          <w:spacing w:val="-2"/>
        </w:rPr>
        <w:t>为不断创新产品，提高公司核心竞争力，报告期公司研发投入金额312,085,272.64元，同比增加12.04%，研发投入资本</w:t>
      </w:r>
    </w:p>
    <w:p>
      <w:pPr>
        <w:pStyle w:val="BodyText"/>
        <w:spacing w:line="222" w:lineRule="exact"/>
        <w:ind w:left="132" w:right="1115"/>
        <w:jc w:val="left"/>
      </w:pPr>
      <w:r>
        <w:rPr/>
        <w:t>化金额15,629,549.65元，同比增加45.73%。</w:t>
      </w:r>
    </w:p>
    <w:p>
      <w:pPr>
        <w:pStyle w:val="BodyText"/>
        <w:spacing w:line="240" w:lineRule="auto" w:before="115"/>
        <w:ind w:left="492" w:right="1115"/>
        <w:jc w:val="left"/>
      </w:pPr>
      <w:r>
        <w:rPr/>
        <w:t>公司研发投入情况：</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55"/>
        <w:gridCol w:w="2171"/>
        <w:gridCol w:w="2171"/>
        <w:gridCol w:w="2171"/>
      </w:tblGrid>
      <w:tr>
        <w:trPr>
          <w:trHeight w:val="332" w:hRule="exact"/>
        </w:trPr>
        <w:tc>
          <w:tcPr>
            <w:tcW w:w="3055"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217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7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7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left="72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2" w:hRule="exact"/>
        </w:trPr>
        <w:tc>
          <w:tcPr>
            <w:tcW w:w="3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715</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688</w:t>
            </w:r>
          </w:p>
        </w:tc>
        <w:tc>
          <w:tcPr>
            <w:tcW w:w="2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3.92%</w:t>
            </w:r>
          </w:p>
        </w:tc>
      </w:tr>
      <w:tr>
        <w:trPr>
          <w:trHeight w:val="322" w:hRule="exact"/>
        </w:trPr>
        <w:tc>
          <w:tcPr>
            <w:tcW w:w="3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14.46%</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14.24%</w:t>
            </w:r>
          </w:p>
        </w:tc>
        <w:tc>
          <w:tcPr>
            <w:tcW w:w="2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0.22%</w:t>
            </w:r>
          </w:p>
        </w:tc>
      </w:tr>
      <w:tr>
        <w:trPr>
          <w:trHeight w:val="322" w:hRule="exact"/>
        </w:trPr>
        <w:tc>
          <w:tcPr>
            <w:tcW w:w="3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327,714,822.29</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280,427,607.38</w:t>
            </w:r>
          </w:p>
        </w:tc>
        <w:tc>
          <w:tcPr>
            <w:tcW w:w="2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16.86%</w:t>
            </w:r>
          </w:p>
        </w:tc>
      </w:tr>
      <w:tr>
        <w:trPr>
          <w:trHeight w:val="322" w:hRule="exact"/>
        </w:trPr>
        <w:tc>
          <w:tcPr>
            <w:tcW w:w="3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3.75%</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3.79%</w:t>
            </w:r>
          </w:p>
        </w:tc>
        <w:tc>
          <w:tcPr>
            <w:tcW w:w="2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-0.04%</w:t>
            </w:r>
          </w:p>
        </w:tc>
      </w:tr>
      <w:tr>
        <w:trPr>
          <w:trHeight w:val="320" w:hRule="exact"/>
        </w:trPr>
        <w:tc>
          <w:tcPr>
            <w:tcW w:w="3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15,629,549.65</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10,725,047.54</w:t>
            </w:r>
          </w:p>
        </w:tc>
        <w:tc>
          <w:tcPr>
            <w:tcW w:w="21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45.73%</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00" w:right="0"/>
        </w:sectPr>
      </w:pP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055"/>
        <w:gridCol w:w="2171"/>
        <w:gridCol w:w="2171"/>
        <w:gridCol w:w="2171"/>
      </w:tblGrid>
      <w:tr>
        <w:trPr>
          <w:trHeight w:val="332" w:hRule="exact"/>
        </w:trPr>
        <w:tc>
          <w:tcPr>
            <w:tcW w:w="30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4.77%</w:t>
            </w:r>
          </w:p>
        </w:tc>
        <w:tc>
          <w:tcPr>
            <w:tcW w:w="2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3.82%</w:t>
            </w:r>
          </w:p>
        </w:tc>
        <w:tc>
          <w:tcPr>
            <w:tcW w:w="21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0.95%</w:t>
            </w:r>
          </w:p>
        </w:tc>
      </w:tr>
    </w:tbl>
    <w:p>
      <w:pPr>
        <w:pStyle w:val="BodyText"/>
        <w:spacing w:line="240" w:lineRule="auto" w:before="52"/>
        <w:ind w:left="132" w:right="1115"/>
        <w:jc w:val="left"/>
      </w:pPr>
      <w:r>
        <w:rPr/>
        <w:t>研发投入总额占营业收入的比重较上年发生显著变化的原因</w:t>
      </w:r>
    </w:p>
    <w:p>
      <w:pPr>
        <w:pStyle w:val="BodyText"/>
        <w:spacing w:line="360" w:lineRule="auto" w:before="115"/>
        <w:ind w:left="132" w:right="6794"/>
        <w:jc w:val="left"/>
      </w:pPr>
      <w:r>
        <w:rPr/>
        <w:t>□ 适用 √ 不适用 研发投入资本化率大幅变动的原因及其合理性说明</w:t>
      </w:r>
    </w:p>
    <w:p>
      <w:pPr>
        <w:pStyle w:val="BodyText"/>
        <w:spacing w:line="240" w:lineRule="auto" w:before="27"/>
        <w:ind w:left="132" w:right="1115"/>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32" w:right="111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68"/>
        <w:gridCol w:w="2016"/>
        <w:gridCol w:w="2392"/>
        <w:gridCol w:w="2392"/>
      </w:tblGrid>
      <w:tr>
        <w:trPr>
          <w:trHeight w:val="332" w:hRule="exact"/>
        </w:trPr>
        <w:tc>
          <w:tcPr>
            <w:tcW w:w="276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0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7,750,331,133.28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6,140,010,425.72</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26.23%</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7,111,759,846.35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7,080,414,701.07</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0.44%</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638,571,286.93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-940,404,275.35</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pacing w:val="-1"/>
                <w:sz w:val="18"/>
              </w:rPr>
              <w:t>167.90%</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1,529,508,055.83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1,673,654,977.08</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-8.61%</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1,879,587,500.21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2,013,114,278.19</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-6.63%</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-350,079,444.38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-339,459,301.11</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-3.13%</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1,828,242,545.10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2,668,675,374.10</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-31.49%</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2,345,502,556.53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1,051,703,643.18</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pacing w:val="-1"/>
                <w:sz w:val="18"/>
              </w:rPr>
              <w:t>123.02%</w:t>
            </w:r>
          </w:p>
        </w:tc>
      </w:tr>
      <w:tr>
        <w:trPr>
          <w:trHeight w:val="322" w:hRule="exact"/>
        </w:trPr>
        <w:tc>
          <w:tcPr>
            <w:tcW w:w="27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-517,260,011.43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1,616,971,730.92</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pacing w:val="-1"/>
                <w:sz w:val="18"/>
              </w:rPr>
              <w:t>-131.99%</w:t>
            </w:r>
          </w:p>
        </w:tc>
      </w:tr>
      <w:tr>
        <w:trPr>
          <w:trHeight w:val="332" w:hRule="exact"/>
        </w:trPr>
        <w:tc>
          <w:tcPr>
            <w:tcW w:w="276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-227,153,925.53</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335,113,649.79</w:t>
            </w:r>
          </w:p>
        </w:tc>
        <w:tc>
          <w:tcPr>
            <w:tcW w:w="239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-167.78%</w:t>
            </w:r>
          </w:p>
        </w:tc>
      </w:tr>
    </w:tbl>
    <w:p>
      <w:pPr>
        <w:pStyle w:val="BodyText"/>
        <w:spacing w:line="240" w:lineRule="auto" w:before="13"/>
        <w:ind w:left="132" w:right="1115"/>
        <w:jc w:val="left"/>
      </w:pPr>
      <w:r>
        <w:rPr/>
        <w:t>相关数据同比发生重大变动的主要影响因素说明</w:t>
      </w:r>
    </w:p>
    <w:p>
      <w:pPr>
        <w:pStyle w:val="BodyText"/>
        <w:spacing w:line="240" w:lineRule="auto" w:before="76"/>
        <w:ind w:left="132" w:right="1115"/>
        <w:jc w:val="left"/>
      </w:pPr>
      <w:r>
        <w:rPr/>
        <w:t>√ 适用 □ 不适用</w:t>
      </w:r>
    </w:p>
    <w:p>
      <w:pPr>
        <w:pStyle w:val="BodyText"/>
        <w:spacing w:line="290" w:lineRule="auto" w:before="76"/>
        <w:ind w:left="132" w:right="1154" w:firstLine="360"/>
        <w:jc w:val="left"/>
      </w:pPr>
      <w:r>
        <w:rPr/>
        <w:t>（1）经营活动产生的现金流量净额较上年同比上升167.90%，主要系</w:t>
      </w:r>
      <w:r>
        <w:rPr>
          <w:rFonts w:ascii="Calibri" w:hAnsi="Calibri" w:cs="Calibri" w:eastAsia="Calibri" w:hint="default"/>
        </w:rPr>
        <w:t>①</w:t>
      </w:r>
      <w:r>
        <w:rPr/>
        <w:t>当期订单量增加，销售收入同比上升，相应回 笼金额增加；</w:t>
      </w:r>
      <w:r>
        <w:rPr>
          <w:rFonts w:ascii="Calibri" w:hAnsi="Calibri" w:cs="Calibri" w:eastAsia="Calibri" w:hint="default"/>
        </w:rPr>
        <w:t>②</w:t>
      </w:r>
      <w:r>
        <w:rPr/>
        <w:t>优化付款方式，付现金额减少。</w:t>
      </w:r>
    </w:p>
    <w:p>
      <w:pPr>
        <w:pStyle w:val="BodyText"/>
        <w:spacing w:line="290" w:lineRule="auto" w:before="7"/>
        <w:ind w:left="132" w:right="1189" w:firstLine="360"/>
        <w:jc w:val="left"/>
      </w:pPr>
      <w:r>
        <w:rPr/>
        <w:t>（2）筹资活动产生的现金流量净额较上年同比下降131.99</w:t>
      </w:r>
      <w:r>
        <w:rPr>
          <w:spacing w:val="-4"/>
        </w:rPr>
        <w:t> </w:t>
      </w:r>
      <w:r>
        <w:rPr/>
        <w:t>%，主要系：</w:t>
      </w:r>
      <w:r>
        <w:rPr>
          <w:rFonts w:ascii="Calibri" w:hAnsi="Calibri" w:cs="Calibri" w:eastAsia="Calibri" w:hint="default"/>
        </w:rPr>
        <w:t>①</w:t>
      </w:r>
      <w:r>
        <w:rPr/>
        <w:t>本期融资净流入减少；</w:t>
      </w:r>
      <w:r>
        <w:rPr>
          <w:rFonts w:ascii="Calibri" w:hAnsi="Calibri" w:cs="Calibri" w:eastAsia="Calibri" w:hint="default"/>
        </w:rPr>
        <w:t>②</w:t>
      </w:r>
      <w:r>
        <w:rPr/>
        <w:t>上年同期收到募 集资金8.6亿元；</w:t>
      </w:r>
      <w:r>
        <w:rPr>
          <w:rFonts w:ascii="Calibri" w:hAnsi="Calibri" w:cs="Calibri" w:eastAsia="Calibri" w:hint="default"/>
        </w:rPr>
        <w:t>③</w:t>
      </w:r>
      <w:r>
        <w:rPr/>
        <w:t>本期承兑保证金、信用保证金及保函保证金支付同比增加。</w:t>
      </w:r>
    </w:p>
    <w:p>
      <w:pPr>
        <w:pStyle w:val="BodyText"/>
        <w:spacing w:line="240" w:lineRule="auto" w:before="7"/>
        <w:ind w:left="492" w:right="1115"/>
        <w:jc w:val="left"/>
      </w:pPr>
      <w:r>
        <w:rPr/>
        <w:t>(3)现金及现金等价物净增加额较上年同比下降167.78%，主要系筹资活动产生的现金流量净额同比减少所致。</w:t>
      </w:r>
    </w:p>
    <w:p>
      <w:pPr>
        <w:spacing w:line="240" w:lineRule="auto" w:before="0"/>
        <w:rPr>
          <w:rFonts w:ascii="宋体" w:hAnsi="宋体" w:cs="宋体" w:eastAsia="宋体" w:hint="default"/>
          <w:sz w:val="18"/>
          <w:szCs w:val="18"/>
        </w:rPr>
      </w:pPr>
    </w:p>
    <w:p>
      <w:pPr>
        <w:pStyle w:val="BodyText"/>
        <w:spacing w:line="240" w:lineRule="auto" w:before="153"/>
        <w:ind w:left="132" w:right="1115"/>
        <w:jc w:val="left"/>
      </w:pPr>
      <w:r>
        <w:rPr/>
        <w:t>报告期内公司经营活动产生的现金净流量与本年度净利润存在重大差异的原因说明</w:t>
      </w:r>
    </w:p>
    <w:p>
      <w:pPr>
        <w:pStyle w:val="BodyText"/>
        <w:spacing w:line="316" w:lineRule="auto" w:before="76"/>
        <w:ind w:left="492" w:right="1124" w:hanging="360"/>
        <w:jc w:val="left"/>
      </w:pPr>
      <w:r>
        <w:rPr/>
        <w:t>√ 适用 □ 不适用 主要系本期计提折旧和摊销11,950.66万元，资产减值准备8,387.37万元，财务费用8,307.31万元，经营性应付项目增</w:t>
      </w:r>
    </w:p>
    <w:p>
      <w:pPr>
        <w:pStyle w:val="BodyText"/>
        <w:spacing w:line="240" w:lineRule="auto" w:before="19"/>
        <w:ind w:left="132" w:right="1115"/>
        <w:jc w:val="left"/>
      </w:pPr>
      <w:r>
        <w:rPr/>
        <w:t>加36,772.66万元所致。</w:t>
      </w:r>
    </w:p>
    <w:p>
      <w:pPr>
        <w:spacing w:line="240" w:lineRule="auto" w:before="1"/>
        <w:rPr>
          <w:rFonts w:ascii="宋体" w:hAnsi="宋体" w:cs="宋体" w:eastAsia="宋体" w:hint="default"/>
          <w:sz w:val="25"/>
          <w:szCs w:val="25"/>
        </w:rPr>
      </w:pPr>
    </w:p>
    <w:p>
      <w:pPr>
        <w:pStyle w:val="Heading2"/>
        <w:spacing w:line="240" w:lineRule="auto"/>
        <w:ind w:left="132" w:right="1115"/>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32" w:right="1115"/>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2" w:right="111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41"/>
        <w:gridCol w:w="2381"/>
        <w:gridCol w:w="2282"/>
        <w:gridCol w:w="818"/>
        <w:gridCol w:w="2747"/>
      </w:tblGrid>
      <w:tr>
        <w:trPr>
          <w:trHeight w:val="330" w:hRule="exact"/>
        </w:trPr>
        <w:tc>
          <w:tcPr>
            <w:tcW w:w="134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23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3" w:right="0"/>
              <w:jc w:val="left"/>
              <w:rPr>
                <w:rFonts w:ascii="宋体" w:hAnsi="宋体" w:cs="宋体" w:eastAsia="宋体" w:hint="default"/>
                <w:sz w:val="18"/>
                <w:szCs w:val="18"/>
              </w:rPr>
            </w:pPr>
            <w:r>
              <w:rPr>
                <w:rFonts w:ascii="宋体" w:hAnsi="宋体" w:cs="宋体" w:eastAsia="宋体" w:hint="default"/>
                <w:sz w:val="18"/>
                <w:szCs w:val="18"/>
              </w:rPr>
              <w:t>比重增</w:t>
            </w:r>
          </w:p>
        </w:tc>
        <w:tc>
          <w:tcPr>
            <w:tcW w:w="274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left="82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890" w:footer="1012" w:top="1420" w:bottom="1200" w:left="1000" w:right="0"/>
        </w:sectPr>
      </w:pP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341"/>
        <w:gridCol w:w="1509"/>
        <w:gridCol w:w="872"/>
        <w:gridCol w:w="1500"/>
        <w:gridCol w:w="782"/>
        <w:gridCol w:w="818"/>
        <w:gridCol w:w="2747"/>
      </w:tblGrid>
      <w:tr>
        <w:trPr>
          <w:trHeight w:val="634"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60" w:right="15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16" w:right="11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274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22"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911,828,018.69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center"/>
              <w:rPr>
                <w:rFonts w:ascii="Times New Roman" w:hAnsi="Times New Roman" w:cs="Times New Roman" w:eastAsia="Times New Roman" w:hint="default"/>
                <w:sz w:val="18"/>
                <w:szCs w:val="18"/>
              </w:rPr>
            </w:pPr>
            <w:r>
              <w:rPr>
                <w:rFonts w:ascii="Times New Roman"/>
                <w:sz w:val="18"/>
              </w:rPr>
              <w:t>12.42%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961,549,476.45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13.65%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-1.23%</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主要系募集资金留存减少</w:t>
            </w:r>
          </w:p>
        </w:tc>
      </w:tr>
      <w:tr>
        <w:trPr>
          <w:trHeight w:val="322"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2,811,636,013.83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center"/>
              <w:rPr>
                <w:rFonts w:ascii="Times New Roman" w:hAnsi="Times New Roman" w:cs="Times New Roman" w:eastAsia="Times New Roman" w:hint="default"/>
                <w:sz w:val="18"/>
                <w:szCs w:val="18"/>
              </w:rPr>
            </w:pPr>
            <w:r>
              <w:rPr>
                <w:rFonts w:ascii="Times New Roman"/>
                <w:sz w:val="18"/>
              </w:rPr>
              <w:t>38.29%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2,575,781,828.30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36.57%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1.72%</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主要系本期销售收入增加所致</w:t>
            </w:r>
          </w:p>
        </w:tc>
      </w:tr>
      <w:tr>
        <w:trPr>
          <w:trHeight w:val="322"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872,933,627.56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8" w:right="0"/>
              <w:jc w:val="center"/>
              <w:rPr>
                <w:rFonts w:ascii="Times New Roman" w:hAnsi="Times New Roman" w:cs="Times New Roman" w:eastAsia="Times New Roman" w:hint="default"/>
                <w:sz w:val="18"/>
                <w:szCs w:val="18"/>
              </w:rPr>
            </w:pPr>
            <w:r>
              <w:rPr>
                <w:rFonts w:ascii="Times New Roman"/>
                <w:sz w:val="18"/>
              </w:rPr>
              <w:t>11.89%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834,818,671.54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11.85%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634"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15,934,545.27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0.22%</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主要系本期将部分闲置自有房产 改变用途转为对外出租所致</w:t>
            </w:r>
          </w:p>
        </w:tc>
      </w:tr>
      <w:tr>
        <w:trPr>
          <w:trHeight w:val="322"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24,813,537.21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center"/>
              <w:rPr>
                <w:rFonts w:ascii="Times New Roman" w:hAnsi="Times New Roman" w:cs="Times New Roman" w:eastAsia="Times New Roman" w:hint="default"/>
                <w:sz w:val="18"/>
                <w:szCs w:val="18"/>
              </w:rPr>
            </w:pPr>
            <w:r>
              <w:rPr>
                <w:rFonts w:ascii="Times New Roman"/>
                <w:sz w:val="18"/>
              </w:rPr>
              <w:t>0.34%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24,750,493.69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0.35%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-0.01%</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946"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953,397,942.10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center"/>
              <w:rPr>
                <w:rFonts w:ascii="Times New Roman" w:hAnsi="Times New Roman" w:cs="Times New Roman" w:eastAsia="Times New Roman" w:hint="default"/>
                <w:sz w:val="18"/>
                <w:szCs w:val="18"/>
              </w:rPr>
            </w:pPr>
            <w:r>
              <w:rPr>
                <w:rFonts w:ascii="Times New Roman"/>
                <w:sz w:val="18"/>
              </w:rPr>
              <w:t>12.98%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753,786,257.05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10.70%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2.28%</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12"/>
              <w:ind w:left="103" w:right="102"/>
              <w:jc w:val="both"/>
              <w:rPr>
                <w:rFonts w:ascii="宋体" w:hAnsi="宋体" w:cs="宋体" w:eastAsia="宋体" w:hint="default"/>
                <w:sz w:val="18"/>
                <w:szCs w:val="18"/>
              </w:rPr>
            </w:pPr>
            <w:r>
              <w:rPr>
                <w:rFonts w:ascii="宋体" w:hAnsi="宋体" w:cs="宋体" w:eastAsia="宋体" w:hint="default"/>
                <w:sz w:val="18"/>
                <w:szCs w:val="18"/>
              </w:rPr>
              <w:t>固定资产较上年增加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 要系高级工业电子线项目、充电 桩项目建设转入固定资产所致</w:t>
            </w:r>
          </w:p>
        </w:tc>
      </w:tr>
      <w:tr>
        <w:trPr>
          <w:trHeight w:val="946"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155,191,685.63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center"/>
              <w:rPr>
                <w:rFonts w:ascii="Times New Roman" w:hAnsi="Times New Roman" w:cs="Times New Roman" w:eastAsia="Times New Roman" w:hint="default"/>
                <w:sz w:val="18"/>
                <w:szCs w:val="18"/>
              </w:rPr>
            </w:pPr>
            <w:r>
              <w:rPr>
                <w:rFonts w:ascii="Times New Roman"/>
                <w:sz w:val="18"/>
              </w:rPr>
              <w:t>2.11%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130,303,554.55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1.85%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0.26%</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11"/>
              <w:ind w:left="103" w:right="1"/>
              <w:jc w:val="left"/>
              <w:rPr>
                <w:rFonts w:ascii="宋体" w:hAnsi="宋体" w:cs="宋体" w:eastAsia="宋体" w:hint="default"/>
                <w:sz w:val="18"/>
                <w:szCs w:val="18"/>
              </w:rPr>
            </w:pPr>
            <w:r>
              <w:rPr>
                <w:rFonts w:ascii="宋体" w:hAnsi="宋体" w:cs="宋体" w:eastAsia="宋体" w:hint="default"/>
                <w:sz w:val="18"/>
                <w:szCs w:val="18"/>
              </w:rPr>
              <w:t>在建工程较上年增加</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2,489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 主要系万马智慧充电创新基地项 目建设投入增加所致</w:t>
            </w:r>
          </w:p>
        </w:tc>
      </w:tr>
      <w:tr>
        <w:trPr>
          <w:trHeight w:val="322"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1,195,332,476.13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center"/>
              <w:rPr>
                <w:rFonts w:ascii="Times New Roman" w:hAnsi="Times New Roman" w:cs="Times New Roman" w:eastAsia="Times New Roman" w:hint="default"/>
                <w:sz w:val="18"/>
                <w:szCs w:val="18"/>
              </w:rPr>
            </w:pPr>
            <w:r>
              <w:rPr>
                <w:rFonts w:ascii="Times New Roman"/>
                <w:sz w:val="18"/>
              </w:rPr>
              <w:t>16.28%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1,254,528,828.04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17.81%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z w:val="18"/>
              </w:rPr>
              <w:t>-1.53%</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主要系本期偿还短期借款所致</w:t>
            </w:r>
          </w:p>
        </w:tc>
      </w:tr>
      <w:tr>
        <w:trPr>
          <w:trHeight w:val="322" w:hRule="exact"/>
        </w:trPr>
        <w:tc>
          <w:tcPr>
            <w:tcW w:w="13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0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4" w:right="0"/>
              <w:jc w:val="center"/>
              <w:rPr>
                <w:rFonts w:ascii="Times New Roman" w:hAnsi="Times New Roman" w:cs="Times New Roman" w:eastAsia="Times New Roman" w:hint="default"/>
                <w:sz w:val="18"/>
                <w:szCs w:val="18"/>
              </w:rPr>
            </w:pPr>
            <w:r>
              <w:rPr>
                <w:rFonts w:ascii="Times New Roman"/>
                <w:sz w:val="18"/>
              </w:rPr>
              <w:t>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634" w:hRule="exact"/>
        </w:trPr>
        <w:tc>
          <w:tcPr>
            <w:tcW w:w="13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687,397,850.80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9.36%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281,368,884.64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主要系优化付款方式，增加应付 票据支付</w:t>
            </w:r>
          </w:p>
        </w:tc>
      </w:tr>
      <w:tr>
        <w:trPr>
          <w:trHeight w:val="634" w:hRule="exact"/>
        </w:trPr>
        <w:tc>
          <w:tcPr>
            <w:tcW w:w="134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2" w:right="147"/>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299,853,758.13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4.08%</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主要系应付债券重分类为一年内 到期的非流动负债所致</w:t>
            </w:r>
          </w:p>
        </w:tc>
      </w:tr>
      <w:tr>
        <w:trPr>
          <w:trHeight w:val="634" w:hRule="exact"/>
        </w:trPr>
        <w:tc>
          <w:tcPr>
            <w:tcW w:w="13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299,502,699.82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-4.25%</w:t>
            </w:r>
          </w:p>
        </w:tc>
        <w:tc>
          <w:tcPr>
            <w:tcW w:w="274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2"/>
              <w:ind w:left="103" w:right="102"/>
              <w:jc w:val="left"/>
              <w:rPr>
                <w:rFonts w:ascii="宋体" w:hAnsi="宋体" w:cs="宋体" w:eastAsia="宋体" w:hint="default"/>
                <w:sz w:val="18"/>
                <w:szCs w:val="18"/>
              </w:rPr>
            </w:pPr>
            <w:r>
              <w:rPr>
                <w:rFonts w:ascii="宋体" w:hAnsi="宋体" w:cs="宋体" w:eastAsia="宋体" w:hint="default"/>
                <w:sz w:val="18"/>
                <w:szCs w:val="18"/>
              </w:rPr>
              <w:t>主要系应付债券重分类为一年内 到期的非流动负债所致</w:t>
            </w:r>
          </w:p>
        </w:tc>
      </w:tr>
      <w:tr>
        <w:trPr>
          <w:trHeight w:val="644" w:hRule="exact"/>
        </w:trPr>
        <w:tc>
          <w:tcPr>
            <w:tcW w:w="134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0.00%</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200,000,000.00</w:t>
            </w:r>
          </w:p>
        </w:tc>
        <w:tc>
          <w:tcPr>
            <w:tcW w:w="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2.84%</w:t>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-2.84%</w:t>
            </w:r>
          </w:p>
        </w:tc>
        <w:tc>
          <w:tcPr>
            <w:tcW w:w="2747" w:type="dxa"/>
            <w:tcBorders>
              <w:top w:val="single" w:sz="4" w:space="0" w:color="000000"/>
              <w:left w:val="single" w:sz="4" w:space="0" w:color="000000"/>
              <w:bottom w:val="single" w:sz="12" w:space="0" w:color="000000"/>
              <w:right w:val="single" w:sz="12" w:space="0" w:color="000000"/>
            </w:tcBorders>
          </w:tcPr>
          <w:p>
            <w:pPr>
              <w:pStyle w:val="TableParagraph"/>
              <w:spacing w:line="300"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主要系本期偿还国开行资金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元所致</w:t>
            </w:r>
          </w:p>
        </w:tc>
      </w:tr>
    </w:tbl>
    <w:p>
      <w:pPr>
        <w:spacing w:line="240" w:lineRule="auto" w:before="5"/>
        <w:rPr>
          <w:rFonts w:ascii="宋体" w:hAnsi="宋体" w:cs="宋体" w:eastAsia="宋体" w:hint="default"/>
          <w:sz w:val="19"/>
          <w:szCs w:val="19"/>
        </w:rPr>
      </w:pPr>
    </w:p>
    <w:p>
      <w:pPr>
        <w:pStyle w:val="Heading6"/>
        <w:spacing w:line="240" w:lineRule="auto" w:before="34"/>
        <w:ind w:left="132" w:right="111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115"/>
        <w:jc w:val="left"/>
      </w:pPr>
      <w:r>
        <w:rPr/>
        <w:t>√ 适用 □ 不适用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19"/>
        <w:gridCol w:w="1213"/>
        <w:gridCol w:w="1213"/>
        <w:gridCol w:w="1213"/>
        <w:gridCol w:w="1213"/>
        <w:gridCol w:w="1213"/>
        <w:gridCol w:w="1213"/>
        <w:gridCol w:w="1073"/>
      </w:tblGrid>
      <w:tr>
        <w:trPr>
          <w:trHeight w:val="956" w:hRule="exact"/>
        </w:trPr>
        <w:tc>
          <w:tcPr>
            <w:tcW w:w="12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51" w:right="14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
              <w:ind w:left="150" w:right="15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20" w:right="149"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2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510" w:right="151"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7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2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38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1" w:type="dxa"/>
            <w:gridSpan w:val="7"/>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634" w:hRule="exact"/>
        </w:trPr>
        <w:tc>
          <w:tcPr>
            <w:tcW w:w="12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11"/>
              <w:ind w:left="92" w:right="2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69,276,454.5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-6,867,980.9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-35,695,315.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483,612,299.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351,860,453.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84,793,811.</w:t>
            </w:r>
          </w:p>
          <w:p>
            <w:pPr>
              <w:pStyle w:val="TableParagraph"/>
              <w:spacing w:line="240" w:lineRule="auto" w:before="105"/>
              <w:ind w:right="90"/>
              <w:jc w:val="right"/>
              <w:rPr>
                <w:rFonts w:ascii="Times New Roman" w:hAnsi="Times New Roman" w:cs="Times New Roman" w:eastAsia="Times New Roman" w:hint="default"/>
                <w:sz w:val="18"/>
                <w:szCs w:val="18"/>
              </w:rPr>
            </w:pPr>
            <w:r>
              <w:rPr>
                <w:rFonts w:ascii="Times New Roman"/>
                <w:sz w:val="18"/>
              </w:rPr>
              <w:t>08</w:t>
            </w:r>
          </w:p>
        </w:tc>
      </w:tr>
      <w:tr>
        <w:trPr>
          <w:trHeight w:val="634" w:hRule="exact"/>
        </w:trPr>
        <w:tc>
          <w:tcPr>
            <w:tcW w:w="12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69,276,454.5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-6,867,980.9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-35,695,315.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483,612,299.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351,860,453.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pacing w:val="-1"/>
                <w:sz w:val="18"/>
              </w:rPr>
              <w:t>84,793,811.</w:t>
            </w:r>
          </w:p>
          <w:p>
            <w:pPr>
              <w:pStyle w:val="TableParagraph"/>
              <w:spacing w:line="240" w:lineRule="auto" w:before="105"/>
              <w:ind w:right="90"/>
              <w:jc w:val="right"/>
              <w:rPr>
                <w:rFonts w:ascii="Times New Roman" w:hAnsi="Times New Roman" w:cs="Times New Roman" w:eastAsia="Times New Roman" w:hint="default"/>
                <w:sz w:val="18"/>
                <w:szCs w:val="18"/>
              </w:rPr>
            </w:pPr>
            <w:r>
              <w:rPr>
                <w:rFonts w:ascii="Times New Roman"/>
                <w:sz w:val="18"/>
              </w:rPr>
              <w:t>08</w:t>
            </w:r>
          </w:p>
        </w:tc>
      </w:tr>
      <w:tr>
        <w:trPr>
          <w:trHeight w:val="332" w:hRule="exact"/>
        </w:trPr>
        <w:tc>
          <w:tcPr>
            <w:tcW w:w="12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
              <w:ind w:right="38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86"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30" w:right="0"/>
              <w:jc w:val="left"/>
              <w:rPr>
                <w:rFonts w:ascii="Times New Roman" w:hAnsi="Times New Roman" w:cs="Times New Roman" w:eastAsia="Times New Roman" w:hint="default"/>
                <w:sz w:val="18"/>
                <w:szCs w:val="18"/>
              </w:rPr>
            </w:pPr>
            <w:r>
              <w:rPr>
                <w:rFonts w:ascii="Times New Roman"/>
                <w:sz w:val="18"/>
              </w:rPr>
              <w:t>-855,651.36</w:t>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84"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84"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86" w:right="0"/>
              <w:jc w:val="lef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54" w:right="0"/>
              <w:jc w:val="center"/>
              <w:rPr>
                <w:rFonts w:ascii="Times New Roman" w:hAnsi="Times New Roman" w:cs="Times New Roman" w:eastAsia="Times New Roman" w:hint="default"/>
                <w:sz w:val="18"/>
                <w:szCs w:val="18"/>
              </w:rPr>
            </w:pPr>
            <w:r>
              <w:rPr>
                <w:rFonts w:ascii="Times New Roman"/>
                <w:sz w:val="18"/>
              </w:rPr>
              <w:t>855,651.36</w:t>
            </w:r>
          </w:p>
        </w:tc>
      </w:tr>
    </w:tbl>
    <w:p>
      <w:pPr>
        <w:pStyle w:val="BodyText"/>
        <w:spacing w:line="240" w:lineRule="auto" w:before="51"/>
        <w:ind w:left="132" w:right="1115"/>
        <w:jc w:val="left"/>
      </w:pPr>
      <w:r>
        <w:rPr/>
        <w:t>报告期内公司主要资产计量属性是否发生重大变化</w:t>
      </w:r>
    </w:p>
    <w:p>
      <w:pPr>
        <w:pStyle w:val="BodyText"/>
        <w:spacing w:line="240" w:lineRule="auto" w:before="117"/>
        <w:ind w:left="132" w:right="1115"/>
        <w:jc w:val="left"/>
      </w:pPr>
      <w:r>
        <w:rPr/>
        <w:t>□ 是 √ 否</w:t>
      </w:r>
    </w:p>
    <w:p>
      <w:pPr>
        <w:spacing w:after="0" w:line="240" w:lineRule="auto"/>
        <w:jc w:val="left"/>
        <w:sectPr>
          <w:pgSz w:w="11910" w:h="16840"/>
          <w:pgMar w:header="890" w:footer="1012" w:top="1420" w:bottom="1200" w:left="1000" w:right="0"/>
        </w:sectPr>
      </w:pPr>
    </w:p>
    <w:p>
      <w:pPr>
        <w:pStyle w:val="Heading6"/>
        <w:spacing w:line="240" w:lineRule="auto" w:before="43"/>
        <w:ind w:left="132" w:right="1115"/>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77" w:right="1115"/>
        <w:jc w:val="left"/>
      </w:pPr>
      <w:r>
        <w:rPr/>
        <w:t>详情请见第十一节 财务报告</w:t>
      </w:r>
      <w:r>
        <w:rPr>
          <w:rFonts w:ascii="Times New Roman" w:hAnsi="Times New Roman" w:cs="Times New Roman" w:eastAsia="Times New Roman" w:hint="default"/>
        </w:rPr>
        <w:t>“</w:t>
      </w:r>
      <w:r>
        <w:rPr/>
        <w:t>七、合并财务报表主要项目注释</w:t>
      </w:r>
      <w:r>
        <w:rPr>
          <w:spacing w:val="-5"/>
        </w:rPr>
        <w:t> </w:t>
      </w:r>
      <w:r>
        <w:rPr/>
        <w:t>53所有权或使用权受限制的资产</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left="132" w:right="1115"/>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2" w:right="1115"/>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88"/>
        <w:gridCol w:w="3190"/>
        <w:gridCol w:w="3191"/>
      </w:tblGrid>
      <w:tr>
        <w:trPr>
          <w:trHeight w:val="33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76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32"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left="1940" w:right="0"/>
              <w:jc w:val="left"/>
              <w:rPr>
                <w:rFonts w:ascii="Times New Roman" w:hAnsi="Times New Roman" w:cs="Times New Roman" w:eastAsia="Times New Roman" w:hint="default"/>
                <w:sz w:val="18"/>
                <w:szCs w:val="18"/>
              </w:rPr>
            </w:pPr>
            <w:r>
              <w:rPr>
                <w:rFonts w:ascii="Times New Roman"/>
                <w:sz w:val="18"/>
              </w:rPr>
              <w:t>645,264,984.00</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042" w:right="0"/>
              <w:jc w:val="left"/>
              <w:rPr>
                <w:rFonts w:ascii="Times New Roman" w:hAnsi="Times New Roman" w:cs="Times New Roman" w:eastAsia="Times New Roman" w:hint="default"/>
                <w:sz w:val="18"/>
                <w:szCs w:val="18"/>
              </w:rPr>
            </w:pPr>
            <w:r>
              <w:rPr>
                <w:rFonts w:ascii="Times New Roman"/>
                <w:sz w:val="18"/>
              </w:rPr>
              <w:t>46,752,100.00</w:t>
            </w:r>
          </w:p>
        </w:tc>
        <w:tc>
          <w:tcPr>
            <w:tcW w:w="31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1,280.18%</w:t>
            </w:r>
          </w:p>
        </w:tc>
      </w:tr>
    </w:tbl>
    <w:p>
      <w:pPr>
        <w:pStyle w:val="BodyText"/>
        <w:spacing w:line="240" w:lineRule="auto" w:before="50"/>
        <w:ind w:left="132" w:right="1115"/>
        <w:jc w:val="left"/>
      </w:pPr>
      <w:r>
        <w:rPr/>
        <w:t>说明：上述报告期投资</w:t>
      </w:r>
      <w:r>
        <w:rPr>
          <w:spacing w:val="-46"/>
        </w:rPr>
        <w:t> </w:t>
      </w:r>
      <w:r>
        <w:rPr>
          <w:rFonts w:ascii="Times New Roman" w:hAnsi="Times New Roman" w:cs="Times New Roman" w:eastAsia="Times New Roman" w:hint="default"/>
        </w:rPr>
        <w:t>6.45</w:t>
      </w:r>
      <w:r>
        <w:rPr>
          <w:rFonts w:ascii="Times New Roman" w:hAnsi="Times New Roman" w:cs="Times New Roman" w:eastAsia="Times New Roman" w:hint="default"/>
          <w:spacing w:val="-2"/>
        </w:rPr>
        <w:t> </w:t>
      </w:r>
      <w:r>
        <w:rPr/>
        <w:t>亿元主要为上市公司对子公司的投资，其中主要是：偿还国开基金对万马高分子及新能源投资</w:t>
      </w:r>
    </w:p>
    <w:p>
      <w:pPr>
        <w:pStyle w:val="BodyText"/>
        <w:spacing w:line="240" w:lineRule="auto" w:before="63"/>
        <w:ind w:left="132" w:right="0"/>
        <w:jc w:val="left"/>
      </w:pPr>
      <w:r>
        <w:rPr/>
        <w:t>公司投资</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亿元，万马股份将募集资金以增资形式向新能源投资公司投资</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亿元，万马股份对万马奔腾新能源部分缴纳部分</w:t>
      </w:r>
    </w:p>
    <w:p>
      <w:pPr>
        <w:pStyle w:val="BodyText"/>
        <w:spacing w:line="240" w:lineRule="auto" w:before="63"/>
        <w:ind w:left="132" w:right="1115"/>
        <w:jc w:val="left"/>
      </w:pPr>
      <w:r>
        <w:rPr/>
        <w:t>认缴出资</w:t>
      </w:r>
      <w:r>
        <w:rPr>
          <w:spacing w:val="-46"/>
        </w:rPr>
        <w:t> </w:t>
      </w:r>
      <w:r>
        <w:rPr>
          <w:rFonts w:ascii="Times New Roman" w:hAnsi="Times New Roman" w:cs="Times New Roman" w:eastAsia="Times New Roman" w:hint="default"/>
        </w:rPr>
        <w:t>1.25</w:t>
      </w:r>
      <w:r>
        <w:rPr>
          <w:rFonts w:ascii="Times New Roman" w:hAnsi="Times New Roman" w:cs="Times New Roman" w:eastAsia="Times New Roman" w:hint="default"/>
          <w:spacing w:val="-2"/>
        </w:rPr>
        <w:t> </w:t>
      </w:r>
      <w:r>
        <w:rPr/>
        <w:t>亿元等。</w:t>
      </w:r>
    </w:p>
    <w:p>
      <w:pPr>
        <w:spacing w:line="240" w:lineRule="auto" w:before="13"/>
        <w:rPr>
          <w:rFonts w:ascii="宋体" w:hAnsi="宋体" w:cs="宋体" w:eastAsia="宋体" w:hint="default"/>
          <w:sz w:val="25"/>
          <w:szCs w:val="25"/>
        </w:rPr>
      </w:pPr>
    </w:p>
    <w:p>
      <w:pPr>
        <w:pStyle w:val="Heading6"/>
        <w:spacing w:line="240" w:lineRule="auto"/>
        <w:ind w:left="132" w:right="1115"/>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115"/>
        <w:jc w:val="left"/>
      </w:pPr>
      <w:r>
        <w:rPr/>
        <w:t>√ 适用 □ 不适用</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54"/>
        <w:gridCol w:w="796"/>
        <w:gridCol w:w="478"/>
        <w:gridCol w:w="732"/>
        <w:gridCol w:w="512"/>
        <w:gridCol w:w="622"/>
        <w:gridCol w:w="618"/>
        <w:gridCol w:w="616"/>
        <w:gridCol w:w="618"/>
        <w:gridCol w:w="592"/>
        <w:gridCol w:w="592"/>
        <w:gridCol w:w="693"/>
        <w:gridCol w:w="690"/>
        <w:gridCol w:w="690"/>
        <w:gridCol w:w="668"/>
      </w:tblGrid>
      <w:tr>
        <w:trPr>
          <w:trHeight w:val="2284" w:hRule="exact"/>
        </w:trPr>
        <w:tc>
          <w:tcPr>
            <w:tcW w:w="65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33" w:right="139"/>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7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2" w:right="12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4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44" w:right="141"/>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7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0" w:right="180"/>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51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61" w:right="159"/>
              <w:jc w:val="both"/>
              <w:rPr>
                <w:rFonts w:ascii="宋体" w:hAnsi="宋体" w:cs="宋体" w:eastAsia="宋体" w:hint="default"/>
                <w:sz w:val="18"/>
                <w:szCs w:val="18"/>
              </w:rPr>
            </w:pPr>
            <w:r>
              <w:rPr>
                <w:rFonts w:ascii="宋体" w:hAnsi="宋体" w:cs="宋体" w:eastAsia="宋体" w:hint="default"/>
                <w:sz w:val="18"/>
                <w:szCs w:val="18"/>
              </w:rPr>
              <w:t>持 股 比 例</w:t>
            </w:r>
          </w:p>
        </w:tc>
        <w:tc>
          <w:tcPr>
            <w:tcW w:w="6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6" w:right="12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5" w:right="122" w:hanging="92"/>
              <w:jc w:val="left"/>
              <w:rPr>
                <w:rFonts w:ascii="宋体" w:hAnsi="宋体" w:cs="宋体" w:eastAsia="宋体" w:hint="default"/>
                <w:sz w:val="18"/>
                <w:szCs w:val="18"/>
              </w:rPr>
            </w:pPr>
            <w:r>
              <w:rPr>
                <w:rFonts w:ascii="宋体" w:hAnsi="宋体" w:cs="宋体" w:eastAsia="宋体" w:hint="default"/>
                <w:sz w:val="18"/>
                <w:szCs w:val="18"/>
              </w:rPr>
              <w:t>合作 方</w:t>
            </w:r>
          </w:p>
        </w:tc>
        <w:tc>
          <w:tcPr>
            <w:tcW w:w="6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2" w:right="12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3" w:right="12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 w:right="110"/>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61"/>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15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59" w:right="15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19"/>
              <w:ind w:left="159" w:right="159"/>
              <w:jc w:val="left"/>
              <w:rPr>
                <w:rFonts w:ascii="宋体" w:hAnsi="宋体" w:cs="宋体" w:eastAsia="宋体" w:hint="default"/>
                <w:sz w:val="18"/>
                <w:szCs w:val="18"/>
              </w:rPr>
            </w:pPr>
            <w:r>
              <w:rPr>
                <w:rFonts w:ascii="宋体" w:hAnsi="宋体" w:cs="宋体" w:eastAsia="宋体" w:hint="default"/>
                <w:sz w:val="18"/>
                <w:szCs w:val="18"/>
              </w:rPr>
              <w:t>（如 有）</w:t>
            </w:r>
          </w:p>
        </w:tc>
        <w:tc>
          <w:tcPr>
            <w:tcW w:w="66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48" w:right="138"/>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6" w:lineRule="auto" w:before="19"/>
              <w:ind w:left="148" w:right="138"/>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4458"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92" w:right="180"/>
              <w:jc w:val="both"/>
              <w:rPr>
                <w:rFonts w:ascii="宋体" w:hAnsi="宋体" w:cs="宋体" w:eastAsia="宋体" w:hint="default"/>
                <w:sz w:val="18"/>
                <w:szCs w:val="18"/>
              </w:rPr>
            </w:pPr>
            <w:r>
              <w:rPr>
                <w:rFonts w:ascii="宋体" w:hAnsi="宋体" w:cs="宋体" w:eastAsia="宋体" w:hint="default"/>
                <w:sz w:val="18"/>
                <w:szCs w:val="18"/>
              </w:rPr>
              <w:t>浙江 万马 高分 子材 料有 限公 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3" w:right="52"/>
              <w:jc w:val="left"/>
              <w:rPr>
                <w:rFonts w:ascii="宋体" w:hAnsi="宋体" w:cs="宋体" w:eastAsia="宋体" w:hint="default"/>
                <w:sz w:val="18"/>
                <w:szCs w:val="18"/>
              </w:rPr>
            </w:pPr>
            <w:r>
              <w:rPr>
                <w:rFonts w:ascii="宋体" w:hAnsi="宋体" w:cs="宋体" w:eastAsia="宋体" w:hint="default"/>
                <w:sz w:val="18"/>
                <w:szCs w:val="18"/>
              </w:rPr>
              <w:t>电线电 缆用 绝缘 料、屏 蔽</w:t>
            </w:r>
            <w:r>
              <w:rPr>
                <w:rFonts w:ascii="宋体" w:hAnsi="宋体" w:cs="宋体" w:eastAsia="宋体" w:hint="default"/>
                <w:spacing w:val="-2"/>
                <w:sz w:val="18"/>
                <w:szCs w:val="18"/>
              </w:rPr>
              <w:t> </w:t>
            </w:r>
            <w:r>
              <w:rPr>
                <w:rFonts w:ascii="宋体" w:hAnsi="宋体" w:cs="宋体" w:eastAsia="宋体" w:hint="default"/>
                <w:sz w:val="18"/>
                <w:szCs w:val="18"/>
              </w:rPr>
              <w:t>料、</w:t>
            </w:r>
            <w:r>
              <w:rPr>
                <w:rFonts w:ascii="宋体" w:hAnsi="宋体" w:cs="宋体" w:eastAsia="宋体" w:hint="default"/>
                <w:sz w:val="18"/>
                <w:szCs w:val="18"/>
              </w:rPr>
              <w:t> 护套料 等</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增 资</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2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7"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74" w:right="0"/>
              <w:jc w:val="left"/>
              <w:rPr>
                <w:rFonts w:ascii="Times New Roman" w:hAnsi="Times New Roman" w:cs="Times New Roman" w:eastAsia="Times New Roman" w:hint="default"/>
                <w:sz w:val="18"/>
                <w:szCs w:val="18"/>
              </w:rPr>
            </w:pPr>
            <w:r>
              <w:rPr>
                <w:rFonts w:ascii="Times New Roman"/>
                <w:sz w:val="18"/>
              </w:rPr>
              <w:t>124,0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93,84</w:t>
            </w:r>
          </w:p>
          <w:p>
            <w:pPr>
              <w:pStyle w:val="TableParagraph"/>
              <w:spacing w:line="240" w:lineRule="auto" w:before="105"/>
              <w:ind w:left="265" w:right="0"/>
              <w:jc w:val="left"/>
              <w:rPr>
                <w:rFonts w:ascii="Times New Roman" w:hAnsi="Times New Roman" w:cs="Times New Roman" w:eastAsia="Times New Roman" w:hint="default"/>
                <w:sz w:val="18"/>
                <w:szCs w:val="18"/>
              </w:rPr>
            </w:pPr>
            <w:r>
              <w:rPr>
                <w:rFonts w:ascii="Times New Roman"/>
                <w:sz w:val="18"/>
              </w:rPr>
              <w:t>3.06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93"/>
              <w:ind w:left="102" w:right="96"/>
              <w:jc w:val="left"/>
              <w:rPr>
                <w:rFonts w:ascii="Times New Roman" w:hAnsi="Times New Roman" w:cs="Times New Roman" w:eastAsia="Times New Roman" w:hint="default"/>
                <w:sz w:val="18"/>
                <w:szCs w:val="18"/>
              </w:rPr>
            </w:pPr>
            <w:r>
              <w:rPr>
                <w:rFonts w:ascii="Times New Roman"/>
                <w:sz w:val="18"/>
              </w:rPr>
              <w:t>http://</w:t>
            </w:r>
            <w:r>
              <w:rPr>
                <w:rFonts w:ascii="Times New Roman"/>
                <w:w w:val="99"/>
                <w:sz w:val="18"/>
              </w:rPr>
              <w:t> </w:t>
            </w:r>
            <w:hyperlink r:id="rId23">
              <w:r>
                <w:rPr>
                  <w:rFonts w:ascii="Times New Roman"/>
                  <w:spacing w:val="-3"/>
                  <w:sz w:val="18"/>
                </w:rPr>
                <w:t>www.</w:t>
              </w:r>
            </w:hyperlink>
            <w:r>
              <w:rPr>
                <w:rFonts w:ascii="Times New Roman"/>
                <w:sz w:val="18"/>
              </w:rPr>
              <w:t> cninf o.com</w:t>
            </w:r>
          </w:p>
          <w:p>
            <w:pPr>
              <w:pStyle w:val="TableParagraph"/>
              <w:spacing w:line="362" w:lineRule="auto" w:before="3"/>
              <w:ind w:left="102" w:right="91"/>
              <w:jc w:val="left"/>
              <w:rPr>
                <w:rFonts w:ascii="Times New Roman" w:hAnsi="Times New Roman" w:cs="Times New Roman" w:eastAsia="Times New Roman" w:hint="default"/>
                <w:sz w:val="18"/>
                <w:szCs w:val="18"/>
              </w:rPr>
            </w:pPr>
            <w:r>
              <w:rPr>
                <w:rFonts w:ascii="Times New Roman"/>
                <w:sz w:val="18"/>
              </w:rPr>
              <w:t>.cn/ne</w:t>
            </w:r>
            <w:r>
              <w:rPr>
                <w:rFonts w:ascii="Times New Roman"/>
                <w:w w:val="99"/>
                <w:sz w:val="18"/>
              </w:rPr>
              <w:t> </w:t>
            </w:r>
            <w:r>
              <w:rPr>
                <w:rFonts w:ascii="Times New Roman"/>
                <w:sz w:val="18"/>
              </w:rPr>
              <w:t>w/dis</w:t>
            </w:r>
            <w:r>
              <w:rPr>
                <w:rFonts w:ascii="Times New Roman"/>
                <w:w w:val="99"/>
                <w:sz w:val="18"/>
              </w:rPr>
              <w:t> </w:t>
            </w:r>
            <w:r>
              <w:rPr>
                <w:rFonts w:ascii="Times New Roman"/>
                <w:sz w:val="18"/>
              </w:rPr>
              <w:t>closur</w:t>
            </w:r>
            <w:r>
              <w:rPr>
                <w:rFonts w:ascii="Times New Roman"/>
                <w:sz w:val="18"/>
              </w:rPr>
              <w:t> e/deta</w:t>
            </w:r>
            <w:r>
              <w:rPr>
                <w:rFonts w:ascii="Times New Roman"/>
                <w:w w:val="99"/>
                <w:sz w:val="18"/>
              </w:rPr>
              <w:t> </w:t>
            </w:r>
            <w:r>
              <w:rPr>
                <w:rFonts w:ascii="Times New Roman"/>
                <w:sz w:val="18"/>
              </w:rPr>
              <w:t>il?plat</w:t>
            </w:r>
            <w:r>
              <w:rPr>
                <w:rFonts w:ascii="Times New Roman"/>
                <w:w w:val="99"/>
                <w:sz w:val="18"/>
              </w:rPr>
              <w:t> </w:t>
            </w:r>
            <w:r>
              <w:rPr>
                <w:rFonts w:ascii="Times New Roman"/>
                <w:sz w:val="18"/>
              </w:rPr>
              <w:t>e=szs</w:t>
            </w:r>
            <w:r>
              <w:rPr>
                <w:rFonts w:ascii="Times New Roman"/>
                <w:w w:val="99"/>
                <w:sz w:val="18"/>
              </w:rPr>
              <w:t> </w:t>
            </w:r>
            <w:r>
              <w:rPr>
                <w:rFonts w:ascii="Times New Roman"/>
                <w:sz w:val="18"/>
              </w:rPr>
              <w:t>e&amp;sto</w:t>
            </w:r>
            <w:r>
              <w:rPr>
                <w:rFonts w:ascii="Times New Roman"/>
                <w:sz w:val="18"/>
              </w:rPr>
              <w:t> ckCo de=00 2276</w:t>
            </w:r>
          </w:p>
        </w:tc>
      </w:tr>
      <w:tr>
        <w:trPr>
          <w:trHeight w:val="712"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71"/>
              <w:ind w:left="92" w:right="180"/>
              <w:jc w:val="left"/>
              <w:rPr>
                <w:rFonts w:ascii="宋体" w:hAnsi="宋体" w:cs="宋体" w:eastAsia="宋体" w:hint="default"/>
                <w:sz w:val="18"/>
                <w:szCs w:val="18"/>
              </w:rPr>
            </w:pPr>
            <w:r>
              <w:rPr>
                <w:rFonts w:ascii="宋体" w:hAnsi="宋体" w:cs="宋体" w:eastAsia="宋体" w:hint="default"/>
                <w:sz w:val="18"/>
                <w:szCs w:val="18"/>
              </w:rPr>
              <w:t>浙江 万马</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41"/>
              <w:jc w:val="left"/>
              <w:rPr>
                <w:rFonts w:ascii="宋体" w:hAnsi="宋体" w:cs="宋体" w:eastAsia="宋体" w:hint="default"/>
                <w:sz w:val="18"/>
                <w:szCs w:val="18"/>
              </w:rPr>
            </w:pPr>
            <w:r>
              <w:rPr>
                <w:rFonts w:ascii="宋体" w:hAnsi="宋体" w:cs="宋体" w:eastAsia="宋体" w:hint="default"/>
                <w:sz w:val="18"/>
                <w:szCs w:val="18"/>
              </w:rPr>
              <w:t>电力电 缆、特</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2"/>
              <w:jc w:val="left"/>
              <w:rPr>
                <w:rFonts w:ascii="宋体" w:hAnsi="宋体" w:cs="宋体" w:eastAsia="宋体" w:hint="default"/>
                <w:sz w:val="18"/>
                <w:szCs w:val="18"/>
              </w:rPr>
            </w:pPr>
            <w:r>
              <w:rPr>
                <w:rFonts w:ascii="宋体" w:hAnsi="宋体" w:cs="宋体" w:eastAsia="宋体" w:hint="default"/>
                <w:sz w:val="18"/>
                <w:szCs w:val="18"/>
              </w:rPr>
              <w:t>其 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left"/>
              <w:rPr>
                <w:rFonts w:ascii="Times New Roman" w:hAnsi="Times New Roman" w:cs="Times New Roman" w:eastAsia="Times New Roman" w:hint="default"/>
                <w:sz w:val="18"/>
                <w:szCs w:val="18"/>
              </w:rPr>
            </w:pPr>
            <w:r>
              <w:rPr>
                <w:rFonts w:ascii="Times New Roman"/>
                <w:sz w:val="18"/>
              </w:rPr>
              <w:t>74,250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28</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17"/>
              <w:jc w:val="left"/>
              <w:rPr>
                <w:rFonts w:ascii="宋体" w:hAnsi="宋体" w:cs="宋体" w:eastAsia="宋体" w:hint="default"/>
                <w:sz w:val="18"/>
                <w:szCs w:val="18"/>
              </w:rPr>
            </w:pPr>
            <w:r>
              <w:rPr>
                <w:rFonts w:ascii="宋体" w:hAnsi="宋体" w:cs="宋体" w:eastAsia="宋体" w:hint="default"/>
                <w:sz w:val="18"/>
                <w:szCs w:val="18"/>
              </w:rPr>
              <w:t>股权 已</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1" w:right="0"/>
              <w:jc w:val="left"/>
              <w:rPr>
                <w:rFonts w:ascii="Times New Roman" w:hAnsi="Times New Roman" w:cs="Times New Roman" w:eastAsia="Times New Roman" w:hint="default"/>
                <w:sz w:val="18"/>
                <w:szCs w:val="18"/>
              </w:rPr>
            </w:pPr>
            <w:r>
              <w:rPr>
                <w:rFonts w:ascii="Times New Roman"/>
                <w:sz w:val="18"/>
              </w:rPr>
              <w:t>1,916,</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512.5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90" w:footer="1012" w:top="1420" w:bottom="1200" w:left="1000" w:right="0"/>
        </w:sectPr>
      </w:pPr>
    </w:p>
    <w:tbl>
      <w:tblPr>
        <w:tblW w:w="0" w:type="auto"/>
        <w:jc w:val="left"/>
        <w:tblInd w:w="119" w:type="dxa"/>
        <w:tblLayout w:type="fixed"/>
        <w:tblCellMar>
          <w:top w:w="0" w:type="dxa"/>
          <w:left w:w="0" w:type="dxa"/>
          <w:bottom w:w="0" w:type="dxa"/>
          <w:right w:w="0" w:type="dxa"/>
        </w:tblCellMar>
        <w:tblLook w:val="01E0"/>
      </w:tblPr>
      <w:tblGrid>
        <w:gridCol w:w="654"/>
        <w:gridCol w:w="796"/>
        <w:gridCol w:w="478"/>
        <w:gridCol w:w="732"/>
        <w:gridCol w:w="512"/>
        <w:gridCol w:w="622"/>
        <w:gridCol w:w="618"/>
        <w:gridCol w:w="616"/>
        <w:gridCol w:w="618"/>
        <w:gridCol w:w="592"/>
        <w:gridCol w:w="592"/>
        <w:gridCol w:w="693"/>
        <w:gridCol w:w="690"/>
        <w:gridCol w:w="690"/>
        <w:gridCol w:w="668"/>
      </w:tblGrid>
      <w:tr>
        <w:trPr>
          <w:trHeight w:val="1922"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
              <w:ind w:left="92" w:right="180"/>
              <w:jc w:val="both"/>
              <w:rPr>
                <w:rFonts w:ascii="宋体" w:hAnsi="宋体" w:cs="宋体" w:eastAsia="宋体" w:hint="default"/>
                <w:sz w:val="18"/>
                <w:szCs w:val="18"/>
              </w:rPr>
            </w:pPr>
            <w:r>
              <w:rPr>
                <w:rFonts w:ascii="宋体" w:hAnsi="宋体" w:cs="宋体" w:eastAsia="宋体" w:hint="default"/>
                <w:sz w:val="18"/>
                <w:szCs w:val="18"/>
              </w:rPr>
              <w:t>专用 线缆 科技 有限 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41"/>
              <w:jc w:val="left"/>
              <w:rPr>
                <w:rFonts w:ascii="宋体" w:hAnsi="宋体" w:cs="宋体" w:eastAsia="宋体" w:hint="default"/>
                <w:sz w:val="18"/>
                <w:szCs w:val="18"/>
              </w:rPr>
            </w:pPr>
            <w:r>
              <w:rPr>
                <w:rFonts w:ascii="宋体" w:hAnsi="宋体" w:cs="宋体" w:eastAsia="宋体" w:hint="default"/>
                <w:sz w:val="18"/>
                <w:szCs w:val="18"/>
              </w:rPr>
              <w:t>种电 缆、民 用及电 气装备 用线缆 等</w:t>
            </w:r>
          </w:p>
        </w:tc>
        <w:tc>
          <w:tcPr>
            <w:tcW w:w="4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17"/>
              <w:jc w:val="left"/>
              <w:rPr>
                <w:rFonts w:ascii="宋体" w:hAnsi="宋体" w:cs="宋体" w:eastAsia="宋体" w:hint="default"/>
                <w:sz w:val="18"/>
                <w:szCs w:val="18"/>
              </w:rPr>
            </w:pPr>
            <w:r>
              <w:rPr>
                <w:rFonts w:ascii="宋体" w:hAnsi="宋体" w:cs="宋体" w:eastAsia="宋体" w:hint="default"/>
                <w:sz w:val="18"/>
                <w:szCs w:val="18"/>
              </w:rPr>
              <w:t>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w:t>
            </w: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r>
        <w:trPr>
          <w:trHeight w:val="4458"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92" w:right="180"/>
              <w:jc w:val="both"/>
              <w:rPr>
                <w:rFonts w:ascii="宋体" w:hAnsi="宋体" w:cs="宋体" w:eastAsia="宋体" w:hint="default"/>
                <w:sz w:val="18"/>
                <w:szCs w:val="18"/>
              </w:rPr>
            </w:pPr>
            <w:r>
              <w:rPr>
                <w:rFonts w:ascii="宋体" w:hAnsi="宋体" w:cs="宋体" w:eastAsia="宋体" w:hint="default"/>
                <w:sz w:val="18"/>
                <w:szCs w:val="18"/>
              </w:rPr>
              <w:t>万马 联合 新能 源投 资有 限公 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实业投 资，投 资管理 等</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增 资</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25"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7"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02" w:right="147"/>
              <w:jc w:val="both"/>
              <w:rPr>
                <w:rFonts w:ascii="宋体" w:hAnsi="宋体" w:cs="宋体" w:eastAsia="宋体" w:hint="default"/>
                <w:sz w:val="18"/>
                <w:szCs w:val="18"/>
              </w:rPr>
            </w:pPr>
            <w:r>
              <w:rPr>
                <w:rFonts w:ascii="宋体" w:hAnsi="宋体" w:cs="宋体" w:eastAsia="宋体" w:hint="default"/>
                <w:sz w:val="18"/>
                <w:szCs w:val="18"/>
              </w:rPr>
              <w:t>募集 资金 及自 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16" w:right="0"/>
              <w:jc w:val="left"/>
              <w:rPr>
                <w:rFonts w:ascii="Times New Roman" w:hAnsi="Times New Roman" w:cs="Times New Roman" w:eastAsia="Times New Roman" w:hint="default"/>
                <w:sz w:val="18"/>
                <w:szCs w:val="18"/>
              </w:rPr>
            </w:pPr>
            <w:r>
              <w:rPr>
                <w:rFonts w:ascii="Times New Roman"/>
                <w:sz w:val="18"/>
              </w:rPr>
              <w:t>-55,36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5,934.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93"/>
              <w:ind w:left="102" w:right="96"/>
              <w:jc w:val="left"/>
              <w:rPr>
                <w:rFonts w:ascii="Times New Roman" w:hAnsi="Times New Roman" w:cs="Times New Roman" w:eastAsia="Times New Roman" w:hint="default"/>
                <w:sz w:val="18"/>
                <w:szCs w:val="18"/>
              </w:rPr>
            </w:pPr>
            <w:r>
              <w:rPr>
                <w:rFonts w:ascii="Times New Roman"/>
                <w:sz w:val="18"/>
              </w:rPr>
              <w:t>http://</w:t>
            </w:r>
            <w:r>
              <w:rPr>
                <w:rFonts w:ascii="Times New Roman"/>
                <w:w w:val="99"/>
                <w:sz w:val="18"/>
              </w:rPr>
              <w:t> </w:t>
            </w:r>
            <w:hyperlink r:id="rId23">
              <w:r>
                <w:rPr>
                  <w:rFonts w:ascii="Times New Roman"/>
                  <w:spacing w:val="-3"/>
                  <w:sz w:val="18"/>
                </w:rPr>
                <w:t>www.</w:t>
              </w:r>
            </w:hyperlink>
            <w:r>
              <w:rPr>
                <w:rFonts w:ascii="Times New Roman"/>
                <w:sz w:val="18"/>
              </w:rPr>
              <w:t> cninf o.com</w:t>
            </w:r>
          </w:p>
          <w:p>
            <w:pPr>
              <w:pStyle w:val="TableParagraph"/>
              <w:spacing w:line="362" w:lineRule="auto" w:before="3"/>
              <w:ind w:left="102" w:right="91"/>
              <w:jc w:val="left"/>
              <w:rPr>
                <w:rFonts w:ascii="Times New Roman" w:hAnsi="Times New Roman" w:cs="Times New Roman" w:eastAsia="Times New Roman" w:hint="default"/>
                <w:sz w:val="18"/>
                <w:szCs w:val="18"/>
              </w:rPr>
            </w:pPr>
            <w:r>
              <w:rPr>
                <w:rFonts w:ascii="Times New Roman"/>
                <w:sz w:val="18"/>
              </w:rPr>
              <w:t>.cn/ne</w:t>
            </w:r>
            <w:r>
              <w:rPr>
                <w:rFonts w:ascii="Times New Roman"/>
                <w:w w:val="99"/>
                <w:sz w:val="18"/>
              </w:rPr>
              <w:t> </w:t>
            </w:r>
            <w:r>
              <w:rPr>
                <w:rFonts w:ascii="Times New Roman"/>
                <w:sz w:val="18"/>
              </w:rPr>
              <w:t>w/dis</w:t>
            </w:r>
            <w:r>
              <w:rPr>
                <w:rFonts w:ascii="Times New Roman"/>
                <w:w w:val="99"/>
                <w:sz w:val="18"/>
              </w:rPr>
              <w:t> </w:t>
            </w:r>
            <w:r>
              <w:rPr>
                <w:rFonts w:ascii="Times New Roman"/>
                <w:sz w:val="18"/>
              </w:rPr>
              <w:t>closur</w:t>
            </w:r>
            <w:r>
              <w:rPr>
                <w:rFonts w:ascii="Times New Roman"/>
                <w:sz w:val="18"/>
              </w:rPr>
              <w:t> e/deta</w:t>
            </w:r>
            <w:r>
              <w:rPr>
                <w:rFonts w:ascii="Times New Roman"/>
                <w:w w:val="99"/>
                <w:sz w:val="18"/>
              </w:rPr>
              <w:t> </w:t>
            </w:r>
            <w:r>
              <w:rPr>
                <w:rFonts w:ascii="Times New Roman"/>
                <w:sz w:val="18"/>
              </w:rPr>
              <w:t>il?plat</w:t>
            </w:r>
            <w:r>
              <w:rPr>
                <w:rFonts w:ascii="Times New Roman"/>
                <w:w w:val="99"/>
                <w:sz w:val="18"/>
              </w:rPr>
              <w:t> </w:t>
            </w:r>
            <w:r>
              <w:rPr>
                <w:rFonts w:ascii="Times New Roman"/>
                <w:sz w:val="18"/>
              </w:rPr>
              <w:t>e=szs</w:t>
            </w:r>
            <w:r>
              <w:rPr>
                <w:rFonts w:ascii="Times New Roman"/>
                <w:w w:val="99"/>
                <w:sz w:val="18"/>
              </w:rPr>
              <w:t> </w:t>
            </w:r>
            <w:r>
              <w:rPr>
                <w:rFonts w:ascii="Times New Roman"/>
                <w:sz w:val="18"/>
              </w:rPr>
              <w:t>e&amp;sto</w:t>
            </w:r>
            <w:r>
              <w:rPr>
                <w:rFonts w:ascii="Times New Roman"/>
                <w:sz w:val="18"/>
              </w:rPr>
              <w:t> ckCo de=00 2276</w:t>
            </w:r>
          </w:p>
        </w:tc>
      </w:tr>
      <w:tr>
        <w:trPr>
          <w:trHeight w:val="2586"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180"/>
              <w:jc w:val="both"/>
              <w:rPr>
                <w:rFonts w:ascii="宋体" w:hAnsi="宋体" w:cs="宋体" w:eastAsia="宋体" w:hint="default"/>
                <w:sz w:val="18"/>
                <w:szCs w:val="18"/>
              </w:rPr>
            </w:pPr>
            <w:r>
              <w:rPr>
                <w:rFonts w:ascii="宋体" w:hAnsi="宋体" w:cs="宋体" w:eastAsia="宋体" w:hint="default"/>
                <w:sz w:val="18"/>
                <w:szCs w:val="18"/>
              </w:rPr>
              <w:t>浙江 万马 家装 有限 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left"/>
              <w:rPr>
                <w:rFonts w:ascii="宋体" w:hAnsi="宋体" w:cs="宋体" w:eastAsia="宋体" w:hint="default"/>
                <w:sz w:val="18"/>
                <w:szCs w:val="18"/>
              </w:rPr>
            </w:pPr>
            <w:r>
              <w:rPr>
                <w:rFonts w:ascii="宋体" w:hAnsi="宋体" w:cs="宋体" w:eastAsia="宋体" w:hint="default"/>
                <w:sz w:val="18"/>
                <w:szCs w:val="18"/>
              </w:rPr>
              <w:t>电气设 备、电 线电 缆、照 明</w:t>
            </w:r>
            <w:r>
              <w:rPr>
                <w:rFonts w:ascii="宋体" w:hAnsi="宋体" w:cs="宋体" w:eastAsia="宋体" w:hint="default"/>
                <w:spacing w:val="-2"/>
                <w:sz w:val="18"/>
                <w:szCs w:val="18"/>
              </w:rPr>
              <w:t> </w:t>
            </w:r>
            <w:r>
              <w:rPr>
                <w:rFonts w:ascii="宋体" w:hAnsi="宋体" w:cs="宋体" w:eastAsia="宋体" w:hint="default"/>
                <w:sz w:val="18"/>
                <w:szCs w:val="18"/>
              </w:rPr>
              <w:t>设</w:t>
            </w:r>
            <w:r>
              <w:rPr>
                <w:rFonts w:ascii="宋体" w:hAnsi="宋体" w:cs="宋体" w:eastAsia="宋体" w:hint="default"/>
                <w:sz w:val="18"/>
                <w:szCs w:val="18"/>
              </w:rPr>
              <w:t> 备批 发、零 售易</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其 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,029.6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r>
        <w:trPr>
          <w:trHeight w:val="3210"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62" w:lineRule="auto"/>
              <w:ind w:left="92" w:right="102"/>
              <w:jc w:val="left"/>
              <w:rPr>
                <w:rFonts w:ascii="Times New Roman" w:hAnsi="Times New Roman" w:cs="Times New Roman" w:eastAsia="Times New Roman" w:hint="default"/>
                <w:sz w:val="18"/>
                <w:szCs w:val="18"/>
              </w:rPr>
            </w:pPr>
            <w:r>
              <w:rPr>
                <w:rFonts w:ascii="Times New Roman"/>
                <w:sz w:val="18"/>
              </w:rPr>
              <w:t>Optru</w:t>
            </w:r>
            <w:r>
              <w:rPr>
                <w:rFonts w:ascii="Times New Roman"/>
                <w:w w:val="99"/>
                <w:sz w:val="18"/>
              </w:rPr>
              <w:t> </w:t>
            </w:r>
            <w:r>
              <w:rPr>
                <w:rFonts w:ascii="Times New Roman"/>
                <w:sz w:val="18"/>
              </w:rPr>
              <w:t>m</w:t>
            </w:r>
            <w:r>
              <w:rPr>
                <w:rFonts w:ascii="Times New Roman"/>
                <w:w w:val="99"/>
                <w:sz w:val="18"/>
              </w:rPr>
              <w:t> </w:t>
            </w:r>
            <w:r>
              <w:rPr>
                <w:rFonts w:ascii="Times New Roman"/>
                <w:spacing w:val="-3"/>
                <w:sz w:val="18"/>
              </w:rPr>
              <w:t>Techn</w:t>
            </w:r>
            <w:r>
              <w:rPr>
                <w:rFonts w:ascii="Times New Roman"/>
                <w:spacing w:val="-43"/>
                <w:sz w:val="18"/>
              </w:rPr>
              <w:t> </w:t>
            </w:r>
            <w:r>
              <w:rPr>
                <w:rFonts w:ascii="Times New Roman"/>
                <w:spacing w:val="-43"/>
                <w:sz w:val="18"/>
              </w:rPr>
            </w:r>
            <w:r>
              <w:rPr>
                <w:rFonts w:ascii="Times New Roman"/>
                <w:sz w:val="18"/>
              </w:rPr>
              <w:t>ology</w:t>
            </w:r>
            <w:r>
              <w:rPr>
                <w:rFonts w:ascii="Times New Roman"/>
                <w:sz w:val="18"/>
              </w:rPr>
              <w:t> LLC</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1"/>
              <w:jc w:val="left"/>
              <w:rPr>
                <w:rFonts w:ascii="宋体" w:hAnsi="宋体" w:cs="宋体" w:eastAsia="宋体" w:hint="default"/>
                <w:sz w:val="18"/>
                <w:szCs w:val="18"/>
              </w:rPr>
            </w:pPr>
            <w:r>
              <w:rPr>
                <w:rFonts w:ascii="宋体" w:hAnsi="宋体" w:cs="宋体" w:eastAsia="宋体" w:hint="default"/>
                <w:sz w:val="18"/>
                <w:szCs w:val="18"/>
              </w:rPr>
              <w:t>电线电 缆、通 信电 子、新 能源汽 车充电 设备、 高分子 材料等 进出口</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182"/>
              <w:jc w:val="left"/>
              <w:rPr>
                <w:rFonts w:ascii="宋体" w:hAnsi="宋体" w:cs="宋体" w:eastAsia="宋体" w:hint="default"/>
                <w:sz w:val="18"/>
                <w:szCs w:val="18"/>
              </w:rPr>
            </w:pPr>
            <w:r>
              <w:rPr>
                <w:rFonts w:ascii="宋体" w:hAnsi="宋体" w:cs="宋体" w:eastAsia="宋体" w:hint="default"/>
                <w:sz w:val="18"/>
                <w:szCs w:val="18"/>
              </w:rPr>
              <w:t>其 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2,681,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135.00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,266.6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r>
        <w:trPr>
          <w:trHeight w:val="1648"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71"/>
              <w:ind w:left="92" w:right="180"/>
              <w:jc w:val="both"/>
              <w:rPr>
                <w:rFonts w:ascii="宋体" w:hAnsi="宋体" w:cs="宋体" w:eastAsia="宋体" w:hint="default"/>
                <w:sz w:val="18"/>
                <w:szCs w:val="18"/>
              </w:rPr>
            </w:pPr>
            <w:r>
              <w:rPr>
                <w:rFonts w:ascii="宋体" w:hAnsi="宋体" w:cs="宋体" w:eastAsia="宋体" w:hint="default"/>
                <w:sz w:val="18"/>
                <w:szCs w:val="18"/>
              </w:rPr>
              <w:t>浙江 万马 奔腾 新能 源产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41"/>
              <w:jc w:val="left"/>
              <w:rPr>
                <w:rFonts w:ascii="宋体" w:hAnsi="宋体" w:cs="宋体" w:eastAsia="宋体" w:hint="default"/>
                <w:sz w:val="18"/>
                <w:szCs w:val="18"/>
              </w:rPr>
            </w:pPr>
            <w:r>
              <w:rPr>
                <w:rFonts w:ascii="宋体" w:hAnsi="宋体" w:cs="宋体" w:eastAsia="宋体" w:hint="default"/>
                <w:sz w:val="18"/>
                <w:szCs w:val="18"/>
              </w:rPr>
              <w:t>汽车充 电设 备，电 动汽车 充电站</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其 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9,599.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,901.6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90" w:footer="1012" w:top="1480" w:bottom="1200" w:left="1000" w:right="0"/>
        </w:sectPr>
      </w:pPr>
    </w:p>
    <w:tbl>
      <w:tblPr>
        <w:tblW w:w="0" w:type="auto"/>
        <w:jc w:val="left"/>
        <w:tblInd w:w="119" w:type="dxa"/>
        <w:tblLayout w:type="fixed"/>
        <w:tblCellMar>
          <w:top w:w="0" w:type="dxa"/>
          <w:left w:w="0" w:type="dxa"/>
          <w:bottom w:w="0" w:type="dxa"/>
          <w:right w:w="0" w:type="dxa"/>
        </w:tblCellMar>
        <w:tblLook w:val="01E0"/>
      </w:tblPr>
      <w:tblGrid>
        <w:gridCol w:w="654"/>
        <w:gridCol w:w="796"/>
        <w:gridCol w:w="478"/>
        <w:gridCol w:w="732"/>
        <w:gridCol w:w="512"/>
        <w:gridCol w:w="622"/>
        <w:gridCol w:w="618"/>
        <w:gridCol w:w="616"/>
        <w:gridCol w:w="618"/>
        <w:gridCol w:w="592"/>
        <w:gridCol w:w="592"/>
        <w:gridCol w:w="693"/>
        <w:gridCol w:w="690"/>
        <w:gridCol w:w="690"/>
        <w:gridCol w:w="668"/>
      </w:tblGrid>
      <w:tr>
        <w:trPr>
          <w:trHeight w:val="1298"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
              <w:ind w:left="92" w:right="180"/>
              <w:jc w:val="both"/>
              <w:rPr>
                <w:rFonts w:ascii="宋体" w:hAnsi="宋体" w:cs="宋体" w:eastAsia="宋体" w:hint="default"/>
                <w:sz w:val="18"/>
                <w:szCs w:val="18"/>
              </w:rPr>
            </w:pPr>
            <w:r>
              <w:rPr>
                <w:rFonts w:ascii="宋体" w:hAnsi="宋体" w:cs="宋体" w:eastAsia="宋体" w:hint="default"/>
                <w:sz w:val="18"/>
                <w:szCs w:val="18"/>
              </w:rPr>
              <w:t>业有 限公 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41"/>
              <w:jc w:val="left"/>
              <w:rPr>
                <w:rFonts w:ascii="宋体" w:hAnsi="宋体" w:cs="宋体" w:eastAsia="宋体" w:hint="default"/>
                <w:sz w:val="18"/>
                <w:szCs w:val="18"/>
              </w:rPr>
            </w:pPr>
            <w:r>
              <w:rPr>
                <w:rFonts w:ascii="宋体" w:hAnsi="宋体" w:cs="宋体" w:eastAsia="宋体" w:hint="default"/>
                <w:sz w:val="18"/>
                <w:szCs w:val="18"/>
              </w:rPr>
              <w:t>的系 统设计 及工程 施工</w:t>
            </w:r>
          </w:p>
        </w:tc>
        <w:tc>
          <w:tcPr>
            <w:tcW w:w="4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r>
        <w:trPr>
          <w:trHeight w:val="1650"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0"/>
              <w:ind w:left="92" w:right="180"/>
              <w:jc w:val="both"/>
              <w:rPr>
                <w:rFonts w:ascii="宋体" w:hAnsi="宋体" w:cs="宋体" w:eastAsia="宋体" w:hint="default"/>
                <w:sz w:val="18"/>
                <w:szCs w:val="18"/>
              </w:rPr>
            </w:pPr>
            <w:r>
              <w:rPr>
                <w:rFonts w:ascii="宋体" w:hAnsi="宋体" w:cs="宋体" w:eastAsia="宋体" w:hint="default"/>
                <w:sz w:val="18"/>
                <w:szCs w:val="18"/>
              </w:rPr>
              <w:t>杭州 以田 科技 有限 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1"/>
              <w:jc w:val="both"/>
              <w:rPr>
                <w:rFonts w:ascii="宋体" w:hAnsi="宋体" w:cs="宋体" w:eastAsia="宋体" w:hint="default"/>
                <w:sz w:val="18"/>
                <w:szCs w:val="18"/>
              </w:rPr>
            </w:pPr>
            <w:r>
              <w:rPr>
                <w:rFonts w:ascii="宋体" w:hAnsi="宋体" w:cs="宋体" w:eastAsia="宋体" w:hint="default"/>
                <w:sz w:val="18"/>
                <w:szCs w:val="18"/>
              </w:rPr>
              <w:t>高分子 材料研 发、生 产、销 售</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新 设</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个人</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547,9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81.33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r>
        <w:trPr>
          <w:trHeight w:val="4770"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180"/>
              <w:jc w:val="both"/>
              <w:rPr>
                <w:rFonts w:ascii="宋体" w:hAnsi="宋体" w:cs="宋体" w:eastAsia="宋体" w:hint="default"/>
                <w:sz w:val="18"/>
                <w:szCs w:val="18"/>
              </w:rPr>
            </w:pPr>
            <w:r>
              <w:rPr>
                <w:rFonts w:ascii="宋体" w:hAnsi="宋体" w:cs="宋体" w:eastAsia="宋体" w:hint="default"/>
                <w:sz w:val="18"/>
                <w:szCs w:val="18"/>
              </w:rPr>
              <w:t>浙江 万马 海立 斯新 能源 有限 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left"/>
              <w:rPr>
                <w:rFonts w:ascii="宋体" w:hAnsi="宋体" w:cs="宋体" w:eastAsia="宋体" w:hint="default"/>
                <w:sz w:val="18"/>
                <w:szCs w:val="18"/>
              </w:rPr>
            </w:pPr>
            <w:r>
              <w:rPr>
                <w:rFonts w:ascii="宋体" w:hAnsi="宋体" w:cs="宋体" w:eastAsia="宋体" w:hint="default"/>
                <w:sz w:val="18"/>
                <w:szCs w:val="18"/>
              </w:rPr>
              <w:t>研发， 生产： 电动汽 车直流 充电 机、车 载充电 机；销 售自产 产品， 并提供 相关的 技术服 务、技 术咨询</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其 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102" w:right="113"/>
              <w:jc w:val="left"/>
              <w:rPr>
                <w:rFonts w:ascii="Times New Roman" w:hAnsi="Times New Roman" w:cs="Times New Roman" w:eastAsia="Times New Roman" w:hint="default"/>
                <w:sz w:val="18"/>
                <w:szCs w:val="18"/>
              </w:rPr>
            </w:pPr>
            <w:r>
              <w:rPr>
                <w:rFonts w:ascii="Times New Roman"/>
                <w:sz w:val="18"/>
              </w:rPr>
              <w:t>INT</w:t>
            </w:r>
            <w:r>
              <w:rPr>
                <w:rFonts w:ascii="Times New Roman"/>
                <w:w w:val="99"/>
                <w:sz w:val="18"/>
              </w:rPr>
              <w:t> </w:t>
            </w:r>
            <w:r>
              <w:rPr>
                <w:rFonts w:ascii="Times New Roman"/>
                <w:sz w:val="18"/>
              </w:rPr>
              <w:t>EL</w:t>
            </w:r>
            <w:r>
              <w:rPr>
                <w:rFonts w:ascii="Times New Roman"/>
                <w:w w:val="99"/>
                <w:sz w:val="18"/>
              </w:rPr>
              <w:t> </w:t>
            </w:r>
            <w:r>
              <w:rPr>
                <w:rFonts w:ascii="Times New Roman"/>
                <w:sz w:val="18"/>
              </w:rPr>
              <w:t>LIG</w:t>
            </w:r>
            <w:r>
              <w:rPr>
                <w:rFonts w:ascii="Times New Roman"/>
                <w:w w:val="99"/>
                <w:sz w:val="18"/>
              </w:rPr>
              <w:t> </w:t>
            </w:r>
            <w:r>
              <w:rPr>
                <w:rFonts w:ascii="Times New Roman"/>
                <w:sz w:val="18"/>
              </w:rPr>
              <w:t>EN</w:t>
            </w:r>
            <w:r>
              <w:rPr>
                <w:rFonts w:ascii="Times New Roman"/>
                <w:spacing w:val="-6"/>
                <w:sz w:val="18"/>
              </w:rPr>
              <w:t> </w:t>
            </w:r>
            <w:r>
              <w:rPr>
                <w:rFonts w:ascii="Times New Roman"/>
                <w:sz w:val="18"/>
              </w:rPr>
              <w:t>T</w:t>
            </w:r>
            <w:r>
              <w:rPr>
                <w:rFonts w:ascii="Times New Roman"/>
                <w:w w:val="99"/>
                <w:sz w:val="18"/>
              </w:rPr>
              <w:t> </w:t>
            </w:r>
            <w:r>
              <w:rPr>
                <w:rFonts w:ascii="Times New Roman"/>
                <w:sz w:val="18"/>
              </w:rPr>
              <w:t>ELE</w:t>
            </w:r>
            <w:r>
              <w:rPr>
                <w:rFonts w:ascii="Times New Roman"/>
                <w:w w:val="99"/>
                <w:sz w:val="18"/>
              </w:rPr>
              <w:t> </w:t>
            </w:r>
            <w:r>
              <w:rPr>
                <w:rFonts w:ascii="Times New Roman"/>
                <w:sz w:val="18"/>
              </w:rPr>
              <w:t>CT</w:t>
            </w:r>
            <w:r>
              <w:rPr>
                <w:rFonts w:ascii="Times New Roman"/>
                <w:w w:val="99"/>
                <w:sz w:val="18"/>
              </w:rPr>
              <w:t> </w:t>
            </w:r>
            <w:r>
              <w:rPr>
                <w:rFonts w:ascii="Times New Roman"/>
                <w:sz w:val="18"/>
              </w:rPr>
              <w:t>RON</w:t>
            </w:r>
            <w:r>
              <w:rPr>
                <w:rFonts w:ascii="Times New Roman"/>
                <w:w w:val="99"/>
                <w:sz w:val="18"/>
              </w:rPr>
              <w:t> </w:t>
            </w:r>
            <w:r>
              <w:rPr>
                <w:rFonts w:ascii="Times New Roman"/>
                <w:sz w:val="18"/>
              </w:rPr>
              <w:t>IC</w:t>
            </w:r>
            <w:r>
              <w:rPr>
                <w:rFonts w:ascii="Times New Roman"/>
                <w:w w:val="99"/>
                <w:sz w:val="18"/>
              </w:rPr>
              <w:t> </w:t>
            </w:r>
            <w:r>
              <w:rPr>
                <w:rFonts w:ascii="Times New Roman"/>
                <w:sz w:val="18"/>
              </w:rPr>
              <w:t>SYS</w:t>
            </w:r>
            <w:r>
              <w:rPr>
                <w:rFonts w:ascii="Times New Roman"/>
                <w:w w:val="99"/>
                <w:sz w:val="18"/>
              </w:rPr>
              <w:t> </w:t>
            </w:r>
            <w:r>
              <w:rPr>
                <w:rFonts w:ascii="Times New Roman"/>
                <w:sz w:val="18"/>
              </w:rPr>
              <w:t>TE</w:t>
            </w:r>
            <w:r>
              <w:rPr>
                <w:rFonts w:ascii="Times New Roman"/>
                <w:w w:val="99"/>
                <w:sz w:val="18"/>
              </w:rPr>
              <w:t> </w:t>
            </w:r>
            <w:r>
              <w:rPr>
                <w:rFonts w:ascii="Times New Roman"/>
                <w:sz w:val="18"/>
              </w:rPr>
              <w:t>MS</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1" w:right="14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股权 已 全部 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,248.1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
        </w:tc>
      </w:tr>
      <w:tr>
        <w:trPr>
          <w:trHeight w:val="1036" w:hRule="exact"/>
        </w:trPr>
        <w:tc>
          <w:tcPr>
            <w:tcW w:w="65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7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25" w:right="0"/>
              <w:jc w:val="left"/>
              <w:rPr>
                <w:rFonts w:ascii="Times New Roman" w:hAnsi="Times New Roman" w:cs="Times New Roman" w:eastAsia="Times New Roman" w:hint="default"/>
                <w:sz w:val="18"/>
                <w:szCs w:val="18"/>
              </w:rPr>
            </w:pPr>
            <w:r>
              <w:rPr>
                <w:rFonts w:ascii="Times New Roman"/>
                <w:sz w:val="18"/>
              </w:rPr>
              <w:t>645,26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4,984.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w:t>
            </w:r>
          </w:p>
        </w:tc>
        <w:tc>
          <w:tcPr>
            <w:tcW w:w="51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74" w:right="0"/>
              <w:jc w:val="left"/>
              <w:rPr>
                <w:rFonts w:ascii="Times New Roman" w:hAnsi="Times New Roman" w:cs="Times New Roman" w:eastAsia="Times New Roman" w:hint="default"/>
                <w:sz w:val="18"/>
                <w:szCs w:val="18"/>
              </w:rPr>
            </w:pPr>
            <w:r>
              <w:rPr>
                <w:rFonts w:ascii="Times New Roman"/>
                <w:sz w:val="18"/>
              </w:rPr>
              <w:t>59,09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08</w:t>
            </w:r>
          </w:p>
        </w:tc>
        <w:tc>
          <w:tcPr>
            <w:tcW w:w="69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6"/>
        <w:spacing w:line="240" w:lineRule="auto" w:before="34"/>
        <w:ind w:left="132" w:right="1115"/>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32" w:right="1115"/>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115"/>
        <w:jc w:val="left"/>
      </w:pPr>
      <w:r>
        <w:rPr/>
        <w:t>√ 适用 □ 不适用</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956" w:hRule="exact"/>
        </w:trPr>
        <w:tc>
          <w:tcPr>
            <w:tcW w:w="138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1" w:right="171"/>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79" w:right="17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34" w:right="13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3" w:right="13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3" w:right="11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92" w:right="112"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634" w:hRule="exact"/>
        </w:trPr>
        <w:tc>
          <w:tcPr>
            <w:tcW w:w="13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 w:right="0"/>
              <w:jc w:val="center"/>
              <w:rPr>
                <w:rFonts w:ascii="Times New Roman" w:hAnsi="Times New Roman" w:cs="Times New Roman" w:eastAsia="Times New Roman" w:hint="default"/>
                <w:sz w:val="18"/>
                <w:szCs w:val="18"/>
              </w:rPr>
            </w:pPr>
            <w:r>
              <w:rPr>
                <w:rFonts w:ascii="Times New Roman"/>
                <w:sz w:val="18"/>
              </w:rPr>
              <w:t>115,422,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151.00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-6,867,980.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-35,695,315.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483,612,299.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351,860,4</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53.11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 w:right="0"/>
              <w:jc w:val="center"/>
              <w:rPr>
                <w:rFonts w:ascii="Times New Roman" w:hAnsi="Times New Roman" w:cs="Times New Roman" w:eastAsia="Times New Roman" w:hint="default"/>
                <w:sz w:val="18"/>
                <w:szCs w:val="18"/>
              </w:rPr>
            </w:pPr>
            <w:r>
              <w:rPr>
                <w:rFonts w:ascii="Times New Roman"/>
                <w:sz w:val="18"/>
              </w:rPr>
              <w:t>-11,398,7</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961.08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0" w:right="0"/>
              <w:jc w:val="left"/>
              <w:rPr>
                <w:rFonts w:ascii="Times New Roman" w:hAnsi="Times New Roman" w:cs="Times New Roman" w:eastAsia="Times New Roman" w:hint="default"/>
                <w:sz w:val="18"/>
                <w:szCs w:val="18"/>
              </w:rPr>
            </w:pPr>
            <w:r>
              <w:rPr>
                <w:rFonts w:ascii="Times New Roman"/>
                <w:sz w:val="18"/>
              </w:rPr>
              <w:t>84,793,81</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1.08</w:t>
            </w:r>
          </w:p>
        </w:tc>
        <w:tc>
          <w:tcPr>
            <w:tcW w:w="9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644" w:hRule="exact"/>
        </w:trPr>
        <w:tc>
          <w:tcPr>
            <w:tcW w:w="138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7" w:right="0"/>
              <w:jc w:val="center"/>
              <w:rPr>
                <w:rFonts w:ascii="Times New Roman" w:hAnsi="Times New Roman" w:cs="Times New Roman" w:eastAsia="Times New Roman" w:hint="default"/>
                <w:sz w:val="18"/>
                <w:szCs w:val="18"/>
              </w:rPr>
            </w:pPr>
            <w:r>
              <w:rPr>
                <w:rFonts w:ascii="Times New Roman"/>
                <w:sz w:val="18"/>
              </w:rPr>
              <w:t>115,422,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151.00</w:t>
            </w:r>
          </w:p>
        </w:tc>
        <w:tc>
          <w:tcPr>
            <w:tcW w:w="10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-6,867,980.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-35,695,315.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w:t>
            </w:r>
          </w:p>
        </w:tc>
        <w:tc>
          <w:tcPr>
            <w:tcW w:w="1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483,612,299.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Times New Roman"/>
                <w:sz w:val="18"/>
              </w:rPr>
              <w:t>351,860,4</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53.11</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9" w:right="0"/>
              <w:jc w:val="center"/>
              <w:rPr>
                <w:rFonts w:ascii="Times New Roman" w:hAnsi="Times New Roman" w:cs="Times New Roman" w:eastAsia="Times New Roman" w:hint="default"/>
                <w:sz w:val="18"/>
                <w:szCs w:val="18"/>
              </w:rPr>
            </w:pPr>
            <w:r>
              <w:rPr>
                <w:rFonts w:ascii="Times New Roman"/>
                <w:sz w:val="18"/>
              </w:rPr>
              <w:t>-11,398,7</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961.08</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84,793,81</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1.08</w:t>
            </w:r>
          </w:p>
        </w:tc>
        <w:tc>
          <w:tcPr>
            <w:tcW w:w="956"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80" w:bottom="1200" w:left="1000" w:right="0"/>
        </w:sectPr>
      </w:pPr>
    </w:p>
    <w:p>
      <w:pPr>
        <w:pStyle w:val="Heading6"/>
        <w:spacing w:line="240" w:lineRule="auto" w:before="43"/>
        <w:ind w:left="132" w:right="1115"/>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32" w:right="1115"/>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115"/>
        <w:jc w:val="left"/>
      </w:pPr>
      <w:r>
        <w:rPr/>
        <w:t>√ 适用 □ 不适用</w:t>
      </w:r>
    </w:p>
    <w:p>
      <w:pPr>
        <w:pStyle w:val="BodyText"/>
        <w:spacing w:line="240" w:lineRule="auto" w:before="117"/>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1043"/>
        <w:gridCol w:w="693"/>
      </w:tblGrid>
      <w:tr>
        <w:trPr>
          <w:trHeight w:val="1972" w:hRule="exact"/>
        </w:trPr>
        <w:tc>
          <w:tcPr>
            <w:tcW w:w="86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27" w:right="157"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5" w:right="156"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0"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1" w:right="157"/>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0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6" w:right="15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6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161" w:right="150"/>
              <w:jc w:val="both"/>
              <w:rPr>
                <w:rFonts w:ascii="宋体" w:hAnsi="宋体" w:cs="宋体" w:eastAsia="宋体" w:hint="default"/>
                <w:sz w:val="18"/>
                <w:szCs w:val="18"/>
              </w:rPr>
            </w:pPr>
            <w:r>
              <w:rPr>
                <w:rFonts w:ascii="宋体" w:hAnsi="宋体" w:cs="宋体" w:eastAsia="宋体" w:hint="default"/>
                <w:sz w:val="18"/>
                <w:szCs w:val="18"/>
              </w:rPr>
              <w:t>闲置 两年 以上 募集 资金 金额</w:t>
            </w:r>
          </w:p>
        </w:tc>
      </w:tr>
      <w:tr>
        <w:trPr>
          <w:trHeight w:val="2274" w:hRule="exact"/>
        </w:trPr>
        <w:tc>
          <w:tcPr>
            <w:tcW w:w="8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2"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85,962.2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30,918.3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44,976.1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42,267.8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其中暂借 补流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w:t>
            </w:r>
            <w:r>
              <w:rPr>
                <w:rFonts w:ascii="宋体" w:hAnsi="宋体" w:cs="宋体" w:eastAsia="宋体" w:hint="default"/>
                <w:spacing w:val="-15"/>
                <w:sz w:val="18"/>
                <w:szCs w:val="18"/>
              </w:rPr>
              <w:t>元、理财余</w:t>
            </w:r>
            <w:r>
              <w:rPr>
                <w:rFonts w:ascii="宋体" w:hAnsi="宋体" w:cs="宋体" w:eastAsia="宋体" w:hint="default"/>
                <w:sz w:val="18"/>
                <w:szCs w:val="18"/>
              </w:rPr>
              <w:t>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w:t>
            </w:r>
            <w:r>
              <w:rPr>
                <w:rFonts w:ascii="宋体" w:hAnsi="宋体" w:cs="宋体" w:eastAsia="宋体" w:hint="default"/>
                <w:spacing w:val="-15"/>
                <w:sz w:val="18"/>
                <w:szCs w:val="18"/>
              </w:rPr>
              <w:t>元，其余为</w:t>
            </w:r>
            <w:r>
              <w:rPr>
                <w:rFonts w:ascii="宋体" w:hAnsi="宋体" w:cs="宋体" w:eastAsia="宋体" w:hint="default"/>
                <w:sz w:val="18"/>
                <w:szCs w:val="18"/>
              </w:rPr>
              <w:t> 专户流动 资金。</w:t>
            </w:r>
          </w:p>
        </w:tc>
        <w:tc>
          <w:tcPr>
            <w:tcW w:w="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85,962.2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30,918.3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3"/>
              <w:jc w:val="right"/>
              <w:rPr>
                <w:rFonts w:ascii="Times New Roman" w:hAnsi="Times New Roman" w:cs="Times New Roman" w:eastAsia="Times New Roman" w:hint="default"/>
                <w:sz w:val="18"/>
                <w:szCs w:val="18"/>
              </w:rPr>
            </w:pPr>
            <w:r>
              <w:rPr>
                <w:rFonts w:ascii="Times New Roman"/>
                <w:spacing w:val="-1"/>
                <w:sz w:val="18"/>
              </w:rPr>
              <w:t>44,976.1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42,267.8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2"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356" w:hRule="exact"/>
        </w:trPr>
        <w:tc>
          <w:tcPr>
            <w:tcW w:w="9562" w:type="dxa"/>
            <w:gridSpan w:val="11"/>
            <w:tcBorders>
              <w:top w:val="single" w:sz="4" w:space="0" w:color="000000"/>
              <w:left w:val="single" w:sz="12" w:space="0" w:color="000000"/>
              <w:bottom w:val="single" w:sz="12" w:space="0" w:color="000000"/>
              <w:right w:val="single" w:sz="12" w:space="0" w:color="000000"/>
            </w:tcBorders>
          </w:tcPr>
          <w:p>
            <w:pPr>
              <w:pStyle w:val="TableParagraph"/>
              <w:spacing w:line="338" w:lineRule="auto" w:before="50"/>
              <w:ind w:left="452" w:right="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实际募集资金金额和资金到账时间</w:t>
            </w:r>
            <w:r>
              <w:rPr>
                <w:rFonts w:ascii="宋体" w:hAnsi="宋体" w:cs="宋体" w:eastAsia="宋体" w:hint="default"/>
                <w:b/>
                <w:bCs/>
                <w:w w:val="99"/>
                <w:sz w:val="18"/>
                <w:szCs w:val="18"/>
              </w:rPr>
              <w:t> </w:t>
            </w:r>
            <w:r>
              <w:rPr>
                <w:rFonts w:ascii="宋体" w:hAnsi="宋体" w:cs="宋体" w:eastAsia="宋体" w:hint="default"/>
                <w:spacing w:val="-4"/>
                <w:sz w:val="18"/>
                <w:szCs w:val="18"/>
              </w:rPr>
              <w:t>经中国证券监督管理委员会《关于核准浙江万马股份有限公司非公开发行股票的批复》（证监许可〔</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w:t>
            </w:r>
          </w:p>
          <w:p>
            <w:pPr>
              <w:pStyle w:val="TableParagraph"/>
              <w:spacing w:line="230" w:lineRule="exact"/>
              <w:ind w:left="92" w:right="0"/>
              <w:jc w:val="left"/>
              <w:rPr>
                <w:rFonts w:ascii="宋体" w:hAnsi="宋体" w:cs="宋体" w:eastAsia="宋体" w:hint="default"/>
                <w:sz w:val="18"/>
                <w:szCs w:val="18"/>
              </w:rPr>
            </w:pPr>
            <w:r>
              <w:rPr>
                <w:rFonts w:ascii="宋体" w:hAnsi="宋体" w:cs="宋体" w:eastAsia="宋体" w:hint="default"/>
                <w:sz w:val="18"/>
                <w:szCs w:val="18"/>
              </w:rPr>
              <w:t>核准，并经深圳证券交易所同意，公司通过非公开发行方式向特定投资者发行人民币普通股（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96,343,610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股，每</w:t>
            </w:r>
          </w:p>
          <w:p>
            <w:pPr>
              <w:pStyle w:val="TableParagraph"/>
              <w:spacing w:line="240" w:lineRule="auto" w:before="63"/>
              <w:ind w:left="92" w:right="0"/>
              <w:jc w:val="left"/>
              <w:rPr>
                <w:rFonts w:ascii="宋体" w:hAnsi="宋体" w:cs="宋体" w:eastAsia="宋体" w:hint="default"/>
                <w:sz w:val="18"/>
                <w:szCs w:val="18"/>
              </w:rPr>
            </w:pPr>
            <w:r>
              <w:rPr>
                <w:rFonts w:ascii="宋体" w:hAnsi="宋体" w:cs="宋体" w:eastAsia="宋体" w:hint="default"/>
                <w:sz w:val="18"/>
                <w:szCs w:val="18"/>
              </w:rPr>
              <w:t>股发行价格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874,799,978.80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15,177,964.95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元后，募集资金净额为</w:t>
            </w:r>
          </w:p>
          <w:p>
            <w:pPr>
              <w:pStyle w:val="TableParagraph"/>
              <w:spacing w:line="240" w:lineRule="auto" w:before="63"/>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859,622,013.85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日全部到位，并业经信永中和会计师事务所（特殊普通合伙）</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XYZH/2017SHA10222</w:t>
            </w:r>
            <w:r>
              <w:rPr>
                <w:rFonts w:ascii="宋体" w:hAnsi="宋体" w:cs="宋体" w:eastAsia="宋体" w:hint="default"/>
                <w:sz w:val="18"/>
                <w:szCs w:val="18"/>
              </w:rPr>
              <w:t>”号报告审验。</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募集资金使用和结余情况</w:t>
            </w:r>
            <w:r>
              <w:rPr>
                <w:rFonts w:ascii="宋体" w:hAnsi="宋体" w:cs="宋体" w:eastAsia="宋体" w:hint="default"/>
                <w:sz w:val="18"/>
                <w:szCs w:val="18"/>
              </w:rPr>
            </w:r>
          </w:p>
          <w:p>
            <w:pPr>
              <w:pStyle w:val="TableParagraph"/>
              <w:spacing w:line="240" w:lineRule="auto" w:before="101"/>
              <w:ind w:left="4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年度本公司实际使用募集资金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309,183,049.65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年度收到银行存款利息扣除银行手续费等净额为</w:t>
            </w:r>
          </w:p>
          <w:p>
            <w:pPr>
              <w:pStyle w:val="TableParagraph"/>
              <w:spacing w:line="240" w:lineRule="auto" w:before="63"/>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426,216.70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年度使用募集资金滚动购买理财产品支出总计为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亿元元，赎回理财本金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亿元，取得理财</w:t>
            </w:r>
          </w:p>
          <w:p>
            <w:pPr>
              <w:pStyle w:val="TableParagraph"/>
              <w:spacing w:line="240" w:lineRule="auto" w:before="63"/>
              <w:ind w:left="92"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7,929,828.76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元，理财产品尚未到期金额为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w:t>
            </w:r>
          </w:p>
          <w:p>
            <w:pPr>
              <w:pStyle w:val="TableParagraph"/>
              <w:spacing w:line="300" w:lineRule="auto" w:before="103"/>
              <w:ind w:left="92" w:right="95"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日，本公司募集资金余额为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42,267.89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万元（包括累计收到的银行存款利息扣除银行手续费等 </w:t>
            </w:r>
            <w:r>
              <w:rPr>
                <w:rFonts w:ascii="宋体" w:hAnsi="宋体" w:cs="宋体" w:eastAsia="宋体" w:hint="default"/>
                <w:spacing w:val="-18"/>
                <w:sz w:val="18"/>
                <w:szCs w:val="18"/>
              </w:rPr>
              <w:t>的净额）。</w:t>
            </w:r>
          </w:p>
        </w:tc>
      </w:tr>
    </w:tbl>
    <w:p>
      <w:pPr>
        <w:spacing w:line="240" w:lineRule="auto" w:before="4"/>
        <w:rPr>
          <w:rFonts w:ascii="宋体" w:hAnsi="宋体" w:cs="宋体" w:eastAsia="宋体" w:hint="default"/>
          <w:sz w:val="19"/>
          <w:szCs w:val="19"/>
        </w:rPr>
      </w:pPr>
    </w:p>
    <w:p>
      <w:pPr>
        <w:pStyle w:val="Heading6"/>
        <w:spacing w:line="240" w:lineRule="auto" w:before="34"/>
        <w:ind w:left="132" w:right="1115"/>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115"/>
        <w:jc w:val="left"/>
      </w:pPr>
      <w:r>
        <w:rPr/>
        <w:t>√ 适用 □ 不适用</w:t>
      </w:r>
    </w:p>
    <w:p>
      <w:pPr>
        <w:pStyle w:val="BodyText"/>
        <w:spacing w:line="240" w:lineRule="auto" w:before="115"/>
        <w:ind w:left="0" w:right="1132"/>
        <w:jc w:val="right"/>
      </w:pPr>
      <w:r>
        <w:rPr/>
        <w:t>单位：万元</w:t>
      </w:r>
    </w:p>
    <w:p>
      <w:pPr>
        <w:spacing w:after="0" w:line="240" w:lineRule="auto"/>
        <w:jc w:val="right"/>
        <w:sectPr>
          <w:pgSz w:w="11910" w:h="16840"/>
          <w:pgMar w:header="890" w:footer="1012" w:top="1420" w:bottom="1200" w:left="1000" w:right="0"/>
        </w:sectPr>
      </w:pPr>
    </w:p>
    <w:p>
      <w:pPr>
        <w:spacing w:line="240" w:lineRule="auto" w:before="5"/>
        <w:rPr>
          <w:rFonts w:ascii="Times New Roman" w:hAnsi="Times New Roman" w:cs="Times New Roman" w:eastAsia="Times New Roman" w:hint="default"/>
          <w:sz w:val="17"/>
          <w:szCs w:val="17"/>
        </w:rPr>
      </w:pPr>
      <w:r>
        <w:rPr/>
        <w:pict>
          <v:shape style="position:absolute;margin-left:55.98pt;margin-top:74.500023pt;width:480.6pt;height:681.7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9"/>
                    <w:gridCol w:w="600"/>
                    <w:gridCol w:w="850"/>
                    <w:gridCol w:w="910"/>
                    <w:gridCol w:w="880"/>
                    <w:gridCol w:w="910"/>
                    <w:gridCol w:w="900"/>
                    <w:gridCol w:w="780"/>
                    <w:gridCol w:w="520"/>
                    <w:gridCol w:w="610"/>
                    <w:gridCol w:w="659"/>
                  </w:tblGrid>
                  <w:tr>
                    <w:trPr>
                      <w:trHeight w:val="2828" w:hRule="exact"/>
                    </w:trPr>
                    <w:tc>
                      <w:tcPr>
                        <w:tcW w:w="19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6" w:lineRule="auto"/>
                          <w:ind w:left="598" w:right="15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116" w:right="11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 </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 更</w:t>
                        </w:r>
                        <w:r>
                          <w:rPr>
                            <w:rFonts w:ascii="Times New Roman" w:hAnsi="Times New Roman" w:cs="Times New Roman" w:eastAsia="Times New Roman" w:hint="default"/>
                            <w:sz w:val="18"/>
                            <w:szCs w:val="18"/>
                          </w:rPr>
                          <w:t>)</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49" w:right="148"/>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80" w:right="17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8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65" w:right="16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81" w:right="17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9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61" w:right="15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1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115" w:right="11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5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66" w:right="162"/>
                          <w:jc w:val="both"/>
                          <w:rPr>
                            <w:rFonts w:ascii="宋体" w:hAnsi="宋体" w:cs="宋体" w:eastAsia="宋体" w:hint="default"/>
                            <w:sz w:val="18"/>
                            <w:szCs w:val="18"/>
                          </w:rPr>
                        </w:pPr>
                        <w:r>
                          <w:rPr>
                            <w:rFonts w:ascii="宋体" w:hAnsi="宋体" w:cs="宋体" w:eastAsia="宋体" w:hint="default"/>
                            <w:sz w:val="18"/>
                            <w:szCs w:val="18"/>
                          </w:rPr>
                          <w:t>本 报 告 期 实 现 的 效 益</w:t>
                        </w:r>
                      </w:p>
                    </w:tc>
                    <w:tc>
                      <w:tcPr>
                        <w:tcW w:w="6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19" w:right="119"/>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5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145" w:right="132"/>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322" w:hRule="exact"/>
                    </w:trPr>
                    <w:tc>
                      <w:tcPr>
                        <w:tcW w:w="9568"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34" w:hRule="exact"/>
                    </w:trPr>
                    <w:tc>
                      <w:tcPr>
                        <w:tcW w:w="1949"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10"/>
                          <w:ind w:left="9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I-ChargeNet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智能充电 网络建设项目（一期）</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96,000.0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66,162.2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25,041.2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25,041.2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37.85%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2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49"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10"/>
                          <w:ind w:left="92" w:right="16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吨新型环 保高分子材料</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9,800.00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5,877.05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9,934.85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2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2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136"/>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Times New Roman" w:hAnsi="Times New Roman" w:cs="Times New Roman" w:eastAsia="Times New Roman" w:hint="default"/>
                            <w:sz w:val="18"/>
                            <w:szCs w:val="18"/>
                          </w:rPr>
                        </w:pPr>
                        <w:r>
                          <w:rPr>
                            <w:rFonts w:ascii="Times New Roman"/>
                            <w:sz w:val="18"/>
                          </w:rPr>
                          <w:t>125,800.</w:t>
                        </w:r>
                      </w:p>
                      <w:p>
                        <w:pPr>
                          <w:pStyle w:val="TableParagraph"/>
                          <w:spacing w:line="240" w:lineRule="auto" w:before="105"/>
                          <w:ind w:left="557" w:right="0"/>
                          <w:jc w:val="left"/>
                          <w:rPr>
                            <w:rFonts w:ascii="Times New Roman" w:hAnsi="Times New Roman" w:cs="Times New Roman" w:eastAsia="Times New Roman" w:hint="default"/>
                            <w:sz w:val="18"/>
                            <w:szCs w:val="18"/>
                          </w:rPr>
                        </w:pPr>
                        <w:r>
                          <w:rPr>
                            <w:rFonts w:ascii="Times New Roman"/>
                            <w:sz w:val="18"/>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85,962.2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30,918.3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44,976.1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68"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2" w:hRule="exact"/>
                    </w:trPr>
                    <w:tc>
                      <w:tcPr>
                        <w:tcW w:w="19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1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125,800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85,962.2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30,918.3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44,976.1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1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10"/>
                          <w:ind w:left="92" w:right="2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12"/>
                          <w:ind w:left="92" w:right="2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949" w:type="dxa"/>
                        <w:vMerge w:val="restart"/>
                        <w:tcBorders>
                          <w:top w:val="single" w:sz="4" w:space="0" w:color="000000"/>
                          <w:left w:val="single" w:sz="12" w:space="0" w:color="000000"/>
                          <w:right w:val="single" w:sz="4" w:space="0" w:color="000000"/>
                        </w:tcBorders>
                        <w:shd w:val="clear" w:color="auto" w:fill="D2D2D2"/>
                      </w:tcPr>
                      <w:p>
                        <w:pPr>
                          <w:pStyle w:val="TableParagraph"/>
                          <w:spacing w:line="316" w:lineRule="auto" w:before="16"/>
                          <w:ind w:left="92" w:right="100"/>
                          <w:jc w:val="left"/>
                          <w:rPr>
                            <w:rFonts w:ascii="宋体" w:hAnsi="宋体" w:cs="宋体" w:eastAsia="宋体" w:hint="default"/>
                            <w:sz w:val="18"/>
                            <w:szCs w:val="18"/>
                          </w:rPr>
                        </w:pPr>
                        <w:r>
                          <w:rPr>
                            <w:rFonts w:ascii="宋体" w:hAnsi="宋体" w:cs="宋体" w:eastAsia="宋体" w:hint="default"/>
                            <w:spacing w:val="-7"/>
                            <w:sz w:val="18"/>
                            <w:szCs w:val="18"/>
                          </w:rPr>
                          <w:t>超募资金的金额、用途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及使用进展情况</w:t>
                        </w: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949" w:type="dxa"/>
                        <w:vMerge/>
                        <w:tcBorders>
                          <w:left w:val="single" w:sz="12" w:space="0" w:color="000000"/>
                          <w:bottom w:val="single" w:sz="4" w:space="0" w:color="000000"/>
                          <w:right w:val="single" w:sz="4" w:space="0" w:color="000000"/>
                        </w:tcBorders>
                        <w:shd w:val="clear" w:color="auto" w:fill="D2D2D2"/>
                      </w:tcPr>
                      <w:p>
                        <w:pPr/>
                      </w:p>
                    </w:tc>
                    <w:tc>
                      <w:tcPr>
                        <w:tcW w:w="7619" w:type="dxa"/>
                        <w:gridSpan w:val="10"/>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949"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92" w:right="2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2" w:hRule="exact"/>
                    </w:trPr>
                    <w:tc>
                      <w:tcPr>
                        <w:tcW w:w="1949" w:type="dxa"/>
                        <w:vMerge/>
                        <w:tcBorders>
                          <w:left w:val="single" w:sz="12" w:space="0" w:color="000000"/>
                          <w:right w:val="single" w:sz="4" w:space="0" w:color="000000"/>
                        </w:tcBorders>
                        <w:shd w:val="clear" w:color="auto" w:fill="D2D2D2"/>
                      </w:tcPr>
                      <w:p>
                        <w:pP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570" w:hRule="exact"/>
                    </w:trPr>
                    <w:tc>
                      <w:tcPr>
                        <w:tcW w:w="1949" w:type="dxa"/>
                        <w:vMerge/>
                        <w:tcBorders>
                          <w:left w:val="single" w:sz="12" w:space="0" w:color="000000"/>
                          <w:bottom w:val="single" w:sz="4" w:space="0" w:color="000000"/>
                          <w:right w:val="single" w:sz="4" w:space="0" w:color="000000"/>
                        </w:tcBorders>
                        <w:shd w:val="clear" w:color="auto" w:fill="D2D2D2"/>
                      </w:tcPr>
                      <w:p>
                        <w:pP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314" w:lineRule="auto" w:before="10"/>
                          <w:ind w:left="10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日，公司召开第四届董事会第十七次会议审议通过《关于扩大“</w:t>
                        </w:r>
                        <w:r>
                          <w:rPr>
                            <w:rFonts w:ascii="Times New Roman" w:hAnsi="Times New Roman" w:cs="Times New Roman" w:eastAsia="Times New Roman" w:hint="default"/>
                            <w:sz w:val="18"/>
                            <w:szCs w:val="18"/>
                          </w:rPr>
                          <w:t>I-Charge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Net</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智能充电网络”募投项目实施范围等的议案》。公司根据市场发展的实际需要，扩大智能充电网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络建设项目实施范围，在原杭州、宁波、湖州等地的基础上扩大至全国各地主要城市，有利于 快速拓展全国充电网，有利于发挥募集资金使用效率，有利于加快募投项目实施进度，保护投 资者权益。</w:t>
                        </w:r>
                      </w:p>
                    </w:tc>
                  </w:tr>
                  <w:tr>
                    <w:trPr>
                      <w:trHeight w:val="322" w:hRule="exact"/>
                    </w:trPr>
                    <w:tc>
                      <w:tcPr>
                        <w:tcW w:w="1949"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92" w:right="2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2" w:hRule="exact"/>
                    </w:trPr>
                    <w:tc>
                      <w:tcPr>
                        <w:tcW w:w="1949" w:type="dxa"/>
                        <w:vMerge/>
                        <w:tcBorders>
                          <w:left w:val="single" w:sz="12" w:space="0" w:color="000000"/>
                          <w:right w:val="single" w:sz="4" w:space="0" w:color="000000"/>
                        </w:tcBorders>
                        <w:shd w:val="clear" w:color="auto" w:fill="D2D2D2"/>
                      </w:tcPr>
                      <w:p>
                        <w:pP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568" w:hRule="exact"/>
                    </w:trPr>
                    <w:tc>
                      <w:tcPr>
                        <w:tcW w:w="1949" w:type="dxa"/>
                        <w:vMerge/>
                        <w:tcBorders>
                          <w:left w:val="single" w:sz="12" w:space="0" w:color="000000"/>
                          <w:bottom w:val="single" w:sz="4" w:space="0" w:color="000000"/>
                          <w:right w:val="single" w:sz="4" w:space="0" w:color="000000"/>
                        </w:tcBorders>
                        <w:shd w:val="clear" w:color="auto" w:fill="D2D2D2"/>
                      </w:tcPr>
                      <w:p>
                        <w:pPr/>
                      </w:p>
                    </w:tc>
                    <w:tc>
                      <w:tcPr>
                        <w:tcW w:w="761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314" w:lineRule="auto" w:before="11"/>
                          <w:ind w:left="10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日，公司召开第四届董事会第十七次会议审议通过《关于扩大“</w:t>
                        </w:r>
                        <w:r>
                          <w:rPr>
                            <w:rFonts w:ascii="Times New Roman" w:hAnsi="Times New Roman" w:cs="Times New Roman" w:eastAsia="Times New Roman" w:hint="default"/>
                            <w:sz w:val="18"/>
                            <w:szCs w:val="18"/>
                          </w:rPr>
                          <w:t>I-Charge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Net</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智能充电网络”募投项目实施范围等的议案》。根据电动车技术发展情况及趋势以及客户使用偏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好，由原来的慢充为主、快充为辅调整为快充为主，慢充为辅的产品使用方向。实施主体由原 来的公司全资子公司浙江爱充网络科技有限公司调整为公司控股子公司万马联合新能源投资有 限公司，该调整原因系公司目前实际均以万马新能源投资公司及其下属各地方城市公司为全国</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90" w:footer="1012" w:top="1500" w:bottom="1200" w:left="1000" w:right="0"/>
        </w:sectPr>
      </w:pPr>
    </w:p>
    <w:tbl>
      <w:tblPr>
        <w:tblW w:w="0" w:type="auto"/>
        <w:jc w:val="left"/>
        <w:tblInd w:w="119" w:type="dxa"/>
        <w:tblLayout w:type="fixed"/>
        <w:tblCellMar>
          <w:top w:w="0" w:type="dxa"/>
          <w:left w:w="0" w:type="dxa"/>
          <w:bottom w:w="0" w:type="dxa"/>
          <w:right w:w="0" w:type="dxa"/>
        </w:tblCellMar>
        <w:tblLook w:val="01E0"/>
      </w:tblPr>
      <w:tblGrid>
        <w:gridCol w:w="1949"/>
        <w:gridCol w:w="7619"/>
      </w:tblGrid>
      <w:tr>
        <w:trPr>
          <w:trHeight w:val="322" w:hRule="exact"/>
        </w:trPr>
        <w:tc>
          <w:tcPr>
            <w:tcW w:w="1949"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快充网络建设的投资主体。</w:t>
            </w:r>
          </w:p>
        </w:tc>
      </w:tr>
      <w:tr>
        <w:trPr>
          <w:trHeight w:val="322" w:hRule="exact"/>
        </w:trPr>
        <w:tc>
          <w:tcPr>
            <w:tcW w:w="1949"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92" w:right="2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58" w:hRule="exact"/>
        </w:trPr>
        <w:tc>
          <w:tcPr>
            <w:tcW w:w="1949" w:type="dxa"/>
            <w:vMerge/>
            <w:tcBorders>
              <w:left w:val="single" w:sz="12" w:space="0" w:color="000000"/>
              <w:bottom w:val="single" w:sz="4" w:space="0" w:color="000000"/>
              <w:right w:val="single" w:sz="4" w:space="0" w:color="000000"/>
            </w:tcBorders>
            <w:shd w:val="clear" w:color="auto" w:fill="D2D2D2"/>
          </w:tcPr>
          <w:p>
            <w:pP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日，公司第四届董事会第十一次会议审议通过《关于用募集资金置换先期投入</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为顺利推进募集资金投资项目，在本次发行完成前，公司已使用自筹资金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3,470.60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w:t>
            </w:r>
          </w:p>
          <w:p>
            <w:pPr>
              <w:pStyle w:val="TableParagraph"/>
              <w:spacing w:line="300" w:lineRule="auto" w:before="63"/>
              <w:ind w:left="104" w:right="93"/>
              <w:jc w:val="left"/>
              <w:rPr>
                <w:rFonts w:ascii="宋体" w:hAnsi="宋体" w:cs="宋体" w:eastAsia="宋体" w:hint="default"/>
                <w:sz w:val="18"/>
                <w:szCs w:val="18"/>
              </w:rPr>
            </w:pPr>
            <w:r>
              <w:rPr>
                <w:rFonts w:ascii="宋体" w:hAnsi="宋体" w:cs="宋体" w:eastAsia="宋体" w:hint="default"/>
                <w:sz w:val="18"/>
                <w:szCs w:val="18"/>
              </w:rPr>
              <w:t>元预先投入“年产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56,000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吨新型环保高分子材料”募投项目，公司以募集资金置换预先投入该 募投项目的自筹资金。</w:t>
            </w:r>
          </w:p>
        </w:tc>
      </w:tr>
      <w:tr>
        <w:trPr>
          <w:trHeight w:val="322" w:hRule="exact"/>
        </w:trPr>
        <w:tc>
          <w:tcPr>
            <w:tcW w:w="1949"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92" w:right="2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06" w:hRule="exact"/>
        </w:trPr>
        <w:tc>
          <w:tcPr>
            <w:tcW w:w="1949" w:type="dxa"/>
            <w:vMerge/>
            <w:tcBorders>
              <w:left w:val="single" w:sz="12" w:space="0" w:color="000000"/>
              <w:bottom w:val="single" w:sz="4" w:space="0" w:color="000000"/>
              <w:right w:val="single" w:sz="4" w:space="0" w:color="000000"/>
            </w:tcBorders>
            <w:shd w:val="clear" w:color="auto" w:fill="D2D2D2"/>
          </w:tcPr>
          <w:p>
            <w:pP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日，本公司第四届董事会第十一次会议和第四届监事会第六次会议审议通过了</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《关于使用部分暂时闲置募集资金暂时补充流动资金的议案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，同意公司使用人民币不超过</w:t>
            </w:r>
          </w:p>
          <w:p>
            <w:pPr>
              <w:pStyle w:val="TableParagraph"/>
              <w:spacing w:line="240" w:lineRule="auto" w:before="76"/>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万元的闲置募集资金暂时补充流动资金，截止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日，已累计支付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日，本公司已将上述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万元资金全部归还至募集资金专用账户。</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日，本公司第四届董事会第二十三次会议审议通过了《关于使用部分闲置募集</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，同意公司使用闲置募集资金人民币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资金，使用期限自董事会审议批准之日起不超过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日，已累计支</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22" w:hRule="exact"/>
        </w:trPr>
        <w:tc>
          <w:tcPr>
            <w:tcW w:w="1949" w:type="dxa"/>
            <w:vMerge w:val="restart"/>
            <w:tcBorders>
              <w:top w:val="single" w:sz="4" w:space="0" w:color="000000"/>
              <w:left w:val="single" w:sz="12" w:space="0" w:color="000000"/>
              <w:right w:val="single" w:sz="4" w:space="0" w:color="000000"/>
            </w:tcBorders>
            <w:shd w:val="clear" w:color="auto" w:fill="D2D2D2"/>
          </w:tcPr>
          <w:p>
            <w:pPr>
              <w:pStyle w:val="TableParagraph"/>
              <w:spacing w:line="316" w:lineRule="auto" w:before="17"/>
              <w:ind w:left="92" w:right="2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949" w:type="dxa"/>
            <w:vMerge/>
            <w:tcBorders>
              <w:left w:val="single" w:sz="12" w:space="0" w:color="000000"/>
              <w:bottom w:val="single" w:sz="4" w:space="0" w:color="000000"/>
              <w:right w:val="single" w:sz="4" w:space="0" w:color="000000"/>
            </w:tcBorders>
            <w:shd w:val="clear" w:color="auto" w:fill="D2D2D2"/>
          </w:tcPr>
          <w:p>
            <w:pPr/>
          </w:p>
        </w:tc>
        <w:tc>
          <w:tcPr>
            <w:tcW w:w="7619" w:type="dxa"/>
            <w:tcBorders>
              <w:top w:val="single" w:sz="4" w:space="0" w:color="000000"/>
              <w:left w:val="single" w:sz="4" w:space="0" w:color="000000"/>
              <w:bottom w:val="single" w:sz="4" w:space="0" w:color="000000"/>
              <w:right w:val="single" w:sz="12" w:space="0" w:color="000000"/>
            </w:tcBorders>
          </w:tcPr>
          <w:p>
            <w:pPr/>
          </w:p>
        </w:tc>
      </w:tr>
      <w:tr>
        <w:trPr>
          <w:trHeight w:val="3442" w:hRule="exact"/>
        </w:trPr>
        <w:tc>
          <w:tcPr>
            <w:tcW w:w="1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92" w:right="2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619"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11"/>
              <w:ind w:left="104"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日，公司第四届董事会第十一次会议审议通过《关于使用部分闲置募集资金进 </w:t>
            </w:r>
            <w:r>
              <w:rPr>
                <w:rFonts w:ascii="宋体" w:hAnsi="宋体" w:cs="宋体" w:eastAsia="宋体" w:hint="default"/>
                <w:spacing w:val="-4"/>
                <w:sz w:val="18"/>
                <w:szCs w:val="18"/>
              </w:rPr>
              <w:t>行现金管理的议案》。为提高募集资金使用效率，在确保不影响募集资金投资项目建设和募集资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金使用的前提下，公司拟使用金额不超过人民币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亿元的闲置募集资金用于现金管理，适时购</w:t>
            </w:r>
          </w:p>
          <w:p>
            <w:pPr>
              <w:pStyle w:val="TableParagraph"/>
              <w:spacing w:line="240" w:lineRule="auto" w:before="5"/>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买保本型银行理财产品。上述累计交易额度的使用期限为自公司本次董事会审议通过之日起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个月内。在上述使用期限及累计交易额度范围内，资金可以滚动使用。</w:t>
            </w:r>
          </w:p>
          <w:p>
            <w:pPr>
              <w:pStyle w:val="TableParagraph"/>
              <w:spacing w:line="309" w:lineRule="auto" w:before="76"/>
              <w:ind w:left="10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日，公司第四届董事会第二十三次会议审议通过《关于使用部分闲置募集资金 </w:t>
            </w:r>
            <w:r>
              <w:rPr>
                <w:rFonts w:ascii="宋体" w:hAnsi="宋体" w:cs="宋体" w:eastAsia="宋体" w:hint="default"/>
                <w:spacing w:val="-4"/>
                <w:sz w:val="18"/>
                <w:szCs w:val="18"/>
              </w:rPr>
              <w:t>进行现金管理的议案》。为提高募集资金使用效率，在确保不影响募集资金投资项目建设和募集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资金使用的前提下，公司拟使用在任意时点金额不超过人民币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亿元的闲置募集资金用于现 金管理，适时购买保本型银行理财产品。上述累计交易额度的使用期限为自公司本次董事会审 议通过之日起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个月内。在上述使用期限及累计交易额度范围内，资金可以滚动使用。</w:t>
            </w:r>
          </w:p>
          <w:p>
            <w:pPr>
              <w:pStyle w:val="TableParagraph"/>
              <w:spacing w:line="240" w:lineRule="auto" w:before="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日，公司募集资金专户购买理财产品余额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956" w:hRule="exact"/>
        </w:trPr>
        <w:tc>
          <w:tcPr>
            <w:tcW w:w="19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11"/>
              <w:ind w:left="92" w:right="2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6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2"/>
          <w:szCs w:val="22"/>
        </w:rPr>
      </w:pPr>
    </w:p>
    <w:p>
      <w:pPr>
        <w:pStyle w:val="Heading6"/>
        <w:spacing w:line="240" w:lineRule="auto" w:before="34"/>
        <w:ind w:left="132" w:right="1115"/>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334"/>
        <w:jc w:val="left"/>
      </w:pPr>
      <w:r>
        <w:rPr/>
        <w:t>□ 适用 √ 不适用 公司报告期不存在募集资金变更项目情况。</w:t>
      </w:r>
    </w:p>
    <w:p>
      <w:pPr>
        <w:spacing w:line="240" w:lineRule="auto" w:before="2"/>
        <w:rPr>
          <w:rFonts w:ascii="宋体" w:hAnsi="宋体" w:cs="宋体" w:eastAsia="宋体" w:hint="default"/>
          <w:sz w:val="18"/>
          <w:szCs w:val="18"/>
        </w:rPr>
      </w:pPr>
    </w:p>
    <w:p>
      <w:pPr>
        <w:pStyle w:val="Heading2"/>
        <w:spacing w:line="240" w:lineRule="auto"/>
        <w:ind w:left="132" w:right="1115"/>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2" w:right="1115"/>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32" w:right="8414"/>
        <w:jc w:val="left"/>
      </w:pPr>
      <w:r>
        <w:rPr/>
        <w:t>□ 适用 √ 不适用 公司报告期未出售重大资产。</w:t>
      </w:r>
    </w:p>
    <w:p>
      <w:pPr>
        <w:spacing w:after="0" w:line="360" w:lineRule="auto"/>
        <w:jc w:val="left"/>
        <w:sectPr>
          <w:footerReference w:type="default" r:id="rId24"/>
          <w:pgSz w:w="11910" w:h="16840"/>
          <w:pgMar w:footer="1012" w:header="890" w:top="1480" w:bottom="1200" w:left="1000" w:right="0"/>
          <w:pgNumType w:start="30"/>
        </w:sectPr>
      </w:pPr>
    </w:p>
    <w:p>
      <w:pPr>
        <w:pStyle w:val="Heading6"/>
        <w:spacing w:line="240" w:lineRule="auto" w:before="43"/>
        <w:ind w:left="132" w:right="1115"/>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32" w:right="1115"/>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90" w:footer="1012" w:top="1420" w:bottom="1200" w:left="1000" w:right="0"/>
        </w:sectPr>
      </w:pPr>
    </w:p>
    <w:p>
      <w:pPr>
        <w:pStyle w:val="BodyText"/>
        <w:spacing w:line="240" w:lineRule="auto" w:before="44"/>
        <w:ind w:left="132" w:right="-17"/>
        <w:jc w:val="left"/>
      </w:pPr>
      <w:r>
        <w:rPr/>
        <w:t>√ 适用 □ 不适用</w:t>
      </w:r>
    </w:p>
    <w:p>
      <w:pPr>
        <w:pStyle w:val="BodyText"/>
        <w:spacing w:line="240" w:lineRule="auto" w:before="76"/>
        <w:ind w:left="132"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32" w:right="0"/>
        <w:jc w:val="left"/>
      </w:pPr>
      <w:r>
        <w:rPr/>
        <w:t>单位：元</w:t>
      </w:r>
    </w:p>
    <w:p>
      <w:pPr>
        <w:spacing w:after="0" w:line="240" w:lineRule="auto"/>
        <w:jc w:val="left"/>
        <w:sectPr>
          <w:type w:val="continuous"/>
          <w:pgSz w:w="11910" w:h="16840"/>
          <w:pgMar w:top="660" w:bottom="700" w:left="1000" w:right="0"/>
          <w:cols w:num="2" w:equalWidth="0">
            <w:col w:w="4828" w:space="4091"/>
            <w:col w:w="1991"/>
          </w:cols>
        </w:sectPr>
      </w:pPr>
    </w:p>
    <w:p>
      <w:pPr>
        <w:spacing w:line="240" w:lineRule="auto" w:before="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79"/>
        <w:gridCol w:w="590"/>
        <w:gridCol w:w="1226"/>
        <w:gridCol w:w="1045"/>
        <w:gridCol w:w="1046"/>
        <w:gridCol w:w="1045"/>
        <w:gridCol w:w="1045"/>
        <w:gridCol w:w="1045"/>
        <w:gridCol w:w="1046"/>
      </w:tblGrid>
      <w:tr>
        <w:trPr>
          <w:trHeight w:val="644" w:hRule="exact"/>
        </w:trPr>
        <w:tc>
          <w:tcPr>
            <w:tcW w:w="147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0" w:right="10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22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94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2" w:right="105"/>
              <w:jc w:val="left"/>
              <w:rPr>
                <w:rFonts w:ascii="宋体" w:hAnsi="宋体" w:cs="宋体" w:eastAsia="宋体" w:hint="default"/>
                <w:sz w:val="18"/>
                <w:szCs w:val="18"/>
              </w:rPr>
            </w:pPr>
            <w:r>
              <w:rPr>
                <w:rFonts w:ascii="宋体" w:hAnsi="宋体" w:cs="宋体" w:eastAsia="宋体" w:hint="default"/>
                <w:sz w:val="18"/>
                <w:szCs w:val="18"/>
              </w:rPr>
              <w:t>浙江万马高分子 材料有限公司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4"/>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02"/>
              <w:jc w:val="left"/>
              <w:rPr>
                <w:rFonts w:ascii="宋体" w:hAnsi="宋体" w:cs="宋体" w:eastAsia="宋体" w:hint="default"/>
                <w:sz w:val="18"/>
                <w:szCs w:val="18"/>
              </w:rPr>
            </w:pPr>
            <w:r>
              <w:rPr>
                <w:rFonts w:ascii="宋体" w:hAnsi="宋体" w:cs="宋体" w:eastAsia="宋体" w:hint="default"/>
                <w:sz w:val="18"/>
                <w:szCs w:val="18"/>
              </w:rPr>
              <w:t>电线电缆用 </w:t>
            </w:r>
            <w:r>
              <w:rPr>
                <w:rFonts w:ascii="宋体" w:hAnsi="宋体" w:cs="宋体" w:eastAsia="宋体" w:hint="default"/>
                <w:spacing w:val="-12"/>
                <w:sz w:val="18"/>
                <w:szCs w:val="18"/>
              </w:rPr>
              <w:t>绝缘料、屏蔽</w:t>
            </w:r>
            <w:r>
              <w:rPr>
                <w:rFonts w:ascii="宋体" w:hAnsi="宋体" w:cs="宋体" w:eastAsia="宋体" w:hint="default"/>
                <w:sz w:val="18"/>
                <w:szCs w:val="18"/>
              </w:rPr>
              <w:t> </w:t>
            </w:r>
            <w:r>
              <w:rPr>
                <w:rFonts w:ascii="宋体" w:hAnsi="宋体" w:cs="宋体" w:eastAsia="宋体" w:hint="default"/>
                <w:spacing w:val="-12"/>
                <w:sz w:val="18"/>
                <w:szCs w:val="18"/>
              </w:rPr>
              <w:t>料、护套料等</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22390.19</w:t>
            </w:r>
          </w:p>
          <w:p>
            <w:pPr>
              <w:pStyle w:val="TableParagraph"/>
              <w:spacing w:line="316" w:lineRule="auto" w:before="63"/>
              <w:ind w:left="102" w:right="211"/>
              <w:jc w:val="left"/>
              <w:rPr>
                <w:rFonts w:ascii="宋体" w:hAnsi="宋体" w:cs="宋体" w:eastAsia="宋体" w:hint="default"/>
                <w:sz w:val="18"/>
                <w:szCs w:val="18"/>
              </w:rPr>
            </w:pPr>
            <w:r>
              <w:rPr>
                <w:rFonts w:ascii="宋体" w:hAnsi="宋体" w:cs="宋体" w:eastAsia="宋体" w:hint="default"/>
                <w:sz w:val="18"/>
                <w:szCs w:val="18"/>
              </w:rPr>
              <w:t>万元人民 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1,503,313,</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604.89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954,370,03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2,634,861,</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662.00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135,039,02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0.42</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124,702,30</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3.98</w:t>
            </w:r>
          </w:p>
        </w:tc>
      </w:tr>
      <w:tr>
        <w:trPr>
          <w:trHeight w:val="94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2" w:right="105"/>
              <w:jc w:val="left"/>
              <w:rPr>
                <w:rFonts w:ascii="宋体" w:hAnsi="宋体" w:cs="宋体" w:eastAsia="宋体" w:hint="default"/>
                <w:sz w:val="18"/>
                <w:szCs w:val="18"/>
              </w:rPr>
            </w:pPr>
            <w:r>
              <w:rPr>
                <w:rFonts w:ascii="宋体" w:hAnsi="宋体" w:cs="宋体" w:eastAsia="宋体" w:hint="default"/>
                <w:sz w:val="18"/>
                <w:szCs w:val="18"/>
              </w:rPr>
              <w:t>浙江万马天屹通 信线缆有限公司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4"/>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4" w:right="102"/>
              <w:jc w:val="left"/>
              <w:rPr>
                <w:rFonts w:ascii="宋体" w:hAnsi="宋体" w:cs="宋体" w:eastAsia="宋体" w:hint="default"/>
                <w:sz w:val="18"/>
                <w:szCs w:val="18"/>
              </w:rPr>
            </w:pPr>
            <w:r>
              <w:rPr>
                <w:rFonts w:ascii="宋体" w:hAnsi="宋体" w:cs="宋体" w:eastAsia="宋体" w:hint="default"/>
                <w:spacing w:val="-12"/>
                <w:sz w:val="18"/>
                <w:szCs w:val="18"/>
              </w:rPr>
              <w:t>同轴电缆、光</w:t>
            </w:r>
            <w:r>
              <w:rPr>
                <w:rFonts w:ascii="宋体" w:hAnsi="宋体" w:cs="宋体" w:eastAsia="宋体" w:hint="default"/>
                <w:sz w:val="18"/>
                <w:szCs w:val="18"/>
              </w:rPr>
              <w:t> 缆及光电复 合缆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508,743,13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274,928,19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6.72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477,014,92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6.03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17,659,589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18,560,390</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.27</w:t>
            </w:r>
          </w:p>
        </w:tc>
      </w:tr>
      <w:tr>
        <w:trPr>
          <w:trHeight w:val="94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9"/>
              <w:ind w:left="92" w:right="105"/>
              <w:jc w:val="both"/>
              <w:rPr>
                <w:rFonts w:ascii="宋体" w:hAnsi="宋体" w:cs="宋体" w:eastAsia="宋体" w:hint="default"/>
                <w:sz w:val="18"/>
                <w:szCs w:val="18"/>
              </w:rPr>
            </w:pPr>
            <w:r>
              <w:rPr>
                <w:rFonts w:ascii="宋体" w:hAnsi="宋体" w:cs="宋体" w:eastAsia="宋体" w:hint="default"/>
                <w:sz w:val="18"/>
                <w:szCs w:val="18"/>
              </w:rPr>
              <w:t>浙江万马集团特 种电子电缆有限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114"/>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4" w:right="210"/>
              <w:jc w:val="left"/>
              <w:rPr>
                <w:rFonts w:ascii="宋体" w:hAnsi="宋体" w:cs="宋体" w:eastAsia="宋体" w:hint="default"/>
                <w:sz w:val="18"/>
                <w:szCs w:val="18"/>
              </w:rPr>
            </w:pPr>
            <w:r>
              <w:rPr>
                <w:rFonts w:ascii="宋体" w:hAnsi="宋体" w:cs="宋体" w:eastAsia="宋体" w:hint="default"/>
                <w:sz w:val="18"/>
                <w:szCs w:val="18"/>
              </w:rPr>
              <w:t>卫星电视用 同轴电缆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00" w:lineRule="auto"/>
              <w:ind w:left="10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427,012,89</w:t>
            </w:r>
          </w:p>
          <w:p>
            <w:pPr>
              <w:pStyle w:val="TableParagraph"/>
              <w:spacing w:line="240" w:lineRule="auto" w:before="105"/>
              <w:ind w:left="624" w:right="0"/>
              <w:jc w:val="left"/>
              <w:rPr>
                <w:rFonts w:ascii="Times New Roman" w:hAnsi="Times New Roman" w:cs="Times New Roman" w:eastAsia="Times New Roman" w:hint="default"/>
                <w:sz w:val="18"/>
                <w:szCs w:val="18"/>
              </w:rPr>
            </w:pPr>
            <w:r>
              <w:rPr>
                <w:rFonts w:ascii="Times New Roman"/>
                <w:sz w:val="18"/>
              </w:rPr>
              <w:t>3.11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334,113,52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303,159,62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47,035,440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45,014,386</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.77</w:t>
            </w:r>
          </w:p>
        </w:tc>
      </w:tr>
      <w:tr>
        <w:trPr>
          <w:trHeight w:val="320" w:hRule="exact"/>
        </w:trPr>
        <w:tc>
          <w:tcPr>
            <w:tcW w:w="1479" w:type="dxa"/>
            <w:tcBorders>
              <w:top w:val="single" w:sz="4" w:space="0" w:color="000000"/>
              <w:left w:val="single" w:sz="12"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3KV</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及以下</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1479"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浙江万马电缆有</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pacing w:val="-12"/>
                <w:sz w:val="18"/>
                <w:szCs w:val="18"/>
              </w:rPr>
              <w:t>电力电缆、控</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2"/>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250,679,26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4,097,773.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996,064,67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-32,208,16</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before="47"/>
              <w:ind w:right="89"/>
              <w:jc w:val="right"/>
              <w:rPr>
                <w:rFonts w:ascii="Times New Roman" w:hAnsi="Times New Roman" w:cs="Times New Roman" w:eastAsia="Times New Roman" w:hint="default"/>
                <w:sz w:val="18"/>
                <w:szCs w:val="18"/>
              </w:rPr>
            </w:pPr>
            <w:r>
              <w:rPr>
                <w:rFonts w:ascii="Times New Roman"/>
                <w:spacing w:val="-1"/>
                <w:sz w:val="18"/>
              </w:rPr>
              <w:t>-30,475,42</w:t>
            </w:r>
          </w:p>
        </w:tc>
      </w:tr>
      <w:tr>
        <w:trPr>
          <w:trHeight w:val="312" w:hRule="exact"/>
        </w:trPr>
        <w:tc>
          <w:tcPr>
            <w:tcW w:w="1479"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制电缆和架</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0"/>
              <w:jc w:val="center"/>
              <w:rPr>
                <w:rFonts w:ascii="宋体" w:hAnsi="宋体" w:cs="宋体" w:eastAsia="宋体" w:hint="default"/>
                <w:sz w:val="18"/>
                <w:szCs w:val="18"/>
              </w:rPr>
            </w:pPr>
            <w:r>
              <w:rPr>
                <w:rFonts w:ascii="宋体" w:hAnsi="宋体" w:cs="宋体" w:eastAsia="宋体" w:hint="default"/>
                <w:sz w:val="18"/>
                <w:szCs w:val="18"/>
              </w:rPr>
              <w:t>元人民币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9.98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2.71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7.45</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18"/>
                <w:szCs w:val="18"/>
              </w:rPr>
            </w:pPr>
            <w:r>
              <w:rPr>
                <w:rFonts w:ascii="Times New Roman"/>
                <w:spacing w:val="-1"/>
                <w:sz w:val="18"/>
              </w:rPr>
              <w:t>6.20</w:t>
            </w:r>
          </w:p>
        </w:tc>
      </w:tr>
      <w:tr>
        <w:trPr>
          <w:trHeight w:val="314" w:hRule="exact"/>
        </w:trPr>
        <w:tc>
          <w:tcPr>
            <w:tcW w:w="1479" w:type="dxa"/>
            <w:tcBorders>
              <w:top w:val="nil" w:sz="6" w:space="0" w:color="auto"/>
              <w:left w:val="single" w:sz="12"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空电缆等</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12" w:space="0" w:color="000000"/>
            </w:tcBorders>
          </w:tcPr>
          <w:p>
            <w:pPr/>
          </w:p>
        </w:tc>
      </w:tr>
      <w:tr>
        <w:trPr>
          <w:trHeight w:val="956"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105"/>
              <w:jc w:val="left"/>
              <w:rPr>
                <w:rFonts w:ascii="宋体" w:hAnsi="宋体" w:cs="宋体" w:eastAsia="宋体" w:hint="default"/>
                <w:sz w:val="18"/>
                <w:szCs w:val="18"/>
              </w:rPr>
            </w:pPr>
            <w:r>
              <w:rPr>
                <w:rFonts w:ascii="宋体" w:hAnsi="宋体" w:cs="宋体" w:eastAsia="宋体" w:hint="default"/>
                <w:sz w:val="18"/>
                <w:szCs w:val="18"/>
              </w:rPr>
              <w:t>万马联合新能源 投资有限公司</w:t>
            </w:r>
          </w:p>
        </w:tc>
        <w:tc>
          <w:tcPr>
            <w:tcW w:w="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14"/>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1"/>
              <w:ind w:left="104" w:right="30"/>
              <w:jc w:val="left"/>
              <w:rPr>
                <w:rFonts w:ascii="宋体" w:hAnsi="宋体" w:cs="宋体" w:eastAsia="宋体" w:hint="default"/>
                <w:sz w:val="18"/>
                <w:szCs w:val="18"/>
              </w:rPr>
            </w:pPr>
            <w:r>
              <w:rPr>
                <w:rFonts w:ascii="宋体" w:hAnsi="宋体" w:cs="宋体" w:eastAsia="宋体" w:hint="default"/>
                <w:sz w:val="18"/>
                <w:szCs w:val="18"/>
              </w:rPr>
              <w:t>新能源技术、 充电设施运 营等</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0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898,151,49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6.59</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482,883,32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2.29</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122,922,07</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2.31</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-54,256,12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7.95</w:t>
            </w:r>
          </w:p>
        </w:tc>
        <w:tc>
          <w:tcPr>
            <w:tcW w:w="10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-55,365,93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4.70</w:t>
            </w:r>
          </w:p>
        </w:tc>
      </w:tr>
    </w:tbl>
    <w:p>
      <w:pPr>
        <w:pStyle w:val="BodyText"/>
        <w:spacing w:line="240" w:lineRule="auto" w:before="51"/>
        <w:ind w:left="132" w:right="1115"/>
        <w:jc w:val="left"/>
      </w:pPr>
      <w:r>
        <w:rPr/>
        <w:t>报告期内取得和处置子公司的情况</w:t>
      </w:r>
    </w:p>
    <w:p>
      <w:pPr>
        <w:pStyle w:val="BodyText"/>
        <w:spacing w:line="360" w:lineRule="auto" w:before="115"/>
        <w:ind w:left="492" w:right="8234" w:hanging="360"/>
        <w:jc w:val="left"/>
      </w:pPr>
      <w:r>
        <w:rPr/>
        <w:t>□ 适用 √ 不适用 主要控股参股公司情况说明</w:t>
      </w:r>
    </w:p>
    <w:p>
      <w:pPr>
        <w:pStyle w:val="BodyText"/>
        <w:spacing w:line="236" w:lineRule="exact"/>
        <w:ind w:left="492" w:right="0"/>
        <w:jc w:val="left"/>
      </w:pPr>
      <w:r>
        <w:rPr/>
        <w:t>（</w:t>
      </w:r>
      <w:r>
        <w:rPr>
          <w:rFonts w:ascii="Times New Roman" w:hAnsi="Times New Roman" w:cs="Times New Roman" w:eastAsia="Times New Roman" w:hint="default"/>
        </w:rPr>
        <w:t>1</w:t>
      </w:r>
      <w:r>
        <w:rPr/>
        <w:t>）万马高分子本年营业收入同比增长</w:t>
      </w:r>
      <w:r>
        <w:rPr>
          <w:rFonts w:ascii="Times New Roman" w:hAnsi="Times New Roman" w:cs="Times New Roman" w:eastAsia="Times New Roman" w:hint="default"/>
        </w:rPr>
        <w:t>33.42%</w:t>
      </w:r>
      <w:r>
        <w:rPr/>
        <w:t>，营业利润同比增长</w:t>
      </w:r>
      <w:r>
        <w:rPr>
          <w:rFonts w:ascii="Times New Roman" w:hAnsi="Times New Roman" w:cs="Times New Roman" w:eastAsia="Times New Roman" w:hint="default"/>
        </w:rPr>
        <w:t>131.27%</w:t>
      </w:r>
      <w:r>
        <w:rPr/>
        <w:t>，净利润同比增长</w:t>
      </w:r>
      <w:r>
        <w:rPr>
          <w:rFonts w:ascii="Times New Roman" w:hAnsi="Times New Roman" w:cs="Times New Roman" w:eastAsia="Times New Roman" w:hint="default"/>
        </w:rPr>
        <w:t>125.92%</w:t>
      </w:r>
      <w:r>
        <w:rPr/>
        <w:t>，主要系高分子</w:t>
      </w:r>
    </w:p>
    <w:p>
      <w:pPr>
        <w:pStyle w:val="BodyText"/>
        <w:spacing w:line="240" w:lineRule="auto" w:before="63"/>
        <w:ind w:left="132" w:right="1115"/>
        <w:jc w:val="left"/>
      </w:pPr>
      <w:r>
        <w:rPr/>
        <w:t>本期订单量增加，毛利率增长所致。</w:t>
      </w:r>
    </w:p>
    <w:p>
      <w:pPr>
        <w:pStyle w:val="BodyText"/>
        <w:spacing w:line="240" w:lineRule="auto" w:before="76"/>
        <w:ind w:left="492" w:right="1115"/>
        <w:jc w:val="left"/>
      </w:pPr>
      <w:r>
        <w:rPr/>
        <w:t>（</w:t>
      </w:r>
      <w:r>
        <w:rPr>
          <w:rFonts w:ascii="Times New Roman" w:hAnsi="Times New Roman" w:cs="Times New Roman" w:eastAsia="Times New Roman" w:hint="default"/>
        </w:rPr>
        <w:t>2</w:t>
      </w:r>
      <w:r>
        <w:rPr/>
        <w:t>）万马特缆营业利润同比增长</w:t>
      </w:r>
      <w:r>
        <w:rPr>
          <w:rFonts w:ascii="Times New Roman" w:hAnsi="Times New Roman" w:cs="Times New Roman" w:eastAsia="Times New Roman" w:hint="default"/>
        </w:rPr>
        <w:t>73.21%</w:t>
      </w:r>
      <w:r>
        <w:rPr/>
        <w:t>，净利润同比增长</w:t>
      </w:r>
      <w:r>
        <w:rPr>
          <w:rFonts w:ascii="Times New Roman" w:hAnsi="Times New Roman" w:cs="Times New Roman" w:eastAsia="Times New Roman" w:hint="default"/>
        </w:rPr>
        <w:t>74%</w:t>
      </w:r>
      <w:r>
        <w:rPr/>
        <w:t>，主要系本期对高分子投资收益增加所致。</w:t>
      </w:r>
    </w:p>
    <w:p>
      <w:pPr>
        <w:pStyle w:val="BodyText"/>
        <w:spacing w:line="300" w:lineRule="auto" w:before="63"/>
        <w:ind w:left="132" w:right="1139" w:firstLine="360"/>
        <w:jc w:val="left"/>
      </w:pPr>
      <w:r>
        <w:rPr/>
        <w:t>（</w:t>
      </w:r>
      <w:r>
        <w:rPr>
          <w:rFonts w:ascii="Times New Roman" w:hAnsi="Times New Roman" w:cs="Times New Roman" w:eastAsia="Times New Roman" w:hint="default"/>
        </w:rPr>
        <w:t>3</w:t>
      </w:r>
      <w:r>
        <w:rPr/>
        <w:t>）万马电缆本年营业利润较上年同比下降</w:t>
      </w:r>
      <w:r>
        <w:rPr>
          <w:rFonts w:ascii="Times New Roman" w:hAnsi="Times New Roman" w:cs="Times New Roman" w:eastAsia="Times New Roman" w:hint="default"/>
        </w:rPr>
        <w:t>813.67%</w:t>
      </w:r>
      <w:r>
        <w:rPr/>
        <w:t>，净利润同比下降</w:t>
      </w:r>
      <w:r>
        <w:rPr>
          <w:rFonts w:ascii="Times New Roman" w:hAnsi="Times New Roman" w:cs="Times New Roman" w:eastAsia="Times New Roman" w:hint="default"/>
        </w:rPr>
        <w:t>1,883.57%</w:t>
      </w:r>
      <w:r>
        <w:rPr/>
        <w:t>，主要系销售费用、管理费用增加所 致；</w:t>
      </w:r>
    </w:p>
    <w:p>
      <w:pPr>
        <w:pStyle w:val="BodyText"/>
        <w:spacing w:line="300" w:lineRule="auto" w:before="31"/>
        <w:ind w:left="132" w:right="0" w:firstLine="360"/>
        <w:jc w:val="left"/>
      </w:pPr>
      <w:r>
        <w:rPr/>
        <w:t>（</w:t>
      </w:r>
      <w:r>
        <w:rPr>
          <w:rFonts w:ascii="Times New Roman" w:hAnsi="Times New Roman" w:cs="Times New Roman" w:eastAsia="Times New Roman" w:hint="default"/>
        </w:rPr>
        <w:t>4</w:t>
      </w:r>
      <w:r>
        <w:rPr/>
        <w:t>）新能源投资公司营业收入较上年同比增长</w:t>
      </w:r>
      <w:r>
        <w:rPr>
          <w:rFonts w:ascii="Times New Roman" w:hAnsi="Times New Roman" w:cs="Times New Roman" w:eastAsia="Times New Roman" w:hint="default"/>
        </w:rPr>
        <w:t>231.57%</w:t>
      </w:r>
      <w:r>
        <w:rPr/>
        <w:t>，主要系当期充电量增加所致；总资产同比增长</w:t>
      </w:r>
      <w:r>
        <w:rPr>
          <w:rFonts w:ascii="Times New Roman" w:hAnsi="Times New Roman" w:cs="Times New Roman" w:eastAsia="Times New Roman" w:hint="default"/>
        </w:rPr>
        <w:t>81.11%</w:t>
      </w:r>
      <w:r>
        <w:rPr/>
        <w:t>，主要 </w:t>
      </w:r>
      <w:r>
        <w:rPr>
          <w:spacing w:val="-1"/>
        </w:rPr>
        <w:t>系全国充电项目建设投资增加所致；净资产同比增长</w:t>
      </w:r>
      <w:r>
        <w:rPr>
          <w:rFonts w:ascii="Times New Roman" w:hAnsi="Times New Roman" w:cs="Times New Roman" w:eastAsia="Times New Roman" w:hint="default"/>
          <w:spacing w:val="-1"/>
        </w:rPr>
        <w:t>102.68%</w:t>
      </w:r>
      <w:r>
        <w:rPr>
          <w:spacing w:val="-1"/>
        </w:rPr>
        <w:t>，主要系本期万马股份对万马新能源投资公司增资</w:t>
      </w:r>
      <w:r>
        <w:rPr>
          <w:rFonts w:ascii="Times New Roman" w:hAnsi="Times New Roman" w:cs="Times New Roman" w:eastAsia="Times New Roman" w:hint="default"/>
          <w:spacing w:val="-1"/>
        </w:rPr>
        <w:t>3</w:t>
      </w:r>
      <w:r>
        <w:rPr>
          <w:spacing w:val="-1"/>
        </w:rPr>
        <w:t>亿元所致。</w:t>
      </w:r>
    </w:p>
    <w:p>
      <w:pPr>
        <w:spacing w:after="0" w:line="300" w:lineRule="auto"/>
        <w:jc w:val="left"/>
        <w:sectPr>
          <w:type w:val="continuous"/>
          <w:pgSz w:w="11910" w:h="16840"/>
          <w:pgMar w:top="660" w:bottom="700" w:left="1000" w:right="0"/>
        </w:sectPr>
      </w:pPr>
    </w:p>
    <w:p>
      <w:pPr>
        <w:pStyle w:val="Heading2"/>
        <w:spacing w:line="240" w:lineRule="auto" w:before="20"/>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 适用 √ 不适用 " w:id="59"/>
      <w:bookmarkEnd w:id="59"/>
      <w:r>
        <w:rPr/>
      </w:r>
      <w:r>
        <w:rPr>
          <w:rFonts w:ascii="Wingdings 2" w:hAnsi="Wingdings 2" w:cs="Wingdings 2" w:eastAsia="Wingdings 2" w:hint="default"/>
        </w:rPr>
        <w:t></w:t>
      </w:r>
      <w:r>
        <w:rPr>
          <w:rFonts w:ascii="Wingdings 2" w:hAnsi="Wingdings 2" w:cs="Wingdings 2" w:eastAsia="Wingdings 2" w:hint="default"/>
          <w:spacing w:val="-89"/>
        </w:rPr>
        <w:t></w:t>
      </w:r>
      <w:r>
        <w:rPr>
          <w:rFonts w:ascii="Times New Roman" w:hAnsi="Times New Roman" w:cs="Times New Roman" w:eastAsia="Times New Roman" w:hint="default"/>
          <w:spacing w:val="-89"/>
        </w:rPr>
      </w:r>
      <w:r>
        <w:rPr/>
        <w:t>适用</w:t>
      </w:r>
      <w:r>
        <w:rPr>
          <w:spacing w:val="-2"/>
        </w:rPr>
        <w:t> </w:t>
      </w:r>
      <w:r>
        <w:rPr/>
        <w:t>√</w:t>
      </w:r>
      <w:r>
        <w:rPr>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0" w:right="8128"/>
        <w:jc w:val="center"/>
        <w:rPr>
          <w:b w:val="0"/>
          <w:bCs w:val="0"/>
        </w:rPr>
      </w:pPr>
      <w:r>
        <w:rPr/>
        <w:t>（一）行业格局和趋势</w:t>
      </w:r>
      <w:r>
        <w:rPr>
          <w:b w:val="0"/>
          <w:bCs w:val="0"/>
        </w:rPr>
      </w:r>
    </w:p>
    <w:p>
      <w:pPr>
        <w:pStyle w:val="Heading7"/>
        <w:spacing w:line="470" w:lineRule="atLeast" w:before="23"/>
        <w:ind w:left="532" w:right="0"/>
        <w:jc w:val="left"/>
      </w:pPr>
      <w:r>
        <w:rPr>
          <w:rFonts w:ascii="Times New Roman" w:hAnsi="Times New Roman" w:cs="Times New Roman" w:eastAsia="Times New Roman" w:hint="default"/>
          <w:b/>
          <w:bCs/>
        </w:rPr>
        <w:t>1.</w:t>
      </w:r>
      <w:r>
        <w:rPr>
          <w:rFonts w:ascii="宋体" w:hAnsi="宋体" w:cs="宋体" w:eastAsia="宋体" w:hint="default"/>
          <w:b/>
          <w:bCs/>
        </w:rPr>
        <w:t>电线电缆行业</w:t>
      </w:r>
      <w:r>
        <w:rPr>
          <w:rFonts w:ascii="宋体" w:hAnsi="宋体" w:cs="宋体" w:eastAsia="宋体" w:hint="default"/>
          <w:b/>
          <w:bCs/>
          <w:w w:val="99"/>
        </w:rPr>
        <w:t> </w:t>
      </w:r>
      <w:r>
        <w:rPr/>
        <w:t>根据国家电网公司发布的社会责任报告，国家电网对电网投资已连续</w:t>
      </w:r>
      <w:r>
        <w:rPr>
          <w:rFonts w:ascii="Times New Roman" w:hAnsi="Times New Roman" w:cs="Times New Roman" w:eastAsia="Times New Roman" w:hint="default"/>
        </w:rPr>
        <w:t>5</w:t>
      </w:r>
      <w:r>
        <w:rPr/>
        <w:t>年保持</w:t>
      </w:r>
      <w:r>
        <w:rPr>
          <w:rFonts w:ascii="Times New Roman" w:hAnsi="Times New Roman" w:cs="Times New Roman" w:eastAsia="Times New Roman" w:hint="default"/>
        </w:rPr>
        <w:t>4,000</w:t>
      </w:r>
      <w:r>
        <w:rPr/>
        <w:t>亿元以上，并承诺</w:t>
      </w:r>
    </w:p>
    <w:p>
      <w:pPr>
        <w:pStyle w:val="Heading7"/>
        <w:spacing w:line="266" w:lineRule="auto" w:before="28"/>
        <w:ind w:right="0"/>
        <w:jc w:val="left"/>
      </w:pPr>
      <w:r>
        <w:rPr>
          <w:rFonts w:ascii="Times New Roman" w:hAnsi="Times New Roman" w:cs="Times New Roman" w:eastAsia="Times New Roman" w:hint="default"/>
          <w:spacing w:val="-1"/>
          <w:w w:val="95"/>
        </w:rPr>
        <w:t>2019</w:t>
      </w:r>
      <w:r>
        <w:rPr>
          <w:spacing w:val="-1"/>
          <w:w w:val="95"/>
        </w:rPr>
        <w:t>年电网投资将首次超过</w:t>
      </w:r>
      <w:r>
        <w:rPr>
          <w:rFonts w:ascii="Times New Roman" w:hAnsi="Times New Roman" w:cs="Times New Roman" w:eastAsia="Times New Roman" w:hint="default"/>
          <w:spacing w:val="-1"/>
          <w:w w:val="95"/>
        </w:rPr>
        <w:t>5,000</w:t>
      </w:r>
      <w:r>
        <w:rPr>
          <w:spacing w:val="-1"/>
          <w:w w:val="95"/>
        </w:rPr>
        <w:t>亿元，达到</w:t>
      </w:r>
      <w:r>
        <w:rPr>
          <w:rFonts w:ascii="Times New Roman" w:hAnsi="Times New Roman" w:cs="Times New Roman" w:eastAsia="Times New Roman" w:hint="default"/>
          <w:spacing w:val="-1"/>
          <w:w w:val="95"/>
        </w:rPr>
        <w:t>5,126</w:t>
      </w:r>
      <w:r>
        <w:rPr>
          <w:spacing w:val="-1"/>
          <w:w w:val="95"/>
        </w:rPr>
        <w:t>亿元，较</w:t>
      </w:r>
      <w:r>
        <w:rPr>
          <w:rFonts w:ascii="Times New Roman" w:hAnsi="Times New Roman" w:cs="Times New Roman" w:eastAsia="Times New Roman" w:hint="default"/>
          <w:spacing w:val="-1"/>
          <w:w w:val="95"/>
        </w:rPr>
        <w:t>2018</w:t>
      </w:r>
      <w:r>
        <w:rPr>
          <w:spacing w:val="-1"/>
          <w:w w:val="95"/>
        </w:rPr>
        <w:t>年完成投资额（</w:t>
      </w:r>
      <w:r>
        <w:rPr>
          <w:rFonts w:ascii="Times New Roman" w:hAnsi="Times New Roman" w:cs="Times New Roman" w:eastAsia="Times New Roman" w:hint="default"/>
          <w:spacing w:val="-1"/>
          <w:w w:val="95"/>
        </w:rPr>
        <w:t>4,889</w:t>
      </w:r>
      <w:r>
        <w:rPr>
          <w:spacing w:val="-1"/>
          <w:w w:val="95"/>
        </w:rPr>
        <w:t>亿元）增加</w:t>
      </w:r>
      <w:r>
        <w:rPr>
          <w:rFonts w:ascii="Times New Roman" w:hAnsi="Times New Roman" w:cs="Times New Roman" w:eastAsia="Times New Roman" w:hint="default"/>
          <w:spacing w:val="-1"/>
          <w:w w:val="95"/>
        </w:rPr>
        <w:t>4.85%</w:t>
      </w:r>
      <w:r>
        <w:rPr>
          <w:spacing w:val="-1"/>
          <w:w w:val="95"/>
        </w:rPr>
        <w:t>。这</w:t>
      </w:r>
      <w:r>
        <w:rPr>
          <w:spacing w:val="41"/>
          <w:w w:val="95"/>
        </w:rPr>
        <w:t> </w:t>
      </w:r>
      <w:r>
        <w:rPr>
          <w:spacing w:val="41"/>
          <w:w w:val="95"/>
        </w:rPr>
      </w:r>
      <w:r>
        <w:rPr/>
        <w:t>为</w:t>
      </w:r>
      <w:r>
        <w:rPr>
          <w:rFonts w:ascii="Times New Roman" w:hAnsi="Times New Roman" w:cs="Times New Roman" w:eastAsia="Times New Roman" w:hint="default"/>
        </w:rPr>
        <w:t>2019</w:t>
      </w:r>
      <w:r>
        <w:rPr/>
        <w:t>年电线电缆行业的发展提供了充足的市场需求。</w:t>
      </w:r>
    </w:p>
    <w:p>
      <w:pPr>
        <w:pStyle w:val="Heading7"/>
        <w:spacing w:line="264" w:lineRule="auto" w:before="159"/>
        <w:ind w:right="1131" w:firstLine="420"/>
        <w:jc w:val="both"/>
      </w:pPr>
      <w:r>
        <w:rPr>
          <w:rFonts w:ascii="Times New Roman" w:hAnsi="Times New Roman" w:cs="Times New Roman" w:eastAsia="Times New Roman" w:hint="default"/>
          <w:spacing w:val="2"/>
          <w:w w:val="95"/>
        </w:rPr>
        <w:t>2018</w:t>
      </w:r>
      <w:r>
        <w:rPr>
          <w:spacing w:val="2"/>
          <w:w w:val="95"/>
        </w:rPr>
        <w:t>年下半年，我国以特高压为主的电网建设再次提速。</w:t>
      </w:r>
      <w:r>
        <w:rPr>
          <w:rFonts w:ascii="Times New Roman" w:hAnsi="Times New Roman" w:cs="Times New Roman" w:eastAsia="Times New Roman" w:hint="default"/>
          <w:spacing w:val="2"/>
          <w:w w:val="95"/>
        </w:rPr>
        <w:t>9</w:t>
      </w:r>
      <w:r>
        <w:rPr>
          <w:spacing w:val="2"/>
          <w:w w:val="95"/>
        </w:rPr>
        <w:t>月，国家能源局提出加快推进九项输配电</w:t>
      </w:r>
      <w:r>
        <w:rPr>
          <w:spacing w:val="-88"/>
          <w:w w:val="95"/>
        </w:rPr>
        <w:t> </w:t>
      </w:r>
      <w:r>
        <w:rPr>
          <w:spacing w:val="-88"/>
          <w:w w:val="95"/>
        </w:rPr>
      </w:r>
      <w:r>
        <w:rPr>
          <w:spacing w:val="-5"/>
          <w:w w:val="95"/>
        </w:rPr>
        <w:t>重点工程，共涉及“七交五直” </w:t>
      </w:r>
      <w:r>
        <w:rPr>
          <w:rFonts w:ascii="Times New Roman" w:hAnsi="Times New Roman" w:cs="Times New Roman" w:eastAsia="Times New Roman" w:hint="default"/>
          <w:w w:val="95"/>
        </w:rPr>
        <w:t>12</w:t>
      </w:r>
      <w:r>
        <w:rPr>
          <w:w w:val="95"/>
        </w:rPr>
        <w:t>条特高压线路，预计在</w:t>
      </w:r>
      <w:r>
        <w:rPr>
          <w:rFonts w:ascii="Times New Roman" w:hAnsi="Times New Roman" w:cs="Times New Roman" w:eastAsia="Times New Roman" w:hint="default"/>
          <w:w w:val="95"/>
        </w:rPr>
        <w:t>2018</w:t>
      </w:r>
      <w:r>
        <w:rPr>
          <w:w w:val="95"/>
        </w:rPr>
        <w:t>年四季度至</w:t>
      </w:r>
      <w:r>
        <w:rPr>
          <w:rFonts w:ascii="Times New Roman" w:hAnsi="Times New Roman" w:cs="Times New Roman" w:eastAsia="Times New Roman" w:hint="default"/>
          <w:w w:val="95"/>
        </w:rPr>
        <w:t>2019</w:t>
      </w:r>
      <w:r>
        <w:rPr>
          <w:w w:val="95"/>
        </w:rPr>
        <w:t>年开工，涉及资金或近</w:t>
      </w:r>
      <w:r>
        <w:rPr>
          <w:rFonts w:ascii="Times New Roman" w:hAnsi="Times New Roman" w:cs="Times New Roman" w:eastAsia="Times New Roman" w:hint="default"/>
          <w:w w:val="95"/>
        </w:rPr>
        <w:t>2,000</w:t>
      </w:r>
      <w:r>
        <w:rPr>
          <w:rFonts w:ascii="Times New Roman" w:hAnsi="Times New Roman" w:cs="Times New Roman" w:eastAsia="Times New Roman" w:hint="default"/>
          <w:spacing w:val="31"/>
          <w:w w:val="95"/>
        </w:rPr>
        <w:t> </w:t>
      </w:r>
      <w:r>
        <w:rPr>
          <w:rFonts w:ascii="Times New Roman" w:hAnsi="Times New Roman" w:cs="Times New Roman" w:eastAsia="Times New Roman" w:hint="default"/>
          <w:spacing w:val="31"/>
          <w:w w:val="95"/>
        </w:rPr>
      </w:r>
      <w:r>
        <w:rPr>
          <w:w w:val="95"/>
        </w:rPr>
        <w:t>亿元。</w:t>
      </w:r>
      <w:r>
        <w:rPr>
          <w:rFonts w:ascii="Times New Roman" w:hAnsi="Times New Roman" w:cs="Times New Roman" w:eastAsia="Times New Roman" w:hint="default"/>
          <w:w w:val="95"/>
        </w:rPr>
        <w:t>12</w:t>
      </w:r>
      <w:r>
        <w:rPr>
          <w:w w:val="95"/>
        </w:rPr>
        <w:t>月，国家电网宣布，将向社会资本首次开放特高压建设投资，在特高压带动下电网投资将保持企</w:t>
      </w:r>
      <w:r>
        <w:rPr>
          <w:spacing w:val="41"/>
          <w:w w:val="95"/>
        </w:rPr>
        <w:t> </w:t>
      </w:r>
      <w:r>
        <w:rPr>
          <w:spacing w:val="41"/>
          <w:w w:val="95"/>
        </w:rPr>
      </w:r>
      <w:r>
        <w:rPr/>
        <w:t>稳回升。</w:t>
      </w:r>
    </w:p>
    <w:p>
      <w:pPr>
        <w:spacing w:line="478" w:lineRule="exact" w:before="42"/>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）智能电网、核电、风电、铁路建设，推动特种电缆市场需求。</w:t>
      </w:r>
      <w:r>
        <w:rPr>
          <w:rFonts w:ascii="宋体" w:hAnsi="宋体" w:cs="宋体" w:eastAsia="宋体" w:hint="default"/>
          <w:b/>
          <w:bCs/>
          <w:w w:val="99"/>
          <w:sz w:val="21"/>
          <w:szCs w:val="21"/>
        </w:rPr>
        <w:t> </w:t>
      </w:r>
      <w:r>
        <w:rPr>
          <w:rFonts w:ascii="宋体" w:hAnsi="宋体" w:cs="宋体" w:eastAsia="宋体" w:hint="default"/>
          <w:w w:val="95"/>
          <w:sz w:val="21"/>
          <w:szCs w:val="21"/>
        </w:rPr>
        <w:t>国家发改委、能源局联合发布的《关于促进智能电网发展的指导意见》提出，到</w:t>
      </w:r>
      <w:r>
        <w:rPr>
          <w:rFonts w:ascii="Times New Roman" w:hAnsi="Times New Roman" w:cs="Times New Roman" w:eastAsia="Times New Roman" w:hint="default"/>
          <w:w w:val="95"/>
          <w:sz w:val="21"/>
          <w:szCs w:val="21"/>
        </w:rPr>
        <w:t>2020</w:t>
      </w:r>
      <w:r>
        <w:rPr>
          <w:rFonts w:ascii="宋体" w:hAnsi="宋体" w:cs="宋体" w:eastAsia="宋体" w:hint="default"/>
          <w:w w:val="95"/>
          <w:sz w:val="21"/>
          <w:szCs w:val="21"/>
        </w:rPr>
        <w:t>年，初步建成安</w:t>
      </w:r>
      <w:r>
        <w:rPr>
          <w:rFonts w:ascii="宋体" w:hAnsi="宋体" w:cs="宋体" w:eastAsia="宋体" w:hint="default"/>
          <w:sz w:val="21"/>
          <w:szCs w:val="21"/>
        </w:rPr>
      </w:r>
    </w:p>
    <w:p>
      <w:pPr>
        <w:pStyle w:val="Heading7"/>
        <w:spacing w:line="253" w:lineRule="exact"/>
        <w:ind w:right="0"/>
        <w:jc w:val="left"/>
      </w:pPr>
      <w:r>
        <w:rPr/>
        <w:t>全可靠、开放兼容、双向互动、高效经济、清洁环保的智能电网体系，满足电源开发和用户需求，全面支</w:t>
      </w:r>
    </w:p>
    <w:p>
      <w:pPr>
        <w:pStyle w:val="Heading7"/>
        <w:spacing w:line="280" w:lineRule="auto" w:before="44"/>
        <w:ind w:right="0"/>
        <w:jc w:val="left"/>
      </w:pPr>
      <w:r>
        <w:rPr>
          <w:w w:val="95"/>
        </w:rPr>
        <w:t>撑现代能源体系建设，推动我国能源生产和消费革命；带动战略性新兴产业发展，形成有国际竞争力的智</w:t>
      </w:r>
      <w:r>
        <w:rPr>
          <w:spacing w:val="43"/>
          <w:w w:val="95"/>
        </w:rPr>
        <w:t> </w:t>
      </w:r>
      <w:r>
        <w:rPr>
          <w:spacing w:val="43"/>
          <w:w w:val="95"/>
        </w:rPr>
      </w:r>
      <w:r>
        <w:rPr/>
        <w:t>能电网装备体系。</w:t>
      </w:r>
    </w:p>
    <w:p>
      <w:pPr>
        <w:pStyle w:val="Heading7"/>
        <w:spacing w:line="264" w:lineRule="auto" w:before="164"/>
        <w:ind w:right="1126" w:firstLine="420"/>
        <w:jc w:val="both"/>
      </w:pPr>
      <w:r>
        <w:rPr>
          <w:rFonts w:ascii="宋体" w:hAnsi="宋体" w:cs="宋体" w:eastAsia="宋体" w:hint="default"/>
          <w:b/>
          <w:bCs/>
          <w:spacing w:val="-4"/>
          <w:w w:val="95"/>
        </w:rPr>
        <w:t>新能源电缆。</w:t>
      </w:r>
      <w:r>
        <w:rPr>
          <w:spacing w:val="-4"/>
          <w:w w:val="95"/>
        </w:rPr>
        <w:t>国家能源局数据显示，</w:t>
      </w:r>
      <w:r>
        <w:rPr>
          <w:rFonts w:ascii="Times New Roman" w:hAnsi="Times New Roman" w:cs="Times New Roman" w:eastAsia="Times New Roman" w:hint="default"/>
          <w:spacing w:val="-4"/>
          <w:w w:val="95"/>
        </w:rPr>
        <w:t>2018</w:t>
      </w:r>
      <w:r>
        <w:rPr>
          <w:spacing w:val="-4"/>
          <w:w w:val="95"/>
        </w:rPr>
        <w:t>年全国风电新增装机</w:t>
      </w:r>
      <w:r>
        <w:rPr>
          <w:rFonts w:ascii="Times New Roman" w:hAnsi="Times New Roman" w:cs="Times New Roman" w:eastAsia="Times New Roman" w:hint="default"/>
          <w:spacing w:val="-4"/>
          <w:w w:val="95"/>
        </w:rPr>
        <w:t>2,059</w:t>
      </w:r>
      <w:r>
        <w:rPr>
          <w:spacing w:val="-4"/>
          <w:w w:val="95"/>
        </w:rPr>
        <w:t>万千瓦，累计并网装机容量达到</w:t>
      </w:r>
      <w:r>
        <w:rPr>
          <w:rFonts w:ascii="Times New Roman" w:hAnsi="Times New Roman" w:cs="Times New Roman" w:eastAsia="Times New Roman" w:hint="default"/>
          <w:spacing w:val="-4"/>
          <w:w w:val="95"/>
        </w:rPr>
        <w:t>1.84</w:t>
      </w:r>
      <w:r>
        <w:rPr>
          <w:rFonts w:ascii="Times New Roman" w:hAnsi="Times New Roman" w:cs="Times New Roman" w:eastAsia="Times New Roman" w:hint="default"/>
          <w:spacing w:val="-40"/>
          <w:w w:val="95"/>
        </w:rPr>
        <w:t> </w:t>
      </w:r>
      <w:r>
        <w:rPr>
          <w:rFonts w:ascii="Times New Roman" w:hAnsi="Times New Roman" w:cs="Times New Roman" w:eastAsia="Times New Roman" w:hint="default"/>
          <w:spacing w:val="-40"/>
          <w:w w:val="95"/>
        </w:rPr>
      </w:r>
      <w:r>
        <w:rPr>
          <w:spacing w:val="-3"/>
          <w:w w:val="99"/>
        </w:rPr>
        <w:t>亿千瓦，同比增长</w:t>
      </w:r>
      <w:r>
        <w:rPr>
          <w:rFonts w:ascii="Times New Roman" w:hAnsi="Times New Roman" w:cs="Times New Roman" w:eastAsia="Times New Roman" w:hint="default"/>
          <w:spacing w:val="-3"/>
          <w:w w:val="99"/>
        </w:rPr>
        <w:t>12.4%</w:t>
      </w:r>
      <w:r>
        <w:rPr>
          <w:spacing w:val="-3"/>
          <w:w w:val="99"/>
        </w:rPr>
        <w:t>。《中国可再生能源展望</w:t>
      </w:r>
      <w:r>
        <w:rPr>
          <w:rFonts w:ascii="Times New Roman" w:hAnsi="Times New Roman" w:cs="Times New Roman" w:eastAsia="Times New Roman" w:hint="default"/>
          <w:spacing w:val="-3"/>
          <w:w w:val="99"/>
        </w:rPr>
        <w:t>2017</w:t>
      </w:r>
      <w:r>
        <w:rPr>
          <w:spacing w:val="-3"/>
          <w:w w:val="99"/>
        </w:rPr>
        <w:t>》提出了大力发展风电的举措，并提出到</w:t>
      </w:r>
      <w:r>
        <w:rPr>
          <w:rFonts w:ascii="Times New Roman" w:hAnsi="Times New Roman" w:cs="Times New Roman" w:eastAsia="Times New Roman" w:hint="default"/>
          <w:spacing w:val="-3"/>
          <w:w w:val="99"/>
        </w:rPr>
        <w:t>2020</w:t>
      </w:r>
      <w:r>
        <w:rPr>
          <w:spacing w:val="-3"/>
          <w:w w:val="99"/>
        </w:rPr>
        <w:t>年风电</w:t>
      </w:r>
      <w:r>
        <w:rPr>
          <w:spacing w:val="-64"/>
          <w:w w:val="99"/>
        </w:rPr>
        <w:t> </w:t>
      </w:r>
      <w:r>
        <w:rPr>
          <w:spacing w:val="-64"/>
          <w:w w:val="99"/>
        </w:rPr>
      </w:r>
      <w:r>
        <w:rPr/>
        <w:t>装机量增至</w:t>
      </w:r>
      <w:r>
        <w:rPr>
          <w:rFonts w:ascii="Times New Roman" w:hAnsi="Times New Roman" w:cs="Times New Roman" w:eastAsia="Times New Roman" w:hint="default"/>
        </w:rPr>
        <w:t>3.5</w:t>
      </w:r>
      <w:r>
        <w:rPr/>
        <w:t>亿千瓦，我国风电正处于加速发展期。</w:t>
      </w:r>
    </w:p>
    <w:p>
      <w:pPr>
        <w:pStyle w:val="Heading7"/>
        <w:spacing w:line="271" w:lineRule="auto" w:before="161"/>
        <w:ind w:right="1025" w:firstLine="420"/>
        <w:jc w:val="left"/>
      </w:pPr>
      <w:r>
        <w:rPr>
          <w:rFonts w:ascii="宋体" w:hAnsi="宋体" w:cs="宋体" w:eastAsia="宋体" w:hint="default"/>
          <w:b/>
          <w:bCs/>
        </w:rPr>
        <w:t>机车车辆电缆。</w:t>
      </w:r>
      <w:r>
        <w:rPr/>
        <w:t>电气化铁路牵引功率大、节能环保、能大幅度提高运输能力和速度具有技术、经济、</w:t>
      </w:r>
      <w:r>
        <w:rPr>
          <w:w w:val="99"/>
        </w:rPr>
        <w:t> </w:t>
      </w:r>
      <w:r>
        <w:rPr>
          <w:w w:val="95"/>
        </w:rPr>
        <w:t>环保方面的优越性，是各国铁路优先发展的铁路牵引动力方式。</w:t>
      </w:r>
      <w:r>
        <w:rPr>
          <w:rFonts w:ascii="Times New Roman" w:hAnsi="Times New Roman" w:cs="Times New Roman" w:eastAsia="Times New Roman" w:hint="default"/>
          <w:w w:val="95"/>
        </w:rPr>
        <w:t>2018</w:t>
      </w:r>
      <w:r>
        <w:rPr>
          <w:w w:val="95"/>
        </w:rPr>
        <w:t>年，我国铁路固定资产投资完成</w:t>
      </w:r>
      <w:r>
        <w:rPr>
          <w:rFonts w:ascii="Times New Roman" w:hAnsi="Times New Roman" w:cs="Times New Roman" w:eastAsia="Times New Roman" w:hint="default"/>
          <w:w w:val="95"/>
        </w:rPr>
        <w:t>8,028</w:t>
      </w:r>
      <w:r>
        <w:rPr>
          <w:rFonts w:ascii="Times New Roman" w:hAnsi="Times New Roman" w:cs="Times New Roman" w:eastAsia="Times New Roman" w:hint="default"/>
          <w:spacing w:val="40"/>
          <w:w w:val="95"/>
        </w:rPr>
        <w:t> </w:t>
      </w:r>
      <w:r>
        <w:rPr>
          <w:rFonts w:ascii="Times New Roman" w:hAnsi="Times New Roman" w:cs="Times New Roman" w:eastAsia="Times New Roman" w:hint="default"/>
          <w:spacing w:val="40"/>
          <w:w w:val="95"/>
        </w:rPr>
      </w:r>
      <w:r>
        <w:rPr>
          <w:spacing w:val="-2"/>
          <w:w w:val="95"/>
        </w:rPr>
        <w:t>亿元，新建铁路里程</w:t>
      </w:r>
      <w:r>
        <w:rPr>
          <w:rFonts w:ascii="Times New Roman" w:hAnsi="Times New Roman" w:cs="Times New Roman" w:eastAsia="Times New Roman" w:hint="default"/>
          <w:spacing w:val="-2"/>
          <w:w w:val="95"/>
        </w:rPr>
        <w:t>4,683</w:t>
      </w:r>
      <w:r>
        <w:rPr>
          <w:spacing w:val="-2"/>
          <w:w w:val="95"/>
        </w:rPr>
        <w:t>公里，累计达到</w:t>
      </w:r>
      <w:r>
        <w:rPr>
          <w:rFonts w:ascii="Times New Roman" w:hAnsi="Times New Roman" w:cs="Times New Roman" w:eastAsia="Times New Roman" w:hint="default"/>
          <w:spacing w:val="-2"/>
          <w:w w:val="95"/>
        </w:rPr>
        <w:t>13.1</w:t>
      </w:r>
      <w:r>
        <w:rPr>
          <w:spacing w:val="-2"/>
          <w:w w:val="95"/>
        </w:rPr>
        <w:t>万公里。</w:t>
      </w:r>
      <w:r>
        <w:rPr>
          <w:rFonts w:ascii="Times New Roman" w:hAnsi="Times New Roman" w:cs="Times New Roman" w:eastAsia="Times New Roman" w:hint="default"/>
          <w:spacing w:val="-2"/>
          <w:w w:val="95"/>
        </w:rPr>
        <w:t>2019</w:t>
      </w:r>
      <w:r>
        <w:rPr>
          <w:spacing w:val="-2"/>
          <w:w w:val="95"/>
        </w:rPr>
        <w:t>年，全国铁路固定资产投资继续保持强度规模，</w:t>
      </w:r>
      <w:r>
        <w:rPr>
          <w:spacing w:val="53"/>
          <w:w w:val="95"/>
        </w:rPr>
        <w:t> </w:t>
      </w:r>
      <w:r>
        <w:rPr>
          <w:spacing w:val="53"/>
          <w:w w:val="95"/>
        </w:rPr>
      </w:r>
      <w:r>
        <w:rPr>
          <w:w w:val="95"/>
        </w:rPr>
        <w:t>计划投产新线</w:t>
      </w:r>
      <w:r>
        <w:rPr>
          <w:rFonts w:ascii="Times New Roman" w:hAnsi="Times New Roman" w:cs="Times New Roman" w:eastAsia="Times New Roman" w:hint="default"/>
          <w:w w:val="95"/>
        </w:rPr>
        <w:t>6,800</w:t>
      </w:r>
      <w:r>
        <w:rPr>
          <w:w w:val="95"/>
        </w:rPr>
        <w:t>公里。机车车辆用电力电缆是电气化铁路牵引供电系统的重要组成部分，高质量的机车</w:t>
      </w:r>
      <w:r>
        <w:rPr>
          <w:spacing w:val="92"/>
          <w:w w:val="95"/>
        </w:rPr>
        <w:t> </w:t>
      </w:r>
      <w:r>
        <w:rPr>
          <w:spacing w:val="92"/>
          <w:w w:val="95"/>
        </w:rPr>
      </w:r>
      <w:r>
        <w:rPr>
          <w:spacing w:val="-3"/>
        </w:rPr>
        <w:t>车辆用电力电缆是电气化铁路中电力机车可靠运行的重要保障。因此，为满足国内铁路电气化改造的需求，</w:t>
      </w:r>
      <w:r>
        <w:rPr>
          <w:w w:val="99"/>
        </w:rPr>
        <w:t> </w:t>
      </w:r>
      <w:r>
        <w:rPr/>
        <w:t>机车车辆用电力电缆市场前景可观。</w:t>
      </w:r>
    </w:p>
    <w:p>
      <w:pPr>
        <w:pStyle w:val="Heading7"/>
        <w:spacing w:line="278" w:lineRule="auto" w:before="173"/>
        <w:ind w:right="1100" w:firstLine="420"/>
        <w:jc w:val="both"/>
      </w:pPr>
      <w:r>
        <w:rPr>
          <w:rFonts w:ascii="宋体" w:hAnsi="宋体" w:cs="宋体" w:eastAsia="宋体" w:hint="default"/>
          <w:b/>
          <w:bCs/>
        </w:rPr>
        <w:t>其他特种电缆。</w:t>
      </w:r>
      <w:r>
        <w:rPr/>
        <w:t>智能电网、新能源等建设都需要用到大量的特种电缆。此外，船用电缆、汽车电线、</w:t>
      </w:r>
      <w:r>
        <w:rPr>
          <w:w w:val="99"/>
        </w:rPr>
        <w:t> </w:t>
      </w:r>
      <w:r>
        <w:rPr/>
        <w:t>矿用电缆、飞机电缆等特种电缆的需求，更以每年上万千米的速度增长。</w:t>
      </w:r>
    </w:p>
    <w:p>
      <w:pPr>
        <w:pStyle w:val="Heading6"/>
        <w:spacing w:line="240" w:lineRule="auto" w:before="169"/>
        <w:ind w:left="535" w:right="0"/>
        <w:jc w:val="left"/>
        <w:rPr>
          <w:b w:val="0"/>
          <w:bCs w:val="0"/>
        </w:rPr>
      </w:pPr>
      <w:r>
        <w:rPr/>
        <w:t>（</w:t>
      </w:r>
      <w:r>
        <w:rPr>
          <w:rFonts w:ascii="Times New Roman" w:hAnsi="Times New Roman" w:cs="Times New Roman" w:eastAsia="Times New Roman" w:hint="default"/>
        </w:rPr>
        <w:t>2</w:t>
      </w:r>
      <w:r>
        <w:rPr/>
        <w:t>）国家“一带一路”战略为电线电缆行业带来发展机遇。</w:t>
      </w:r>
      <w:r>
        <w:rPr>
          <w:b w:val="0"/>
          <w:bCs w:val="0"/>
        </w:rPr>
      </w:r>
    </w:p>
    <w:p>
      <w:pPr>
        <w:pStyle w:val="Heading7"/>
        <w:spacing w:line="264" w:lineRule="auto" w:before="184"/>
        <w:ind w:right="0" w:firstLine="525"/>
        <w:jc w:val="left"/>
      </w:pPr>
      <w:r>
        <w:rPr>
          <w:rFonts w:ascii="Times New Roman" w:hAnsi="Times New Roman" w:cs="Times New Roman" w:eastAsia="Times New Roman" w:hint="default"/>
          <w:w w:val="95"/>
        </w:rPr>
        <w:t>“</w:t>
      </w:r>
      <w:r>
        <w:rPr>
          <w:w w:val="95"/>
        </w:rPr>
        <w:t>一带一路”的战略核心是国家的互联互通，电线电缆作为电力设备的重要组成部分，公司也将受益</w:t>
      </w:r>
      <w:r>
        <w:rPr>
          <w:w w:val="99"/>
        </w:rPr>
        <w:t> </w:t>
      </w:r>
      <w:r>
        <w:rPr/>
        <w:t>于“一带一路”战略的实施。</w:t>
      </w:r>
    </w:p>
    <w:p>
      <w:pPr>
        <w:spacing w:line="240" w:lineRule="auto" w:before="12"/>
        <w:rPr>
          <w:rFonts w:ascii="宋体" w:hAnsi="宋体" w:cs="宋体" w:eastAsia="宋体" w:hint="default"/>
          <w:sz w:val="13"/>
          <w:szCs w:val="13"/>
        </w:rPr>
      </w:pPr>
    </w:p>
    <w:p>
      <w:pPr>
        <w:pStyle w:val="Heading7"/>
        <w:spacing w:line="278" w:lineRule="auto"/>
        <w:ind w:right="1130" w:firstLine="420"/>
        <w:jc w:val="both"/>
      </w:pPr>
      <w:r>
        <w:rPr>
          <w:w w:val="95"/>
        </w:rPr>
        <w:t>《中共中央关于制定国民经济和社会发展第十三个五年规划的建议》指出，十三五期间，将继续支持</w:t>
      </w:r>
      <w:r>
        <w:rPr>
          <w:w w:val="99"/>
        </w:rPr>
        <w:t> </w:t>
      </w:r>
      <w:r>
        <w:rPr>
          <w:w w:val="95"/>
        </w:rPr>
        <w:t>企业扩大对外投资，推动装备、技术、标准、服务走出去，深度融入全球产业链、价值链、物流链，建设</w:t>
      </w:r>
      <w:r>
        <w:rPr>
          <w:spacing w:val="42"/>
          <w:w w:val="95"/>
        </w:rPr>
        <w:t> </w:t>
      </w:r>
      <w:r>
        <w:rPr>
          <w:spacing w:val="42"/>
          <w:w w:val="95"/>
        </w:rPr>
      </w:r>
      <w:r>
        <w:rPr/>
        <w:t>一批大宗商品境外生产基地，培育一批跨国企业。积极搭建国际产能和装备制造合作金融服务平台。</w:t>
      </w:r>
    </w:p>
    <w:p>
      <w:pPr>
        <w:spacing w:after="0" w:line="278" w:lineRule="auto"/>
        <w:jc w:val="both"/>
        <w:sectPr>
          <w:headerReference w:type="default" r:id="rId25"/>
          <w:pgSz w:w="11910" w:h="16840"/>
          <w:pgMar w:header="890" w:footer="1012" w:top="1420" w:bottom="1200" w:left="1020" w:right="0"/>
        </w:sectPr>
      </w:pPr>
    </w:p>
    <w:p>
      <w:pPr>
        <w:pStyle w:val="Heading7"/>
        <w:spacing w:line="278" w:lineRule="auto" w:before="67"/>
        <w:ind w:right="1132" w:firstLine="420"/>
        <w:jc w:val="both"/>
      </w:pPr>
      <w:r>
        <w:rPr>
          <w:w w:val="95"/>
        </w:rPr>
        <w:t>随着国家“一带一路”战略和走出去战略的实施，海外市场的拓展将迎来一个新的时期，电线电缆行</w:t>
      </w:r>
      <w:r>
        <w:rPr>
          <w:w w:val="99"/>
        </w:rPr>
        <w:t> </w:t>
      </w:r>
      <w:r>
        <w:rPr/>
        <w:t>业将获得更多新的机遇。</w:t>
      </w:r>
    </w:p>
    <w:p>
      <w:pPr>
        <w:spacing w:line="460" w:lineRule="atLeast" w:before="0"/>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）全球能源互联网建设，城镇化的推进，为电线电缆行业发展开启广阔市场。</w:t>
      </w:r>
      <w:r>
        <w:rPr>
          <w:rFonts w:ascii="宋体" w:hAnsi="宋体" w:cs="宋体" w:eastAsia="宋体" w:hint="default"/>
          <w:b/>
          <w:bCs/>
          <w:w w:val="99"/>
          <w:sz w:val="21"/>
          <w:szCs w:val="21"/>
        </w:rPr>
        <w:t> </w:t>
      </w:r>
      <w:r>
        <w:rPr>
          <w:rFonts w:ascii="宋体" w:hAnsi="宋体" w:cs="宋体" w:eastAsia="宋体" w:hint="default"/>
          <w:w w:val="95"/>
          <w:sz w:val="21"/>
          <w:szCs w:val="21"/>
        </w:rPr>
        <w:t>中国电力企业联合会理事长刘振亚提出的全球能源互联网，是以特高压电网为骨干网架、以各国泛在</w:t>
      </w:r>
      <w:r>
        <w:rPr>
          <w:rFonts w:ascii="宋体" w:hAnsi="宋体" w:cs="宋体" w:eastAsia="宋体" w:hint="default"/>
          <w:sz w:val="21"/>
          <w:szCs w:val="21"/>
        </w:rPr>
      </w:r>
    </w:p>
    <w:p>
      <w:pPr>
        <w:pStyle w:val="Heading7"/>
        <w:spacing w:line="271" w:lineRule="auto" w:before="44"/>
        <w:ind w:right="1124"/>
        <w:jc w:val="both"/>
      </w:pPr>
      <w:r>
        <w:rPr>
          <w:w w:val="95"/>
        </w:rPr>
        <w:t>智能电网为基础、以输送清洁能源为主导的全球能源配置平台。构建全球能源互联网，大规模实施‘两个</w:t>
      </w:r>
      <w:r>
        <w:rPr>
          <w:spacing w:val="43"/>
          <w:w w:val="95"/>
        </w:rPr>
        <w:t> </w:t>
      </w:r>
      <w:r>
        <w:rPr>
          <w:spacing w:val="43"/>
          <w:w w:val="95"/>
        </w:rPr>
      </w:r>
      <w:r>
        <w:rPr>
          <w:w w:val="95"/>
        </w:rPr>
        <w:t>替代’——清洁替代和电能替代，是实现世界能源可持续发展的必由之路，是破解化石能源困局的治本之</w:t>
      </w:r>
      <w:r>
        <w:rPr>
          <w:spacing w:val="40"/>
          <w:w w:val="95"/>
        </w:rPr>
        <w:t> </w:t>
      </w:r>
      <w:r>
        <w:rPr>
          <w:spacing w:val="40"/>
          <w:w w:val="95"/>
        </w:rPr>
      </w:r>
      <w:r>
        <w:rPr>
          <w:spacing w:val="-2"/>
          <w:w w:val="99"/>
        </w:rPr>
        <w:t>策。</w:t>
      </w:r>
      <w:r>
        <w:rPr>
          <w:rFonts w:ascii="Times New Roman" w:hAnsi="Times New Roman" w:cs="Times New Roman" w:eastAsia="Times New Roman" w:hint="default"/>
          <w:spacing w:val="-2"/>
          <w:w w:val="99"/>
        </w:rPr>
        <w:t>2018</w:t>
      </w:r>
      <w:r>
        <w:rPr>
          <w:spacing w:val="-2"/>
          <w:w w:val="99"/>
        </w:rPr>
        <w:t>年</w:t>
      </w:r>
      <w:r>
        <w:rPr>
          <w:rFonts w:ascii="Times New Roman" w:hAnsi="Times New Roman" w:cs="Times New Roman" w:eastAsia="Times New Roman" w:hint="default"/>
          <w:spacing w:val="-2"/>
          <w:w w:val="99"/>
        </w:rPr>
        <w:t>3</w:t>
      </w:r>
      <w:r>
        <w:rPr>
          <w:spacing w:val="-2"/>
          <w:w w:val="99"/>
        </w:rPr>
        <w:t>月</w:t>
      </w:r>
      <w:r>
        <w:rPr>
          <w:rFonts w:ascii="Times New Roman" w:hAnsi="Times New Roman" w:cs="Times New Roman" w:eastAsia="Times New Roman" w:hint="default"/>
          <w:spacing w:val="-2"/>
          <w:w w:val="99"/>
        </w:rPr>
        <w:t>28</w:t>
      </w:r>
      <w:r>
        <w:rPr>
          <w:spacing w:val="-2"/>
          <w:w w:val="99"/>
        </w:rPr>
        <w:t>日，全球能源互联网大会首次发布了《全球能源互联网骨干网架研究》。根据规划，全球</w:t>
      </w:r>
      <w:r>
        <w:rPr>
          <w:spacing w:val="-102"/>
          <w:w w:val="99"/>
        </w:rPr>
        <w:t> </w:t>
      </w:r>
      <w:r>
        <w:rPr>
          <w:spacing w:val="-102"/>
          <w:w w:val="99"/>
        </w:rPr>
      </w:r>
      <w:r>
        <w:rPr>
          <w:spacing w:val="-13"/>
          <w:w w:val="99"/>
        </w:rPr>
        <w:t>将逐步形成</w:t>
      </w:r>
      <w:r>
        <w:rPr>
          <w:rFonts w:ascii="Times New Roman" w:hAnsi="Times New Roman" w:cs="Times New Roman" w:eastAsia="Times New Roman" w:hint="default"/>
          <w:spacing w:val="-13"/>
          <w:w w:val="99"/>
        </w:rPr>
        <w:t>18</w:t>
      </w:r>
      <w:r>
        <w:rPr>
          <w:spacing w:val="-13"/>
          <w:w w:val="99"/>
        </w:rPr>
        <w:t>个同步（联合）电网，形成“九纵九横”全球能源互联网骨干网架。根据投资估算，预计</w:t>
      </w:r>
      <w:r>
        <w:rPr>
          <w:rFonts w:ascii="Times New Roman" w:hAnsi="Times New Roman" w:cs="Times New Roman" w:eastAsia="Times New Roman" w:hint="default"/>
          <w:spacing w:val="-13"/>
          <w:w w:val="99"/>
        </w:rPr>
        <w:t>2018-2050</w:t>
      </w:r>
      <w:r>
        <w:rPr>
          <w:rFonts w:ascii="Times New Roman" w:hAnsi="Times New Roman" w:cs="Times New Roman" w:eastAsia="Times New Roman" w:hint="default"/>
          <w:spacing w:val="-23"/>
          <w:w w:val="99"/>
        </w:rPr>
        <w:t> </w:t>
      </w:r>
      <w:r>
        <w:rPr>
          <w:rFonts w:ascii="Times New Roman" w:hAnsi="Times New Roman" w:cs="Times New Roman" w:eastAsia="Times New Roman" w:hint="default"/>
          <w:spacing w:val="-23"/>
          <w:w w:val="99"/>
        </w:rPr>
      </w:r>
      <w:r>
        <w:rPr/>
        <w:t>年全球能源互联网总投资约</w:t>
      </w:r>
      <w:r>
        <w:rPr>
          <w:rFonts w:ascii="Times New Roman" w:hAnsi="Times New Roman" w:cs="Times New Roman" w:eastAsia="Times New Roman" w:hint="default"/>
        </w:rPr>
        <w:t>38</w:t>
      </w:r>
      <w:r>
        <w:rPr/>
        <w:t>万亿美元，其中电网投资</w:t>
      </w:r>
      <w:r>
        <w:rPr>
          <w:rFonts w:ascii="Times New Roman" w:hAnsi="Times New Roman" w:cs="Times New Roman" w:eastAsia="Times New Roman" w:hint="default"/>
        </w:rPr>
        <w:t>11</w:t>
      </w:r>
      <w:r>
        <w:rPr/>
        <w:t>万亿美元，骨干网架新增输电线路长度</w:t>
      </w:r>
      <w:r>
        <w:rPr>
          <w:rFonts w:ascii="Times New Roman" w:hAnsi="Times New Roman" w:cs="Times New Roman" w:eastAsia="Times New Roman" w:hint="default"/>
        </w:rPr>
        <w:t>17.7</w:t>
      </w:r>
      <w:r>
        <w:rPr/>
        <w:t>万公</w:t>
      </w:r>
      <w:r>
        <w:rPr>
          <w:spacing w:val="-88"/>
        </w:rPr>
        <w:t> </w:t>
      </w:r>
      <w:r>
        <w:rPr>
          <w:spacing w:val="-88"/>
        </w:rPr>
      </w:r>
      <w:r>
        <w:rPr/>
        <w:t>里，累计投资</w:t>
      </w:r>
      <w:r>
        <w:rPr>
          <w:rFonts w:ascii="Times New Roman" w:hAnsi="Times New Roman" w:cs="Times New Roman" w:eastAsia="Times New Roman" w:hint="default"/>
        </w:rPr>
        <w:t>3,900</w:t>
      </w:r>
      <w:r>
        <w:rPr/>
        <w:t>亿美元。</w:t>
      </w:r>
    </w:p>
    <w:p>
      <w:pPr>
        <w:pStyle w:val="Heading7"/>
        <w:spacing w:line="268" w:lineRule="auto" w:before="154"/>
        <w:ind w:right="1126" w:firstLine="420"/>
        <w:jc w:val="both"/>
      </w:pPr>
      <w:r>
        <w:rPr>
          <w:w w:val="95"/>
        </w:rPr>
        <w:t>城镇化是未来经济发展的一个重要驱动力，在城市轨道交通、新城镇建设等硬件基本工程方面，将有</w:t>
      </w:r>
      <w:r>
        <w:rPr>
          <w:spacing w:val="-97"/>
          <w:w w:val="95"/>
        </w:rPr>
        <w:t> </w:t>
      </w:r>
      <w:r>
        <w:rPr>
          <w:spacing w:val="-97"/>
          <w:w w:val="95"/>
        </w:rPr>
      </w:r>
      <w:r>
        <w:rPr>
          <w:spacing w:val="-4"/>
          <w:w w:val="99"/>
        </w:rPr>
        <w:t>力拉动多种工业产品的内需市场，其中包括电线电缆。《国家新型城镇化规划</w:t>
      </w:r>
      <w:r>
        <w:rPr>
          <w:rFonts w:ascii="Times New Roman" w:hAnsi="Times New Roman" w:cs="Times New Roman" w:eastAsia="Times New Roman" w:hint="default"/>
          <w:spacing w:val="-4"/>
          <w:w w:val="99"/>
        </w:rPr>
        <w:t>(2014-2020</w:t>
      </w:r>
      <w:r>
        <w:rPr>
          <w:spacing w:val="-4"/>
          <w:w w:val="99"/>
        </w:rPr>
        <w:t>年</w:t>
      </w:r>
      <w:r>
        <w:rPr>
          <w:rFonts w:ascii="Times New Roman" w:hAnsi="Times New Roman" w:cs="Times New Roman" w:eastAsia="Times New Roman" w:hint="default"/>
          <w:spacing w:val="-4"/>
          <w:w w:val="99"/>
        </w:rPr>
        <w:t>)</w:t>
      </w:r>
      <w:r>
        <w:rPr>
          <w:spacing w:val="-4"/>
          <w:w w:val="99"/>
        </w:rPr>
        <w:t>》指出，到</w:t>
      </w:r>
      <w:r>
        <w:rPr>
          <w:rFonts w:ascii="Times New Roman" w:hAnsi="Times New Roman" w:cs="Times New Roman" w:eastAsia="Times New Roman" w:hint="default"/>
          <w:spacing w:val="-4"/>
          <w:w w:val="99"/>
        </w:rPr>
        <w:t>2020</w:t>
      </w:r>
      <w:r>
        <w:rPr>
          <w:rFonts w:ascii="Times New Roman" w:hAnsi="Times New Roman" w:cs="Times New Roman" w:eastAsia="Times New Roman" w:hint="default"/>
          <w:spacing w:val="-32"/>
          <w:w w:val="99"/>
        </w:rPr>
        <w:t> </w:t>
      </w:r>
      <w:r>
        <w:rPr>
          <w:rFonts w:ascii="Times New Roman" w:hAnsi="Times New Roman" w:cs="Times New Roman" w:eastAsia="Times New Roman" w:hint="default"/>
          <w:spacing w:val="-32"/>
          <w:w w:val="99"/>
        </w:rPr>
      </w:r>
      <w:r>
        <w:rPr/>
        <w:t>年，我国常住人口城镇化率达到</w:t>
      </w:r>
      <w:r>
        <w:rPr>
          <w:rFonts w:ascii="Times New Roman" w:hAnsi="Times New Roman" w:cs="Times New Roman" w:eastAsia="Times New Roman" w:hint="default"/>
        </w:rPr>
        <w:t>60%</w:t>
      </w:r>
      <w:r>
        <w:rPr/>
        <w:t>左右。这意味着我国将进入新一轮城镇建设高潮期，大规模城市配套</w:t>
      </w:r>
      <w:r>
        <w:rPr>
          <w:w w:val="99"/>
        </w:rPr>
        <w:t> </w:t>
      </w:r>
      <w:r>
        <w:rPr/>
        <w:t>设施的建设将带动包括电线电缆在内的建筑材料行业的进一步发展。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6"/>
        <w:spacing w:line="240" w:lineRule="auto"/>
        <w:ind w:left="532" w:right="0"/>
        <w:jc w:val="left"/>
        <w:rPr>
          <w:b w:val="0"/>
          <w:bCs w:val="0"/>
        </w:rPr>
      </w:pPr>
      <w:r>
        <w:rPr>
          <w:rFonts w:ascii="Times New Roman" w:hAnsi="Times New Roman" w:cs="Times New Roman" w:eastAsia="Times New Roman" w:hint="default"/>
        </w:rPr>
        <w:t>2.</w:t>
      </w:r>
      <w:r>
        <w:rPr/>
        <w:t>新材料领域</w:t>
      </w:r>
      <w:r>
        <w:rPr>
          <w:b w:val="0"/>
          <w:bCs w:val="0"/>
        </w:rPr>
      </w:r>
    </w:p>
    <w:p>
      <w:pPr>
        <w:pStyle w:val="Heading6"/>
        <w:spacing w:line="240" w:lineRule="auto" w:before="184"/>
        <w:ind w:left="532" w:right="0"/>
        <w:jc w:val="left"/>
        <w:rPr>
          <w:b w:val="0"/>
          <w:bCs w:val="0"/>
        </w:rPr>
      </w:pPr>
      <w:r>
        <w:rPr/>
        <w:t>（</w:t>
      </w:r>
      <w:r>
        <w:rPr>
          <w:rFonts w:ascii="Times New Roman" w:hAnsi="Times New Roman" w:cs="Times New Roman" w:eastAsia="Times New Roman" w:hint="default"/>
        </w:rPr>
        <w:t>1</w:t>
      </w:r>
      <w:r>
        <w:rPr/>
        <w:t>）线缆材料</w:t>
      </w:r>
      <w:r>
        <w:rPr>
          <w:b w:val="0"/>
          <w:bCs w:val="0"/>
        </w:rPr>
      </w:r>
    </w:p>
    <w:p>
      <w:pPr>
        <w:pStyle w:val="Heading7"/>
        <w:spacing w:line="264" w:lineRule="auto" w:before="187"/>
        <w:ind w:right="1135" w:firstLine="420"/>
        <w:jc w:val="both"/>
      </w:pPr>
      <w:r>
        <w:rPr>
          <w:w w:val="99"/>
        </w:rPr>
        <w:t>《国家中长期科学和技术发展规划纲要（</w:t>
      </w:r>
      <w:r>
        <w:rPr>
          <w:rFonts w:ascii="Times New Roman" w:hAnsi="Times New Roman" w:cs="Times New Roman" w:eastAsia="Times New Roman" w:hint="default"/>
          <w:w w:val="99"/>
        </w:rPr>
        <w:t>2006</w:t>
      </w:r>
      <w:r>
        <w:rPr>
          <w:w w:val="99"/>
        </w:rPr>
        <w:t>－</w:t>
      </w:r>
      <w:r>
        <w:rPr>
          <w:rFonts w:ascii="Times New Roman" w:hAnsi="Times New Roman" w:cs="Times New Roman" w:eastAsia="Times New Roman" w:hint="default"/>
          <w:w w:val="99"/>
        </w:rPr>
        <w:t>2020</w:t>
      </w:r>
      <w:r>
        <w:rPr>
          <w:w w:val="99"/>
        </w:rPr>
        <w:t>年）》将能够满足国民经济基础产业发展需求的 </w:t>
      </w:r>
      <w:r>
        <w:rPr/>
        <w:t>高性能复合材料、高性能工程塑料、具有环保和健康功能的绿色材料等产品列为制造业中的优先主题。</w:t>
      </w:r>
    </w:p>
    <w:p>
      <w:pPr>
        <w:pStyle w:val="Heading7"/>
        <w:spacing w:line="280" w:lineRule="auto" w:before="179"/>
        <w:ind w:right="1135" w:firstLine="420"/>
        <w:jc w:val="both"/>
      </w:pPr>
      <w:r>
        <w:rPr>
          <w:w w:val="95"/>
        </w:rPr>
        <w:t>绿色环保成为线缆材料发展趋势，市场开始逐步接受并积极推广环保型线缆材料，环保型电力电缆的</w:t>
      </w:r>
      <w:r>
        <w:rPr>
          <w:w w:val="99"/>
        </w:rPr>
        <w:t> </w:t>
      </w:r>
      <w:r>
        <w:rPr/>
        <w:t>使用率越来越高。无卤低烟阻燃聚烯烃线缆材料和交联聚乙烯线缆材料的市场份额持续提升。</w:t>
      </w:r>
    </w:p>
    <w:p>
      <w:pPr>
        <w:pStyle w:val="Heading7"/>
        <w:spacing w:line="280" w:lineRule="auto" w:before="164"/>
        <w:ind w:right="1130" w:firstLine="420"/>
        <w:jc w:val="both"/>
      </w:pPr>
      <w:r>
        <w:rPr>
          <w:w w:val="95"/>
        </w:rPr>
        <w:t>高端产品市场空间大。超光滑屏蔽料、抗水树电缆料、超高压直流电缆料以及一些跨行业需求的高端</w:t>
      </w:r>
      <w:r>
        <w:rPr>
          <w:spacing w:val="-97"/>
          <w:w w:val="95"/>
        </w:rPr>
        <w:t> </w:t>
      </w:r>
      <w:r>
        <w:rPr>
          <w:spacing w:val="-97"/>
          <w:w w:val="95"/>
        </w:rPr>
      </w:r>
      <w:r>
        <w:rPr>
          <w:w w:val="95"/>
        </w:rPr>
        <w:t>材料产品，国内只有少数厂家可以供货，大部分的市场份额还为国外厂商所占据。未来，我国在高端材料</w:t>
      </w:r>
      <w:r>
        <w:rPr>
          <w:spacing w:val="41"/>
          <w:w w:val="95"/>
        </w:rPr>
        <w:t> </w:t>
      </w:r>
      <w:r>
        <w:rPr>
          <w:spacing w:val="41"/>
          <w:w w:val="95"/>
        </w:rPr>
      </w:r>
      <w:r>
        <w:rPr/>
        <w:t>研发方面的发展空间还很大。</w:t>
      </w:r>
    </w:p>
    <w:p>
      <w:pPr>
        <w:pStyle w:val="Heading7"/>
        <w:spacing w:line="280" w:lineRule="auto" w:before="164"/>
        <w:ind w:right="1019" w:firstLine="420"/>
        <w:jc w:val="left"/>
      </w:pPr>
      <w:r>
        <w:rPr>
          <w:spacing w:val="-3"/>
        </w:rPr>
        <w:t>特种线缆材料发展前景广阔。核电、石油开采钻井、高速铁路、铁路信号电缆、船用电缆、汽车电线、</w:t>
      </w:r>
      <w:r>
        <w:rPr>
          <w:w w:val="99"/>
        </w:rPr>
        <w:t> </w:t>
      </w:r>
      <w:r>
        <w:rPr/>
        <w:t>矿用电缆、飞机电缆等特种电缆，每年高速增长。特种电缆市场的高速发展，将带动对特种线缆材料的大</w:t>
      </w:r>
      <w:r>
        <w:rPr>
          <w:w w:val="99"/>
        </w:rPr>
        <w:t> </w:t>
      </w:r>
      <w:r>
        <w:rPr/>
        <w:t>量需求。</w:t>
      </w:r>
    </w:p>
    <w:p>
      <w:pPr>
        <w:pStyle w:val="Heading7"/>
        <w:spacing w:line="476" w:lineRule="exact" w:before="29"/>
        <w:ind w:left="532"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）其他新材料</w:t>
      </w:r>
      <w:r>
        <w:rPr>
          <w:rFonts w:ascii="宋体" w:hAnsi="宋体" w:cs="宋体" w:eastAsia="宋体" w:hint="default"/>
          <w:b/>
          <w:bCs/>
          <w:w w:val="99"/>
        </w:rPr>
        <w:t> </w:t>
      </w:r>
      <w:r>
        <w:rPr>
          <w:spacing w:val="-4"/>
          <w:w w:val="95"/>
        </w:rPr>
        <w:t>弹性体材料。热塑性弹性体（</w:t>
      </w:r>
      <w:r>
        <w:rPr>
          <w:rFonts w:ascii="Times New Roman" w:hAnsi="Times New Roman" w:cs="Times New Roman" w:eastAsia="Times New Roman" w:hint="default"/>
          <w:spacing w:val="-4"/>
          <w:w w:val="95"/>
        </w:rPr>
        <w:t>TPE</w:t>
      </w:r>
      <w:r>
        <w:rPr>
          <w:spacing w:val="-4"/>
          <w:w w:val="95"/>
        </w:rPr>
        <w:t>）主要用于汽车行业，全球汽车业在</w:t>
      </w:r>
      <w:r>
        <w:rPr>
          <w:rFonts w:ascii="Times New Roman" w:hAnsi="Times New Roman" w:cs="Times New Roman" w:eastAsia="Times New Roman" w:hint="default"/>
          <w:spacing w:val="-4"/>
          <w:w w:val="95"/>
        </w:rPr>
        <w:t>TPE</w:t>
      </w:r>
      <w:r>
        <w:rPr>
          <w:spacing w:val="-4"/>
          <w:w w:val="95"/>
        </w:rPr>
        <w:t>产品消费总量中约占比</w:t>
      </w:r>
      <w:r>
        <w:rPr>
          <w:rFonts w:ascii="Times New Roman" w:hAnsi="Times New Roman" w:cs="Times New Roman" w:eastAsia="Times New Roman" w:hint="default"/>
          <w:spacing w:val="-4"/>
          <w:w w:val="95"/>
        </w:rPr>
        <w:t>40%</w:t>
      </w:r>
      <w:r>
        <w:rPr>
          <w:spacing w:val="-4"/>
          <w:w w:val="95"/>
        </w:rPr>
        <w:t>。</w:t>
      </w:r>
      <w:r>
        <w:rPr>
          <w:spacing w:val="-4"/>
        </w:rPr>
      </w:r>
    </w:p>
    <w:p>
      <w:pPr>
        <w:pStyle w:val="Heading7"/>
        <w:spacing w:line="272" w:lineRule="exact"/>
        <w:ind w:right="0"/>
        <w:jc w:val="both"/>
      </w:pPr>
      <w:r>
        <w:rPr>
          <w:spacing w:val="2"/>
        </w:rPr>
        <w:t>因此汽车业的发展为</w:t>
      </w:r>
      <w:r>
        <w:rPr>
          <w:rFonts w:ascii="Times New Roman" w:hAnsi="Times New Roman" w:cs="Times New Roman" w:eastAsia="Times New Roman" w:hint="default"/>
          <w:spacing w:val="2"/>
        </w:rPr>
        <w:t>TPE</w:t>
      </w:r>
      <w:r>
        <w:rPr>
          <w:spacing w:val="2"/>
        </w:rPr>
        <w:t>增长带来利好。生产商持续的产品创新，使</w:t>
      </w:r>
      <w:r>
        <w:rPr>
          <w:rFonts w:ascii="Times New Roman" w:hAnsi="Times New Roman" w:cs="Times New Roman" w:eastAsia="Times New Roman" w:hint="default"/>
          <w:spacing w:val="2"/>
        </w:rPr>
        <w:t>TPE</w:t>
      </w:r>
      <w:r>
        <w:rPr>
          <w:spacing w:val="2"/>
        </w:rPr>
        <w:t>不断取代传统弹性体和热塑性塑</w:t>
      </w:r>
    </w:p>
    <w:p>
      <w:pPr>
        <w:pStyle w:val="Heading7"/>
        <w:spacing w:line="264" w:lineRule="auto" w:before="28"/>
        <w:ind w:right="1130"/>
        <w:jc w:val="both"/>
      </w:pPr>
      <w:r>
        <w:rPr/>
        <w:t>料。根据国际行业研究机构弗里多尼亚集团统计，预计未来几年全球</w:t>
      </w:r>
      <w:r>
        <w:rPr>
          <w:rFonts w:ascii="Times New Roman" w:hAnsi="Times New Roman" w:cs="Times New Roman" w:eastAsia="Times New Roman" w:hint="default"/>
        </w:rPr>
        <w:t>TPE</w:t>
      </w:r>
      <w:r>
        <w:rPr/>
        <w:t>市场将以年均</w:t>
      </w:r>
      <w:r>
        <w:rPr>
          <w:rFonts w:ascii="Times New Roman" w:hAnsi="Times New Roman" w:cs="Times New Roman" w:eastAsia="Times New Roman" w:hint="default"/>
        </w:rPr>
        <w:t>5.2%</w:t>
      </w:r>
      <w:r>
        <w:rPr/>
        <w:t>的速度增长，</w:t>
      </w:r>
      <w:r>
        <w:rPr>
          <w:w w:val="99"/>
        </w:rPr>
        <w:t> </w:t>
      </w:r>
      <w:r>
        <w:rPr/>
        <w:t>到</w:t>
      </w:r>
      <w:r>
        <w:rPr>
          <w:rFonts w:ascii="Times New Roman" w:hAnsi="Times New Roman" w:cs="Times New Roman" w:eastAsia="Times New Roman" w:hint="default"/>
        </w:rPr>
        <w:t>2020</w:t>
      </w:r>
      <w:r>
        <w:rPr/>
        <w:t>年市场需求有望超过 </w:t>
      </w:r>
      <w:r>
        <w:rPr>
          <w:rFonts w:ascii="Times New Roman" w:hAnsi="Times New Roman" w:cs="Times New Roman" w:eastAsia="Times New Roman" w:hint="default"/>
        </w:rPr>
        <w:t>700</w:t>
      </w:r>
      <w:r>
        <w:rPr>
          <w:rFonts w:ascii="Times New Roman" w:hAnsi="Times New Roman" w:cs="Times New Roman" w:eastAsia="Times New Roman" w:hint="default"/>
          <w:spacing w:val="37"/>
        </w:rPr>
        <w:t> </w:t>
      </w:r>
      <w:r>
        <w:rPr/>
        <w:t>万吨。中国</w:t>
      </w:r>
      <w:r>
        <w:rPr>
          <w:rFonts w:ascii="Times New Roman" w:hAnsi="Times New Roman" w:cs="Times New Roman" w:eastAsia="Times New Roman" w:hint="default"/>
        </w:rPr>
        <w:t>TPE</w:t>
      </w:r>
      <w:r>
        <w:rPr/>
        <w:t>消费量约占全球总消费量的</w:t>
      </w:r>
      <w:r>
        <w:rPr>
          <w:rFonts w:ascii="Times New Roman" w:hAnsi="Times New Roman" w:cs="Times New Roman" w:eastAsia="Times New Roman" w:hint="default"/>
        </w:rPr>
        <w:t>33%</w:t>
      </w:r>
      <w:r>
        <w:rPr/>
        <w:t>，是全球</w:t>
      </w:r>
      <w:r>
        <w:rPr>
          <w:rFonts w:ascii="Times New Roman" w:hAnsi="Times New Roman" w:cs="Times New Roman" w:eastAsia="Times New Roman" w:hint="default"/>
        </w:rPr>
        <w:t>TPE</w:t>
      </w:r>
      <w:r>
        <w:rPr/>
        <w:t>需求增长最</w:t>
      </w:r>
      <w:r>
        <w:rPr>
          <w:w w:val="99"/>
        </w:rPr>
        <w:t> </w:t>
      </w:r>
      <w:r>
        <w:rPr/>
        <w:t>快的国家之一，尤以汽车为中心的应用市场将保持年均</w:t>
      </w:r>
      <w:r>
        <w:rPr>
          <w:rFonts w:ascii="Times New Roman" w:hAnsi="Times New Roman" w:cs="Times New Roman" w:eastAsia="Times New Roman" w:hint="default"/>
        </w:rPr>
        <w:t>15%</w:t>
      </w:r>
      <w:r>
        <w:rPr/>
        <w:t>左右的高速增长。未来几年，</w:t>
      </w:r>
      <w:r>
        <w:rPr>
          <w:rFonts w:ascii="Times New Roman" w:hAnsi="Times New Roman" w:cs="Times New Roman" w:eastAsia="Times New Roman" w:hint="default"/>
        </w:rPr>
        <w:t>TPE</w:t>
      </w:r>
      <w:r>
        <w:rPr/>
        <w:t>需求依然强</w:t>
      </w:r>
      <w:r>
        <w:rPr>
          <w:spacing w:val="-58"/>
        </w:rPr>
        <w:t> </w:t>
      </w:r>
      <w:r>
        <w:rPr>
          <w:spacing w:val="-58"/>
        </w:rPr>
      </w:r>
      <w:r>
        <w:rPr/>
        <w:t>劲，预计消费年均增速将在</w:t>
      </w:r>
      <w:r>
        <w:rPr>
          <w:rFonts w:ascii="Times New Roman" w:hAnsi="Times New Roman" w:cs="Times New Roman" w:eastAsia="Times New Roman" w:hint="default"/>
        </w:rPr>
        <w:t>8%</w:t>
      </w:r>
      <w:r>
        <w:rPr/>
        <w:t>左右。</w:t>
      </w:r>
    </w:p>
    <w:p>
      <w:pPr>
        <w:pStyle w:val="Heading7"/>
        <w:spacing w:line="271" w:lineRule="auto" w:before="161"/>
        <w:ind w:right="1130" w:firstLine="420"/>
        <w:jc w:val="both"/>
      </w:pPr>
      <w:r>
        <w:rPr>
          <w:w w:val="99"/>
        </w:rPr>
        <w:t>改性塑料。《中国制造</w:t>
      </w:r>
      <w:r>
        <w:rPr>
          <w:rFonts w:ascii="Times New Roman" w:hAnsi="Times New Roman" w:cs="Times New Roman" w:eastAsia="Times New Roman" w:hint="default"/>
          <w:w w:val="99"/>
        </w:rPr>
        <w:t>2025</w:t>
      </w:r>
      <w:r>
        <w:rPr>
          <w:w w:val="99"/>
        </w:rPr>
        <w:t>》把新材料行业列为大力推进的十大战略重点领域之一，以特种金属功能 </w:t>
      </w:r>
      <w:r>
        <w:rPr>
          <w:w w:val="95"/>
        </w:rPr>
        <w:t>材料、高性能结构材料、功能性高分子材料、特种无机非金属材料和先进复合材料为发展重点，加快研发</w:t>
      </w:r>
      <w:r>
        <w:rPr>
          <w:spacing w:val="44"/>
          <w:w w:val="95"/>
        </w:rPr>
        <w:t> </w:t>
      </w:r>
      <w:r>
        <w:rPr>
          <w:spacing w:val="44"/>
          <w:w w:val="95"/>
        </w:rPr>
      </w:r>
      <w:r>
        <w:rPr>
          <w:w w:val="95"/>
        </w:rPr>
        <w:t>先进熔炼、凝固成型、气相沉积、型材加工、高效合成等新材料制备关键技术和装备，加强基础研究和体</w:t>
      </w:r>
      <w:r>
        <w:rPr/>
      </w:r>
    </w:p>
    <w:p>
      <w:pPr>
        <w:spacing w:after="0" w:line="271" w:lineRule="auto"/>
        <w:jc w:val="both"/>
        <w:sectPr>
          <w:pgSz w:w="11910" w:h="16840"/>
          <w:pgMar w:header="890" w:footer="1012" w:top="1420" w:bottom="1200" w:left="1020" w:right="0"/>
        </w:sectPr>
      </w:pPr>
    </w:p>
    <w:p>
      <w:pPr>
        <w:pStyle w:val="Heading7"/>
        <w:spacing w:line="278" w:lineRule="auto" w:before="67"/>
        <w:ind w:right="1112"/>
        <w:jc w:val="both"/>
      </w:pPr>
      <w:r>
        <w:rPr>
          <w:w w:val="95"/>
        </w:rPr>
        <w:t>系建设，突破产业化制备瓶颈。作为塑料中的高端技术产品，近年来我国改性塑料行业发展迅猛，产量、</w:t>
      </w:r>
      <w:r>
        <w:rPr>
          <w:spacing w:val="61"/>
          <w:w w:val="95"/>
        </w:rPr>
        <w:t> </w:t>
      </w:r>
      <w:r>
        <w:rPr>
          <w:spacing w:val="61"/>
          <w:w w:val="95"/>
        </w:rPr>
      </w:r>
      <w:r>
        <w:rPr/>
        <w:t>消费量年均增长分别达到</w:t>
      </w:r>
      <w:r>
        <w:rPr>
          <w:rFonts w:ascii="Times New Roman" w:hAnsi="Times New Roman" w:cs="Times New Roman" w:eastAsia="Times New Roman" w:hint="default"/>
        </w:rPr>
        <w:t>20%</w:t>
      </w:r>
      <w:r>
        <w:rPr/>
        <w:t>、</w:t>
      </w:r>
      <w:r>
        <w:rPr>
          <w:rFonts w:ascii="Times New Roman" w:hAnsi="Times New Roman" w:cs="Times New Roman" w:eastAsia="Times New Roman" w:hint="default"/>
        </w:rPr>
        <w:t>15%</w:t>
      </w:r>
      <w:r>
        <w:rPr/>
        <w:t>。</w:t>
      </w:r>
    </w:p>
    <w:p>
      <w:pPr>
        <w:pStyle w:val="Heading6"/>
        <w:spacing w:line="240" w:lineRule="auto" w:before="149"/>
        <w:ind w:left="744" w:right="0"/>
        <w:jc w:val="left"/>
        <w:rPr>
          <w:b w:val="0"/>
          <w:bCs w:val="0"/>
        </w:rPr>
      </w:pPr>
      <w:r>
        <w:rPr>
          <w:rFonts w:ascii="Times New Roman" w:hAnsi="Times New Roman" w:cs="Times New Roman" w:eastAsia="Times New Roman" w:hint="default"/>
        </w:rPr>
        <w:t>3.</w:t>
      </w:r>
      <w:r>
        <w:rPr/>
        <w:t>新能源领域</w:t>
      </w:r>
      <w:r>
        <w:rPr>
          <w:b w:val="0"/>
          <w:bCs w:val="0"/>
        </w:rPr>
      </w:r>
    </w:p>
    <w:p>
      <w:pPr>
        <w:spacing w:line="470" w:lineRule="atLeast" w:before="5"/>
        <w:ind w:left="532" w:right="10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）新能源汽车充电设备产业链</w:t>
      </w:r>
      <w:r>
        <w:rPr>
          <w:rFonts w:ascii="宋体" w:hAnsi="宋体" w:cs="宋体" w:eastAsia="宋体" w:hint="default"/>
          <w:b/>
          <w:bCs/>
          <w:w w:val="99"/>
          <w:sz w:val="21"/>
          <w:szCs w:val="21"/>
        </w:rPr>
        <w:t> </w:t>
      </w:r>
      <w:r>
        <w:rPr>
          <w:rFonts w:ascii="宋体" w:hAnsi="宋体" w:cs="宋体" w:eastAsia="宋体" w:hint="default"/>
          <w:spacing w:val="-8"/>
          <w:w w:val="99"/>
          <w:sz w:val="21"/>
          <w:szCs w:val="21"/>
        </w:rPr>
        <w:t>国家发改委、国家能源局、工信部和住建部联合印发的《电动汽车充电基础设施发展指南（</w:t>
      </w:r>
      <w:r>
        <w:rPr>
          <w:rFonts w:ascii="Times New Roman" w:hAnsi="Times New Roman" w:cs="Times New Roman" w:eastAsia="Times New Roman" w:hint="default"/>
          <w:spacing w:val="-8"/>
          <w:w w:val="99"/>
          <w:sz w:val="21"/>
          <w:szCs w:val="21"/>
        </w:rPr>
        <w:t>2015-2020</w:t>
      </w:r>
      <w:r>
        <w:rPr>
          <w:rFonts w:ascii="宋体" w:hAnsi="宋体" w:cs="宋体" w:eastAsia="宋体" w:hint="default"/>
          <w:spacing w:val="-8"/>
          <w:w w:val="99"/>
          <w:sz w:val="21"/>
          <w:szCs w:val="21"/>
        </w:rPr>
        <w:t>）》</w:t>
      </w:r>
      <w:r>
        <w:rPr>
          <w:rFonts w:ascii="宋体" w:hAnsi="宋体" w:cs="宋体" w:eastAsia="宋体" w:hint="default"/>
          <w:spacing w:val="-8"/>
          <w:sz w:val="21"/>
          <w:szCs w:val="21"/>
        </w:rPr>
      </w:r>
    </w:p>
    <w:p>
      <w:pPr>
        <w:pStyle w:val="Heading7"/>
        <w:spacing w:line="264" w:lineRule="auto" w:before="31"/>
        <w:ind w:right="1130"/>
        <w:jc w:val="both"/>
      </w:pPr>
      <w:r>
        <w:rPr/>
        <w:t>提出的充电基础设施建设目标是：到</w:t>
      </w:r>
      <w:r>
        <w:rPr>
          <w:rFonts w:ascii="Times New Roman" w:hAnsi="Times New Roman" w:cs="Times New Roman" w:eastAsia="Times New Roman" w:hint="default"/>
        </w:rPr>
        <w:t>2020</w:t>
      </w:r>
      <w:r>
        <w:rPr/>
        <w:t>年，新增集中式充换电站超过</w:t>
      </w:r>
      <w:r>
        <w:rPr>
          <w:rFonts w:ascii="Times New Roman" w:hAnsi="Times New Roman" w:cs="Times New Roman" w:eastAsia="Times New Roman" w:hint="default"/>
        </w:rPr>
        <w:t>1.2</w:t>
      </w:r>
      <w:r>
        <w:rPr/>
        <w:t>万座，分散式充电桩超过</w:t>
      </w:r>
      <w:r>
        <w:rPr>
          <w:rFonts w:ascii="Times New Roman" w:hAnsi="Times New Roman" w:cs="Times New Roman" w:eastAsia="Times New Roman" w:hint="default"/>
        </w:rPr>
        <w:t>480</w:t>
      </w:r>
      <w:r>
        <w:rPr/>
        <w:t>万</w:t>
      </w:r>
      <w:r>
        <w:rPr>
          <w:spacing w:val="-90"/>
        </w:rPr>
        <w:t> </w:t>
      </w:r>
      <w:r>
        <w:rPr>
          <w:spacing w:val="-1"/>
          <w:w w:val="95"/>
        </w:rPr>
        <w:t>个，满足全国</w:t>
      </w:r>
      <w:r>
        <w:rPr>
          <w:rFonts w:ascii="Times New Roman" w:hAnsi="Times New Roman" w:cs="Times New Roman" w:eastAsia="Times New Roman" w:hint="default"/>
          <w:spacing w:val="-1"/>
          <w:w w:val="95"/>
        </w:rPr>
        <w:t>500</w:t>
      </w:r>
      <w:r>
        <w:rPr>
          <w:spacing w:val="-1"/>
          <w:w w:val="95"/>
        </w:rPr>
        <w:t>万辆电动汽车充电需求。截至</w:t>
      </w:r>
      <w:r>
        <w:rPr>
          <w:rFonts w:ascii="Times New Roman" w:hAnsi="Times New Roman" w:cs="Times New Roman" w:eastAsia="Times New Roman" w:hint="default"/>
          <w:spacing w:val="-1"/>
          <w:w w:val="95"/>
        </w:rPr>
        <w:t>2018</w:t>
      </w:r>
      <w:r>
        <w:rPr>
          <w:spacing w:val="-1"/>
          <w:w w:val="95"/>
        </w:rPr>
        <w:t>年底，我国已建成充电桩</w:t>
      </w:r>
      <w:r>
        <w:rPr>
          <w:rFonts w:ascii="Times New Roman" w:hAnsi="Times New Roman" w:cs="Times New Roman" w:eastAsia="Times New Roman" w:hint="default"/>
          <w:spacing w:val="-1"/>
          <w:w w:val="95"/>
        </w:rPr>
        <w:t>80.8</w:t>
      </w:r>
      <w:r>
        <w:rPr>
          <w:spacing w:val="-1"/>
          <w:w w:val="95"/>
        </w:rPr>
        <w:t>万个，其中公共充电桩仅</w:t>
      </w:r>
      <w:r>
        <w:rPr>
          <w:spacing w:val="46"/>
          <w:w w:val="95"/>
        </w:rPr>
        <w:t> </w:t>
      </w:r>
      <w:r>
        <w:rPr>
          <w:spacing w:val="46"/>
          <w:w w:val="95"/>
        </w:rPr>
      </w:r>
      <w:r>
        <w:rPr>
          <w:rFonts w:ascii="Times New Roman" w:hAnsi="Times New Roman" w:cs="Times New Roman" w:eastAsia="Times New Roman" w:hint="default"/>
        </w:rPr>
        <w:t>33</w:t>
      </w:r>
      <w:r>
        <w:rPr/>
        <w:t>万台。这意味着未来</w:t>
      </w:r>
      <w:r>
        <w:rPr>
          <w:rFonts w:ascii="Times New Roman" w:hAnsi="Times New Roman" w:cs="Times New Roman" w:eastAsia="Times New Roman" w:hint="default"/>
        </w:rPr>
        <w:t>2</w:t>
      </w:r>
      <w:r>
        <w:rPr/>
        <w:t>年，充电桩建设的需求端前景广阔。</w:t>
      </w:r>
    </w:p>
    <w:p>
      <w:pPr>
        <w:pStyle w:val="Heading7"/>
        <w:spacing w:line="273" w:lineRule="auto" w:before="163"/>
        <w:ind w:right="1130" w:firstLine="420"/>
        <w:jc w:val="both"/>
      </w:pPr>
      <w:r>
        <w:rPr>
          <w:w w:val="95"/>
        </w:rPr>
        <w:t>随着新能源汽车增长提速，充电桩的需求进一步扩大，此外新能源出行领域的政策补贴转向充电运营</w:t>
      </w:r>
      <w:r>
        <w:rPr>
          <w:w w:val="99"/>
        </w:rPr>
        <w:t> </w:t>
      </w:r>
      <w:r>
        <w:rPr>
          <w:w w:val="95"/>
        </w:rPr>
        <w:t>领域、各地充电桩建设规划等政策推动下，充电桩行业将迎来一个快速发展期。据中国电动汽车充电基础</w:t>
      </w:r>
      <w:r>
        <w:rPr>
          <w:spacing w:val="40"/>
          <w:w w:val="95"/>
        </w:rPr>
        <w:t> </w:t>
      </w:r>
      <w:r>
        <w:rPr>
          <w:spacing w:val="40"/>
          <w:w w:val="95"/>
        </w:rPr>
      </w:r>
      <w:r>
        <w:rPr>
          <w:w w:val="95"/>
        </w:rPr>
        <w:t>设施促进联盟预测，</w:t>
      </w:r>
      <w:r>
        <w:rPr>
          <w:rFonts w:ascii="Times New Roman" w:hAnsi="Times New Roman" w:cs="Times New Roman" w:eastAsia="Times New Roman" w:hint="default"/>
          <w:w w:val="95"/>
        </w:rPr>
        <w:t>2019</w:t>
      </w:r>
      <w:r>
        <w:rPr>
          <w:w w:val="95"/>
        </w:rPr>
        <w:t>年，预计年内新增充电桩</w:t>
      </w:r>
      <w:r>
        <w:rPr>
          <w:rFonts w:ascii="Times New Roman" w:hAnsi="Times New Roman" w:cs="Times New Roman" w:eastAsia="Times New Roman" w:hint="default"/>
          <w:w w:val="95"/>
        </w:rPr>
        <w:t>60</w:t>
      </w:r>
      <w:r>
        <w:rPr>
          <w:w w:val="95"/>
        </w:rPr>
        <w:t>万个，其中私人充电桩约</w:t>
      </w:r>
      <w:r>
        <w:rPr>
          <w:rFonts w:ascii="Times New Roman" w:hAnsi="Times New Roman" w:cs="Times New Roman" w:eastAsia="Times New Roman" w:hint="default"/>
          <w:w w:val="95"/>
        </w:rPr>
        <w:t>48</w:t>
      </w:r>
      <w:r>
        <w:rPr>
          <w:w w:val="95"/>
        </w:rPr>
        <w:t>万台，公共充电桩约</w:t>
      </w:r>
      <w:r>
        <w:rPr>
          <w:rFonts w:ascii="Times New Roman" w:hAnsi="Times New Roman" w:cs="Times New Roman" w:eastAsia="Times New Roman" w:hint="default"/>
          <w:w w:val="95"/>
        </w:rPr>
        <w:t>12</w:t>
      </w:r>
      <w:r>
        <w:rPr>
          <w:w w:val="95"/>
        </w:rPr>
        <w:t>万</w:t>
      </w:r>
      <w:r>
        <w:rPr>
          <w:spacing w:val="45"/>
          <w:w w:val="95"/>
        </w:rPr>
        <w:t> </w:t>
      </w:r>
      <w:r>
        <w:rPr/>
        <w:t>台，预计充电桩总保有量将达到</w:t>
      </w:r>
      <w:r>
        <w:rPr>
          <w:rFonts w:ascii="Times New Roman" w:hAnsi="Times New Roman" w:cs="Times New Roman" w:eastAsia="Times New Roman" w:hint="default"/>
        </w:rPr>
        <w:t>140</w:t>
      </w:r>
      <w:r>
        <w:rPr/>
        <w:t>万台左右。</w:t>
      </w:r>
    </w:p>
    <w:p>
      <w:pPr>
        <w:pStyle w:val="Heading7"/>
        <w:spacing w:line="240" w:lineRule="auto" w:before="152"/>
        <w:ind w:left="532" w:right="0"/>
        <w:jc w:val="left"/>
      </w:pPr>
      <w:r>
        <w:rPr>
          <w:rFonts w:ascii="Times New Roman" w:hAnsi="Times New Roman" w:cs="Times New Roman" w:eastAsia="Times New Roman" w:hint="default"/>
        </w:rPr>
        <w:t>2019</w:t>
      </w:r>
      <w:r>
        <w:rPr/>
        <w:t>年，新能源汽车充电桩行业发展呈现出以下趋势：</w:t>
      </w:r>
    </w:p>
    <w:p>
      <w:pPr>
        <w:spacing w:line="478" w:lineRule="exact" w:before="47"/>
        <w:ind w:left="53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）两大电网公司建桩比重大幅缩减，民营企业成为充电桩建设主力。</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截至“十二五”末，我国共建成充换电站</w:t>
      </w:r>
      <w:r>
        <w:rPr>
          <w:rFonts w:ascii="Times New Roman" w:hAnsi="Times New Roman" w:cs="Times New Roman" w:eastAsia="Times New Roman" w:hint="default"/>
          <w:spacing w:val="2"/>
          <w:w w:val="95"/>
          <w:sz w:val="21"/>
          <w:szCs w:val="21"/>
        </w:rPr>
        <w:t>3,600</w:t>
      </w:r>
      <w:r>
        <w:rPr>
          <w:rFonts w:ascii="宋体" w:hAnsi="宋体" w:cs="宋体" w:eastAsia="宋体" w:hint="default"/>
          <w:spacing w:val="2"/>
          <w:w w:val="95"/>
          <w:sz w:val="21"/>
          <w:szCs w:val="21"/>
        </w:rPr>
        <w:t>座，公共充电桩</w:t>
      </w:r>
      <w:r>
        <w:rPr>
          <w:rFonts w:ascii="Times New Roman" w:hAnsi="Times New Roman" w:cs="Times New Roman" w:eastAsia="Times New Roman" w:hint="default"/>
          <w:spacing w:val="2"/>
          <w:w w:val="95"/>
          <w:sz w:val="21"/>
          <w:szCs w:val="21"/>
        </w:rPr>
        <w:t>4.9</w:t>
      </w:r>
      <w:r>
        <w:rPr>
          <w:rFonts w:ascii="宋体" w:hAnsi="宋体" w:cs="宋体" w:eastAsia="宋体" w:hint="default"/>
          <w:spacing w:val="2"/>
          <w:w w:val="95"/>
          <w:sz w:val="21"/>
          <w:szCs w:val="21"/>
        </w:rPr>
        <w:t>万个，其中仅国家电网建设的充换</w:t>
      </w:r>
      <w:r>
        <w:rPr>
          <w:rFonts w:ascii="宋体" w:hAnsi="宋体" w:cs="宋体" w:eastAsia="宋体" w:hint="default"/>
          <w:spacing w:val="2"/>
          <w:sz w:val="21"/>
          <w:szCs w:val="21"/>
        </w:rPr>
      </w:r>
    </w:p>
    <w:p>
      <w:pPr>
        <w:pStyle w:val="Heading7"/>
        <w:spacing w:line="269" w:lineRule="exact"/>
        <w:ind w:right="0"/>
        <w:jc w:val="both"/>
      </w:pPr>
      <w:r>
        <w:rPr/>
        <w:t>电站就有</w:t>
      </w:r>
      <w:r>
        <w:rPr>
          <w:rFonts w:ascii="Times New Roman" w:hAnsi="Times New Roman" w:cs="Times New Roman" w:eastAsia="Times New Roman" w:hint="default"/>
        </w:rPr>
        <w:t>1,537</w:t>
      </w:r>
      <w:r>
        <w:rPr/>
        <w:t>座，充电桩则有</w:t>
      </w:r>
      <w:r>
        <w:rPr>
          <w:rFonts w:ascii="Times New Roman" w:hAnsi="Times New Roman" w:cs="Times New Roman" w:eastAsia="Times New Roman" w:hint="default"/>
        </w:rPr>
        <w:t>2.96</w:t>
      </w:r>
      <w:r>
        <w:rPr/>
        <w:t>万个，占比逾</w:t>
      </w:r>
      <w:r>
        <w:rPr>
          <w:rFonts w:ascii="Times New Roman" w:hAnsi="Times New Roman" w:cs="Times New Roman" w:eastAsia="Times New Roman" w:hint="default"/>
        </w:rPr>
        <w:t>60%</w:t>
      </w:r>
      <w:r>
        <w:rPr/>
        <w:t>。而根据两大电网公司“十三五”电动汽车充电基础</w:t>
      </w:r>
    </w:p>
    <w:p>
      <w:pPr>
        <w:pStyle w:val="Heading7"/>
        <w:spacing w:line="264" w:lineRule="auto" w:before="28"/>
        <w:ind w:right="1130"/>
        <w:jc w:val="both"/>
      </w:pPr>
      <w:r>
        <w:rPr/>
        <w:t>设施发展规划，到</w:t>
      </w:r>
      <w:r>
        <w:rPr>
          <w:rFonts w:ascii="Times New Roman" w:hAnsi="Times New Roman" w:cs="Times New Roman" w:eastAsia="Times New Roman" w:hint="default"/>
        </w:rPr>
        <w:t>2020</w:t>
      </w:r>
      <w:r>
        <w:rPr/>
        <w:t>年底，南方电网计划建成集中式充电站</w:t>
      </w:r>
      <w:r>
        <w:rPr>
          <w:rFonts w:ascii="Times New Roman" w:hAnsi="Times New Roman" w:cs="Times New Roman" w:eastAsia="Times New Roman" w:hint="default"/>
        </w:rPr>
        <w:t>674</w:t>
      </w:r>
      <w:r>
        <w:rPr/>
        <w:t>座，公共分散式充电桩</w:t>
      </w:r>
      <w:r>
        <w:rPr>
          <w:rFonts w:ascii="Times New Roman" w:hAnsi="Times New Roman" w:cs="Times New Roman" w:eastAsia="Times New Roman" w:hint="default"/>
        </w:rPr>
        <w:t>3.2</w:t>
      </w:r>
      <w:r>
        <w:rPr/>
        <w:t>万个；国家电</w:t>
      </w:r>
      <w:r>
        <w:rPr>
          <w:spacing w:val="-90"/>
        </w:rPr>
        <w:t> </w:t>
      </w:r>
      <w:r>
        <w:rPr>
          <w:spacing w:val="-90"/>
        </w:rPr>
      </w:r>
      <w:r>
        <w:rPr>
          <w:spacing w:val="2"/>
          <w:w w:val="95"/>
        </w:rPr>
        <w:t>网则将建成公共快充站</w:t>
      </w:r>
      <w:r>
        <w:rPr>
          <w:rFonts w:ascii="Times New Roman" w:hAnsi="Times New Roman" w:cs="Times New Roman" w:eastAsia="Times New Roman" w:hint="default"/>
          <w:spacing w:val="2"/>
          <w:w w:val="95"/>
        </w:rPr>
        <w:t>1</w:t>
      </w:r>
      <w:r>
        <w:rPr>
          <w:spacing w:val="2"/>
          <w:w w:val="95"/>
        </w:rPr>
        <w:t>万座，充电桩</w:t>
      </w:r>
      <w:r>
        <w:rPr>
          <w:rFonts w:ascii="Times New Roman" w:hAnsi="Times New Roman" w:cs="Times New Roman" w:eastAsia="Times New Roman" w:hint="default"/>
          <w:spacing w:val="2"/>
          <w:w w:val="95"/>
        </w:rPr>
        <w:t>12</w:t>
      </w:r>
      <w:r>
        <w:rPr>
          <w:spacing w:val="2"/>
          <w:w w:val="95"/>
        </w:rPr>
        <w:t>万个。两大电网公司“十三五”期间拟建设的公共充电桩之和为</w:t>
      </w:r>
      <w:r>
        <w:rPr>
          <w:spacing w:val="45"/>
          <w:w w:val="95"/>
        </w:rPr>
        <w:t> </w:t>
      </w:r>
      <w:r>
        <w:rPr>
          <w:spacing w:val="45"/>
          <w:w w:val="95"/>
        </w:rPr>
      </w:r>
      <w:r>
        <w:rPr>
          <w:rFonts w:ascii="Times New Roman" w:hAnsi="Times New Roman" w:cs="Times New Roman" w:eastAsia="Times New Roman" w:hint="default"/>
        </w:rPr>
        <w:t>15.2</w:t>
      </w:r>
      <w:r>
        <w:rPr/>
        <w:t>万个，仅占国家发改委公布的</w:t>
      </w:r>
      <w:r>
        <w:rPr>
          <w:rFonts w:ascii="Times New Roman" w:hAnsi="Times New Roman" w:cs="Times New Roman" w:eastAsia="Times New Roman" w:hint="default"/>
        </w:rPr>
        <w:t>480</w:t>
      </w:r>
      <w:r>
        <w:rPr/>
        <w:t>万个公共充电桩建设目标的</w:t>
      </w:r>
      <w:r>
        <w:rPr>
          <w:rFonts w:ascii="Times New Roman" w:hAnsi="Times New Roman" w:cs="Times New Roman" w:eastAsia="Times New Roman" w:hint="default"/>
        </w:rPr>
        <w:t>3.17%</w:t>
      </w:r>
      <w:r>
        <w:rPr/>
        <w:t>，较“十二五”期间大幅缩减。这</w:t>
      </w:r>
      <w:r>
        <w:rPr>
          <w:w w:val="99"/>
        </w:rPr>
        <w:t> </w:t>
      </w:r>
      <w:r>
        <w:rPr/>
        <w:t>意味着未来几年，其他投资主体特别是民营企业，将成为充电桩建设的主导力量。</w:t>
      </w:r>
    </w:p>
    <w:p>
      <w:pPr>
        <w:spacing w:line="240" w:lineRule="auto" w:before="12"/>
        <w:rPr>
          <w:rFonts w:ascii="宋体" w:hAnsi="宋体" w:cs="宋体" w:eastAsia="宋体" w:hint="default"/>
          <w:sz w:val="13"/>
          <w:szCs w:val="13"/>
        </w:rPr>
      </w:pPr>
    </w:p>
    <w:p>
      <w:pPr>
        <w:pStyle w:val="Heading6"/>
        <w:spacing w:line="240" w:lineRule="auto"/>
        <w:ind w:left="535" w:right="0"/>
        <w:jc w:val="left"/>
        <w:rPr>
          <w:b w:val="0"/>
          <w:bCs w:val="0"/>
        </w:rPr>
      </w:pPr>
      <w:r>
        <w:rPr>
          <w:rFonts w:ascii="Times New Roman" w:hAnsi="Times New Roman" w:cs="Times New Roman" w:eastAsia="Times New Roman" w:hint="default"/>
        </w:rPr>
        <w:t>2</w:t>
      </w:r>
      <w:r>
        <w:rPr/>
        <w:t>）政策明确新能源车地方补贴转向补电，充电桩政策扶持力度进一步加强。</w:t>
      </w:r>
      <w:r>
        <w:rPr>
          <w:b w:val="0"/>
          <w:bCs w:val="0"/>
        </w:rPr>
      </w:r>
    </w:p>
    <w:p>
      <w:pPr>
        <w:pStyle w:val="Heading7"/>
        <w:spacing w:line="273" w:lineRule="auto" w:before="184"/>
        <w:ind w:right="1134" w:firstLine="420"/>
        <w:jc w:val="both"/>
      </w:pPr>
      <w:r>
        <w:rPr>
          <w:rFonts w:ascii="Times New Roman" w:hAnsi="Times New Roman" w:cs="Times New Roman" w:eastAsia="Times New Roman" w:hint="default"/>
          <w:spacing w:val="2"/>
          <w:w w:val="95"/>
        </w:rPr>
        <w:t>2019</w:t>
      </w:r>
      <w:r>
        <w:rPr>
          <w:spacing w:val="2"/>
          <w:w w:val="95"/>
        </w:rPr>
        <w:t>年</w:t>
      </w:r>
      <w:r>
        <w:rPr>
          <w:rFonts w:ascii="Times New Roman" w:hAnsi="Times New Roman" w:cs="Times New Roman" w:eastAsia="Times New Roman" w:hint="default"/>
          <w:spacing w:val="2"/>
          <w:w w:val="95"/>
        </w:rPr>
        <w:t>3</w:t>
      </w:r>
      <w:r>
        <w:rPr>
          <w:spacing w:val="2"/>
          <w:w w:val="95"/>
        </w:rPr>
        <w:t>月，财政部、工信部、科技部、发改委联合发布《关于进一步完善新能源汽车推广应用财政</w:t>
      </w:r>
      <w:r>
        <w:rPr>
          <w:spacing w:val="-86"/>
          <w:w w:val="95"/>
        </w:rPr>
        <w:t> </w:t>
      </w:r>
      <w:r>
        <w:rPr>
          <w:spacing w:val="-86"/>
          <w:w w:val="95"/>
        </w:rPr>
      </w:r>
      <w:r>
        <w:rPr>
          <w:w w:val="99"/>
        </w:rPr>
        <w:t>补贴政策的通知》，提出取消地方补贴，明确将转为用于支持充电（加氢）基础设施“短板”建设和配套</w:t>
      </w:r>
      <w:r>
        <w:rPr>
          <w:spacing w:val="-96"/>
          <w:w w:val="99"/>
        </w:rPr>
        <w:t> </w:t>
      </w:r>
      <w:r>
        <w:rPr>
          <w:spacing w:val="-96"/>
          <w:w w:val="99"/>
        </w:rPr>
      </w:r>
      <w:r>
        <w:rPr>
          <w:w w:val="95"/>
        </w:rPr>
        <w:t>运营服务等环节，新能源汽车后端使用场景和服务体验优化成为政策支持的重点，充电桩将享受政策与行</w:t>
      </w:r>
      <w:r>
        <w:rPr>
          <w:spacing w:val="38"/>
          <w:w w:val="95"/>
        </w:rPr>
        <w:t> </w:t>
      </w:r>
      <w:r>
        <w:rPr>
          <w:spacing w:val="38"/>
          <w:w w:val="95"/>
        </w:rPr>
      </w:r>
      <w:r>
        <w:rPr/>
        <w:t>业规模持续扩张的双重红利。</w:t>
      </w:r>
    </w:p>
    <w:p>
      <w:pPr>
        <w:spacing w:line="478" w:lineRule="exact" w:before="34"/>
        <w:ind w:left="53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）充电设备互联互通加快，提高充电桩运营管理效率，推动充电基础设施快速发展。</w:t>
      </w:r>
      <w:r>
        <w:rPr>
          <w:rFonts w:ascii="宋体" w:hAnsi="宋体" w:cs="宋体" w:eastAsia="宋体" w:hint="default"/>
          <w:b/>
          <w:bCs/>
          <w:w w:val="99"/>
          <w:sz w:val="21"/>
          <w:szCs w:val="21"/>
        </w:rPr>
        <w:t> </w:t>
      </w:r>
      <w:r>
        <w:rPr>
          <w:rFonts w:ascii="宋体" w:hAnsi="宋体" w:cs="宋体" w:eastAsia="宋体" w:hint="default"/>
          <w:w w:val="95"/>
          <w:sz w:val="21"/>
          <w:szCs w:val="21"/>
        </w:rPr>
        <w:t>互联互通问题一直是限制充电设备利用效率和消费者使用便利性的重要因素。</w:t>
      </w:r>
      <w:r>
        <w:rPr>
          <w:rFonts w:ascii="Times New Roman" w:hAnsi="Times New Roman" w:cs="Times New Roman" w:eastAsia="Times New Roman" w:hint="default"/>
          <w:w w:val="95"/>
          <w:sz w:val="21"/>
          <w:szCs w:val="21"/>
        </w:rPr>
        <w:t>2018</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11</w:t>
      </w:r>
      <w:r>
        <w:rPr>
          <w:rFonts w:ascii="宋体" w:hAnsi="宋体" w:cs="宋体" w:eastAsia="宋体" w:hint="default"/>
          <w:w w:val="95"/>
          <w:sz w:val="21"/>
          <w:szCs w:val="21"/>
        </w:rPr>
        <w:t>月，四部委出</w:t>
      </w:r>
      <w:r>
        <w:rPr>
          <w:rFonts w:ascii="宋体" w:hAnsi="宋体" w:cs="宋体" w:eastAsia="宋体" w:hint="default"/>
          <w:sz w:val="21"/>
          <w:szCs w:val="21"/>
        </w:rPr>
      </w:r>
    </w:p>
    <w:p>
      <w:pPr>
        <w:pStyle w:val="Heading7"/>
        <w:spacing w:line="253" w:lineRule="exact"/>
        <w:ind w:right="0"/>
        <w:jc w:val="both"/>
      </w:pPr>
      <w:r>
        <w:rPr>
          <w:spacing w:val="2"/>
          <w:w w:val="99"/>
        </w:rPr>
        <w:t>台</w:t>
      </w:r>
      <w:r>
        <w:rPr>
          <w:spacing w:val="4"/>
          <w:w w:val="99"/>
        </w:rPr>
        <w:t>《</w:t>
      </w:r>
      <w:r>
        <w:rPr>
          <w:spacing w:val="2"/>
          <w:w w:val="99"/>
        </w:rPr>
        <w:t>提升新</w:t>
      </w:r>
      <w:r>
        <w:rPr>
          <w:spacing w:val="4"/>
          <w:w w:val="99"/>
        </w:rPr>
        <w:t>能</w:t>
      </w:r>
      <w:r>
        <w:rPr>
          <w:spacing w:val="2"/>
          <w:w w:val="99"/>
        </w:rPr>
        <w:t>源汽车</w:t>
      </w:r>
      <w:r>
        <w:rPr>
          <w:spacing w:val="4"/>
          <w:w w:val="99"/>
        </w:rPr>
        <w:t>充</w:t>
      </w:r>
      <w:r>
        <w:rPr>
          <w:spacing w:val="2"/>
          <w:w w:val="99"/>
        </w:rPr>
        <w:t>电保障</w:t>
      </w:r>
      <w:r>
        <w:rPr>
          <w:spacing w:val="4"/>
          <w:w w:val="99"/>
        </w:rPr>
        <w:t>能</w:t>
      </w:r>
      <w:r>
        <w:rPr>
          <w:spacing w:val="2"/>
          <w:w w:val="99"/>
        </w:rPr>
        <w:t>力行</w:t>
      </w:r>
      <w:r>
        <w:rPr>
          <w:spacing w:val="4"/>
          <w:w w:val="99"/>
        </w:rPr>
        <w:t>动</w:t>
      </w:r>
      <w:r>
        <w:rPr>
          <w:spacing w:val="2"/>
          <w:w w:val="99"/>
        </w:rPr>
        <w:t>计</w:t>
      </w:r>
      <w:r>
        <w:rPr>
          <w:spacing w:val="4"/>
          <w:w w:val="99"/>
        </w:rPr>
        <w:t>划</w:t>
      </w:r>
      <w:r>
        <w:rPr>
          <w:spacing w:val="-104"/>
          <w:w w:val="99"/>
        </w:rPr>
        <w:t>》</w:t>
      </w:r>
      <w:r>
        <w:rPr>
          <w:spacing w:val="2"/>
          <w:w w:val="99"/>
        </w:rPr>
        <w:t>，</w:t>
      </w:r>
      <w:r>
        <w:rPr>
          <w:spacing w:val="4"/>
          <w:w w:val="99"/>
        </w:rPr>
        <w:t>提</w:t>
      </w:r>
      <w:r>
        <w:rPr>
          <w:spacing w:val="2"/>
          <w:w w:val="99"/>
        </w:rPr>
        <w:t>出要着</w:t>
      </w:r>
      <w:r>
        <w:rPr>
          <w:spacing w:val="4"/>
          <w:w w:val="99"/>
        </w:rPr>
        <w:t>力</w:t>
      </w:r>
      <w:r>
        <w:rPr>
          <w:spacing w:val="2"/>
          <w:w w:val="99"/>
        </w:rPr>
        <w:t>提升充</w:t>
      </w:r>
      <w:r>
        <w:rPr>
          <w:spacing w:val="4"/>
          <w:w w:val="99"/>
        </w:rPr>
        <w:t>电</w:t>
      </w:r>
      <w:r>
        <w:rPr>
          <w:spacing w:val="2"/>
          <w:w w:val="99"/>
        </w:rPr>
        <w:t>互联互</w:t>
      </w:r>
      <w:r>
        <w:rPr>
          <w:spacing w:val="4"/>
          <w:w w:val="99"/>
        </w:rPr>
        <w:t>通</w:t>
      </w:r>
      <w:r>
        <w:rPr>
          <w:spacing w:val="2"/>
          <w:w w:val="99"/>
        </w:rPr>
        <w:t>水平</w:t>
      </w:r>
      <w:r>
        <w:rPr>
          <w:spacing w:val="4"/>
          <w:w w:val="99"/>
        </w:rPr>
        <w:t>，</w:t>
      </w:r>
      <w:r>
        <w:rPr>
          <w:spacing w:val="2"/>
          <w:w w:val="99"/>
        </w:rPr>
        <w:t>加快构</w:t>
      </w:r>
      <w:r>
        <w:rPr>
          <w:spacing w:val="4"/>
          <w:w w:val="99"/>
        </w:rPr>
        <w:t>建</w:t>
      </w:r>
      <w:r>
        <w:rPr>
          <w:spacing w:val="2"/>
          <w:w w:val="99"/>
        </w:rPr>
        <w:t>和完善</w:t>
      </w:r>
      <w:r>
        <w:rPr>
          <w:spacing w:val="4"/>
          <w:w w:val="99"/>
        </w:rPr>
        <w:t>充</w:t>
      </w:r>
      <w:r>
        <w:rPr>
          <w:w w:val="99"/>
        </w:rPr>
        <w:t>电</w:t>
      </w:r>
      <w:r>
        <w:rPr/>
      </w:r>
    </w:p>
    <w:p>
      <w:pPr>
        <w:pStyle w:val="Heading7"/>
        <w:spacing w:line="280" w:lineRule="auto" w:before="44"/>
        <w:ind w:right="1025"/>
        <w:jc w:val="left"/>
      </w:pPr>
      <w:r>
        <w:rPr/>
        <w:t>基础设施信息互联互通网络，为充电用户提供更好的充电服务保障，促进产业科学健康发展。同时，鼓励</w:t>
      </w:r>
      <w:r>
        <w:rPr>
          <w:w w:val="99"/>
        </w:rPr>
        <w:t> </w:t>
      </w:r>
      <w:r>
        <w:rPr>
          <w:spacing w:val="-3"/>
        </w:rPr>
        <w:t>整车企业优化新能源汽车运行监测平台，与从事充电设施运营、出行服务等企业对接，实现信息互联互通。</w:t>
      </w:r>
      <w:r>
        <w:rPr>
          <w:w w:val="99"/>
        </w:rPr>
        <w:t> </w:t>
      </w:r>
      <w:r>
        <w:rPr/>
        <w:t>随着互联互通范围扩大，提高了运营管理效率及用户使用的便利性，促进充电桩的需求和建桩热情扩大。</w:t>
      </w:r>
    </w:p>
    <w:p>
      <w:pPr>
        <w:spacing w:line="478" w:lineRule="exact" w:before="27"/>
        <w:ind w:left="53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）新能源车发展由政策驱动向市场驱动转变，汽车增长推动充电桩需求缺口扩大。</w:t>
      </w:r>
      <w:r>
        <w:rPr>
          <w:rFonts w:ascii="宋体" w:hAnsi="宋体" w:cs="宋体" w:eastAsia="宋体" w:hint="default"/>
          <w:b/>
          <w:bCs/>
          <w:w w:val="99"/>
          <w:sz w:val="21"/>
          <w:szCs w:val="21"/>
        </w:rPr>
        <w:t> </w:t>
      </w:r>
      <w:r>
        <w:rPr>
          <w:rFonts w:ascii="宋体" w:hAnsi="宋体" w:cs="宋体" w:eastAsia="宋体" w:hint="default"/>
          <w:w w:val="95"/>
          <w:sz w:val="21"/>
          <w:szCs w:val="21"/>
        </w:rPr>
        <w:t>补贴政策的调整，推动新能源汽车竞争进一步回归市场。随着非限购城市销量占比的提升以及优质车</w:t>
      </w:r>
      <w:r>
        <w:rPr>
          <w:rFonts w:ascii="宋体" w:hAnsi="宋体" w:cs="宋体" w:eastAsia="宋体" w:hint="default"/>
          <w:sz w:val="21"/>
          <w:szCs w:val="21"/>
        </w:rPr>
      </w:r>
    </w:p>
    <w:p>
      <w:pPr>
        <w:pStyle w:val="Heading7"/>
        <w:spacing w:line="253" w:lineRule="exact"/>
        <w:ind w:right="0"/>
        <w:jc w:val="both"/>
      </w:pPr>
      <w:r>
        <w:rPr/>
        <w:t>型的不断涌现，补贴政策对新能源汽车销量的影响将会减弱，新能源汽车销量增长将由“政策驱动”过渡</w:t>
      </w:r>
    </w:p>
    <w:p>
      <w:pPr>
        <w:pStyle w:val="Heading7"/>
        <w:spacing w:line="266" w:lineRule="auto" w:before="44"/>
        <w:ind w:right="1112"/>
        <w:jc w:val="both"/>
      </w:pPr>
      <w:r>
        <w:rPr>
          <w:spacing w:val="-1"/>
          <w:w w:val="99"/>
        </w:rPr>
        <w:t>到“消费驱动”。中国汽车工业协会预计，</w:t>
      </w:r>
      <w:r>
        <w:rPr>
          <w:rFonts w:ascii="Times New Roman" w:hAnsi="Times New Roman" w:cs="Times New Roman" w:eastAsia="Times New Roman" w:hint="default"/>
          <w:spacing w:val="-1"/>
          <w:w w:val="99"/>
        </w:rPr>
        <w:t>2019</w:t>
      </w:r>
      <w:r>
        <w:rPr>
          <w:spacing w:val="-1"/>
          <w:w w:val="99"/>
        </w:rPr>
        <w:t>年新能源汽车销量将突破</w:t>
      </w:r>
      <w:r>
        <w:rPr>
          <w:rFonts w:ascii="Times New Roman" w:hAnsi="Times New Roman" w:cs="Times New Roman" w:eastAsia="Times New Roman" w:hint="default"/>
          <w:spacing w:val="-1"/>
          <w:w w:val="99"/>
        </w:rPr>
        <w:t>160</w:t>
      </w:r>
      <w:r>
        <w:rPr>
          <w:spacing w:val="-1"/>
          <w:w w:val="99"/>
        </w:rPr>
        <w:t>万辆，同比增长</w:t>
      </w:r>
      <w:r>
        <w:rPr>
          <w:rFonts w:ascii="Times New Roman" w:hAnsi="Times New Roman" w:cs="Times New Roman" w:eastAsia="Times New Roman" w:hint="default"/>
          <w:spacing w:val="-1"/>
          <w:w w:val="99"/>
        </w:rPr>
        <w:t>33.3%</w:t>
      </w:r>
      <w:r>
        <w:rPr>
          <w:spacing w:val="-1"/>
          <w:w w:val="99"/>
        </w:rPr>
        <w:t>，新能</w:t>
      </w:r>
      <w:r>
        <w:rPr>
          <w:spacing w:val="-58"/>
          <w:w w:val="99"/>
        </w:rPr>
        <w:t> </w:t>
      </w:r>
      <w:r>
        <w:rPr>
          <w:spacing w:val="-58"/>
          <w:w w:val="99"/>
        </w:rPr>
      </w:r>
      <w:r>
        <w:rPr>
          <w:w w:val="95"/>
        </w:rPr>
        <w:t>源汽车行业仍将保持较快的发展态势。随着新能源汽车销量的增长，充电桩的需求缺口也将进一步扩大。</w:t>
      </w:r>
      <w:r>
        <w:rPr/>
      </w:r>
    </w:p>
    <w:p>
      <w:pPr>
        <w:spacing w:after="0" w:line="266" w:lineRule="auto"/>
        <w:jc w:val="both"/>
        <w:sectPr>
          <w:headerReference w:type="default" r:id="rId26"/>
          <w:pgSz w:w="11910" w:h="16840"/>
          <w:pgMar w:header="890" w:footer="1012" w:top="1420" w:bottom="1200" w:left="1020" w:right="0"/>
        </w:sectPr>
      </w:pPr>
    </w:p>
    <w:p>
      <w:pPr>
        <w:pStyle w:val="Heading6"/>
        <w:spacing w:line="240" w:lineRule="auto" w:before="67"/>
        <w:ind w:left="535" w:right="0"/>
        <w:jc w:val="left"/>
        <w:rPr>
          <w:b w:val="0"/>
          <w:bCs w:val="0"/>
        </w:rPr>
      </w:pPr>
      <w:r>
        <w:rPr/>
        <w:t>（</w:t>
      </w:r>
      <w:r>
        <w:rPr>
          <w:rFonts w:ascii="Times New Roman" w:hAnsi="Times New Roman" w:cs="Times New Roman" w:eastAsia="Times New Roman" w:hint="default"/>
        </w:rPr>
        <w:t>2</w:t>
      </w:r>
      <w:r>
        <w:rPr/>
        <w:t>）电改，将带来能源互联革命</w:t>
      </w:r>
      <w:r>
        <w:rPr>
          <w:b w:val="0"/>
          <w:bCs w:val="0"/>
        </w:rPr>
      </w:r>
    </w:p>
    <w:p>
      <w:pPr>
        <w:pStyle w:val="Heading7"/>
        <w:spacing w:line="266" w:lineRule="auto" w:before="184"/>
        <w:ind w:right="0" w:firstLine="420"/>
        <w:jc w:val="left"/>
      </w:pPr>
      <w:r>
        <w:rPr>
          <w:spacing w:val="-3"/>
          <w:w w:val="99"/>
        </w:rPr>
        <w:t>根据电改“九号文”——《关于进一步深化电力体制改革的若干意见》（中发［</w:t>
      </w:r>
      <w:r>
        <w:rPr>
          <w:rFonts w:ascii="Times New Roman" w:hAnsi="Times New Roman" w:cs="Times New Roman" w:eastAsia="Times New Roman" w:hint="default"/>
          <w:spacing w:val="-3"/>
          <w:w w:val="99"/>
        </w:rPr>
        <w:t>2015</w:t>
      </w:r>
      <w:r>
        <w:rPr>
          <w:spacing w:val="-3"/>
          <w:w w:val="99"/>
        </w:rPr>
        <w:t>］</w:t>
      </w:r>
      <w:r>
        <w:rPr>
          <w:rFonts w:ascii="Times New Roman" w:hAnsi="Times New Roman" w:cs="Times New Roman" w:eastAsia="Times New Roman" w:hint="default"/>
          <w:spacing w:val="-3"/>
          <w:w w:val="99"/>
        </w:rPr>
        <w:t>9</w:t>
      </w:r>
      <w:r>
        <w:rPr>
          <w:spacing w:val="-3"/>
          <w:w w:val="99"/>
        </w:rPr>
        <w:t>号），确定新</w:t>
      </w:r>
      <w:r>
        <w:rPr>
          <w:w w:val="99"/>
        </w:rPr>
        <w:t> </w:t>
      </w:r>
      <w:r>
        <w:rPr>
          <w:w w:val="95"/>
        </w:rPr>
        <w:t>一轮电改“管住中间、放开两头”的体制架构，新电改将带来的能源互联革命，将给公司绿色能源业务链</w:t>
      </w:r>
      <w:r>
        <w:rPr/>
      </w:r>
    </w:p>
    <w:p>
      <w:pPr>
        <w:pStyle w:val="Heading7"/>
        <w:spacing w:line="273" w:lineRule="auto" w:before="21"/>
        <w:ind w:right="1132"/>
        <w:jc w:val="both"/>
      </w:pPr>
      <w:r>
        <w:rPr/>
        <w:t>（电力传输、充电设备等）带来商机。根据新电改方案</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电网将逐步退出售电，用电企业和发电企业绕过</w:t>
      </w:r>
      <w:r>
        <w:rPr>
          <w:spacing w:val="-103"/>
        </w:rPr>
        <w:t> </w:t>
      </w:r>
      <w:r>
        <w:rPr>
          <w:spacing w:val="-103"/>
        </w:rPr>
      </w:r>
      <w:r>
        <w:rPr>
          <w:w w:val="95"/>
        </w:rPr>
        <w:t>电网自主交易，并拥有自主选择权。由于国家发展改革委发布的《关于电动汽车用电格政策有关问题的通</w:t>
      </w:r>
      <w:r>
        <w:rPr>
          <w:spacing w:val="40"/>
          <w:w w:val="95"/>
        </w:rPr>
        <w:t> </w:t>
      </w:r>
      <w:r>
        <w:rPr>
          <w:spacing w:val="40"/>
          <w:w w:val="95"/>
        </w:rPr>
      </w:r>
      <w:r>
        <w:rPr>
          <w:w w:val="95"/>
        </w:rPr>
        <w:t>知》已经对企业向充换电用户收取电费、服务费做出了明确规定，未来新能源汽车充电服务业务将存有一</w:t>
      </w:r>
      <w:r>
        <w:rPr>
          <w:spacing w:val="40"/>
          <w:w w:val="95"/>
        </w:rPr>
        <w:t> </w:t>
      </w:r>
      <w:r>
        <w:rPr>
          <w:spacing w:val="40"/>
          <w:w w:val="95"/>
        </w:rPr>
      </w:r>
      <w:r>
        <w:rPr/>
        <w:t>定的利润增长点。</w:t>
      </w:r>
    </w:p>
    <w:p>
      <w:pPr>
        <w:pStyle w:val="Heading7"/>
        <w:spacing w:line="478" w:lineRule="exact" w:before="34"/>
        <w:ind w:left="532" w:right="0"/>
        <w:jc w:val="left"/>
      </w:pPr>
      <w:r>
        <w:rPr>
          <w:rFonts w:ascii="宋体" w:hAnsi="宋体" w:cs="宋体" w:eastAsia="宋体" w:hint="default"/>
          <w:b/>
          <w:bCs/>
        </w:rPr>
        <w:t>（二）公司发展战略</w:t>
      </w:r>
      <w:r>
        <w:rPr>
          <w:rFonts w:ascii="宋体" w:hAnsi="宋体" w:cs="宋体" w:eastAsia="宋体" w:hint="default"/>
          <w:b/>
          <w:bCs/>
          <w:w w:val="99"/>
        </w:rPr>
        <w:t> </w:t>
      </w:r>
      <w:r>
        <w:rPr>
          <w:w w:val="95"/>
        </w:rPr>
        <w:t>在新经济背景下，公司战略动态调整，淡化管控，强化服务与快速响应；企业平台化，架构扁平化，</w:t>
      </w:r>
      <w:r>
        <w:rPr/>
      </w:r>
    </w:p>
    <w:p>
      <w:pPr>
        <w:pStyle w:val="Heading7"/>
        <w:spacing w:line="253" w:lineRule="exact"/>
        <w:ind w:right="0"/>
        <w:jc w:val="both"/>
      </w:pPr>
      <w:r>
        <w:rPr/>
        <w:t>赋能经营团队。</w:t>
      </w:r>
    </w:p>
    <w:p>
      <w:pPr>
        <w:spacing w:line="240" w:lineRule="auto" w:before="4"/>
        <w:rPr>
          <w:rFonts w:ascii="宋体" w:hAnsi="宋体" w:cs="宋体" w:eastAsia="宋体" w:hint="default"/>
          <w:sz w:val="15"/>
          <w:szCs w:val="15"/>
        </w:rPr>
      </w:pPr>
    </w:p>
    <w:p>
      <w:pPr>
        <w:pStyle w:val="Heading7"/>
        <w:spacing w:line="240" w:lineRule="auto"/>
        <w:ind w:left="532" w:right="0"/>
        <w:jc w:val="left"/>
      </w:pPr>
      <w:r>
        <w:rPr/>
        <w:t>公司的战略目标：立足线缆主业，力拓新材料业务，稳步投资新能源事业，资本运作助力产业发展。</w:t>
      </w:r>
    </w:p>
    <w:p>
      <w:pPr>
        <w:spacing w:line="240" w:lineRule="auto" w:before="7"/>
        <w:rPr>
          <w:rFonts w:ascii="宋体" w:hAnsi="宋体" w:cs="宋体" w:eastAsia="宋体" w:hint="default"/>
          <w:sz w:val="15"/>
          <w:szCs w:val="15"/>
        </w:rPr>
      </w:pPr>
    </w:p>
    <w:p>
      <w:pPr>
        <w:pStyle w:val="Heading7"/>
        <w:spacing w:line="271" w:lineRule="auto"/>
        <w:ind w:right="0" w:firstLine="422"/>
        <w:jc w:val="left"/>
      </w:pPr>
      <w:r>
        <w:rPr>
          <w:rFonts w:ascii="Times New Roman" w:hAnsi="Times New Roman" w:cs="Times New Roman" w:eastAsia="Times New Roman" w:hint="default"/>
          <w:b/>
          <w:bCs/>
        </w:rPr>
        <w:t>1.</w:t>
      </w:r>
      <w:r>
        <w:rPr>
          <w:rFonts w:ascii="宋体" w:hAnsi="宋体" w:cs="宋体" w:eastAsia="宋体" w:hint="default"/>
          <w:b/>
          <w:bCs/>
        </w:rPr>
        <w:t>新智造，科研引领，匠心制精品。</w:t>
      </w:r>
      <w:r>
        <w:rPr/>
        <w:t>围绕电力传输与分配，沿线缆使用场景继续深耕细作，丰富产品</w:t>
      </w:r>
      <w:r>
        <w:rPr>
          <w:w w:val="99"/>
        </w:rPr>
        <w:t> </w:t>
      </w:r>
      <w:r>
        <w:rPr>
          <w:spacing w:val="-3"/>
        </w:rPr>
        <w:t>系列，研发细分领域拳头产品；以客户需求为导向，加强快速市场响应能力建设；匠心制造，严把质量关；</w:t>
      </w:r>
      <w:r>
        <w:rPr>
          <w:w w:val="99"/>
        </w:rPr>
        <w:t> </w:t>
      </w:r>
      <w:r>
        <w:rPr/>
        <w:t>控制经营风险、降低运营成本、提升盈利能力。</w:t>
      </w:r>
    </w:p>
    <w:p>
      <w:pPr>
        <w:pStyle w:val="Heading7"/>
        <w:spacing w:line="268" w:lineRule="auto" w:before="175"/>
        <w:ind w:right="1124" w:firstLine="420"/>
        <w:jc w:val="both"/>
      </w:pPr>
      <w:r>
        <w:rPr>
          <w:rFonts w:ascii="Times New Roman" w:hAnsi="Times New Roman" w:cs="Times New Roman" w:eastAsia="Times New Roman" w:hint="default"/>
          <w:b/>
          <w:bCs/>
        </w:rPr>
        <w:t>2.</w:t>
      </w:r>
      <w:r>
        <w:rPr>
          <w:rFonts w:ascii="宋体" w:hAnsi="宋体" w:cs="宋体" w:eastAsia="宋体" w:hint="default"/>
          <w:b/>
          <w:bCs/>
        </w:rPr>
        <w:t>新材料，研发驱动，全球布局。</w:t>
      </w:r>
      <w:r>
        <w:rPr/>
        <w:t>提升创新管理能力，力争新品技术与品牌的高端化；工业生产及设</w:t>
      </w:r>
      <w:r>
        <w:rPr>
          <w:w w:val="99"/>
        </w:rPr>
        <w:t> </w:t>
      </w:r>
      <w:r>
        <w:rPr>
          <w:w w:val="95"/>
        </w:rPr>
        <w:t>备的智能化；人才、市场、资源模式的国际化。跟随国家“一带一路”战略，大力拓展国际市场，提升品</w:t>
      </w:r>
      <w:r>
        <w:rPr>
          <w:spacing w:val="39"/>
          <w:w w:val="95"/>
        </w:rPr>
        <w:t> </w:t>
      </w:r>
      <w:r>
        <w:rPr>
          <w:spacing w:val="39"/>
          <w:w w:val="95"/>
        </w:rPr>
      </w:r>
      <w:r>
        <w:rPr>
          <w:w w:val="95"/>
        </w:rPr>
        <w:t>牌影响力。保持电力电缆材料行业龙头地位，在光电线缆材料行业，弹性体、低烟无卤、特种 </w:t>
      </w:r>
      <w:r>
        <w:rPr>
          <w:rFonts w:ascii="Times New Roman" w:hAnsi="Times New Roman" w:cs="Times New Roman" w:eastAsia="Times New Roman" w:hint="default"/>
          <w:w w:val="95"/>
        </w:rPr>
        <w:t>PVC</w:t>
      </w:r>
      <w:r>
        <w:rPr>
          <w:w w:val="95"/>
        </w:rPr>
        <w:t>，三大</w:t>
      </w:r>
      <w:r>
        <w:rPr>
          <w:spacing w:val="58"/>
          <w:w w:val="95"/>
        </w:rPr>
        <w:t> </w:t>
      </w:r>
      <w:r>
        <w:rPr>
          <w:spacing w:val="58"/>
          <w:w w:val="95"/>
        </w:rPr>
      </w:r>
      <w:r>
        <w:rPr/>
        <w:t>系列产品三年内进入行业前</w:t>
      </w:r>
      <w:r>
        <w:rPr>
          <w:sz w:val="18"/>
          <w:szCs w:val="18"/>
        </w:rPr>
        <w:t>列</w:t>
      </w:r>
      <w:r>
        <w:rPr/>
        <w:t>。</w:t>
      </w:r>
    </w:p>
    <w:p>
      <w:pPr>
        <w:pStyle w:val="Heading7"/>
        <w:spacing w:line="271" w:lineRule="auto" w:before="175"/>
        <w:ind w:right="1025" w:firstLine="422"/>
        <w:jc w:val="left"/>
      </w:pPr>
      <w:r>
        <w:rPr>
          <w:rFonts w:ascii="Times New Roman" w:hAnsi="Times New Roman" w:cs="Times New Roman" w:eastAsia="Times New Roman" w:hint="default"/>
          <w:b/>
          <w:bCs/>
        </w:rPr>
        <w:t>3.</w:t>
      </w:r>
      <w:r>
        <w:rPr>
          <w:rFonts w:ascii="宋体" w:hAnsi="宋体" w:cs="宋体" w:eastAsia="宋体" w:hint="default"/>
          <w:b/>
          <w:bCs/>
        </w:rPr>
        <w:t>新能源，提高充电站盈利能力。</w:t>
      </w:r>
      <w:r>
        <w:rPr/>
        <w:t>推动充电站运营管理精细化，建立品牌化服务体系，加强新产品的</w:t>
      </w:r>
      <w:r>
        <w:rPr>
          <w:w w:val="99"/>
        </w:rPr>
        <w:t> </w:t>
      </w:r>
      <w:r>
        <w:rPr>
          <w:spacing w:val="-3"/>
        </w:rPr>
        <w:t>研发，提高</w:t>
      </w:r>
      <w:r>
        <w:rPr>
          <w:color w:val="333333"/>
          <w:spacing w:val="-3"/>
        </w:rPr>
        <w:t>城市公司盈利能力。完善充电站的安全管理，为用户提供高品质服务体验。提高平台服务能力，</w:t>
      </w:r>
      <w:r>
        <w:rPr>
          <w:color w:val="333333"/>
          <w:w w:val="99"/>
        </w:rPr>
        <w:t> </w:t>
      </w:r>
      <w:r>
        <w:rPr>
          <w:color w:val="333333"/>
        </w:rPr>
        <w:t>通过“自营</w:t>
      </w:r>
      <w:r>
        <w:rPr>
          <w:rFonts w:ascii="Times New Roman" w:hAnsi="Times New Roman" w:cs="Times New Roman" w:eastAsia="Times New Roman" w:hint="default"/>
          <w:color w:val="333333"/>
        </w:rPr>
        <w:t>+</w:t>
      </w:r>
      <w:r>
        <w:rPr>
          <w:color w:val="333333"/>
        </w:rPr>
        <w:t>联营”等方式，提高城市网络密度，提升云平台价值。</w:t>
      </w:r>
      <w:r>
        <w:rPr/>
      </w:r>
    </w:p>
    <w:p>
      <w:pPr>
        <w:spacing w:line="264" w:lineRule="auto" w:before="154"/>
        <w:ind w:left="112" w:right="0"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资本运作，助力产业发展。</w:t>
      </w:r>
      <w:r>
        <w:rPr>
          <w:rFonts w:ascii="宋体" w:hAnsi="宋体" w:cs="宋体" w:eastAsia="宋体" w:hint="default"/>
          <w:sz w:val="21"/>
          <w:szCs w:val="21"/>
        </w:rPr>
        <w:t>在兼并收购方面，以公司发展战略为指导，围绕主营业务上下游，推进</w:t>
      </w:r>
      <w:r>
        <w:rPr>
          <w:rFonts w:ascii="宋体" w:hAnsi="宋体" w:cs="宋体" w:eastAsia="宋体" w:hint="default"/>
          <w:w w:val="99"/>
          <w:sz w:val="21"/>
          <w:szCs w:val="21"/>
        </w:rPr>
        <w:t> </w:t>
      </w:r>
      <w:r>
        <w:rPr>
          <w:rFonts w:ascii="宋体" w:hAnsi="宋体" w:cs="宋体" w:eastAsia="宋体" w:hint="default"/>
          <w:sz w:val="21"/>
          <w:szCs w:val="21"/>
        </w:rPr>
        <w:t>资本运作，助力主营业务持续健康发展。</w:t>
      </w:r>
    </w:p>
    <w:p>
      <w:pPr>
        <w:spacing w:line="240" w:lineRule="auto" w:before="12"/>
        <w:rPr>
          <w:rFonts w:ascii="宋体" w:hAnsi="宋体" w:cs="宋体" w:eastAsia="宋体" w:hint="default"/>
          <w:sz w:val="13"/>
          <w:szCs w:val="13"/>
        </w:rPr>
      </w:pPr>
    </w:p>
    <w:p>
      <w:pPr>
        <w:pStyle w:val="Heading6"/>
        <w:spacing w:line="240" w:lineRule="auto"/>
        <w:ind w:left="535" w:right="0"/>
        <w:jc w:val="left"/>
        <w:rPr>
          <w:b w:val="0"/>
          <w:bCs w:val="0"/>
        </w:rPr>
      </w:pPr>
      <w:r>
        <w:rPr/>
        <w:t>（三）经营计划</w:t>
      </w:r>
      <w:r>
        <w:rPr>
          <w:b w:val="0"/>
          <w:bCs w:val="0"/>
        </w:rPr>
      </w:r>
    </w:p>
    <w:p>
      <w:pPr>
        <w:spacing w:line="240" w:lineRule="auto" w:before="4"/>
        <w:rPr>
          <w:rFonts w:ascii="宋体" w:hAnsi="宋体" w:cs="宋体" w:eastAsia="宋体" w:hint="default"/>
          <w:b/>
          <w:bCs/>
          <w:sz w:val="15"/>
          <w:szCs w:val="15"/>
        </w:rPr>
      </w:pPr>
    </w:p>
    <w:p>
      <w:pPr>
        <w:pStyle w:val="Heading7"/>
        <w:spacing w:line="240" w:lineRule="auto"/>
        <w:ind w:left="532"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年，公司实现营业收入</w:t>
      </w:r>
      <w:r>
        <w:rPr>
          <w:spacing w:val="-16"/>
        </w:rPr>
        <w:t> </w:t>
      </w:r>
      <w:r>
        <w:rPr>
          <w:rFonts w:ascii="Times New Roman" w:hAnsi="Times New Roman" w:cs="Times New Roman" w:eastAsia="Times New Roman" w:hint="default"/>
        </w:rPr>
        <w:t>87.40</w:t>
      </w:r>
      <w:r>
        <w:rPr>
          <w:rFonts w:ascii="Times New Roman" w:hAnsi="Times New Roman" w:cs="Times New Roman" w:eastAsia="Times New Roman" w:hint="default"/>
          <w:spacing w:val="-9"/>
        </w:rPr>
        <w:t> </w:t>
      </w:r>
      <w:r>
        <w:rPr/>
        <w:t>亿元，完成年度预算目标的</w:t>
      </w:r>
      <w:r>
        <w:rPr>
          <w:spacing w:val="-14"/>
        </w:rPr>
        <w:t> </w:t>
      </w:r>
      <w:r>
        <w:rPr>
          <w:rFonts w:ascii="Times New Roman" w:hAnsi="Times New Roman" w:cs="Times New Roman" w:eastAsia="Times New Roman" w:hint="default"/>
        </w:rPr>
        <w:t>99.32</w:t>
      </w:r>
      <w:r>
        <w:rPr>
          <w:rFonts w:ascii="Times New Roman" w:hAnsi="Times New Roman" w:cs="Times New Roman" w:eastAsia="Times New Roman" w:hint="default"/>
          <w:spacing w:val="-9"/>
        </w:rPr>
        <w:t> </w:t>
      </w:r>
      <w:r>
        <w:rPr>
          <w:rFonts w:ascii="Times New Roman" w:hAnsi="Times New Roman" w:cs="Times New Roman" w:eastAsia="Times New Roman" w:hint="default"/>
        </w:rPr>
        <w:t>%</w:t>
      </w:r>
      <w:r>
        <w:rPr/>
        <w:t>，归属于上市公司股东的净利</w:t>
      </w:r>
    </w:p>
    <w:p>
      <w:pPr>
        <w:pStyle w:val="Heading7"/>
        <w:spacing w:line="240" w:lineRule="auto" w:before="28"/>
        <w:ind w:right="0"/>
        <w:jc w:val="both"/>
      </w:pPr>
      <w:r>
        <w:rPr/>
        <w:t>润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亿元，与上年基本持平。</w:t>
      </w:r>
    </w:p>
    <w:p>
      <w:pPr>
        <w:pStyle w:val="Heading7"/>
        <w:spacing w:line="240" w:lineRule="auto" w:before="187"/>
        <w:ind w:left="532"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spacing w:val="-2"/>
        </w:rPr>
        <w:t>年，公司将坚持科技创新引领战略，以主营业务为核心，带动相关产业发展。根据公司三年战略</w:t>
      </w:r>
    </w:p>
    <w:p>
      <w:pPr>
        <w:pStyle w:val="Heading7"/>
        <w:spacing w:line="240" w:lineRule="auto" w:before="28"/>
        <w:ind w:right="0"/>
        <w:jc w:val="both"/>
      </w:pPr>
      <w:r>
        <w:rPr>
          <w:spacing w:val="2"/>
        </w:rPr>
        <w:t>目标，结合新的经济形势和公司经营实际，力争实现营业收入</w:t>
      </w:r>
      <w:r>
        <w:rPr>
          <w:spacing w:val="-62"/>
        </w:rPr>
        <w:t> </w:t>
      </w:r>
      <w:r>
        <w:rPr>
          <w:rFonts w:ascii="Times New Roman" w:hAnsi="Times New Roman" w:cs="Times New Roman" w:eastAsia="Times New Roman" w:hint="default"/>
        </w:rPr>
        <w:t>96</w:t>
      </w:r>
      <w:r>
        <w:rPr>
          <w:rFonts w:ascii="Times New Roman" w:hAnsi="Times New Roman" w:cs="Times New Roman" w:eastAsia="Times New Roman" w:hint="default"/>
          <w:spacing w:val="-11"/>
        </w:rPr>
        <w:t> </w:t>
      </w:r>
      <w:r>
        <w:rPr>
          <w:spacing w:val="2"/>
        </w:rPr>
        <w:t>亿元目标（该经营目标并不代表公司对</w:t>
      </w:r>
    </w:p>
    <w:p>
      <w:pPr>
        <w:pStyle w:val="Heading7"/>
        <w:spacing w:line="266" w:lineRule="auto" w:before="28"/>
        <w:ind w:right="1132"/>
        <w:jc w:val="both"/>
      </w:pPr>
      <w:r>
        <w:rPr>
          <w:rFonts w:ascii="Times New Roman" w:hAnsi="Times New Roman" w:cs="Times New Roman" w:eastAsia="Times New Roman" w:hint="default"/>
          <w:w w:val="95"/>
        </w:rPr>
        <w:t>2019 </w:t>
      </w:r>
      <w:r>
        <w:rPr>
          <w:w w:val="95"/>
        </w:rPr>
        <w:t>年度的盈利预测，能否实现取决于市场状况变化、经营团队的努力程度等多种因素，存在很大的不确</w:t>
      </w:r>
      <w:r>
        <w:rPr>
          <w:spacing w:val="40"/>
          <w:w w:val="95"/>
        </w:rPr>
        <w:t> </w:t>
      </w:r>
      <w:r>
        <w:rPr>
          <w:spacing w:val="40"/>
          <w:w w:val="95"/>
        </w:rPr>
      </w:r>
      <w:r>
        <w:rPr>
          <w:spacing w:val="-8"/>
          <w:w w:val="99"/>
        </w:rPr>
        <w:t>定性，请投资者特别注意）。</w:t>
      </w:r>
      <w:r>
        <w:rPr>
          <w:spacing w:val="-8"/>
        </w:rPr>
      </w:r>
    </w:p>
    <w:p>
      <w:pPr>
        <w:pStyle w:val="Heading6"/>
        <w:spacing w:line="240" w:lineRule="auto" w:before="177"/>
        <w:ind w:left="535" w:right="0"/>
        <w:jc w:val="left"/>
        <w:rPr>
          <w:b w:val="0"/>
          <w:bCs w:val="0"/>
        </w:rPr>
      </w:pPr>
      <w:r>
        <w:rPr/>
        <w:t>（四）因维持当前业务并完成在建投资项目公司所需的资金需求</w:t>
      </w:r>
      <w:r>
        <w:rPr>
          <w:b w:val="0"/>
          <w:bCs w:val="0"/>
        </w:rPr>
      </w:r>
    </w:p>
    <w:p>
      <w:pPr>
        <w:spacing w:line="240" w:lineRule="auto" w:before="4"/>
        <w:rPr>
          <w:rFonts w:ascii="宋体" w:hAnsi="宋体" w:cs="宋体" w:eastAsia="宋体" w:hint="default"/>
          <w:b/>
          <w:bCs/>
          <w:sz w:val="15"/>
          <w:szCs w:val="15"/>
        </w:rPr>
      </w:pPr>
    </w:p>
    <w:p>
      <w:pPr>
        <w:pStyle w:val="Heading7"/>
        <w:spacing w:line="276" w:lineRule="auto"/>
        <w:ind w:right="1025" w:firstLine="420"/>
        <w:jc w:val="left"/>
      </w:pPr>
      <w:r>
        <w:rPr>
          <w:rFonts w:ascii="Times New Roman" w:hAnsi="Times New Roman" w:cs="Times New Roman" w:eastAsia="Times New Roman" w:hint="default"/>
        </w:rPr>
        <w:t>2019</w:t>
      </w:r>
      <w:r>
        <w:rPr/>
        <w:t>年度，为满足公司经营发展和资本支出的需要，并结合企业年度经营计划，公司将积极采取诸如</w:t>
      </w:r>
      <w:r>
        <w:rPr>
          <w:w w:val="99"/>
        </w:rPr>
        <w:t> </w:t>
      </w:r>
      <w:r>
        <w:rPr/>
        <w:t>银行债务融资、银行间交易市场融资和债券融资等多种融资方式结合的形式，取得资金成本较低的外部资</w:t>
      </w:r>
      <w:r>
        <w:rPr>
          <w:w w:val="99"/>
        </w:rPr>
        <w:t> </w:t>
      </w:r>
      <w:r>
        <w:rPr/>
        <w:t>金，更好的满足企业持续发展的需要。除此之外，公司将继续加强对下属公司的财务管理和风险控制，全</w:t>
      </w:r>
      <w:r>
        <w:rPr>
          <w:w w:val="99"/>
        </w:rPr>
        <w:t> </w:t>
      </w:r>
      <w:r>
        <w:rPr/>
        <w:t>面实现预算管理的各项指标并优化，进一步加强应收账款管理，运用合适的供应链金融工具，提高资金使</w:t>
      </w:r>
      <w:r>
        <w:rPr>
          <w:w w:val="99"/>
        </w:rPr>
        <w:t> </w:t>
      </w:r>
      <w:r>
        <w:rPr>
          <w:spacing w:val="-3"/>
        </w:rPr>
        <w:t>用效率，降低融资成本，改善经营性现金流，优化企业债务结构，确保公司全年生产经营目标的顺利实现。</w:t>
      </w:r>
      <w:r>
        <w:rPr>
          <w:w w:val="99"/>
        </w:rPr>
        <w:t> </w:t>
      </w:r>
      <w:r>
        <w:rPr/>
        <w:t>资金成本受国家货币政策、本单位资信状况、银行关系以及融资方式等多种因素的影响，存在一定的不确</w:t>
      </w:r>
    </w:p>
    <w:p>
      <w:pPr>
        <w:spacing w:after="0" w:line="276" w:lineRule="auto"/>
        <w:jc w:val="left"/>
        <w:sectPr>
          <w:pgSz w:w="11910" w:h="16840"/>
          <w:pgMar w:header="890" w:footer="1012" w:top="1420" w:bottom="1200" w:left="1020" w:right="0"/>
        </w:sectPr>
      </w:pPr>
    </w:p>
    <w:p>
      <w:pPr>
        <w:pStyle w:val="Heading7"/>
        <w:spacing w:line="240" w:lineRule="auto" w:before="67"/>
        <w:ind w:left="232" w:right="0"/>
        <w:jc w:val="both"/>
      </w:pPr>
      <w:r>
        <w:rPr/>
        <w:t>定性，敬请投资者关注风险。</w:t>
      </w:r>
    </w:p>
    <w:p>
      <w:pPr>
        <w:spacing w:line="240" w:lineRule="auto" w:before="4"/>
        <w:rPr>
          <w:rFonts w:ascii="宋体" w:hAnsi="宋体" w:cs="宋体" w:eastAsia="宋体" w:hint="default"/>
          <w:sz w:val="15"/>
          <w:szCs w:val="15"/>
        </w:rPr>
      </w:pPr>
    </w:p>
    <w:p>
      <w:pPr>
        <w:pStyle w:val="Heading6"/>
        <w:spacing w:line="240" w:lineRule="auto"/>
        <w:ind w:left="655" w:right="2654"/>
        <w:jc w:val="left"/>
        <w:rPr>
          <w:b w:val="0"/>
          <w:bCs w:val="0"/>
        </w:rPr>
      </w:pPr>
      <w:r>
        <w:rPr/>
        <w:t>（五）风险因素</w:t>
      </w:r>
      <w:r>
        <w:rPr>
          <w:b w:val="0"/>
          <w:bCs w:val="0"/>
        </w:rPr>
      </w:r>
    </w:p>
    <w:p>
      <w:pPr>
        <w:pStyle w:val="Heading7"/>
        <w:spacing w:line="460" w:lineRule="atLeast" w:before="33"/>
        <w:ind w:left="652" w:right="915"/>
        <w:jc w:val="left"/>
      </w:pPr>
      <w:r>
        <w:rPr>
          <w:rFonts w:ascii="Times New Roman" w:hAnsi="Times New Roman" w:cs="Times New Roman" w:eastAsia="Times New Roman" w:hint="default"/>
          <w:b/>
          <w:bCs/>
        </w:rPr>
        <w:t>1.</w:t>
      </w:r>
      <w:r>
        <w:rPr>
          <w:rFonts w:ascii="宋体" w:hAnsi="宋体" w:cs="宋体" w:eastAsia="宋体" w:hint="default"/>
          <w:b/>
          <w:bCs/>
        </w:rPr>
        <w:t>行业政策性风险</w:t>
      </w:r>
      <w:r>
        <w:rPr>
          <w:rFonts w:ascii="宋体" w:hAnsi="宋体" w:cs="宋体" w:eastAsia="宋体" w:hint="default"/>
          <w:b/>
          <w:bCs/>
          <w:w w:val="99"/>
        </w:rPr>
        <w:t> </w:t>
      </w:r>
      <w:r>
        <w:rPr>
          <w:w w:val="95"/>
        </w:rPr>
        <w:t>公司主要涉及电线电缆行业、新材料行业、电动汽车充电桩行业等。各行业的发展受到国家宏观政策</w:t>
      </w:r>
      <w:r>
        <w:rPr/>
      </w:r>
    </w:p>
    <w:p>
      <w:pPr>
        <w:pStyle w:val="Heading7"/>
        <w:spacing w:line="280" w:lineRule="auto" w:before="44"/>
        <w:ind w:left="232" w:right="1130"/>
        <w:jc w:val="both"/>
      </w:pPr>
      <w:r>
        <w:rPr>
          <w:w w:val="95"/>
        </w:rPr>
        <w:t>的影响。国务院、国家发改委等相关部门发布政策继续优化产业结构，强力推进节能减排工作，加快发展</w:t>
      </w:r>
      <w:r>
        <w:rPr>
          <w:spacing w:val="44"/>
          <w:w w:val="95"/>
        </w:rPr>
        <w:t> </w:t>
      </w:r>
      <w:r>
        <w:rPr>
          <w:spacing w:val="44"/>
          <w:w w:val="95"/>
        </w:rPr>
      </w:r>
      <w:r>
        <w:rPr>
          <w:w w:val="95"/>
        </w:rPr>
        <w:t>低碳经济，大力发展新能源、智能电网、电动汽车、能源互联网等战略性新兴产业。国家政策为公司发展</w:t>
      </w:r>
      <w:r>
        <w:rPr>
          <w:spacing w:val="43"/>
          <w:w w:val="95"/>
        </w:rPr>
        <w:t> </w:t>
      </w:r>
      <w:r>
        <w:rPr>
          <w:spacing w:val="43"/>
          <w:w w:val="95"/>
        </w:rPr>
      </w:r>
      <w:r>
        <w:rPr/>
        <w:t>带来机遇，同时也带来一定的政策变动的风险。</w:t>
      </w:r>
    </w:p>
    <w:p>
      <w:pPr>
        <w:spacing w:line="478" w:lineRule="exact" w:before="27"/>
        <w:ind w:left="652" w:right="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原材料价格大幅波动带来的经营风险</w:t>
      </w:r>
      <w:r>
        <w:rPr>
          <w:rFonts w:ascii="宋体" w:hAnsi="宋体" w:cs="宋体" w:eastAsia="宋体" w:hint="default"/>
          <w:b/>
          <w:bCs/>
          <w:w w:val="99"/>
          <w:sz w:val="21"/>
          <w:szCs w:val="21"/>
        </w:rPr>
        <w:t> </w:t>
      </w:r>
      <w:r>
        <w:rPr>
          <w:rFonts w:ascii="宋体" w:hAnsi="宋体" w:cs="宋体" w:eastAsia="宋体" w:hint="default"/>
          <w:w w:val="95"/>
          <w:sz w:val="21"/>
          <w:szCs w:val="21"/>
        </w:rPr>
        <w:t>电线电缆的最主要原材料为铜材，公司与客户签订的销售合同通常为闭口合同，即在签订合同时便锁</w:t>
      </w:r>
      <w:r>
        <w:rPr>
          <w:rFonts w:ascii="宋体" w:hAnsi="宋体" w:cs="宋体" w:eastAsia="宋体" w:hint="default"/>
          <w:sz w:val="21"/>
          <w:szCs w:val="21"/>
        </w:rPr>
      </w:r>
    </w:p>
    <w:p>
      <w:pPr>
        <w:pStyle w:val="Heading7"/>
        <w:spacing w:line="253" w:lineRule="exact"/>
        <w:ind w:left="232" w:right="0"/>
        <w:jc w:val="both"/>
      </w:pPr>
      <w:r>
        <w:rPr/>
        <w:t>定销货价格，铜价格波动会直接影响到公司经营业绩。尽管公司通过定价机制（依据当前铜价，通过公司</w:t>
      </w:r>
    </w:p>
    <w:p>
      <w:pPr>
        <w:pStyle w:val="Heading7"/>
        <w:spacing w:line="271" w:lineRule="auto" w:before="44"/>
        <w:ind w:left="232" w:right="1130"/>
        <w:jc w:val="both"/>
      </w:pPr>
      <w:r>
        <w:rPr>
          <w:rFonts w:ascii="Times New Roman" w:hAnsi="Times New Roman" w:cs="Times New Roman" w:eastAsia="Times New Roman" w:hint="default"/>
          <w:spacing w:val="-4"/>
          <w:w w:val="99"/>
        </w:rPr>
        <w:t>ERP</w:t>
      </w:r>
      <w:r>
        <w:rPr>
          <w:spacing w:val="-4"/>
          <w:w w:val="99"/>
        </w:rPr>
        <w:t>系统快速调整对外报价）、锁铜（与铜材供应商签订远期合约）、套期保值、按订单生产等方式，有效</w:t>
      </w:r>
      <w:r>
        <w:rPr>
          <w:spacing w:val="-83"/>
          <w:w w:val="99"/>
        </w:rPr>
        <w:t> </w:t>
      </w:r>
      <w:r>
        <w:rPr>
          <w:spacing w:val="-83"/>
          <w:w w:val="99"/>
        </w:rPr>
      </w:r>
      <w:r>
        <w:rPr>
          <w:w w:val="95"/>
        </w:rPr>
        <w:t>地降低了铜价波动带来的经营风险；并且公司始终坚持“获取经营利润、远离铜材投机”的原则，但是铜</w:t>
      </w:r>
      <w:r>
        <w:rPr>
          <w:spacing w:val="43"/>
          <w:w w:val="95"/>
        </w:rPr>
        <w:t> </w:t>
      </w:r>
      <w:r>
        <w:rPr>
          <w:spacing w:val="43"/>
          <w:w w:val="95"/>
        </w:rPr>
      </w:r>
      <w:r>
        <w:rPr/>
        <w:t>材价格大幅波动仍可能对本公司产生不利影响。</w:t>
      </w:r>
    </w:p>
    <w:p>
      <w:pPr>
        <w:spacing w:line="460" w:lineRule="atLeast" w:before="3"/>
        <w:ind w:left="652" w:right="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应收账款余额较高带来的财务风险</w:t>
      </w:r>
      <w:r>
        <w:rPr>
          <w:rFonts w:ascii="宋体" w:hAnsi="宋体" w:cs="宋体" w:eastAsia="宋体" w:hint="default"/>
          <w:b/>
          <w:bCs/>
          <w:w w:val="99"/>
          <w:sz w:val="21"/>
          <w:szCs w:val="21"/>
        </w:rPr>
        <w:t> </w:t>
      </w:r>
      <w:r>
        <w:rPr>
          <w:rFonts w:ascii="宋体" w:hAnsi="宋体" w:cs="宋体" w:eastAsia="宋体" w:hint="default"/>
          <w:w w:val="95"/>
          <w:sz w:val="21"/>
          <w:szCs w:val="21"/>
        </w:rPr>
        <w:t>公司应收账款余额及占流动资产的比重较高。虽然客户的信用状况良好，公司历史产生的坏账较少，</w:t>
      </w:r>
      <w:r>
        <w:rPr>
          <w:rFonts w:ascii="宋体" w:hAnsi="宋体" w:cs="宋体" w:eastAsia="宋体" w:hint="default"/>
          <w:sz w:val="21"/>
          <w:szCs w:val="21"/>
        </w:rPr>
      </w:r>
    </w:p>
    <w:p>
      <w:pPr>
        <w:pStyle w:val="Heading7"/>
        <w:spacing w:line="278" w:lineRule="auto" w:before="44"/>
        <w:ind w:left="232" w:right="1135"/>
        <w:jc w:val="both"/>
      </w:pPr>
      <w:r>
        <w:rPr>
          <w:spacing w:val="4"/>
        </w:rPr>
        <w:t>但一旦客户的财务状况恶化或信用状况发生重大变化，将对公司的生产经营及未来偿债能力产生不利影</w:t>
      </w:r>
      <w:r>
        <w:rPr>
          <w:w w:val="99"/>
        </w:rPr>
        <w:t> </w:t>
      </w:r>
      <w:r>
        <w:rPr/>
        <w:t>响。公司将采取有效措施以加强应收账款回收、控制应收账款金额及其增长速度。</w:t>
      </w:r>
    </w:p>
    <w:p>
      <w:pPr>
        <w:pStyle w:val="Heading7"/>
        <w:spacing w:line="460" w:lineRule="atLeast"/>
        <w:ind w:left="652" w:right="915"/>
        <w:jc w:val="left"/>
      </w:pPr>
      <w:r>
        <w:rPr>
          <w:rFonts w:ascii="Times New Roman" w:hAnsi="Times New Roman" w:cs="Times New Roman" w:eastAsia="Times New Roman" w:hint="default"/>
          <w:b/>
          <w:bCs/>
        </w:rPr>
        <w:t>4.</w:t>
      </w:r>
      <w:r>
        <w:rPr>
          <w:rFonts w:ascii="宋体" w:hAnsi="宋体" w:cs="宋体" w:eastAsia="宋体" w:hint="default"/>
          <w:b/>
          <w:bCs/>
        </w:rPr>
        <w:t>产品质量风险</w:t>
      </w:r>
      <w:r>
        <w:rPr>
          <w:rFonts w:ascii="宋体" w:hAnsi="宋体" w:cs="宋体" w:eastAsia="宋体" w:hint="default"/>
          <w:b/>
          <w:bCs/>
          <w:w w:val="99"/>
        </w:rPr>
        <w:t> </w:t>
      </w:r>
      <w:r>
        <w:rPr>
          <w:w w:val="95"/>
        </w:rPr>
        <w:t>公司主要产品为电力电缆产品，产品质量非常关键，一旦出现故障，有可能造成用户电力系统严重事</w:t>
      </w:r>
      <w:r>
        <w:rPr/>
      </w:r>
    </w:p>
    <w:p>
      <w:pPr>
        <w:pStyle w:val="Heading7"/>
        <w:spacing w:line="278" w:lineRule="auto" w:before="44"/>
        <w:ind w:left="232" w:right="1130"/>
        <w:jc w:val="both"/>
      </w:pPr>
      <w:r>
        <w:rPr>
          <w:w w:val="95"/>
        </w:rPr>
        <w:t>故，甚至危及电网的安全，给公司信誉带来重大损害，影响公司生产经营。公司产品出厂后，如果下游用</w:t>
      </w:r>
      <w:r>
        <w:rPr>
          <w:spacing w:val="44"/>
          <w:w w:val="95"/>
        </w:rPr>
        <w:t> </w:t>
      </w:r>
      <w:r>
        <w:rPr>
          <w:spacing w:val="44"/>
          <w:w w:val="95"/>
        </w:rPr>
      </w:r>
      <w:r>
        <w:rPr>
          <w:w w:val="95"/>
        </w:rPr>
        <w:t>户在安装检验过程中发现质量问题，要求公司返工或退货，将会直接影响公司的经济效益。公司一贯重视</w:t>
      </w:r>
      <w:r>
        <w:rPr>
          <w:spacing w:val="43"/>
          <w:w w:val="95"/>
        </w:rPr>
        <w:t> </w:t>
      </w:r>
      <w:r>
        <w:rPr>
          <w:spacing w:val="43"/>
          <w:w w:val="95"/>
        </w:rPr>
      </w:r>
      <w:r>
        <w:rPr>
          <w:w w:val="95"/>
        </w:rPr>
        <w:t>产品质量，对客户提供安全承诺，报告期内未因产品质量问题与客户发生诉讼纠纷。但是，如果公司产品</w:t>
      </w:r>
      <w:r>
        <w:rPr>
          <w:spacing w:val="44"/>
          <w:w w:val="95"/>
        </w:rPr>
        <w:t> </w:t>
      </w:r>
      <w:r>
        <w:rPr>
          <w:spacing w:val="44"/>
          <w:w w:val="95"/>
        </w:rPr>
      </w:r>
      <w:r>
        <w:rPr/>
        <w:t>出现质量缺陷，将会对公司生产经营产生不利影响。</w:t>
      </w:r>
    </w:p>
    <w:p>
      <w:pPr>
        <w:spacing w:line="240" w:lineRule="auto" w:before="2"/>
        <w:rPr>
          <w:rFonts w:ascii="宋体" w:hAnsi="宋体" w:cs="宋体" w:eastAsia="宋体" w:hint="default"/>
          <w:sz w:val="20"/>
          <w:szCs w:val="20"/>
        </w:rPr>
      </w:pPr>
    </w:p>
    <w:p>
      <w:pPr>
        <w:pStyle w:val="Heading2"/>
        <w:spacing w:line="240" w:lineRule="auto"/>
        <w:ind w:left="232" w:right="0"/>
        <w:jc w:val="both"/>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32" w:right="0"/>
        <w:jc w:val="both"/>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2" w:right="0"/>
        <w:jc w:val="both"/>
      </w:pPr>
      <w:r>
        <w:rPr/>
        <w:t>√ 适用 □ 不适用</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919"/>
        <w:gridCol w:w="1590"/>
        <w:gridCol w:w="1730"/>
        <w:gridCol w:w="4330"/>
      </w:tblGrid>
      <w:tr>
        <w:trPr>
          <w:trHeight w:val="412" w:hRule="exact"/>
        </w:trPr>
        <w:tc>
          <w:tcPr>
            <w:tcW w:w="19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5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33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350"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24" w:hRule="exact"/>
        </w:trPr>
        <w:tc>
          <w:tcPr>
            <w:tcW w:w="191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330" w:type="dxa"/>
            <w:tcBorders>
              <w:top w:val="single" w:sz="4" w:space="0" w:color="000000"/>
              <w:left w:val="single" w:sz="4" w:space="0" w:color="000000"/>
              <w:bottom w:val="single" w:sz="12" w:space="0" w:color="000000"/>
              <w:right w:val="single" w:sz="12" w:space="0" w:color="000000"/>
            </w:tcBorders>
          </w:tcPr>
          <w:p>
            <w:pPr>
              <w:pStyle w:val="TableParagraph"/>
              <w:spacing w:line="362" w:lineRule="auto" w:before="91"/>
              <w:ind w:left="102" w:right="105"/>
              <w:jc w:val="left"/>
              <w:rPr>
                <w:rFonts w:ascii="Times New Roman" w:hAnsi="Times New Roman" w:cs="Times New Roman" w:eastAsia="Times New Roman" w:hint="default"/>
                <w:sz w:val="18"/>
                <w:szCs w:val="18"/>
              </w:rPr>
            </w:pPr>
            <w:hyperlink r:id="rId27">
              <w:r>
                <w:rPr>
                  <w:rFonts w:ascii="Times New Roman"/>
                  <w:spacing w:val="-1"/>
                  <w:sz w:val="18"/>
                </w:rPr>
                <w:t>http://www.cninfo.com.cn/new/disclosure/stock?orgId=9</w:t>
              </w:r>
            </w:hyperlink>
            <w:r>
              <w:rPr>
                <w:rFonts w:ascii="Times New Roman"/>
                <w:spacing w:val="-32"/>
                <w:sz w:val="18"/>
              </w:rPr>
              <w:t> </w:t>
            </w:r>
            <w:r>
              <w:rPr>
                <w:rFonts w:ascii="Times New Roman"/>
                <w:spacing w:val="-32"/>
                <w:sz w:val="18"/>
              </w:rPr>
            </w:r>
            <w:r>
              <w:rPr>
                <w:rFonts w:ascii="Times New Roman"/>
                <w:sz w:val="18"/>
              </w:rPr>
              <w:t>900007107&amp;stockCode=002276#</w:t>
            </w:r>
          </w:p>
        </w:tc>
      </w:tr>
    </w:tbl>
    <w:p>
      <w:pPr>
        <w:spacing w:after="0" w:line="362" w:lineRule="auto"/>
        <w:jc w:val="left"/>
        <w:rPr>
          <w:rFonts w:ascii="Times New Roman" w:hAnsi="Times New Roman" w:cs="Times New Roman" w:eastAsia="Times New Roman" w:hint="default"/>
          <w:sz w:val="18"/>
          <w:szCs w:val="18"/>
        </w:rPr>
        <w:sectPr>
          <w:pgSz w:w="11910" w:h="16840"/>
          <w:pgMar w:header="890" w:footer="1012" w:top="1420" w:bottom="1200" w:left="9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833" w:right="4730"/>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232" w:right="2654"/>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232" w:right="915"/>
        <w:jc w:val="left"/>
        <w:rPr>
          <w:b w:val="0"/>
          <w:bCs w:val="0"/>
        </w:rPr>
      </w:pPr>
      <w:r>
        <w:rPr>
          <w:rFonts w:ascii="Times New Roman" w:hAnsi="Times New Roman" w:cs="Times New Roman" w:eastAsia="Times New Roman" w:hint="default"/>
        </w:rPr>
        <w:t>1.</w:t>
      </w:r>
      <w:r>
        <w:rPr/>
        <w:t>报告期内普通股利润分配政策，特别是现金分红政策的制定、执行或调整情况</w:t>
      </w:r>
      <w:r>
        <w:rPr>
          <w:b w:val="0"/>
          <w:bCs w:val="0"/>
        </w:rPr>
      </w:r>
    </w:p>
    <w:p>
      <w:pPr>
        <w:pStyle w:val="BodyText"/>
        <w:spacing w:line="240" w:lineRule="auto" w:before="69"/>
        <w:ind w:left="232" w:right="2654"/>
        <w:jc w:val="left"/>
      </w:pPr>
      <w:r>
        <w:rPr/>
        <w:t>□ 适用 √ 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Heading2"/>
        <w:spacing w:line="338" w:lineRule="auto"/>
        <w:ind w:left="232" w:right="1124"/>
        <w:jc w:val="left"/>
        <w:rPr>
          <w:b w:val="0"/>
          <w:bCs w:val="0"/>
        </w:rPr>
      </w:pPr>
      <w:r>
        <w:rPr>
          <w:rFonts w:ascii="Times New Roman" w:hAnsi="Times New Roman" w:cs="Times New Roman" w:eastAsia="Times New Roman" w:hint="default"/>
          <w:w w:val="99"/>
        </w:rPr>
        <w:t>2.</w:t>
      </w:r>
      <w:r>
        <w:rPr>
          <w:w w:val="99"/>
        </w:rPr>
        <w:t>公司近</w:t>
      </w:r>
      <w:r>
        <w:rPr>
          <w:spacing w:val="-53"/>
          <w:w w:val="99"/>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11"/>
          <w:w w:val="99"/>
        </w:rPr>
        <w:t>年（包括本报告期）的普通股股利分配方案（预案）、资本公积金转增股本方案（预</w:t>
      </w:r>
      <w:r>
        <w:rPr>
          <w:w w:val="99"/>
        </w:rPr>
        <w:t> </w:t>
      </w:r>
      <w:r>
        <w:rPr/>
        <w:t>案）情况</w:t>
      </w:r>
      <w:r>
        <w:rPr>
          <w:b w:val="0"/>
          <w:bCs w:val="0"/>
        </w:rPr>
      </w:r>
    </w:p>
    <w:p>
      <w:pPr>
        <w:spacing w:line="273" w:lineRule="auto" w:before="0"/>
        <w:ind w:left="715" w:right="1123" w:firstLine="0"/>
        <w:jc w:val="left"/>
        <w:rPr>
          <w:rFonts w:ascii="宋体" w:hAnsi="宋体" w:cs="宋体" w:eastAsia="宋体" w:hint="default"/>
          <w:sz w:val="21"/>
          <w:szCs w:val="21"/>
        </w:rPr>
      </w:pPr>
      <w:r>
        <w:rPr>
          <w:rFonts w:ascii="宋体" w:hAnsi="宋体" w:cs="宋体" w:eastAsia="宋体" w:hint="default"/>
          <w:b/>
          <w:bCs/>
          <w:sz w:val="21"/>
          <w:szCs w:val="21"/>
        </w:rPr>
        <w:t>（1）2018年度利润分配预案</w:t>
      </w:r>
      <w:r>
        <w:rPr>
          <w:rFonts w:ascii="宋体" w:hAnsi="宋体" w:cs="宋体" w:eastAsia="宋体" w:hint="default"/>
          <w:b/>
          <w:bCs/>
          <w:w w:val="99"/>
          <w:sz w:val="21"/>
          <w:szCs w:val="21"/>
        </w:rPr>
        <w:t> </w:t>
      </w:r>
      <w:r>
        <w:rPr>
          <w:rFonts w:ascii="宋体" w:hAnsi="宋体" w:cs="宋体" w:eastAsia="宋体" w:hint="default"/>
          <w:spacing w:val="6"/>
          <w:sz w:val="21"/>
          <w:szCs w:val="21"/>
        </w:rPr>
        <w:t>经信永中和会计师事务所审计，公司2018年度实现归属于上市公司股东的净利润</w:t>
      </w:r>
      <w:r>
        <w:rPr>
          <w:rFonts w:ascii="宋体" w:hAnsi="宋体" w:cs="宋体" w:eastAsia="宋体" w:hint="default"/>
          <w:spacing w:val="1"/>
          <w:sz w:val="21"/>
          <w:szCs w:val="21"/>
        </w:rPr>
        <w:t> </w:t>
      </w:r>
      <w:r>
        <w:rPr>
          <w:rFonts w:ascii="宋体" w:hAnsi="宋体" w:cs="宋体" w:eastAsia="宋体" w:hint="default"/>
          <w:sz w:val="21"/>
          <w:szCs w:val="21"/>
        </w:rPr>
        <w:t>111,714,711.22</w:t>
      </w:r>
    </w:p>
    <w:p>
      <w:pPr>
        <w:pStyle w:val="Heading7"/>
        <w:spacing w:line="240" w:lineRule="auto" w:before="7"/>
        <w:ind w:left="232" w:right="915"/>
        <w:jc w:val="left"/>
      </w:pPr>
      <w:r>
        <w:rPr>
          <w:spacing w:val="3"/>
        </w:rPr>
        <w:t>元，提取法定盈余公积 </w:t>
      </w:r>
      <w:r>
        <w:rPr/>
        <w:t>21,922,726.66 </w:t>
      </w:r>
      <w:r>
        <w:rPr>
          <w:spacing w:val="3"/>
        </w:rPr>
        <w:t>元后，加上上年结存未分配利润 </w:t>
      </w:r>
      <w:r>
        <w:rPr/>
        <w:t>1,148,281,471.50</w:t>
      </w:r>
      <w:r>
        <w:rPr>
          <w:spacing w:val="-27"/>
        </w:rPr>
        <w:t> </w:t>
      </w:r>
      <w:r>
        <w:rPr>
          <w:spacing w:val="2"/>
        </w:rPr>
        <w:t>元，本年度</w:t>
      </w:r>
    </w:p>
    <w:p>
      <w:pPr>
        <w:pStyle w:val="Heading7"/>
        <w:spacing w:line="273" w:lineRule="auto" w:before="37"/>
        <w:ind w:left="715" w:right="1132" w:hanging="483"/>
        <w:jc w:val="left"/>
      </w:pPr>
      <w:r>
        <w:rPr/>
        <w:t>可供投资者分配的利润 1,238,073,456.06</w:t>
      </w:r>
      <w:r>
        <w:rPr>
          <w:spacing w:val="63"/>
        </w:rPr>
        <w:t> </w:t>
      </w:r>
      <w:r>
        <w:rPr/>
        <w:t>元。</w:t>
      </w:r>
      <w:r>
        <w:rPr>
          <w:w w:val="99"/>
        </w:rPr>
        <w:t> </w:t>
      </w:r>
      <w:r>
        <w:rPr/>
        <w:t>公司2018年度利润分配预案：以公司总股本</w:t>
      </w:r>
      <w:r>
        <w:rPr>
          <w:rFonts w:ascii="Times New Roman" w:hAnsi="Times New Roman" w:cs="Times New Roman" w:eastAsia="Times New Roman" w:hint="default"/>
        </w:rPr>
        <w:t>1,035,489,098 </w:t>
      </w:r>
      <w:r>
        <w:rPr>
          <w:rFonts w:ascii="Times New Roman" w:hAnsi="Times New Roman" w:cs="Times New Roman" w:eastAsia="Times New Roman" w:hint="default"/>
          <w:spacing w:val="18"/>
        </w:rPr>
        <w:t> </w:t>
      </w:r>
      <w:r>
        <w:rPr>
          <w:spacing w:val="2"/>
        </w:rPr>
        <w:t>股为基数向全体股东每10股派发现金股利</w:t>
      </w:r>
    </w:p>
    <w:p>
      <w:pPr>
        <w:pStyle w:val="Heading7"/>
        <w:spacing w:line="279" w:lineRule="exact"/>
        <w:ind w:left="232" w:right="915"/>
        <w:jc w:val="left"/>
      </w:pPr>
      <w:r>
        <w:rPr/>
        <w:t>人民币0.20元(含税)，合计派发现金红利 </w:t>
      </w:r>
      <w:r>
        <w:rPr>
          <w:rFonts w:ascii="Times New Roman" w:hAnsi="Times New Roman" w:cs="Times New Roman" w:eastAsia="Times New Roman" w:hint="default"/>
        </w:rPr>
        <w:t>20,709,781.96</w:t>
      </w:r>
      <w:r>
        <w:rPr>
          <w:rFonts w:ascii="Times New Roman" w:hAnsi="Times New Roman" w:cs="Times New Roman" w:eastAsia="Times New Roman" w:hint="default"/>
          <w:spacing w:val="28"/>
        </w:rPr>
        <w:t> </w:t>
      </w:r>
      <w:r>
        <w:rPr/>
        <w:t>元，其余未分配利润结转以后年度进行分配。</w:t>
      </w:r>
    </w:p>
    <w:p>
      <w:pPr>
        <w:spacing w:line="240" w:lineRule="auto" w:before="6"/>
        <w:rPr>
          <w:rFonts w:ascii="宋体" w:hAnsi="宋体" w:cs="宋体" w:eastAsia="宋体" w:hint="default"/>
          <w:sz w:val="25"/>
          <w:szCs w:val="25"/>
        </w:rPr>
      </w:pPr>
    </w:p>
    <w:p>
      <w:pPr>
        <w:spacing w:line="273" w:lineRule="auto" w:before="0"/>
        <w:ind w:left="715" w:right="915" w:hanging="63"/>
        <w:jc w:val="left"/>
        <w:rPr>
          <w:rFonts w:ascii="宋体" w:hAnsi="宋体" w:cs="宋体" w:eastAsia="宋体" w:hint="default"/>
          <w:sz w:val="21"/>
          <w:szCs w:val="21"/>
        </w:rPr>
      </w:pPr>
      <w:r>
        <w:rPr>
          <w:rFonts w:ascii="宋体" w:hAnsi="宋体" w:cs="宋体" w:eastAsia="宋体" w:hint="default"/>
          <w:b/>
          <w:bCs/>
          <w:sz w:val="21"/>
          <w:szCs w:val="21"/>
        </w:rPr>
        <w:t>（2）2017年度利润分配方案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经信永中和会计师事务所审计，公司2017年度实现归属于上市公司股东的净利润1</w:t>
      </w:r>
      <w:r>
        <w:rPr>
          <w:rFonts w:ascii="Times New Roman" w:hAnsi="Times New Roman" w:cs="Times New Roman" w:eastAsia="Times New Roman" w:hint="default"/>
          <w:sz w:val="21"/>
          <w:szCs w:val="21"/>
        </w:rPr>
        <w:t>14,951,714.07</w:t>
      </w:r>
      <w:r>
        <w:rPr>
          <w:rFonts w:ascii="宋体" w:hAnsi="宋体" w:cs="宋体" w:eastAsia="宋体" w:hint="default"/>
          <w:sz w:val="21"/>
          <w:szCs w:val="21"/>
        </w:rPr>
        <w:t>元，</w:t>
      </w:r>
    </w:p>
    <w:p>
      <w:pPr>
        <w:pStyle w:val="Heading7"/>
        <w:spacing w:line="256" w:lineRule="auto"/>
        <w:ind w:left="232" w:right="915"/>
        <w:jc w:val="left"/>
      </w:pPr>
      <w:r>
        <w:rPr/>
        <w:t>提取法定盈余公积 19,</w:t>
      </w:r>
      <w:r>
        <w:rPr>
          <w:rFonts w:ascii="Times New Roman" w:hAnsi="Times New Roman" w:cs="Times New Roman" w:eastAsia="Times New Roman" w:hint="default"/>
        </w:rPr>
        <w:t>173,233.72 </w:t>
      </w:r>
      <w:r>
        <w:rPr/>
        <w:t>元后，减去2017年中期股东分配 103,548,909.80</w:t>
      </w:r>
      <w:r>
        <w:rPr>
          <w:spacing w:val="-41"/>
        </w:rPr>
        <w:t> </w:t>
      </w:r>
      <w:r>
        <w:rPr/>
        <w:t>元后，加上上年结存</w:t>
      </w:r>
      <w:r>
        <w:rPr>
          <w:w w:val="99"/>
        </w:rPr>
        <w:t> </w:t>
      </w:r>
      <w:r>
        <w:rPr/>
        <w:t>未分配利润 </w:t>
      </w:r>
      <w:r>
        <w:rPr>
          <w:rFonts w:ascii="Times New Roman" w:hAnsi="Times New Roman" w:cs="Times New Roman" w:eastAsia="Times New Roman" w:hint="default"/>
        </w:rPr>
        <w:t>1,156,051,900.95  </w:t>
      </w:r>
      <w:r>
        <w:rPr/>
        <w:t>元，本年度可供投资者分配的利润为</w:t>
      </w:r>
      <w:r>
        <w:rPr>
          <w:spacing w:val="-25"/>
        </w:rPr>
        <w:t> </w:t>
      </w:r>
      <w:r>
        <w:rPr/>
        <w:t>1,14</w:t>
      </w:r>
      <w:r>
        <w:rPr>
          <w:rFonts w:ascii="Times New Roman" w:hAnsi="Times New Roman" w:cs="Times New Roman" w:eastAsia="Times New Roman" w:hint="default"/>
        </w:rPr>
        <w:t>8,281,471.50</w:t>
      </w:r>
      <w:r>
        <w:rPr/>
        <w:t>元。</w:t>
      </w:r>
    </w:p>
    <w:p>
      <w:pPr>
        <w:pStyle w:val="Heading7"/>
        <w:spacing w:line="240" w:lineRule="auto" w:before="5"/>
        <w:ind w:left="715" w:right="915"/>
        <w:jc w:val="left"/>
      </w:pPr>
      <w:r>
        <w:rPr/>
        <w:t>公司2017年度利润分配方案：公司本年度不派发现金红利、不送红股，不以公积金转增股本。</w:t>
      </w:r>
    </w:p>
    <w:p>
      <w:pPr>
        <w:spacing w:line="240" w:lineRule="auto" w:before="9"/>
        <w:rPr>
          <w:rFonts w:ascii="宋体" w:hAnsi="宋体" w:cs="宋体" w:eastAsia="宋体" w:hint="default"/>
          <w:sz w:val="26"/>
          <w:szCs w:val="26"/>
        </w:rPr>
      </w:pPr>
    </w:p>
    <w:p>
      <w:pPr>
        <w:pStyle w:val="Heading6"/>
        <w:spacing w:line="240" w:lineRule="auto"/>
        <w:ind w:left="655" w:right="2654"/>
        <w:jc w:val="left"/>
        <w:rPr>
          <w:b w:val="0"/>
          <w:bCs w:val="0"/>
        </w:rPr>
      </w:pPr>
      <w:r>
        <w:rPr/>
        <w:t>（3）2017年中期利润分配方案</w:t>
      </w:r>
      <w:r>
        <w:rPr>
          <w:b w:val="0"/>
          <w:bCs w:val="0"/>
        </w:rPr>
      </w:r>
    </w:p>
    <w:p>
      <w:pPr>
        <w:pStyle w:val="Heading7"/>
        <w:spacing w:line="256" w:lineRule="auto" w:before="37"/>
        <w:ind w:left="232" w:right="1163" w:firstLine="420"/>
        <w:jc w:val="both"/>
      </w:pPr>
      <w:r>
        <w:rPr/>
        <w:t>公司2017年1-6月实现归属于上市公司股东的净利润</w:t>
      </w:r>
      <w:r>
        <w:rPr>
          <w:spacing w:val="-18"/>
        </w:rPr>
        <w:t> </w:t>
      </w:r>
      <w:r>
        <w:rPr>
          <w:rFonts w:ascii="Times New Roman" w:hAnsi="Times New Roman" w:cs="Times New Roman" w:eastAsia="Times New Roman" w:hint="default"/>
        </w:rPr>
        <w:t>57,186,646.32</w:t>
      </w:r>
      <w:r>
        <w:rPr/>
        <w:t>元，提取法定盈余公积0.00元后，</w:t>
      </w:r>
      <w:r>
        <w:rPr>
          <w:w w:val="99"/>
        </w:rPr>
        <w:t> </w:t>
      </w:r>
      <w:r>
        <w:rPr/>
        <w:t>加上上年结存未分配 </w:t>
      </w:r>
      <w:r>
        <w:rPr>
          <w:rFonts w:ascii="Times New Roman" w:hAnsi="Times New Roman" w:cs="Times New Roman" w:eastAsia="Times New Roman" w:hint="default"/>
        </w:rPr>
        <w:t>1,156,051,900.95</w:t>
      </w:r>
      <w:r>
        <w:rPr/>
        <w:t>元，减去上年股东分配</w:t>
      </w:r>
      <w:r>
        <w:rPr>
          <w:spacing w:val="-25"/>
        </w:rPr>
        <w:t> </w:t>
      </w:r>
      <w:r>
        <w:rPr>
          <w:rFonts w:ascii="Times New Roman" w:hAnsi="Times New Roman" w:cs="Times New Roman" w:eastAsia="Times New Roman" w:hint="default"/>
        </w:rPr>
        <w:t>0.00</w:t>
      </w:r>
      <w:r>
        <w:rPr/>
        <w:t>元后，2017年中期可供投资者分配的利</w:t>
      </w:r>
      <w:r>
        <w:rPr>
          <w:w w:val="99"/>
        </w:rPr>
        <w:t> </w:t>
      </w:r>
      <w:r>
        <w:rPr/>
        <w:t>润为</w:t>
      </w:r>
      <w:r>
        <w:rPr>
          <w:spacing w:val="-8"/>
        </w:rPr>
        <w:t> </w:t>
      </w:r>
      <w:r>
        <w:rPr>
          <w:rFonts w:ascii="Times New Roman" w:hAnsi="Times New Roman" w:cs="Times New Roman" w:eastAsia="Times New Roman" w:hint="default"/>
        </w:rPr>
        <w:t>1,213,238,547.27</w:t>
      </w:r>
      <w:r>
        <w:rPr/>
        <w:t>元。</w:t>
      </w:r>
    </w:p>
    <w:p>
      <w:pPr>
        <w:pStyle w:val="Heading7"/>
        <w:spacing w:line="256" w:lineRule="auto" w:before="5"/>
        <w:ind w:left="232" w:right="1134" w:firstLine="480"/>
        <w:jc w:val="left"/>
      </w:pPr>
      <w:r>
        <w:rPr/>
        <w:t>公司 2017年中期利润分配方案：以公司总股本</w:t>
      </w:r>
      <w:r>
        <w:rPr>
          <w:rFonts w:ascii="Times New Roman" w:hAnsi="Times New Roman" w:cs="Times New Roman" w:eastAsia="Times New Roman" w:hint="default"/>
        </w:rPr>
        <w:t>1,035,489,098</w:t>
      </w:r>
      <w:r>
        <w:rPr>
          <w:rFonts w:ascii="Times New Roman" w:hAnsi="Times New Roman" w:cs="Times New Roman" w:eastAsia="Times New Roman" w:hint="default"/>
          <w:spacing w:val="5"/>
        </w:rPr>
        <w:t> </w:t>
      </w:r>
      <w:r>
        <w:rPr/>
        <w:t>股为基数向全体股东每10股派发现金股</w:t>
      </w:r>
      <w:r>
        <w:rPr>
          <w:w w:val="99"/>
        </w:rPr>
        <w:t> </w:t>
      </w:r>
      <w:r>
        <w:rPr/>
        <w:t>利人民币1元(含税)，合计派发现金红利 </w:t>
      </w:r>
      <w:r>
        <w:rPr>
          <w:rFonts w:ascii="Times New Roman" w:hAnsi="Times New Roman" w:cs="Times New Roman" w:eastAsia="Times New Roman" w:hint="default"/>
        </w:rPr>
        <w:t>103,548,909.8</w:t>
      </w:r>
      <w:r>
        <w:rPr>
          <w:rFonts w:ascii="Times New Roman" w:hAnsi="Times New Roman" w:cs="Times New Roman" w:eastAsia="Times New Roman" w:hint="default"/>
          <w:spacing w:val="28"/>
        </w:rPr>
        <w:t> </w:t>
      </w:r>
      <w:r>
        <w:rPr/>
        <w:t>元，其余未分配利润结转以后年度进行分配。</w:t>
      </w:r>
    </w:p>
    <w:p>
      <w:pPr>
        <w:spacing w:line="240" w:lineRule="auto" w:before="3"/>
        <w:rPr>
          <w:rFonts w:ascii="宋体" w:hAnsi="宋体" w:cs="宋体" w:eastAsia="宋体" w:hint="default"/>
          <w:sz w:val="24"/>
          <w:szCs w:val="24"/>
        </w:rPr>
      </w:pPr>
    </w:p>
    <w:p>
      <w:pPr>
        <w:pStyle w:val="Heading6"/>
        <w:spacing w:line="240" w:lineRule="auto"/>
        <w:ind w:left="744" w:right="2654"/>
        <w:jc w:val="left"/>
        <w:rPr>
          <w:b w:val="0"/>
          <w:bCs w:val="0"/>
        </w:rPr>
      </w:pPr>
      <w:r>
        <w:rPr/>
        <w:t>（4）2016年度利润分配方案</w:t>
      </w:r>
      <w:r>
        <w:rPr>
          <w:b w:val="0"/>
          <w:bCs w:val="0"/>
        </w:rPr>
      </w:r>
    </w:p>
    <w:p>
      <w:pPr>
        <w:pStyle w:val="Heading7"/>
        <w:spacing w:line="240" w:lineRule="auto" w:before="78"/>
        <w:ind w:left="715" w:right="915"/>
        <w:jc w:val="left"/>
      </w:pPr>
      <w:r>
        <w:rPr>
          <w:spacing w:val="5"/>
        </w:rPr>
        <w:t>经信永中和会计师事务所审计，公司</w:t>
      </w:r>
      <w:r>
        <w:rPr>
          <w:spacing w:val="-52"/>
        </w:rPr>
        <w:t> </w:t>
      </w:r>
      <w:r>
        <w:rPr/>
        <w:t>2016</w:t>
      </w:r>
      <w:r>
        <w:rPr>
          <w:spacing w:val="-53"/>
        </w:rPr>
        <w:t> </w:t>
      </w:r>
      <w:r>
        <w:rPr>
          <w:spacing w:val="5"/>
        </w:rPr>
        <w:t>年度实现归属于上市公司股东的净利润</w:t>
      </w:r>
      <w:r>
        <w:rPr>
          <w:spacing w:val="-50"/>
        </w:rPr>
        <w:t> </w:t>
      </w:r>
      <w:r>
        <w:rPr/>
        <w:t>215,218,216.65</w:t>
      </w:r>
    </w:p>
    <w:p>
      <w:pPr>
        <w:pStyle w:val="Heading7"/>
        <w:spacing w:line="240" w:lineRule="auto" w:before="37"/>
        <w:ind w:left="232" w:right="915"/>
        <w:jc w:val="left"/>
      </w:pPr>
      <w:r>
        <w:rPr/>
        <w:t>元，提取法定盈余公积</w:t>
      </w:r>
      <w:r>
        <w:rPr>
          <w:spacing w:val="-15"/>
        </w:rPr>
        <w:t> </w:t>
      </w:r>
      <w:r>
        <w:rPr>
          <w:rFonts w:ascii="Times New Roman" w:hAnsi="Times New Roman" w:cs="Times New Roman" w:eastAsia="Times New Roman" w:hint="default"/>
        </w:rPr>
        <w:t>23,205,560.07</w:t>
      </w:r>
      <w:r>
        <w:rPr>
          <w:rFonts w:ascii="Times New Roman" w:hAnsi="Times New Roman" w:cs="Times New Roman" w:eastAsia="Times New Roman" w:hint="default"/>
          <w:spacing w:val="-9"/>
        </w:rPr>
        <w:t> </w:t>
      </w:r>
      <w:r>
        <w:rPr/>
        <w:t>元后，加上上年结存未分配</w:t>
      </w:r>
      <w:r>
        <w:rPr>
          <w:spacing w:val="-61"/>
        </w:rPr>
        <w:t> </w:t>
      </w:r>
      <w:r>
        <w:rPr/>
        <w:t>1,057,971,793.17</w:t>
      </w:r>
      <w:r>
        <w:rPr>
          <w:spacing w:val="-62"/>
        </w:rPr>
        <w:t> </w:t>
      </w:r>
      <w:r>
        <w:rPr/>
        <w:t>元，减去上年股东分</w:t>
      </w:r>
    </w:p>
    <w:p>
      <w:pPr>
        <w:pStyle w:val="Heading7"/>
        <w:spacing w:line="240" w:lineRule="auto" w:before="21"/>
        <w:ind w:left="232" w:right="2654"/>
        <w:jc w:val="left"/>
      </w:pPr>
      <w:r>
        <w:rPr/>
        <w:t>配</w:t>
      </w:r>
      <w:r>
        <w:rPr>
          <w:spacing w:val="-6"/>
        </w:rPr>
        <w:t> </w:t>
      </w:r>
      <w:r>
        <w:rPr>
          <w:rFonts w:ascii="Times New Roman" w:hAnsi="Times New Roman" w:cs="Times New Roman" w:eastAsia="Times New Roman" w:hint="default"/>
        </w:rPr>
        <w:t>93,932,548.80</w:t>
      </w:r>
      <w:r>
        <w:rPr>
          <w:rFonts w:ascii="Times New Roman" w:hAnsi="Times New Roman" w:cs="Times New Roman" w:eastAsia="Times New Roman" w:hint="default"/>
          <w:spacing w:val="-5"/>
        </w:rPr>
        <w:t> </w:t>
      </w:r>
      <w:r>
        <w:rPr/>
        <w:t>元后，本年度可供投资者分配的利润为</w:t>
      </w:r>
      <w:r>
        <w:rPr>
          <w:spacing w:val="-57"/>
        </w:rPr>
        <w:t> </w:t>
      </w:r>
      <w:r>
        <w:rPr/>
        <w:t>1,156,051,900.95</w:t>
      </w:r>
      <w:r>
        <w:rPr>
          <w:spacing w:val="-58"/>
        </w:rPr>
        <w:t> </w:t>
      </w:r>
      <w:r>
        <w:rPr/>
        <w:t>元。</w:t>
      </w:r>
    </w:p>
    <w:p>
      <w:pPr>
        <w:pStyle w:val="Heading7"/>
        <w:spacing w:line="273" w:lineRule="auto" w:before="62"/>
        <w:ind w:left="232" w:right="915" w:firstLine="482"/>
        <w:jc w:val="left"/>
      </w:pPr>
      <w:r>
        <w:rPr/>
        <w:t>公司</w:t>
      </w:r>
      <w:r>
        <w:rPr>
          <w:spacing w:val="-50"/>
        </w:rPr>
        <w:t> </w:t>
      </w:r>
      <w:r>
        <w:rPr/>
        <w:t>2016</w:t>
      </w:r>
      <w:r>
        <w:rPr>
          <w:spacing w:val="-51"/>
        </w:rPr>
        <w:t> </w:t>
      </w:r>
      <w:r>
        <w:rPr/>
        <w:t>年度利润分配方案为：为确保公司非公项目顺利发行，公司本年度不派发现金红利、不送</w:t>
      </w:r>
      <w:r>
        <w:rPr>
          <w:w w:val="99"/>
        </w:rPr>
        <w:t> </w:t>
      </w:r>
      <w:r>
        <w:rPr/>
        <w:t>红股，不以公积金转增股本。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left="232" w:right="2654"/>
        <w:jc w:val="left"/>
        <w:rPr>
          <w:b w:val="0"/>
          <w:bCs w:val="0"/>
        </w:rPr>
      </w:pPr>
      <w:r>
        <w:rPr>
          <w:rFonts w:ascii="Times New Roman" w:hAnsi="Times New Roman" w:cs="Times New Roman" w:eastAsia="Times New Roman" w:hint="default"/>
        </w:rPr>
        <w:t>3.</w:t>
      </w:r>
      <w:r>
        <w:rPr/>
        <w:t>公司近三年（包括本报告期）普通股现金分红情况表</w:t>
      </w:r>
      <w:r>
        <w:rPr>
          <w:b w:val="0"/>
          <w:bCs w:val="0"/>
        </w:rPr>
      </w:r>
    </w:p>
    <w:p>
      <w:pPr>
        <w:pStyle w:val="BodyText"/>
        <w:spacing w:line="240" w:lineRule="auto" w:before="146"/>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40"/>
        <w:gridCol w:w="1352"/>
        <w:gridCol w:w="1405"/>
        <w:gridCol w:w="1373"/>
        <w:gridCol w:w="810"/>
        <w:gridCol w:w="1196"/>
        <w:gridCol w:w="1226"/>
        <w:gridCol w:w="1166"/>
      </w:tblGrid>
      <w:tr>
        <w:trPr>
          <w:trHeight w:val="40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30" w:right="0"/>
              <w:jc w:val="left"/>
              <w:rPr>
                <w:rFonts w:ascii="宋体" w:hAnsi="宋体" w:cs="宋体" w:eastAsia="宋体" w:hint="default"/>
                <w:sz w:val="18"/>
                <w:szCs w:val="18"/>
              </w:rPr>
            </w:pPr>
            <w:r>
              <w:rPr>
                <w:rFonts w:ascii="宋体" w:hAnsi="宋体" w:cs="宋体" w:eastAsia="宋体" w:hint="default"/>
                <w:sz w:val="18"/>
                <w:szCs w:val="18"/>
              </w:rPr>
              <w:t>现金分红金额</w:t>
            </w: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56" w:right="0"/>
              <w:jc w:val="left"/>
              <w:rPr>
                <w:rFonts w:ascii="宋体" w:hAnsi="宋体" w:cs="宋体" w:eastAsia="宋体" w:hint="default"/>
                <w:sz w:val="18"/>
                <w:szCs w:val="18"/>
              </w:rPr>
            </w:pPr>
            <w:r>
              <w:rPr>
                <w:rFonts w:ascii="宋体" w:hAnsi="宋体" w:cs="宋体" w:eastAsia="宋体" w:hint="default"/>
                <w:sz w:val="18"/>
                <w:szCs w:val="18"/>
              </w:rPr>
              <w:t>分红年度合并</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40" w:right="0"/>
              <w:jc w:val="left"/>
              <w:rPr>
                <w:rFonts w:ascii="宋体" w:hAnsi="宋体" w:cs="宋体" w:eastAsia="宋体" w:hint="default"/>
                <w:sz w:val="18"/>
                <w:szCs w:val="18"/>
              </w:rPr>
            </w:pPr>
            <w:r>
              <w:rPr>
                <w:rFonts w:ascii="宋体" w:hAnsi="宋体" w:cs="宋体" w:eastAsia="宋体" w:hint="default"/>
                <w:sz w:val="18"/>
                <w:szCs w:val="18"/>
              </w:rPr>
              <w:t>现金分红金额</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31" w:right="0"/>
              <w:jc w:val="left"/>
              <w:rPr>
                <w:rFonts w:ascii="宋体" w:hAnsi="宋体" w:cs="宋体" w:eastAsia="宋体" w:hint="default"/>
                <w:sz w:val="18"/>
                <w:szCs w:val="18"/>
              </w:rPr>
            </w:pPr>
            <w:r>
              <w:rPr>
                <w:rFonts w:ascii="宋体" w:hAnsi="宋体" w:cs="宋体" w:eastAsia="宋体" w:hint="default"/>
                <w:sz w:val="18"/>
                <w:szCs w:val="18"/>
              </w:rPr>
              <w:t>以其他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42" w:right="0"/>
              <w:jc w:val="left"/>
              <w:rPr>
                <w:rFonts w:ascii="宋体" w:hAnsi="宋体" w:cs="宋体" w:eastAsia="宋体" w:hint="default"/>
                <w:sz w:val="18"/>
                <w:szCs w:val="18"/>
              </w:rPr>
            </w:pPr>
            <w:r>
              <w:rPr>
                <w:rFonts w:ascii="宋体" w:hAnsi="宋体" w:cs="宋体" w:eastAsia="宋体" w:hint="default"/>
                <w:sz w:val="18"/>
                <w:szCs w:val="18"/>
              </w:rPr>
              <w:t>以其他方式</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57" w:right="0"/>
              <w:jc w:val="left"/>
              <w:rPr>
                <w:rFonts w:ascii="宋体" w:hAnsi="宋体" w:cs="宋体" w:eastAsia="宋体" w:hint="default"/>
                <w:sz w:val="18"/>
                <w:szCs w:val="18"/>
              </w:rPr>
            </w:pPr>
            <w:r>
              <w:rPr>
                <w:rFonts w:ascii="宋体" w:hAnsi="宋体" w:cs="宋体" w:eastAsia="宋体" w:hint="default"/>
                <w:sz w:val="18"/>
                <w:szCs w:val="18"/>
              </w:rPr>
              <w:t>现金分红总</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27" w:right="0"/>
              <w:jc w:val="left"/>
              <w:rPr>
                <w:rFonts w:ascii="宋体" w:hAnsi="宋体" w:cs="宋体" w:eastAsia="宋体" w:hint="default"/>
                <w:sz w:val="18"/>
                <w:szCs w:val="18"/>
              </w:rPr>
            </w:pPr>
            <w:r>
              <w:rPr>
                <w:rFonts w:ascii="宋体" w:hAnsi="宋体" w:cs="宋体" w:eastAsia="宋体" w:hint="default"/>
                <w:sz w:val="18"/>
                <w:szCs w:val="18"/>
              </w:rPr>
              <w:t>现金分红总</w:t>
            </w:r>
          </w:p>
        </w:tc>
      </w:tr>
    </w:tbl>
    <w:p>
      <w:pPr>
        <w:spacing w:after="0" w:line="240" w:lineRule="auto"/>
        <w:jc w:val="left"/>
        <w:rPr>
          <w:rFonts w:ascii="宋体" w:hAnsi="宋体" w:cs="宋体" w:eastAsia="宋体" w:hint="default"/>
          <w:sz w:val="18"/>
          <w:szCs w:val="18"/>
        </w:rPr>
        <w:sectPr>
          <w:pgSz w:w="11910" w:h="16840"/>
          <w:pgMar w:header="890" w:footer="1012" w:top="1420" w:bottom="1200" w:left="900" w:right="0"/>
        </w:sectPr>
      </w:pPr>
    </w:p>
    <w:p>
      <w:pPr>
        <w:spacing w:line="240" w:lineRule="auto" w:before="5"/>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040"/>
        <w:gridCol w:w="1352"/>
        <w:gridCol w:w="1405"/>
        <w:gridCol w:w="1373"/>
        <w:gridCol w:w="810"/>
        <w:gridCol w:w="1196"/>
        <w:gridCol w:w="1226"/>
        <w:gridCol w:w="1166"/>
      </w:tblGrid>
      <w:tr>
        <w:trPr>
          <w:trHeight w:val="223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0"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56" w:right="157"/>
              <w:jc w:val="center"/>
              <w:rPr>
                <w:rFonts w:ascii="宋体" w:hAnsi="宋体" w:cs="宋体" w:eastAsia="宋体" w:hint="default"/>
                <w:sz w:val="18"/>
                <w:szCs w:val="18"/>
              </w:rPr>
            </w:pPr>
            <w:r>
              <w:rPr>
                <w:rFonts w:ascii="宋体" w:hAnsi="宋体" w:cs="宋体" w:eastAsia="宋体" w:hint="default"/>
                <w:sz w:val="18"/>
                <w:szCs w:val="18"/>
              </w:rPr>
              <w:t>报表中归属于 上市公司普通 股股东的净利 润</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40" w:right="140"/>
              <w:jc w:val="center"/>
              <w:rPr>
                <w:rFonts w:ascii="宋体" w:hAnsi="宋体" w:cs="宋体" w:eastAsia="宋体" w:hint="default"/>
                <w:sz w:val="18"/>
                <w:szCs w:val="18"/>
              </w:rPr>
            </w:pPr>
            <w:r>
              <w:rPr>
                <w:rFonts w:ascii="宋体" w:hAnsi="宋体" w:cs="宋体" w:eastAsia="宋体" w:hint="default"/>
                <w:sz w:val="18"/>
                <w:szCs w:val="18"/>
              </w:rPr>
              <w:t>占合并报表中 归属于上市公 司普通股股东 的净利润的比 率</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方式</w:t>
            </w:r>
          </w:p>
          <w:p>
            <w:pPr>
              <w:pStyle w:val="TableParagraph"/>
              <w:spacing w:line="316" w:lineRule="auto" w:before="76"/>
              <w:ind w:left="131" w:right="127"/>
              <w:jc w:val="center"/>
              <w:rPr>
                <w:rFonts w:ascii="宋体" w:hAnsi="宋体" w:cs="宋体" w:eastAsia="宋体" w:hint="default"/>
                <w:sz w:val="18"/>
                <w:szCs w:val="18"/>
              </w:rPr>
            </w:pPr>
            <w:r>
              <w:rPr>
                <w:rFonts w:ascii="宋体" w:hAnsi="宋体" w:cs="宋体" w:eastAsia="宋体" w:hint="default"/>
                <w:sz w:val="18"/>
                <w:szCs w:val="18"/>
              </w:rPr>
              <w:t>（如回 购股 份）现 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42" w:right="142"/>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例</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429" w:right="101" w:hanging="327"/>
              <w:jc w:val="left"/>
              <w:rPr>
                <w:rFonts w:ascii="宋体" w:hAnsi="宋体" w:cs="宋体" w:eastAsia="宋体" w:hint="default"/>
                <w:sz w:val="18"/>
                <w:szCs w:val="18"/>
              </w:rPr>
            </w:pPr>
            <w:r>
              <w:rPr>
                <w:rFonts w:ascii="宋体" w:hAnsi="宋体" w:cs="宋体" w:eastAsia="宋体" w:hint="default"/>
                <w:spacing w:val="-12"/>
                <w:sz w:val="18"/>
                <w:szCs w:val="18"/>
              </w:rPr>
              <w:t>额（含其他方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27" w:right="127"/>
              <w:jc w:val="center"/>
              <w:rPr>
                <w:rFonts w:ascii="宋体" w:hAnsi="宋体" w:cs="宋体" w:eastAsia="宋体" w:hint="default"/>
                <w:sz w:val="18"/>
                <w:szCs w:val="18"/>
              </w:rPr>
            </w:pPr>
            <w:r>
              <w:rPr>
                <w:rFonts w:ascii="宋体" w:hAnsi="宋体" w:cs="宋体" w:eastAsia="宋体" w:hint="default"/>
                <w:sz w:val="18"/>
                <w:szCs w:val="18"/>
              </w:rPr>
              <w:t>额（含其他 方式）占合 并报表中归 属于上市公 司普通股股 东的净利润 的比率</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20,709,781.96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111,714,711.22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20,709,781.9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18.54%</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103,548,909.80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114,951,714.07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103,548,909.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90.08%</w:t>
            </w: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215,218,216.65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8" w:right="0"/>
              <w:jc w:val="lef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left="232" w:right="2654"/>
        <w:jc w:val="left"/>
      </w:pPr>
      <w:r>
        <w:rPr/>
        <w:t>公司报告期内盈利且母公司可供普通股股东分配利润为正但未提出普通股现金红利分配预案</w:t>
      </w:r>
    </w:p>
    <w:p>
      <w:pPr>
        <w:spacing w:line="626" w:lineRule="auto" w:before="115"/>
        <w:ind w:left="232" w:right="6778" w:firstLine="0"/>
        <w:jc w:val="left"/>
        <w:rPr>
          <w:rFonts w:ascii="宋体" w:hAnsi="宋体" w:cs="宋体" w:eastAsia="宋体" w:hint="default"/>
          <w:sz w:val="18"/>
          <w:szCs w:val="18"/>
        </w:rPr>
      </w:pPr>
      <w:r>
        <w:rPr>
          <w:rFonts w:ascii="宋体" w:hAnsi="宋体" w:cs="宋体" w:eastAsia="宋体" w:hint="default"/>
          <w:sz w:val="18"/>
          <w:szCs w:val="18"/>
        </w:rPr>
        <w:t>□ 适用 √ 不适用 </w:t>
      </w:r>
      <w:bookmarkStart w:name="二、本报告期利润分配及资本公积金转增股本预案" w:id="66"/>
      <w:bookmarkEnd w:id="66"/>
      <w:r>
        <w:rPr>
          <w:rFonts w:ascii="宋体" w:hAnsi="宋体" w:cs="宋体" w:eastAsia="宋体" w:hint="default"/>
          <w:sz w:val="18"/>
          <w:szCs w:val="18"/>
        </w:rPr>
      </w:r>
      <w:r>
        <w:rPr>
          <w:rFonts w:ascii="宋体" w:hAnsi="宋体" w:cs="宋体" w:eastAsia="宋体" w:hint="default"/>
          <w:b/>
          <w:bCs/>
          <w:sz w:val="18"/>
          <w:szCs w:val="18"/>
        </w:rPr>
        <w:t>二、本报告期利润分配及资本公积金转增股本预案</w:t>
      </w:r>
      <w:r>
        <w:rPr>
          <w:rFonts w:ascii="宋体" w:hAnsi="宋体" w:cs="宋体" w:eastAsia="宋体" w:hint="default"/>
          <w:sz w:val="18"/>
          <w:szCs w:val="18"/>
        </w:rPr>
      </w:r>
    </w:p>
    <w:p>
      <w:pPr>
        <w:pStyle w:val="BodyText"/>
        <w:spacing w:line="240" w:lineRule="auto" w:before="86"/>
        <w:ind w:left="232"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640"/>
        <w:gridCol w:w="4928"/>
      </w:tblGrid>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1,035,489,098</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20,709,781.96</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20,709,781.96</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89,791,984.56</w:t>
            </w:r>
          </w:p>
        </w:tc>
      </w:tr>
      <w:tr>
        <w:trPr>
          <w:trHeight w:val="40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firstLine="36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9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经信永中和会计师事务所审计，公司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111,714,711.22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元，提取法定盈</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余公积 </w:t>
            </w:r>
            <w:r>
              <w:rPr>
                <w:rFonts w:ascii="Times New Roman" w:hAnsi="Times New Roman" w:cs="Times New Roman" w:eastAsia="Times New Roman" w:hint="default"/>
                <w:sz w:val="18"/>
                <w:szCs w:val="18"/>
              </w:rPr>
              <w:t>21,922,726.66  </w:t>
            </w:r>
            <w:r>
              <w:rPr>
                <w:rFonts w:ascii="宋体" w:hAnsi="宋体" w:cs="宋体" w:eastAsia="宋体" w:hint="default"/>
                <w:sz w:val="18"/>
                <w:szCs w:val="18"/>
              </w:rPr>
              <w:t>元后，加上上年结存未分配利润 </w:t>
            </w:r>
            <w:r>
              <w:rPr>
                <w:rFonts w:ascii="Times New Roman" w:hAnsi="Times New Roman" w:cs="Times New Roman" w:eastAsia="Times New Roman" w:hint="default"/>
                <w:sz w:val="18"/>
                <w:szCs w:val="18"/>
              </w:rPr>
              <w:t>1,148,281,471.50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元，本年度可供投资者分配的利润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1,238,073,456.06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w:t>
            </w:r>
          </w:p>
          <w:p>
            <w:pPr>
              <w:pStyle w:val="TableParagraph"/>
              <w:spacing w:line="240" w:lineRule="auto" w:before="103"/>
              <w:ind w:left="4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1,035,489,098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，合计派发现金红利 </w:t>
            </w:r>
            <w:r>
              <w:rPr>
                <w:rFonts w:ascii="Times New Roman" w:hAnsi="Times New Roman" w:cs="Times New Roman" w:eastAsia="Times New Roman" w:hint="default"/>
                <w:sz w:val="18"/>
                <w:szCs w:val="18"/>
              </w:rPr>
              <w:t>20,709,781.96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元，其余未分配利润结转以后年度进行分配。</w:t>
            </w:r>
          </w:p>
        </w:tc>
      </w:tr>
    </w:tbl>
    <w:p>
      <w:pPr>
        <w:spacing w:after="0" w:line="240" w:lineRule="auto"/>
        <w:jc w:val="left"/>
        <w:rPr>
          <w:rFonts w:ascii="宋体" w:hAnsi="宋体" w:cs="宋体" w:eastAsia="宋体" w:hint="default"/>
          <w:sz w:val="18"/>
          <w:szCs w:val="18"/>
        </w:rPr>
        <w:sectPr>
          <w:pgSz w:w="11910" w:h="16840"/>
          <w:pgMar w:header="890" w:footer="1012" w:top="1420" w:bottom="1200" w:left="900" w:right="0"/>
        </w:sectPr>
      </w:pPr>
    </w:p>
    <w:p>
      <w:pPr>
        <w:pStyle w:val="Heading2"/>
        <w:spacing w:line="240" w:lineRule="auto" w:before="20"/>
        <w:ind w:left="232" w:right="2654"/>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6"/>
        <w:spacing w:line="259" w:lineRule="auto"/>
        <w:ind w:left="232" w:right="915"/>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40"/>
        <w:gridCol w:w="1370"/>
        <w:gridCol w:w="1300"/>
        <w:gridCol w:w="2480"/>
        <w:gridCol w:w="1130"/>
        <w:gridCol w:w="1080"/>
        <w:gridCol w:w="667"/>
      </w:tblGrid>
      <w:tr>
        <w:trPr>
          <w:trHeight w:val="634"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47" w:right="14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2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收购报告书或权</w:t>
            </w:r>
          </w:p>
        </w:tc>
        <w:tc>
          <w:tcPr>
            <w:tcW w:w="1370" w:type="dxa"/>
            <w:vMerge w:val="restart"/>
            <w:tcBorders>
              <w:top w:val="single" w:sz="4" w:space="0" w:color="000000"/>
              <w:left w:val="single" w:sz="4" w:space="0" w:color="000000"/>
              <w:right w:val="single" w:sz="4" w:space="0" w:color="000000"/>
            </w:tcBorders>
          </w:tcPr>
          <w:p>
            <w:pPr/>
          </w:p>
        </w:tc>
        <w:tc>
          <w:tcPr>
            <w:tcW w:w="1300" w:type="dxa"/>
            <w:vMerge w:val="restart"/>
            <w:tcBorders>
              <w:top w:val="single" w:sz="4" w:space="0" w:color="000000"/>
              <w:left w:val="single" w:sz="4" w:space="0" w:color="000000"/>
              <w:right w:val="single" w:sz="4" w:space="0" w:color="000000"/>
            </w:tcBorders>
          </w:tcPr>
          <w:p>
            <w:pPr/>
          </w:p>
        </w:tc>
        <w:tc>
          <w:tcPr>
            <w:tcW w:w="2480" w:type="dxa"/>
            <w:vMerge w:val="restart"/>
            <w:tcBorders>
              <w:top w:val="single" w:sz="4" w:space="0" w:color="000000"/>
              <w:left w:val="single" w:sz="4" w:space="0" w:color="000000"/>
              <w:right w:val="single" w:sz="4" w:space="0" w:color="000000"/>
            </w:tcBorders>
          </w:tcPr>
          <w:p>
            <w:pPr/>
          </w:p>
        </w:tc>
        <w:tc>
          <w:tcPr>
            <w:tcW w:w="113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益变动报告书中</w:t>
            </w: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r>
      <w:tr>
        <w:trPr>
          <w:trHeight w:val="317" w:hRule="exact"/>
        </w:trPr>
        <w:tc>
          <w:tcPr>
            <w:tcW w:w="1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370"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946" w:hRule="exact"/>
        </w:trPr>
        <w:tc>
          <w:tcPr>
            <w:tcW w:w="1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万马投资集团</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规范关联交易 的承诺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206"/>
              <w:jc w:val="both"/>
              <w:rPr>
                <w:rFonts w:ascii="宋体" w:hAnsi="宋体" w:cs="宋体" w:eastAsia="宋体" w:hint="default"/>
                <w:sz w:val="18"/>
                <w:szCs w:val="18"/>
              </w:rPr>
            </w:pPr>
            <w:r>
              <w:rPr>
                <w:rFonts w:ascii="宋体" w:hAnsi="宋体" w:cs="宋体" w:eastAsia="宋体" w:hint="default"/>
                <w:sz w:val="18"/>
                <w:szCs w:val="18"/>
              </w:rPr>
              <w:t>《关于规范与浙江万马电缆 股份有限公司关联交易承诺 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93"/>
              <w:jc w:val="both"/>
              <w:rPr>
                <w:rFonts w:ascii="宋体" w:hAnsi="宋体" w:cs="宋体" w:eastAsia="宋体" w:hint="default"/>
                <w:sz w:val="18"/>
                <w:szCs w:val="18"/>
              </w:rPr>
            </w:pPr>
            <w:r>
              <w:rPr>
                <w:rFonts w:ascii="宋体" w:hAnsi="宋体" w:cs="宋体" w:eastAsia="宋体" w:hint="default"/>
                <w:sz w:val="18"/>
                <w:szCs w:val="18"/>
              </w:rPr>
              <w:t>严格 履行 承诺</w:t>
            </w:r>
          </w:p>
        </w:tc>
      </w:tr>
      <w:tr>
        <w:trPr>
          <w:trHeight w:val="946"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102" w:right="165"/>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万马投资集团</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避免同业竞争 的承诺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2" w:right="206"/>
              <w:jc w:val="both"/>
              <w:rPr>
                <w:rFonts w:ascii="宋体" w:hAnsi="宋体" w:cs="宋体" w:eastAsia="宋体" w:hint="default"/>
                <w:sz w:val="18"/>
                <w:szCs w:val="18"/>
              </w:rPr>
            </w:pPr>
            <w:r>
              <w:rPr>
                <w:rFonts w:ascii="宋体" w:hAnsi="宋体" w:cs="宋体" w:eastAsia="宋体" w:hint="default"/>
                <w:sz w:val="18"/>
                <w:szCs w:val="18"/>
              </w:rPr>
              <w:t>《关于避免与浙江万马电缆 股份有限公司同业竞争的声 明与承诺函》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2" w:right="193"/>
              <w:jc w:val="both"/>
              <w:rPr>
                <w:rFonts w:ascii="宋体" w:hAnsi="宋体" w:cs="宋体" w:eastAsia="宋体" w:hint="default"/>
                <w:sz w:val="18"/>
                <w:szCs w:val="18"/>
              </w:rPr>
            </w:pPr>
            <w:r>
              <w:rPr>
                <w:rFonts w:ascii="宋体" w:hAnsi="宋体" w:cs="宋体" w:eastAsia="宋体" w:hint="default"/>
                <w:sz w:val="18"/>
                <w:szCs w:val="18"/>
              </w:rPr>
              <w:t>严格 履行 承诺</w:t>
            </w:r>
          </w:p>
        </w:tc>
      </w:tr>
      <w:tr>
        <w:trPr>
          <w:trHeight w:val="946" w:hRule="exact"/>
        </w:trPr>
        <w:tc>
          <w:tcPr>
            <w:tcW w:w="1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万马投资集团</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保障上市公司 独立性的承诺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2" w:right="26"/>
              <w:jc w:val="left"/>
              <w:rPr>
                <w:rFonts w:ascii="宋体" w:hAnsi="宋体" w:cs="宋体" w:eastAsia="宋体" w:hint="default"/>
                <w:sz w:val="18"/>
                <w:szCs w:val="18"/>
              </w:rPr>
            </w:pPr>
            <w:r>
              <w:rPr>
                <w:rFonts w:ascii="宋体" w:hAnsi="宋体" w:cs="宋体" w:eastAsia="宋体" w:hint="default"/>
                <w:sz w:val="18"/>
                <w:szCs w:val="18"/>
              </w:rPr>
              <w:t>《关于保障浙江万马电缆股 份有限公司独立性的承诺函》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2" w:right="193"/>
              <w:jc w:val="both"/>
              <w:rPr>
                <w:rFonts w:ascii="宋体" w:hAnsi="宋体" w:cs="宋体" w:eastAsia="宋体" w:hint="default"/>
                <w:sz w:val="18"/>
                <w:szCs w:val="18"/>
              </w:rPr>
            </w:pPr>
            <w:r>
              <w:rPr>
                <w:rFonts w:ascii="宋体" w:hAnsi="宋体" w:cs="宋体" w:eastAsia="宋体" w:hint="default"/>
                <w:sz w:val="18"/>
                <w:szCs w:val="18"/>
              </w:rPr>
              <w:t>严格 履行 承诺</w:t>
            </w:r>
          </w:p>
        </w:tc>
      </w:tr>
      <w:tr>
        <w:trPr>
          <w:trHeight w:val="318" w:hRule="exact"/>
        </w:trPr>
        <w:tc>
          <w:tcPr>
            <w:tcW w:w="1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2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pacing w:val="-6"/>
                <w:sz w:val="18"/>
                <w:szCs w:val="18"/>
              </w:rPr>
              <w:t>本公司、本人及本公司、本人</w:t>
            </w:r>
          </w:p>
        </w:tc>
        <w:tc>
          <w:tcPr>
            <w:tcW w:w="113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控制的其他企业目前没有</w:t>
            </w:r>
            <w:r>
              <w:rPr>
                <w:rFonts w:ascii="宋体" w:hAnsi="宋体" w:cs="宋体" w:eastAsia="宋体" w:hint="default"/>
                <w:spacing w:val="-75"/>
                <w:sz w:val="18"/>
                <w:szCs w:val="18"/>
              </w:rPr>
              <w:t>、</w:t>
            </w:r>
            <w:r>
              <w:rPr>
                <w:rFonts w:ascii="宋体" w:hAnsi="宋体" w:cs="宋体" w:eastAsia="宋体" w:hint="default"/>
                <w:sz w:val="18"/>
                <w:szCs w:val="18"/>
              </w:rPr>
              <w:t>将</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万马投资集 团、实际控制 人张德生</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避免同业竞争 的承诺</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0"/>
              <w:jc w:val="both"/>
              <w:rPr>
                <w:rFonts w:ascii="宋体" w:hAnsi="宋体" w:cs="宋体" w:eastAsia="宋体" w:hint="default"/>
                <w:sz w:val="18"/>
                <w:szCs w:val="18"/>
              </w:rPr>
            </w:pPr>
            <w:r>
              <w:rPr>
                <w:rFonts w:ascii="宋体" w:hAnsi="宋体" w:cs="宋体" w:eastAsia="宋体" w:hint="default"/>
                <w:sz w:val="18"/>
                <w:szCs w:val="18"/>
              </w:rPr>
              <w:t>来也不直接或间接从事与万 马电缆及其控股子公司现有 及将来从事的业务构成同业 </w:t>
            </w:r>
            <w:r>
              <w:rPr>
                <w:rFonts w:ascii="宋体" w:hAnsi="宋体" w:cs="宋体" w:eastAsia="宋体" w:hint="default"/>
                <w:spacing w:val="-6"/>
                <w:sz w:val="18"/>
                <w:szCs w:val="18"/>
              </w:rPr>
              <w:t>竞争的任何活动，并愿意对违</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193"/>
              <w:jc w:val="both"/>
              <w:rPr>
                <w:rFonts w:ascii="宋体" w:hAnsi="宋体" w:cs="宋体" w:eastAsia="宋体" w:hint="default"/>
                <w:sz w:val="18"/>
                <w:szCs w:val="18"/>
              </w:rPr>
            </w:pPr>
            <w:r>
              <w:rPr>
                <w:rFonts w:ascii="宋体" w:hAnsi="宋体" w:cs="宋体" w:eastAsia="宋体" w:hint="default"/>
                <w:sz w:val="18"/>
                <w:szCs w:val="18"/>
              </w:rPr>
              <w:t>严格 履行 承诺</w:t>
            </w: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反上述承诺而给万马电缆造</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24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成的经济损失承担赔偿责任。</w:t>
            </w:r>
          </w:p>
        </w:tc>
        <w:tc>
          <w:tcPr>
            <w:tcW w:w="113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r>
      <w:tr>
        <w:trPr>
          <w:trHeight w:val="315"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发行对象：浙</w:t>
            </w:r>
          </w:p>
        </w:tc>
        <w:tc>
          <w:tcPr>
            <w:tcW w:w="1300" w:type="dxa"/>
            <w:tcBorders>
              <w:top w:val="single" w:sz="4" w:space="0" w:color="000000"/>
              <w:left w:val="single" w:sz="4" w:space="0" w:color="000000"/>
              <w:bottom w:val="nil" w:sz="6" w:space="0" w:color="auto"/>
              <w:right w:val="single" w:sz="4" w:space="0" w:color="000000"/>
            </w:tcBorders>
          </w:tcPr>
          <w:p>
            <w:pPr/>
          </w:p>
        </w:tc>
        <w:tc>
          <w:tcPr>
            <w:tcW w:w="2480" w:type="dxa"/>
            <w:tcBorders>
              <w:top w:val="single" w:sz="4" w:space="0" w:color="000000"/>
              <w:left w:val="single" w:sz="4" w:space="0" w:color="000000"/>
              <w:bottom w:val="nil" w:sz="6" w:space="0" w:color="auto"/>
              <w:right w:val="single" w:sz="4" w:space="0" w:color="000000"/>
            </w:tcBorders>
          </w:tcPr>
          <w:p>
            <w:pPr/>
          </w:p>
        </w:tc>
        <w:tc>
          <w:tcPr>
            <w:tcW w:w="113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首次公开发行或</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江广杰投资管</w:t>
            </w: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再融资时所作承</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银华基金管理</w:t>
            </w: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1564"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4"/>
              <w:jc w:val="left"/>
              <w:rPr>
                <w:rFonts w:ascii="宋体" w:hAnsi="宋体" w:cs="宋体" w:eastAsia="宋体" w:hint="default"/>
                <w:sz w:val="18"/>
                <w:szCs w:val="18"/>
              </w:rPr>
            </w:pPr>
            <w:r>
              <w:rPr>
                <w:rFonts w:ascii="宋体" w:hAnsi="宋体" w:cs="宋体" w:eastAsia="宋体" w:hint="default"/>
                <w:sz w:val="18"/>
                <w:szCs w:val="18"/>
              </w:rPr>
              <w:t>股份有限公 司、嘉实基金 管理有限公 司、财通基金 管理有限公司</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0"/>
              <w:jc w:val="left"/>
              <w:rPr>
                <w:rFonts w:ascii="宋体" w:hAnsi="宋体" w:cs="宋体" w:eastAsia="宋体" w:hint="default"/>
                <w:sz w:val="18"/>
                <w:szCs w:val="18"/>
              </w:rPr>
            </w:pPr>
            <w:r>
              <w:rPr>
                <w:rFonts w:ascii="宋体" w:hAnsi="宋体" w:cs="宋体" w:eastAsia="宋体" w:hint="default"/>
                <w:sz w:val="18"/>
                <w:szCs w:val="18"/>
              </w:rPr>
              <w:t>本次非公开发行过程中认购 的万马股份股票进行锁定处 </w:t>
            </w:r>
            <w:r>
              <w:rPr>
                <w:rFonts w:ascii="宋体" w:hAnsi="宋体" w:cs="宋体" w:eastAsia="宋体" w:hint="default"/>
                <w:spacing w:val="-6"/>
                <w:sz w:val="18"/>
                <w:szCs w:val="18"/>
              </w:rPr>
              <w:t>理，锁定期自万马股份本次非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公开发行新增股份上市首日 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2017-7-10</w:t>
            </w:r>
          </w:p>
          <w:p>
            <w:pPr>
              <w:pStyle w:val="TableParagraph"/>
              <w:spacing w:line="240" w:lineRule="auto" w:before="65"/>
              <w:ind w:left="10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102" w:right="0"/>
              <w:jc w:val="left"/>
              <w:rPr>
                <w:rFonts w:ascii="Times New Roman" w:hAnsi="Times New Roman" w:cs="Times New Roman" w:eastAsia="Times New Roman" w:hint="default"/>
                <w:sz w:val="18"/>
                <w:szCs w:val="18"/>
              </w:rPr>
            </w:pPr>
            <w:r>
              <w:rPr>
                <w:rFonts w:ascii="Times New Roman"/>
                <w:sz w:val="18"/>
              </w:rPr>
              <w:t>2018-7-10</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477" w:lineRule="auto"/>
              <w:ind w:left="102" w:right="193"/>
              <w:jc w:val="both"/>
              <w:rPr>
                <w:rFonts w:ascii="宋体" w:hAnsi="宋体" w:cs="宋体" w:eastAsia="宋体" w:hint="default"/>
                <w:sz w:val="18"/>
                <w:szCs w:val="18"/>
              </w:rPr>
            </w:pPr>
            <w:r>
              <w:rPr>
                <w:rFonts w:ascii="宋体" w:hAnsi="宋体" w:cs="宋体" w:eastAsia="宋体" w:hint="default"/>
                <w:sz w:val="18"/>
                <w:szCs w:val="18"/>
              </w:rPr>
              <w:t>严格 履行 承诺</w:t>
            </w:r>
          </w:p>
        </w:tc>
      </w:tr>
      <w:tr>
        <w:trPr>
          <w:trHeight w:val="308"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和东海基金管</w:t>
            </w: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理有限责任公</w:t>
            </w: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名投资</w:t>
            </w:r>
          </w:p>
        </w:tc>
        <w:tc>
          <w:tcPr>
            <w:tcW w:w="1300" w:type="dxa"/>
            <w:tcBorders>
              <w:top w:val="nil" w:sz="6" w:space="0" w:color="auto"/>
              <w:left w:val="single" w:sz="4" w:space="0" w:color="000000"/>
              <w:bottom w:val="nil" w:sz="6" w:space="0" w:color="auto"/>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者</w:t>
            </w:r>
          </w:p>
        </w:tc>
        <w:tc>
          <w:tcPr>
            <w:tcW w:w="1300" w:type="dxa"/>
            <w:tcBorders>
              <w:top w:val="nil" w:sz="6" w:space="0" w:color="auto"/>
              <w:left w:val="single" w:sz="4" w:space="0" w:color="000000"/>
              <w:bottom w:val="single" w:sz="4" w:space="0" w:color="000000"/>
              <w:right w:val="single" w:sz="4" w:space="0" w:color="000000"/>
            </w:tcBorders>
          </w:tcPr>
          <w:p>
            <w:pPr/>
          </w:p>
        </w:tc>
        <w:tc>
          <w:tcPr>
            <w:tcW w:w="2480" w:type="dxa"/>
            <w:tcBorders>
              <w:top w:val="nil" w:sz="6" w:space="0" w:color="auto"/>
              <w:left w:val="single" w:sz="4" w:space="0" w:color="000000"/>
              <w:bottom w:val="single" w:sz="4" w:space="0" w:color="000000"/>
              <w:right w:val="single" w:sz="4" w:space="0" w:color="000000"/>
            </w:tcBorders>
          </w:tcPr>
          <w:p>
            <w:pPr/>
          </w:p>
        </w:tc>
        <w:tc>
          <w:tcPr>
            <w:tcW w:w="113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其他对公司中小</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万马股份</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现金分红规划</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原则上公司每年以现金方式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2018-1-1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严格</w:t>
            </w:r>
          </w:p>
        </w:tc>
      </w:tr>
    </w:tbl>
    <w:p>
      <w:pPr>
        <w:spacing w:after="0" w:line="240" w:lineRule="auto"/>
        <w:jc w:val="left"/>
        <w:rPr>
          <w:rFonts w:ascii="宋体" w:hAnsi="宋体" w:cs="宋体" w:eastAsia="宋体" w:hint="default"/>
          <w:sz w:val="18"/>
          <w:szCs w:val="18"/>
        </w:rPr>
        <w:sectPr>
          <w:pgSz w:w="11910" w:h="16840"/>
          <w:pgMar w:header="890" w:footer="1012" w:top="1420" w:bottom="1200" w:left="900" w:right="0"/>
        </w:sectPr>
      </w:pPr>
    </w:p>
    <w:p>
      <w:pPr>
        <w:spacing w:line="240" w:lineRule="auto" w:before="5"/>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540"/>
        <w:gridCol w:w="1370"/>
        <w:gridCol w:w="1300"/>
        <w:gridCol w:w="2480"/>
        <w:gridCol w:w="1130"/>
        <w:gridCol w:w="1080"/>
        <w:gridCol w:w="667"/>
      </w:tblGrid>
      <w:tr>
        <w:trPr>
          <w:trHeight w:val="322" w:hRule="exact"/>
        </w:trPr>
        <w:tc>
          <w:tcPr>
            <w:tcW w:w="1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股东所作承诺</w:t>
            </w:r>
          </w:p>
        </w:tc>
        <w:tc>
          <w:tcPr>
            <w:tcW w:w="1370" w:type="dxa"/>
            <w:vMerge w:val="restart"/>
            <w:tcBorders>
              <w:top w:val="single" w:sz="4" w:space="0" w:color="000000"/>
              <w:left w:val="single" w:sz="4" w:space="0" w:color="000000"/>
              <w:right w:val="single" w:sz="4" w:space="0" w:color="000000"/>
            </w:tcBorders>
          </w:tcPr>
          <w:p>
            <w:pPr/>
          </w:p>
        </w:tc>
        <w:tc>
          <w:tcPr>
            <w:tcW w:w="1300" w:type="dxa"/>
            <w:vMerge w:val="restart"/>
            <w:tcBorders>
              <w:top w:val="single" w:sz="4" w:space="0" w:color="000000"/>
              <w:left w:val="single" w:sz="4" w:space="0" w:color="000000"/>
              <w:right w:val="single" w:sz="4" w:space="0" w:color="000000"/>
            </w:tcBorders>
          </w:tcPr>
          <w:p>
            <w:pPr/>
          </w:p>
        </w:tc>
        <w:tc>
          <w:tcPr>
            <w:tcW w:w="2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分配的利润不低于当年实现</w:t>
            </w:r>
          </w:p>
        </w:tc>
        <w:tc>
          <w:tcPr>
            <w:tcW w:w="11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至</w:t>
            </w: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的可供分配利润的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，并</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2020-12-31</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08"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且连续三年以现金方式累计</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分配的利润不少于该三年实</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现的年均可供分配利润的</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
        </w:tc>
        <w:tc>
          <w:tcPr>
            <w:tcW w:w="137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日披露的“未来三年（</w:t>
            </w:r>
            <w:r>
              <w:rPr>
                <w:rFonts w:ascii="Times New Roman" w:hAnsi="Times New Roman" w:cs="Times New Roman" w:eastAsia="Times New Roman" w:hint="default"/>
                <w:spacing w:val="-9"/>
                <w:sz w:val="18"/>
                <w:szCs w:val="18"/>
              </w:rPr>
              <w:t>2018</w:t>
            </w:r>
          </w:p>
        </w:tc>
        <w:tc>
          <w:tcPr>
            <w:tcW w:w="113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24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年）股东回报规划</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42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53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42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2" w:right="135"/>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 行的具体原因及下一步的工作计划</w:t>
            </w:r>
          </w:p>
        </w:tc>
        <w:tc>
          <w:tcPr>
            <w:tcW w:w="53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6"/>
        <w:spacing w:line="256" w:lineRule="auto" w:before="34"/>
        <w:ind w:left="232" w:right="915"/>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6"/>
          <w:w w:val="95"/>
        </w:rPr>
        <w:t> </w:t>
      </w:r>
      <w:r>
        <w:rPr>
          <w:spacing w:val="96"/>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32" w:right="2654"/>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32" w:right="4994"/>
        <w:jc w:val="left"/>
      </w:pPr>
      <w:r>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left="232" w:right="915"/>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32" w:right="915"/>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2"/>
        <w:rPr>
          <w:rFonts w:ascii="宋体" w:hAnsi="宋体" w:cs="宋体" w:eastAsia="宋体" w:hint="default"/>
          <w:sz w:val="24"/>
          <w:szCs w:val="24"/>
        </w:rPr>
      </w:pPr>
    </w:p>
    <w:p>
      <w:pPr>
        <w:pStyle w:val="BodyText"/>
        <w:spacing w:line="316" w:lineRule="auto"/>
        <w:ind w:left="232" w:right="1130" w:firstLine="530"/>
        <w:jc w:val="both"/>
      </w:pPr>
      <w:r>
        <w:rPr>
          <w:spacing w:val="-5"/>
        </w:rPr>
        <w:t>根据财政部《关于修订印发2018年度一般企业财务报表格式的通知》（财会〔2018〕15号），对一般企业财务报表格式</w:t>
      </w:r>
      <w:r>
        <w:rPr/>
        <w:t> </w:t>
      </w:r>
      <w:r>
        <w:rPr>
          <w:spacing w:val="-2"/>
        </w:rPr>
        <w:t>进行了修订，本集团根据财会15号文件规定，并经本公司第四届董事会第三十次会议审议通过，已按要求对比较财务报表格</w:t>
      </w:r>
      <w:r>
        <w:rPr>
          <w:spacing w:val="-62"/>
        </w:rPr>
        <w:t> </w:t>
      </w:r>
      <w:r>
        <w:rPr>
          <w:spacing w:val="-62"/>
        </w:rPr>
      </w:r>
      <w:r>
        <w:rPr/>
        <w:t>式进行调整，相关比较财务报表影响说明如下：</w:t>
      </w:r>
    </w:p>
    <w:p>
      <w:pPr>
        <w:spacing w:line="240" w:lineRule="auto" w:before="11"/>
        <w:rPr>
          <w:rFonts w:ascii="宋体" w:hAnsi="宋体" w:cs="宋体" w:eastAsia="宋体" w:hint="default"/>
          <w:sz w:val="9"/>
          <w:szCs w:val="9"/>
        </w:rPr>
      </w:pPr>
    </w:p>
    <w:tbl>
      <w:tblPr>
        <w:tblW w:w="0" w:type="auto"/>
        <w:jc w:val="left"/>
        <w:tblInd w:w="226" w:type="dxa"/>
        <w:tblLayout w:type="fixed"/>
        <w:tblCellMar>
          <w:top w:w="0" w:type="dxa"/>
          <w:left w:w="0" w:type="dxa"/>
          <w:bottom w:w="0" w:type="dxa"/>
          <w:right w:w="0" w:type="dxa"/>
        </w:tblCellMar>
        <w:tblLook w:val="01E0"/>
      </w:tblPr>
      <w:tblGrid>
        <w:gridCol w:w="1984"/>
        <w:gridCol w:w="2073"/>
        <w:gridCol w:w="2690"/>
        <w:gridCol w:w="1976"/>
      </w:tblGrid>
      <w:tr>
        <w:trPr>
          <w:trHeight w:val="345" w:hRule="exact"/>
        </w:trPr>
        <w:tc>
          <w:tcPr>
            <w:tcW w:w="4057" w:type="dxa"/>
            <w:gridSpan w:val="2"/>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b/>
                <w:bCs/>
                <w:sz w:val="18"/>
                <w:szCs w:val="18"/>
              </w:rPr>
              <w:t>原列报报表项目及金额</w:t>
            </w:r>
            <w:r>
              <w:rPr>
                <w:rFonts w:ascii="宋体" w:hAnsi="宋体" w:cs="宋体" w:eastAsia="宋体" w:hint="default"/>
                <w:sz w:val="18"/>
                <w:szCs w:val="18"/>
              </w:rPr>
            </w:r>
          </w:p>
        </w:tc>
        <w:tc>
          <w:tcPr>
            <w:tcW w:w="4666" w:type="dxa"/>
            <w:gridSpan w:val="2"/>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1428" w:right="0"/>
              <w:jc w:val="left"/>
              <w:rPr>
                <w:rFonts w:ascii="宋体" w:hAnsi="宋体" w:cs="宋体" w:eastAsia="宋体" w:hint="default"/>
                <w:sz w:val="18"/>
                <w:szCs w:val="18"/>
              </w:rPr>
            </w:pPr>
            <w:r>
              <w:rPr>
                <w:rFonts w:ascii="宋体" w:hAnsi="宋体" w:cs="宋体" w:eastAsia="宋体" w:hint="default"/>
                <w:b/>
                <w:bCs/>
                <w:sz w:val="18"/>
                <w:szCs w:val="18"/>
              </w:rPr>
              <w:t>新列报报表项目及金额</w:t>
            </w:r>
            <w:r>
              <w:rPr>
                <w:rFonts w:ascii="宋体" w:hAnsi="宋体" w:cs="宋体" w:eastAsia="宋体" w:hint="default"/>
                <w:sz w:val="18"/>
                <w:szCs w:val="18"/>
              </w:rPr>
            </w: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2"/>
              <w:jc w:val="right"/>
              <w:rPr>
                <w:rFonts w:ascii="Times New Roman" w:hAnsi="Times New Roman" w:cs="Times New Roman" w:eastAsia="Times New Roman" w:hint="default"/>
                <w:sz w:val="18"/>
                <w:szCs w:val="18"/>
              </w:rPr>
            </w:pPr>
            <w:r>
              <w:rPr>
                <w:rFonts w:ascii="Times New Roman"/>
                <w:spacing w:val="-1"/>
                <w:sz w:val="18"/>
              </w:rPr>
              <w:t>626,149,328.98</w:t>
            </w:r>
          </w:p>
        </w:tc>
        <w:tc>
          <w:tcPr>
            <w:tcW w:w="2690" w:type="dxa"/>
            <w:vMerge w:val="restart"/>
            <w:tcBorders>
              <w:top w:val="single" w:sz="4" w:space="0" w:color="000000"/>
              <w:left w:val="single" w:sz="4" w:space="0" w:color="000000"/>
              <w:right w:val="single" w:sz="4" w:space="0" w:color="000000"/>
            </w:tcBorders>
          </w:tcPr>
          <w:p>
            <w:pPr>
              <w:pStyle w:val="TableParagraph"/>
              <w:spacing w:line="240" w:lineRule="auto" w:before="21"/>
              <w:ind w:left="96"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76" w:type="dxa"/>
            <w:vMerge w:val="restart"/>
            <w:tcBorders>
              <w:top w:val="single" w:sz="4" w:space="0" w:color="000000"/>
              <w:left w:val="single" w:sz="4" w:space="0" w:color="000000"/>
              <w:right w:val="single" w:sz="6" w:space="0" w:color="000000"/>
            </w:tcBorders>
          </w:tcPr>
          <w:p>
            <w:pPr>
              <w:pStyle w:val="TableParagraph"/>
              <w:spacing w:line="240" w:lineRule="auto" w:before="60"/>
              <w:ind w:left="610" w:right="0"/>
              <w:jc w:val="left"/>
              <w:rPr>
                <w:rFonts w:ascii="Times New Roman" w:hAnsi="Times New Roman" w:cs="Times New Roman" w:eastAsia="Times New Roman" w:hint="default"/>
                <w:sz w:val="18"/>
                <w:szCs w:val="18"/>
              </w:rPr>
            </w:pPr>
            <w:r>
              <w:rPr>
                <w:rFonts w:ascii="Times New Roman"/>
                <w:sz w:val="18"/>
              </w:rPr>
              <w:t>3,201,931,157.28</w:t>
            </w: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2"/>
              <w:jc w:val="right"/>
              <w:rPr>
                <w:rFonts w:ascii="Times New Roman" w:hAnsi="Times New Roman" w:cs="Times New Roman" w:eastAsia="Times New Roman" w:hint="default"/>
                <w:sz w:val="18"/>
                <w:szCs w:val="18"/>
              </w:rPr>
            </w:pPr>
            <w:r>
              <w:rPr>
                <w:rFonts w:ascii="Times New Roman"/>
                <w:spacing w:val="-1"/>
                <w:sz w:val="18"/>
              </w:rPr>
              <w:t>2,575,781,828.30</w:t>
            </w:r>
          </w:p>
        </w:tc>
        <w:tc>
          <w:tcPr>
            <w:tcW w:w="2690" w:type="dxa"/>
            <w:vMerge/>
            <w:tcBorders>
              <w:left w:val="single" w:sz="4" w:space="0" w:color="000000"/>
              <w:bottom w:val="single" w:sz="4" w:space="0" w:color="000000"/>
              <w:right w:val="single" w:sz="4" w:space="0" w:color="000000"/>
            </w:tcBorders>
          </w:tcPr>
          <w:p>
            <w:pPr/>
          </w:p>
        </w:tc>
        <w:tc>
          <w:tcPr>
            <w:tcW w:w="1976" w:type="dxa"/>
            <w:vMerge/>
            <w:tcBorders>
              <w:left w:val="single" w:sz="4" w:space="0" w:color="000000"/>
              <w:bottom w:val="single" w:sz="4" w:space="0" w:color="000000"/>
              <w:right w:val="single" w:sz="6" w:space="0" w:color="000000"/>
            </w:tcBorders>
          </w:tcPr>
          <w:p>
            <w:pP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2"/>
              <w:jc w:val="right"/>
              <w:rPr>
                <w:rFonts w:ascii="Times New Roman" w:hAnsi="Times New Roman" w:cs="Times New Roman" w:eastAsia="Times New Roman" w:hint="default"/>
                <w:sz w:val="18"/>
                <w:szCs w:val="18"/>
              </w:rPr>
            </w:pPr>
            <w:r>
              <w:rPr>
                <w:rFonts w:ascii="Times New Roman"/>
                <w:spacing w:val="-1"/>
                <w:sz w:val="18"/>
              </w:rPr>
              <w:t>281,368,884.64</w:t>
            </w:r>
          </w:p>
        </w:tc>
        <w:tc>
          <w:tcPr>
            <w:tcW w:w="2690" w:type="dxa"/>
            <w:vMerge w:val="restart"/>
            <w:tcBorders>
              <w:top w:val="single" w:sz="4" w:space="0" w:color="000000"/>
              <w:left w:val="single" w:sz="4" w:space="0" w:color="000000"/>
              <w:right w:val="single" w:sz="4" w:space="0" w:color="000000"/>
            </w:tcBorders>
          </w:tcPr>
          <w:p>
            <w:pPr>
              <w:pStyle w:val="TableParagraph"/>
              <w:spacing w:line="240" w:lineRule="auto" w:before="21"/>
              <w:ind w:left="9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76" w:type="dxa"/>
            <w:vMerge w:val="restart"/>
            <w:tcBorders>
              <w:top w:val="single" w:sz="4" w:space="0" w:color="000000"/>
              <w:left w:val="single" w:sz="4" w:space="0" w:color="000000"/>
              <w:right w:val="single" w:sz="6" w:space="0" w:color="000000"/>
            </w:tcBorders>
          </w:tcPr>
          <w:p>
            <w:pPr>
              <w:pStyle w:val="TableParagraph"/>
              <w:spacing w:line="240" w:lineRule="auto" w:before="60"/>
              <w:ind w:left="746" w:right="0"/>
              <w:jc w:val="left"/>
              <w:rPr>
                <w:rFonts w:ascii="Times New Roman" w:hAnsi="Times New Roman" w:cs="Times New Roman" w:eastAsia="Times New Roman" w:hint="default"/>
                <w:sz w:val="18"/>
                <w:szCs w:val="18"/>
              </w:rPr>
            </w:pPr>
            <w:r>
              <w:rPr>
                <w:rFonts w:ascii="Times New Roman"/>
                <w:sz w:val="18"/>
              </w:rPr>
              <w:t>866,854,997.65</w:t>
            </w: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2"/>
              <w:jc w:val="right"/>
              <w:rPr>
                <w:rFonts w:ascii="Times New Roman" w:hAnsi="Times New Roman" w:cs="Times New Roman" w:eastAsia="Times New Roman" w:hint="default"/>
                <w:sz w:val="18"/>
                <w:szCs w:val="18"/>
              </w:rPr>
            </w:pPr>
            <w:r>
              <w:rPr>
                <w:rFonts w:ascii="Times New Roman"/>
                <w:spacing w:val="-1"/>
                <w:sz w:val="18"/>
              </w:rPr>
              <w:t>585,486,113.01</w:t>
            </w:r>
          </w:p>
        </w:tc>
        <w:tc>
          <w:tcPr>
            <w:tcW w:w="2690" w:type="dxa"/>
            <w:vMerge/>
            <w:tcBorders>
              <w:left w:val="single" w:sz="4" w:space="0" w:color="000000"/>
              <w:bottom w:val="single" w:sz="4" w:space="0" w:color="000000"/>
              <w:right w:val="single" w:sz="4" w:space="0" w:color="000000"/>
            </w:tcBorders>
          </w:tcPr>
          <w:p>
            <w:pPr/>
          </w:p>
        </w:tc>
        <w:tc>
          <w:tcPr>
            <w:tcW w:w="1976" w:type="dxa"/>
            <w:vMerge/>
            <w:tcBorders>
              <w:left w:val="single" w:sz="4" w:space="0" w:color="000000"/>
              <w:bottom w:val="single" w:sz="4" w:space="0" w:color="000000"/>
              <w:right w:val="single" w:sz="6" w:space="0" w:color="000000"/>
            </w:tcBorders>
          </w:tcPr>
          <w:p>
            <w:pP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2"/>
              <w:jc w:val="right"/>
              <w:rPr>
                <w:rFonts w:ascii="Times New Roman" w:hAnsi="Times New Roman" w:cs="Times New Roman" w:eastAsia="Times New Roman" w:hint="default"/>
                <w:sz w:val="18"/>
                <w:szCs w:val="18"/>
              </w:rPr>
            </w:pPr>
            <w:r>
              <w:rPr>
                <w:rFonts w:ascii="Times New Roman"/>
                <w:spacing w:val="-1"/>
                <w:sz w:val="18"/>
              </w:rPr>
              <w:t>55,644,909.89</w:t>
            </w:r>
          </w:p>
        </w:tc>
        <w:tc>
          <w:tcPr>
            <w:tcW w:w="2690" w:type="dxa"/>
            <w:vMerge w:val="restart"/>
            <w:tcBorders>
              <w:top w:val="single" w:sz="4" w:space="0" w:color="000000"/>
              <w:left w:val="single" w:sz="4" w:space="0" w:color="000000"/>
              <w:right w:val="single" w:sz="4" w:space="0" w:color="000000"/>
            </w:tcBorders>
          </w:tcPr>
          <w:p>
            <w:pPr>
              <w:pStyle w:val="TableParagraph"/>
              <w:spacing w:line="240" w:lineRule="auto" w:before="21"/>
              <w:ind w:left="9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76" w:type="dxa"/>
            <w:vMerge w:val="restart"/>
            <w:tcBorders>
              <w:top w:val="single" w:sz="4" w:space="0" w:color="000000"/>
              <w:left w:val="single" w:sz="4" w:space="0" w:color="000000"/>
              <w:right w:val="single" w:sz="6" w:space="0" w:color="000000"/>
            </w:tcBorders>
          </w:tcPr>
          <w:p>
            <w:pPr>
              <w:pStyle w:val="TableParagraph"/>
              <w:spacing w:line="240" w:lineRule="auto" w:before="60"/>
              <w:ind w:left="746" w:right="0"/>
              <w:jc w:val="left"/>
              <w:rPr>
                <w:rFonts w:ascii="Times New Roman" w:hAnsi="Times New Roman" w:cs="Times New Roman" w:eastAsia="Times New Roman" w:hint="default"/>
                <w:sz w:val="18"/>
                <w:szCs w:val="18"/>
              </w:rPr>
            </w:pPr>
            <w:r>
              <w:rPr>
                <w:rFonts w:ascii="Times New Roman"/>
                <w:sz w:val="18"/>
              </w:rPr>
              <w:t>130,303,554.55</w:t>
            </w: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2"/>
              <w:jc w:val="right"/>
              <w:rPr>
                <w:rFonts w:ascii="Times New Roman" w:hAnsi="Times New Roman" w:cs="Times New Roman" w:eastAsia="Times New Roman" w:hint="default"/>
                <w:sz w:val="18"/>
                <w:szCs w:val="18"/>
              </w:rPr>
            </w:pPr>
            <w:r>
              <w:rPr>
                <w:rFonts w:ascii="Times New Roman"/>
                <w:spacing w:val="-1"/>
                <w:sz w:val="18"/>
              </w:rPr>
              <w:t>74,658,644.66</w:t>
            </w:r>
          </w:p>
        </w:tc>
        <w:tc>
          <w:tcPr>
            <w:tcW w:w="2690" w:type="dxa"/>
            <w:vMerge/>
            <w:tcBorders>
              <w:left w:val="single" w:sz="4" w:space="0" w:color="000000"/>
              <w:bottom w:val="single" w:sz="4" w:space="0" w:color="000000"/>
              <w:right w:val="single" w:sz="4" w:space="0" w:color="000000"/>
            </w:tcBorders>
          </w:tcPr>
          <w:p>
            <w:pPr/>
          </w:p>
        </w:tc>
        <w:tc>
          <w:tcPr>
            <w:tcW w:w="1976" w:type="dxa"/>
            <w:vMerge/>
            <w:tcBorders>
              <w:left w:val="single" w:sz="4" w:space="0" w:color="000000"/>
              <w:bottom w:val="single" w:sz="4" w:space="0" w:color="000000"/>
              <w:right w:val="single" w:sz="6" w:space="0" w:color="000000"/>
            </w:tcBorders>
          </w:tcPr>
          <w:p>
            <w:pPr/>
          </w:p>
        </w:tc>
      </w:tr>
      <w:tr>
        <w:trPr>
          <w:trHeight w:val="342"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2"/>
              <w:jc w:val="right"/>
              <w:rPr>
                <w:rFonts w:ascii="Times New Roman" w:hAnsi="Times New Roman" w:cs="Times New Roman" w:eastAsia="Times New Roman" w:hint="default"/>
                <w:sz w:val="18"/>
                <w:szCs w:val="18"/>
              </w:rPr>
            </w:pPr>
            <w:r>
              <w:rPr>
                <w:rFonts w:ascii="Times New Roman"/>
                <w:spacing w:val="-1"/>
                <w:sz w:val="18"/>
              </w:rPr>
              <w:t>113,447,215.15</w:t>
            </w:r>
          </w:p>
        </w:tc>
        <w:tc>
          <w:tcPr>
            <w:tcW w:w="2690" w:type="dxa"/>
            <w:vMerge w:val="restart"/>
            <w:tcBorders>
              <w:top w:val="single" w:sz="4" w:space="0" w:color="000000"/>
              <w:left w:val="single" w:sz="4" w:space="0" w:color="000000"/>
              <w:right w:val="single" w:sz="4" w:space="0" w:color="000000"/>
            </w:tcBorders>
          </w:tcPr>
          <w:p>
            <w:pPr>
              <w:pStyle w:val="TableParagraph"/>
              <w:spacing w:line="240" w:lineRule="auto" w:before="21"/>
              <w:ind w:left="9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76" w:type="dxa"/>
            <w:vMerge w:val="restart"/>
            <w:tcBorders>
              <w:top w:val="single" w:sz="4" w:space="0" w:color="000000"/>
              <w:left w:val="single" w:sz="4" w:space="0" w:color="000000"/>
              <w:right w:val="single" w:sz="6" w:space="0" w:color="000000"/>
            </w:tcBorders>
          </w:tcPr>
          <w:p>
            <w:pPr>
              <w:pStyle w:val="TableParagraph"/>
              <w:spacing w:line="240" w:lineRule="auto" w:before="60"/>
              <w:ind w:left="746" w:right="0"/>
              <w:jc w:val="left"/>
              <w:rPr>
                <w:rFonts w:ascii="Times New Roman" w:hAnsi="Times New Roman" w:cs="Times New Roman" w:eastAsia="Times New Roman" w:hint="default"/>
                <w:sz w:val="18"/>
                <w:szCs w:val="18"/>
              </w:rPr>
            </w:pPr>
            <w:r>
              <w:rPr>
                <w:rFonts w:ascii="Times New Roman"/>
                <w:sz w:val="18"/>
              </w:rPr>
              <w:t>123,034,064.51</w:t>
            </w:r>
          </w:p>
        </w:tc>
      </w:tr>
      <w:tr>
        <w:trPr>
          <w:trHeight w:val="340" w:hRule="exact"/>
        </w:trPr>
        <w:tc>
          <w:tcPr>
            <w:tcW w:w="19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2"/>
              <w:jc w:val="right"/>
              <w:rPr>
                <w:rFonts w:ascii="Times New Roman" w:hAnsi="Times New Roman" w:cs="Times New Roman" w:eastAsia="Times New Roman" w:hint="default"/>
                <w:sz w:val="18"/>
                <w:szCs w:val="18"/>
              </w:rPr>
            </w:pPr>
            <w:r>
              <w:rPr>
                <w:rFonts w:ascii="Times New Roman"/>
                <w:spacing w:val="-1"/>
                <w:sz w:val="18"/>
              </w:rPr>
              <w:t>9,586,849.36</w:t>
            </w:r>
          </w:p>
        </w:tc>
        <w:tc>
          <w:tcPr>
            <w:tcW w:w="2690" w:type="dxa"/>
            <w:vMerge/>
            <w:tcBorders>
              <w:left w:val="single" w:sz="4" w:space="0" w:color="000000"/>
              <w:bottom w:val="single" w:sz="4" w:space="0" w:color="000000"/>
              <w:right w:val="single" w:sz="4" w:space="0" w:color="000000"/>
            </w:tcBorders>
          </w:tcPr>
          <w:p>
            <w:pPr/>
          </w:p>
        </w:tc>
        <w:tc>
          <w:tcPr>
            <w:tcW w:w="1976" w:type="dxa"/>
            <w:vMerge/>
            <w:tcBorders>
              <w:left w:val="single" w:sz="4" w:space="0" w:color="000000"/>
              <w:bottom w:val="single" w:sz="4" w:space="0" w:color="000000"/>
              <w:right w:val="single" w:sz="6" w:space="0" w:color="000000"/>
            </w:tcBorders>
          </w:tcPr>
          <w:p>
            <w:pPr/>
          </w:p>
        </w:tc>
      </w:tr>
    </w:tbl>
    <w:p>
      <w:pPr>
        <w:spacing w:after="0"/>
        <w:sectPr>
          <w:footerReference w:type="default" r:id="rId28"/>
          <w:pgSz w:w="11910" w:h="16840"/>
          <w:pgMar w:footer="1012" w:header="890" w:top="1420" w:bottom="1200" w:left="900" w:right="0"/>
          <w:pgNumType w:start="40"/>
        </w:sectPr>
      </w:pPr>
    </w:p>
    <w:p>
      <w:pPr>
        <w:spacing w:line="240" w:lineRule="auto" w:before="5"/>
        <w:rPr>
          <w:rFonts w:ascii="宋体" w:hAnsi="宋体" w:cs="宋体" w:eastAsia="宋体" w:hint="default"/>
          <w:sz w:val="4"/>
          <w:szCs w:val="4"/>
        </w:rPr>
      </w:pPr>
    </w:p>
    <w:tbl>
      <w:tblPr>
        <w:tblW w:w="0" w:type="auto"/>
        <w:jc w:val="left"/>
        <w:tblInd w:w="226" w:type="dxa"/>
        <w:tblLayout w:type="fixed"/>
        <w:tblCellMar>
          <w:top w:w="0" w:type="dxa"/>
          <w:left w:w="0" w:type="dxa"/>
          <w:bottom w:w="0" w:type="dxa"/>
          <w:right w:w="0" w:type="dxa"/>
        </w:tblCellMar>
        <w:tblLook w:val="01E0"/>
      </w:tblPr>
      <w:tblGrid>
        <w:gridCol w:w="1984"/>
        <w:gridCol w:w="2073"/>
        <w:gridCol w:w="2690"/>
        <w:gridCol w:w="1976"/>
      </w:tblGrid>
      <w:tr>
        <w:trPr>
          <w:trHeight w:val="342" w:hRule="exact"/>
        </w:trPr>
        <w:tc>
          <w:tcPr>
            <w:tcW w:w="1984" w:type="dxa"/>
            <w:vMerge w:val="restart"/>
            <w:tcBorders>
              <w:top w:val="single" w:sz="4" w:space="0" w:color="000000"/>
              <w:left w:val="single" w:sz="6"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61"/>
              <w:ind w:left="841" w:right="0"/>
              <w:jc w:val="left"/>
              <w:rPr>
                <w:rFonts w:ascii="Times New Roman" w:hAnsi="Times New Roman" w:cs="Times New Roman" w:eastAsia="Times New Roman" w:hint="default"/>
                <w:sz w:val="18"/>
                <w:szCs w:val="18"/>
              </w:rPr>
            </w:pPr>
            <w:r>
              <w:rPr>
                <w:rFonts w:ascii="Times New Roman"/>
                <w:sz w:val="18"/>
              </w:rPr>
              <w:t>445,020,069.78</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175,317,509.94</w:t>
            </w:r>
          </w:p>
        </w:tc>
      </w:tr>
      <w:tr>
        <w:trPr>
          <w:trHeight w:val="342" w:hRule="exact"/>
        </w:trPr>
        <w:tc>
          <w:tcPr>
            <w:tcW w:w="1984" w:type="dxa"/>
            <w:vMerge/>
            <w:tcBorders>
              <w:left w:val="single" w:sz="6" w:space="0" w:color="000000"/>
              <w:bottom w:val="single" w:sz="4" w:space="0" w:color="000000"/>
              <w:right w:val="single" w:sz="4" w:space="0" w:color="000000"/>
            </w:tcBorders>
          </w:tcPr>
          <w:p>
            <w:pPr/>
          </w:p>
        </w:tc>
        <w:tc>
          <w:tcPr>
            <w:tcW w:w="2073" w:type="dxa"/>
            <w:vMerge/>
            <w:tcBorders>
              <w:left w:val="single" w:sz="4" w:space="0" w:color="000000"/>
              <w:bottom w:val="single" w:sz="4" w:space="0" w:color="000000"/>
              <w:right w:val="single" w:sz="4" w:space="0" w:color="000000"/>
            </w:tcBorders>
          </w:tcPr>
          <w:p>
            <w:pP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269,702,559.84</w:t>
            </w:r>
          </w:p>
        </w:tc>
      </w:tr>
      <w:tr>
        <w:trPr>
          <w:trHeight w:val="342" w:hRule="exact"/>
        </w:trPr>
        <w:tc>
          <w:tcPr>
            <w:tcW w:w="1984" w:type="dxa"/>
            <w:vMerge w:val="restart"/>
            <w:tcBorders>
              <w:top w:val="single" w:sz="4" w:space="0" w:color="000000"/>
              <w:left w:val="single" w:sz="6"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hAnsi="宋体" w:cs="宋体" w:eastAsia="宋体" w:hint="default"/>
                <w:sz w:val="18"/>
                <w:szCs w:val="18"/>
              </w:rPr>
              <w:t>无</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 w:right="0"/>
              <w:jc w:val="left"/>
              <w:rPr>
                <w:rFonts w:ascii="宋体" w:hAnsi="宋体" w:cs="宋体" w:eastAsia="宋体" w:hint="default"/>
                <w:sz w:val="18"/>
                <w:szCs w:val="18"/>
              </w:rPr>
            </w:pPr>
            <w:r>
              <w:rPr>
                <w:rFonts w:ascii="宋体" w:hAnsi="宋体" w:cs="宋体" w:eastAsia="宋体" w:hint="default"/>
                <w:sz w:val="18"/>
                <w:szCs w:val="18"/>
              </w:rPr>
              <w:t>财务费用行项目下增加：</w:t>
            </w:r>
          </w:p>
        </w:tc>
        <w:tc>
          <w:tcPr>
            <w:tcW w:w="1976" w:type="dxa"/>
            <w:tcBorders>
              <w:top w:val="single" w:sz="4" w:space="0" w:color="000000"/>
              <w:left w:val="single" w:sz="4" w:space="0" w:color="000000"/>
              <w:bottom w:val="single" w:sz="4" w:space="0" w:color="000000"/>
              <w:right w:val="single" w:sz="6" w:space="0" w:color="000000"/>
            </w:tcBorders>
          </w:tcPr>
          <w:p>
            <w:pPr/>
          </w:p>
        </w:tc>
      </w:tr>
      <w:tr>
        <w:trPr>
          <w:trHeight w:val="342" w:hRule="exact"/>
        </w:trPr>
        <w:tc>
          <w:tcPr>
            <w:tcW w:w="1984" w:type="dxa"/>
            <w:vMerge/>
            <w:tcBorders>
              <w:left w:val="single" w:sz="6" w:space="0" w:color="000000"/>
              <w:right w:val="single" w:sz="4" w:space="0" w:color="000000"/>
            </w:tcBorders>
          </w:tcPr>
          <w:p>
            <w:pPr/>
          </w:p>
        </w:tc>
        <w:tc>
          <w:tcPr>
            <w:tcW w:w="2073" w:type="dxa"/>
            <w:vMerge/>
            <w:tcBorders>
              <w:left w:val="single" w:sz="4" w:space="0" w:color="000000"/>
              <w:right w:val="single" w:sz="4" w:space="0" w:color="000000"/>
            </w:tcBorders>
          </w:tcPr>
          <w:p>
            <w:pP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9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57,220,675.62</w:t>
            </w:r>
          </w:p>
        </w:tc>
      </w:tr>
      <w:tr>
        <w:trPr>
          <w:trHeight w:val="342" w:hRule="exact"/>
        </w:trPr>
        <w:tc>
          <w:tcPr>
            <w:tcW w:w="1984" w:type="dxa"/>
            <w:vMerge/>
            <w:tcBorders>
              <w:left w:val="single" w:sz="6" w:space="0" w:color="000000"/>
              <w:bottom w:val="single" w:sz="4" w:space="0" w:color="000000"/>
              <w:right w:val="single" w:sz="4" w:space="0" w:color="000000"/>
            </w:tcBorders>
          </w:tcPr>
          <w:p>
            <w:pPr/>
          </w:p>
        </w:tc>
        <w:tc>
          <w:tcPr>
            <w:tcW w:w="2073" w:type="dxa"/>
            <w:vMerge/>
            <w:tcBorders>
              <w:left w:val="single" w:sz="4" w:space="0" w:color="000000"/>
              <w:bottom w:val="single" w:sz="4" w:space="0" w:color="000000"/>
              <w:right w:val="single" w:sz="4" w:space="0" w:color="000000"/>
            </w:tcBorders>
          </w:tcPr>
          <w:p>
            <w:pP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3,082,305.26</w:t>
            </w:r>
          </w:p>
        </w:tc>
      </w:tr>
      <w:tr>
        <w:trPr>
          <w:trHeight w:val="344" w:hRule="exact"/>
        </w:trPr>
        <w:tc>
          <w:tcPr>
            <w:tcW w:w="198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7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2"/>
              <w:ind w:left="1158" w:right="0"/>
              <w:jc w:val="left"/>
              <w:rPr>
                <w:rFonts w:ascii="Times New Roman" w:hAnsi="Times New Roman" w:cs="Times New Roman" w:eastAsia="Times New Roman" w:hint="default"/>
                <w:sz w:val="18"/>
                <w:szCs w:val="18"/>
              </w:rPr>
            </w:pPr>
            <w:r>
              <w:rPr>
                <w:rFonts w:ascii="Times New Roman"/>
                <w:sz w:val="18"/>
              </w:rPr>
              <w:t>108,962.67</w:t>
            </w:r>
          </w:p>
        </w:tc>
        <w:tc>
          <w:tcPr>
            <w:tcW w:w="269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108,962.67</w:t>
            </w:r>
          </w:p>
        </w:tc>
      </w:tr>
    </w:tbl>
    <w:p>
      <w:pPr>
        <w:spacing w:line="240" w:lineRule="auto" w:before="2"/>
        <w:rPr>
          <w:rFonts w:ascii="宋体" w:hAnsi="宋体" w:cs="宋体" w:eastAsia="宋体" w:hint="default"/>
          <w:sz w:val="18"/>
          <w:szCs w:val="18"/>
        </w:rPr>
      </w:pPr>
    </w:p>
    <w:p>
      <w:pPr>
        <w:pStyle w:val="Heading2"/>
        <w:spacing w:line="240" w:lineRule="auto" w:before="26"/>
        <w:ind w:left="232" w:right="2654"/>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32" w:right="6614"/>
        <w:jc w:val="left"/>
      </w:pPr>
      <w:r>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2"/>
        <w:spacing w:line="240" w:lineRule="auto"/>
        <w:ind w:left="232" w:right="2654"/>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 适用 □ 不适用</w:t>
      </w:r>
    </w:p>
    <w:p>
      <w:pPr>
        <w:pStyle w:val="BodyText"/>
        <w:spacing w:line="316" w:lineRule="auto" w:before="117"/>
        <w:ind w:left="232" w:right="1123" w:firstLine="420"/>
        <w:jc w:val="left"/>
      </w:pPr>
      <w:r>
        <w:rPr/>
        <w:t>详见本报告“第四节 经营情况讨论与分析”之“二、主营业务分析 2.收入与成本</w:t>
      </w:r>
      <w:r>
        <w:rPr>
          <w:spacing w:val="31"/>
        </w:rPr>
        <w:t> </w:t>
      </w:r>
      <w:r>
        <w:rPr/>
        <w:t>（6）报告期内合并范围是否发生</w:t>
      </w:r>
      <w:r>
        <w:rPr/>
        <w:t> 变动”相关内容。</w:t>
      </w:r>
    </w:p>
    <w:p>
      <w:pPr>
        <w:spacing w:line="240" w:lineRule="auto" w:before="9"/>
        <w:rPr>
          <w:rFonts w:ascii="宋体" w:hAnsi="宋体" w:cs="宋体" w:eastAsia="宋体" w:hint="default"/>
          <w:sz w:val="20"/>
          <w:szCs w:val="20"/>
        </w:rPr>
      </w:pPr>
    </w:p>
    <w:p>
      <w:pPr>
        <w:pStyle w:val="Heading2"/>
        <w:spacing w:line="240" w:lineRule="auto"/>
        <w:ind w:left="232" w:right="2654"/>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现聘任的会计师事务所</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pacing w:val="-2"/>
                <w:sz w:val="18"/>
              </w:rPr>
              <w:t>110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罗玉成、刘向荣</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left="232" w:right="2654"/>
        <w:jc w:val="left"/>
      </w:pPr>
      <w:r>
        <w:rPr/>
        <w:t>当期是否改聘会计师事务所</w:t>
      </w:r>
    </w:p>
    <w:p>
      <w:pPr>
        <w:pStyle w:val="BodyText"/>
        <w:spacing w:line="360" w:lineRule="auto" w:before="117"/>
        <w:ind w:left="232" w:right="6254"/>
        <w:jc w:val="left"/>
      </w:pPr>
      <w:r>
        <w:rPr/>
        <w:t>□ 是 √ 否 聘请内部控制审计会计师事务所、财务顾问或保荐人情况</w:t>
      </w:r>
    </w:p>
    <w:p>
      <w:pPr>
        <w:pStyle w:val="BodyText"/>
        <w:spacing w:line="240" w:lineRule="auto" w:before="25"/>
        <w:ind w:left="232" w:right="265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32" w:right="2654"/>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32" w:right="2654"/>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32" w:right="7694"/>
        <w:jc w:val="left"/>
      </w:pPr>
      <w:r>
        <w:rPr/>
        <w:t>□ 适用 √ 不适用 公司报告期未发生破产重整相关事项。</w:t>
      </w:r>
    </w:p>
    <w:p>
      <w:pPr>
        <w:spacing w:after="0" w:line="357" w:lineRule="auto"/>
        <w:jc w:val="left"/>
        <w:sectPr>
          <w:pgSz w:w="11910" w:h="16840"/>
          <w:pgMar w:header="890" w:footer="1012" w:top="1420" w:bottom="1200" w:left="900" w:right="0"/>
        </w:sectPr>
      </w:pPr>
    </w:p>
    <w:p>
      <w:pPr>
        <w:pStyle w:val="Heading2"/>
        <w:spacing w:line="240" w:lineRule="auto" w:before="20"/>
        <w:ind w:left="132" w:right="1115"/>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694"/>
        <w:jc w:val="left"/>
      </w:pPr>
      <w:r>
        <w:rPr/>
        <w:t>□ 适用 √ 不适用 本报告期公司无重大诉讼、仲裁事项。</w:t>
      </w:r>
    </w:p>
    <w:p>
      <w:pPr>
        <w:spacing w:line="240" w:lineRule="auto" w:before="2"/>
        <w:rPr>
          <w:rFonts w:ascii="宋体" w:hAnsi="宋体" w:cs="宋体" w:eastAsia="宋体" w:hint="default"/>
          <w:sz w:val="18"/>
          <w:szCs w:val="18"/>
        </w:rPr>
      </w:pPr>
    </w:p>
    <w:p>
      <w:pPr>
        <w:pStyle w:val="Heading2"/>
        <w:spacing w:line="240" w:lineRule="auto"/>
        <w:ind w:left="132" w:right="1115"/>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874"/>
        <w:jc w:val="left"/>
      </w:pPr>
      <w:r>
        <w:rPr/>
        <w:t>□ 适用 √ 不适用 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left="132" w:right="1115"/>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32" w:right="1115"/>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32" w:right="4454"/>
        <w:jc w:val="left"/>
      </w:pPr>
      <w:r>
        <w:rPr/>
        <w:t>□ 适用 √ 不适用 公司报告期无股权激励计划、员工持股计划或其他员工激励措施及其实施情况。</w:t>
      </w:r>
    </w:p>
    <w:p>
      <w:pPr>
        <w:spacing w:line="240" w:lineRule="auto" w:before="2"/>
        <w:rPr>
          <w:rFonts w:ascii="宋体" w:hAnsi="宋体" w:cs="宋体" w:eastAsia="宋体" w:hint="default"/>
          <w:sz w:val="18"/>
          <w:szCs w:val="18"/>
        </w:rPr>
      </w:pPr>
    </w:p>
    <w:p>
      <w:pPr>
        <w:pStyle w:val="Heading2"/>
        <w:spacing w:line="240" w:lineRule="auto"/>
        <w:ind w:left="132" w:right="1115"/>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2" w:right="1115"/>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32" w:right="6614"/>
        <w:jc w:val="left"/>
      </w:pPr>
      <w:r>
        <w:rPr/>
        <w:t>□ 适用 √ 不适用 公司报告期未发生与日常经营相关的重大关联交易。</w:t>
      </w:r>
    </w:p>
    <w:p>
      <w:pPr>
        <w:spacing w:line="240" w:lineRule="auto" w:before="2"/>
        <w:rPr>
          <w:rFonts w:ascii="宋体" w:hAnsi="宋体" w:cs="宋体" w:eastAsia="宋体" w:hint="default"/>
          <w:sz w:val="20"/>
          <w:szCs w:val="20"/>
        </w:rPr>
      </w:pPr>
    </w:p>
    <w:p>
      <w:pPr>
        <w:pStyle w:val="Heading6"/>
        <w:spacing w:line="240" w:lineRule="auto"/>
        <w:ind w:left="132" w:right="1115"/>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6434"/>
        <w:jc w:val="left"/>
      </w:pPr>
      <w:r>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6"/>
        <w:spacing w:line="240" w:lineRule="auto"/>
        <w:ind w:left="132" w:right="1115"/>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34"/>
        <w:gridCol w:w="915"/>
        <w:gridCol w:w="1077"/>
        <w:gridCol w:w="1224"/>
        <w:gridCol w:w="1244"/>
        <w:gridCol w:w="1185"/>
        <w:gridCol w:w="1347"/>
        <w:gridCol w:w="1342"/>
      </w:tblGrid>
      <w:tr>
        <w:trPr>
          <w:trHeight w:val="956" w:hRule="exact"/>
        </w:trPr>
        <w:tc>
          <w:tcPr>
            <w:tcW w:w="123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9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63" w:right="18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10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72" w:right="172"/>
              <w:jc w:val="left"/>
              <w:rPr>
                <w:rFonts w:ascii="宋体" w:hAnsi="宋体" w:cs="宋体" w:eastAsia="宋体" w:hint="default"/>
                <w:sz w:val="18"/>
                <w:szCs w:val="18"/>
              </w:rPr>
            </w:pPr>
            <w:r>
              <w:rPr>
                <w:rFonts w:ascii="宋体" w:hAnsi="宋体" w:cs="宋体" w:eastAsia="宋体" w:hint="default"/>
                <w:sz w:val="18"/>
                <w:szCs w:val="18"/>
              </w:rPr>
              <w:t>被投资企 业的名称</w:t>
            </w:r>
          </w:p>
        </w:tc>
        <w:tc>
          <w:tcPr>
            <w:tcW w:w="12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56" w:right="15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66" w:right="166"/>
              <w:jc w:val="left"/>
              <w:rPr>
                <w:rFonts w:ascii="宋体" w:hAnsi="宋体" w:cs="宋体" w:eastAsia="宋体" w:hint="default"/>
                <w:sz w:val="18"/>
                <w:szCs w:val="18"/>
              </w:rPr>
            </w:pPr>
            <w:r>
              <w:rPr>
                <w:rFonts w:ascii="宋体" w:hAnsi="宋体" w:cs="宋体" w:eastAsia="宋体" w:hint="default"/>
                <w:sz w:val="18"/>
                <w:szCs w:val="18"/>
              </w:rPr>
              <w:t>被投资企业 的注册资本</w:t>
            </w:r>
          </w:p>
          <w:p>
            <w:pPr>
              <w:pStyle w:val="TableParagraph"/>
              <w:spacing w:line="240" w:lineRule="auto" w:before="19"/>
              <w:ind w:left="2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8" w:right="136" w:hanging="92"/>
              <w:jc w:val="left"/>
              <w:rPr>
                <w:rFonts w:ascii="宋体" w:hAnsi="宋体" w:cs="宋体" w:eastAsia="宋体" w:hint="default"/>
                <w:sz w:val="18"/>
                <w:szCs w:val="18"/>
              </w:rPr>
            </w:pPr>
            <w:r>
              <w:rPr>
                <w:rFonts w:ascii="宋体" w:hAnsi="宋体" w:cs="宋体" w:eastAsia="宋体" w:hint="default"/>
                <w:sz w:val="18"/>
                <w:szCs w:val="18"/>
              </w:rPr>
              <w:t>被投资企业 的总资产</w:t>
            </w:r>
          </w:p>
          <w:p>
            <w:pPr>
              <w:pStyle w:val="TableParagraph"/>
              <w:spacing w:line="240" w:lineRule="auto" w:before="19"/>
              <w:ind w:left="2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12" w:firstLine="24"/>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6"/>
                <w:sz w:val="18"/>
                <w:szCs w:val="18"/>
              </w:rPr>
              <w:t>净资产（万元）</w:t>
            </w:r>
          </w:p>
        </w:tc>
        <w:tc>
          <w:tcPr>
            <w:tcW w:w="134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0" w:firstLine="24"/>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7"/>
                <w:sz w:val="18"/>
                <w:szCs w:val="18"/>
              </w:rPr>
              <w:t>净利润（万元）</w:t>
            </w:r>
          </w:p>
        </w:tc>
      </w:tr>
      <w:tr>
        <w:trPr>
          <w:trHeight w:val="317" w:hRule="exact"/>
        </w:trPr>
        <w:tc>
          <w:tcPr>
            <w:tcW w:w="1234" w:type="dxa"/>
            <w:tcBorders>
              <w:top w:val="single" w:sz="4" w:space="0" w:color="000000"/>
              <w:left w:val="single" w:sz="12" w:space="0" w:color="000000"/>
              <w:bottom w:val="nil" w:sz="6" w:space="0" w:color="auto"/>
              <w:right w:val="single" w:sz="4" w:space="0" w:color="000000"/>
            </w:tcBorders>
          </w:tcPr>
          <w:p>
            <w:pPr/>
          </w:p>
        </w:tc>
        <w:tc>
          <w:tcPr>
            <w:tcW w:w="915"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电动车充电</w:t>
            </w:r>
          </w:p>
        </w:tc>
        <w:tc>
          <w:tcPr>
            <w:tcW w:w="1244" w:type="dxa"/>
            <w:tcBorders>
              <w:top w:val="single" w:sz="4" w:space="0" w:color="000000"/>
              <w:left w:val="single" w:sz="4" w:space="0" w:color="000000"/>
              <w:bottom w:val="nil" w:sz="6" w:space="0" w:color="auto"/>
              <w:right w:val="single" w:sz="4" w:space="0" w:color="000000"/>
            </w:tcBorders>
          </w:tcPr>
          <w:p>
            <w:pPr/>
          </w:p>
        </w:tc>
        <w:tc>
          <w:tcPr>
            <w:tcW w:w="1185"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12" w:space="0" w:color="000000"/>
            </w:tcBorders>
          </w:tcPr>
          <w:p>
            <w:pPr/>
          </w:p>
        </w:tc>
      </w:tr>
      <w:tr>
        <w:trPr>
          <w:trHeight w:val="1560" w:hRule="exact"/>
        </w:trPr>
        <w:tc>
          <w:tcPr>
            <w:tcW w:w="1234" w:type="dxa"/>
            <w:tcBorders>
              <w:top w:val="nil" w:sz="6" w:space="0" w:color="auto"/>
              <w:left w:val="single" w:sz="12"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2" w:right="220"/>
              <w:jc w:val="both"/>
              <w:rPr>
                <w:rFonts w:ascii="宋体" w:hAnsi="宋体" w:cs="宋体" w:eastAsia="宋体" w:hint="default"/>
                <w:sz w:val="18"/>
                <w:szCs w:val="18"/>
              </w:rPr>
            </w:pPr>
            <w:r>
              <w:rPr>
                <w:rFonts w:ascii="宋体" w:hAnsi="宋体" w:cs="宋体" w:eastAsia="宋体" w:hint="default"/>
                <w:sz w:val="18"/>
                <w:szCs w:val="18"/>
              </w:rPr>
              <w:t>浙江万马投 资集团有限 公司</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4" w:right="259"/>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42"/>
              <w:jc w:val="both"/>
              <w:rPr>
                <w:rFonts w:ascii="宋体" w:hAnsi="宋体" w:cs="宋体" w:eastAsia="宋体" w:hint="default"/>
                <w:sz w:val="18"/>
                <w:szCs w:val="18"/>
              </w:rPr>
            </w:pPr>
            <w:r>
              <w:rPr>
                <w:rFonts w:ascii="宋体" w:hAnsi="宋体" w:cs="宋体" w:eastAsia="宋体" w:hint="default"/>
                <w:sz w:val="18"/>
                <w:szCs w:val="18"/>
              </w:rPr>
              <w:t>山东万恩 新能源科 技有限公 司</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设备及设施 的设计、研 </w:t>
            </w:r>
            <w:r>
              <w:rPr>
                <w:rFonts w:ascii="宋体" w:hAnsi="宋体" w:cs="宋体" w:eastAsia="宋体" w:hint="default"/>
                <w:spacing w:val="-12"/>
                <w:sz w:val="18"/>
                <w:szCs w:val="18"/>
              </w:rPr>
              <w:t>发、销售；电</w:t>
            </w:r>
            <w:r>
              <w:rPr>
                <w:rFonts w:ascii="宋体" w:hAnsi="宋体" w:cs="宋体" w:eastAsia="宋体" w:hint="default"/>
                <w:sz w:val="18"/>
                <w:szCs w:val="18"/>
              </w:rPr>
              <w:t> 动车充电设 备及设施</w:t>
            </w:r>
            <w:r>
              <w:rPr>
                <w:rFonts w:ascii="宋体" w:hAnsi="宋体" w:cs="宋体" w:eastAsia="宋体" w:hint="default"/>
                <w:spacing w:val="-2"/>
                <w:sz w:val="18"/>
                <w:szCs w:val="18"/>
              </w:rPr>
              <w:t> </w:t>
            </w:r>
            <w:r>
              <w:rPr>
                <w:rFonts w:ascii="宋体" w:hAnsi="宋体" w:cs="宋体" w:eastAsia="宋体" w:hint="default"/>
                <w:sz w:val="18"/>
                <w:szCs w:val="18"/>
              </w:rPr>
              <w:t>项</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5,500.00</w:t>
            </w:r>
          </w:p>
        </w:tc>
        <w:tc>
          <w:tcPr>
            <w:tcW w:w="11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4,128.57</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3" w:right="0"/>
              <w:jc w:val="left"/>
              <w:rPr>
                <w:rFonts w:ascii="Times New Roman" w:hAnsi="Times New Roman" w:cs="Times New Roman" w:eastAsia="Times New Roman" w:hint="default"/>
                <w:sz w:val="18"/>
                <w:szCs w:val="18"/>
              </w:rPr>
            </w:pPr>
            <w:r>
              <w:rPr>
                <w:rFonts w:ascii="Times New Roman"/>
                <w:sz w:val="18"/>
              </w:rPr>
              <w:t>3,892.59</w:t>
            </w:r>
          </w:p>
        </w:tc>
        <w:tc>
          <w:tcPr>
            <w:tcW w:w="1342"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-101.97</w:t>
            </w:r>
          </w:p>
        </w:tc>
      </w:tr>
      <w:tr>
        <w:trPr>
          <w:trHeight w:val="315" w:hRule="exact"/>
        </w:trPr>
        <w:tc>
          <w:tcPr>
            <w:tcW w:w="1234" w:type="dxa"/>
            <w:tcBorders>
              <w:top w:val="nil" w:sz="6" w:space="0" w:color="auto"/>
              <w:left w:val="single" w:sz="12" w:space="0" w:color="000000"/>
              <w:bottom w:val="single" w:sz="4" w:space="0" w:color="000000"/>
              <w:right w:val="single" w:sz="4" w:space="0" w:color="000000"/>
            </w:tcBorders>
          </w:tcPr>
          <w:p>
            <w:pPr/>
          </w:p>
        </w:tc>
        <w:tc>
          <w:tcPr>
            <w:tcW w:w="915"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目的建设与</w:t>
            </w:r>
          </w:p>
        </w:tc>
        <w:tc>
          <w:tcPr>
            <w:tcW w:w="1244" w:type="dxa"/>
            <w:tcBorders>
              <w:top w:val="nil" w:sz="6" w:space="0" w:color="auto"/>
              <w:left w:val="single" w:sz="4" w:space="0" w:color="000000"/>
              <w:bottom w:val="single" w:sz="4" w:space="0" w:color="000000"/>
              <w:right w:val="single" w:sz="4" w:space="0" w:color="000000"/>
            </w:tcBorders>
          </w:tcPr>
          <w:p>
            <w:pPr/>
          </w:p>
        </w:tc>
        <w:tc>
          <w:tcPr>
            <w:tcW w:w="1185"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12" w:space="0" w:color="000000"/>
            </w:tcBorders>
          </w:tcPr>
          <w:p>
            <w:pPr/>
          </w:p>
        </w:tc>
      </w:tr>
    </w:tbl>
    <w:p>
      <w:pPr>
        <w:spacing w:after="0"/>
        <w:sectPr>
          <w:pgSz w:w="11910" w:h="16840"/>
          <w:pgMar w:header="890" w:footer="1012" w:top="1420" w:bottom="1200" w:left="1000" w:right="0"/>
        </w:sectPr>
      </w:pP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234"/>
        <w:gridCol w:w="915"/>
        <w:gridCol w:w="1077"/>
        <w:gridCol w:w="1224"/>
        <w:gridCol w:w="1244"/>
        <w:gridCol w:w="1185"/>
        <w:gridCol w:w="1347"/>
        <w:gridCol w:w="1342"/>
      </w:tblGrid>
      <w:tr>
        <w:trPr>
          <w:trHeight w:val="946" w:hRule="exact"/>
        </w:trPr>
        <w:tc>
          <w:tcPr>
            <w:tcW w:w="1234" w:type="dxa"/>
            <w:tcBorders>
              <w:top w:val="single" w:sz="4" w:space="0" w:color="000000"/>
              <w:left w:val="single" w:sz="12"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28"/>
              <w:jc w:val="left"/>
              <w:rPr>
                <w:rFonts w:ascii="宋体" w:hAnsi="宋体" w:cs="宋体" w:eastAsia="宋体" w:hint="default"/>
                <w:sz w:val="18"/>
                <w:szCs w:val="18"/>
              </w:rPr>
            </w:pPr>
            <w:r>
              <w:rPr>
                <w:rFonts w:ascii="宋体" w:hAnsi="宋体" w:cs="宋体" w:eastAsia="宋体" w:hint="default"/>
                <w:sz w:val="18"/>
                <w:szCs w:val="18"/>
              </w:rPr>
              <w:t>运营；销售： </w:t>
            </w:r>
            <w:r>
              <w:rPr>
                <w:rFonts w:ascii="宋体" w:hAnsi="宋体" w:cs="宋体" w:eastAsia="宋体" w:hint="default"/>
                <w:spacing w:val="-12"/>
                <w:sz w:val="18"/>
                <w:szCs w:val="18"/>
              </w:rPr>
              <w:t>汽车、汽车配</w:t>
            </w:r>
            <w:r>
              <w:rPr>
                <w:rFonts w:ascii="宋体" w:hAnsi="宋体" w:cs="宋体" w:eastAsia="宋体" w:hint="default"/>
                <w:sz w:val="18"/>
                <w:szCs w:val="18"/>
              </w:rPr>
              <w:t> 件等</w:t>
            </w:r>
          </w:p>
        </w:tc>
        <w:tc>
          <w:tcPr>
            <w:tcW w:w="1244"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12" w:space="0" w:color="000000"/>
            </w:tcBorders>
          </w:tcPr>
          <w:p>
            <w:pPr/>
          </w:p>
        </w:tc>
      </w:tr>
      <w:tr>
        <w:trPr>
          <w:trHeight w:val="946" w:hRule="exact"/>
        </w:trPr>
        <w:tc>
          <w:tcPr>
            <w:tcW w:w="123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220"/>
              <w:jc w:val="both"/>
              <w:rPr>
                <w:rFonts w:ascii="宋体" w:hAnsi="宋体" w:cs="宋体" w:eastAsia="宋体" w:hint="default"/>
                <w:sz w:val="18"/>
                <w:szCs w:val="18"/>
              </w:rPr>
            </w:pPr>
            <w:r>
              <w:rPr>
                <w:rFonts w:ascii="宋体" w:hAnsi="宋体" w:cs="宋体" w:eastAsia="宋体" w:hint="default"/>
                <w:sz w:val="18"/>
                <w:szCs w:val="18"/>
              </w:rPr>
              <w:t>浙江万马投 资集团有限 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4" w:right="259"/>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42"/>
              <w:jc w:val="both"/>
              <w:rPr>
                <w:rFonts w:ascii="宋体" w:hAnsi="宋体" w:cs="宋体" w:eastAsia="宋体" w:hint="default"/>
                <w:sz w:val="18"/>
                <w:szCs w:val="18"/>
              </w:rPr>
            </w:pPr>
            <w:r>
              <w:rPr>
                <w:rFonts w:ascii="宋体" w:hAnsi="宋体" w:cs="宋体" w:eastAsia="宋体" w:hint="default"/>
                <w:sz w:val="18"/>
                <w:szCs w:val="18"/>
              </w:rPr>
              <w:t>浙江万马 新能源有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208"/>
              <w:jc w:val="left"/>
              <w:rPr>
                <w:rFonts w:ascii="宋体" w:hAnsi="宋体" w:cs="宋体" w:eastAsia="宋体" w:hint="default"/>
                <w:sz w:val="18"/>
                <w:szCs w:val="18"/>
              </w:rPr>
            </w:pPr>
            <w:r>
              <w:rPr>
                <w:rFonts w:ascii="宋体" w:hAnsi="宋体" w:cs="宋体" w:eastAsia="宋体" w:hint="default"/>
                <w:sz w:val="18"/>
                <w:szCs w:val="18"/>
              </w:rPr>
              <w:t>生产销售汽 车充电设备</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0" w:right="0"/>
              <w:jc w:val="left"/>
              <w:rPr>
                <w:rFonts w:ascii="Times New Roman" w:hAnsi="Times New Roman" w:cs="Times New Roman" w:eastAsia="Times New Roman" w:hint="default"/>
                <w:sz w:val="18"/>
                <w:szCs w:val="18"/>
              </w:rPr>
            </w:pPr>
            <w:r>
              <w:rPr>
                <w:rFonts w:ascii="Times New Roman"/>
                <w:sz w:val="18"/>
              </w:rPr>
              <w:t>5,000.00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2" w:right="0"/>
              <w:jc w:val="left"/>
              <w:rPr>
                <w:rFonts w:ascii="Times New Roman" w:hAnsi="Times New Roman" w:cs="Times New Roman" w:eastAsia="Times New Roman" w:hint="default"/>
                <w:sz w:val="18"/>
                <w:szCs w:val="18"/>
              </w:rPr>
            </w:pPr>
            <w:r>
              <w:rPr>
                <w:rFonts w:ascii="Times New Roman"/>
                <w:sz w:val="18"/>
              </w:rPr>
              <w:t>10,828.62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3" w:right="0"/>
              <w:jc w:val="left"/>
              <w:rPr>
                <w:rFonts w:ascii="Times New Roman" w:hAnsi="Times New Roman" w:cs="Times New Roman" w:eastAsia="Times New Roman" w:hint="default"/>
                <w:sz w:val="18"/>
                <w:szCs w:val="18"/>
              </w:rPr>
            </w:pPr>
            <w:r>
              <w:rPr>
                <w:rFonts w:ascii="Times New Roman"/>
                <w:sz w:val="18"/>
              </w:rPr>
              <w:t>3,956.41</w:t>
            </w:r>
          </w:p>
        </w:tc>
        <w:tc>
          <w:tcPr>
            <w:tcW w:w="13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0" w:right="0"/>
              <w:jc w:val="left"/>
              <w:rPr>
                <w:rFonts w:ascii="Times New Roman" w:hAnsi="Times New Roman" w:cs="Times New Roman" w:eastAsia="Times New Roman" w:hint="default"/>
                <w:sz w:val="18"/>
                <w:szCs w:val="18"/>
              </w:rPr>
            </w:pPr>
            <w:r>
              <w:rPr>
                <w:rFonts w:ascii="Times New Roman"/>
                <w:sz w:val="18"/>
              </w:rPr>
              <w:t>1,607.08</w:t>
            </w:r>
          </w:p>
        </w:tc>
      </w:tr>
      <w:tr>
        <w:trPr>
          <w:trHeight w:val="644" w:hRule="exact"/>
        </w:trPr>
        <w:tc>
          <w:tcPr>
            <w:tcW w:w="2149"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11"/>
              <w:ind w:left="92" w:right="55"/>
              <w:jc w:val="left"/>
              <w:rPr>
                <w:rFonts w:ascii="宋体" w:hAnsi="宋体" w:cs="宋体" w:eastAsia="宋体" w:hint="default"/>
                <w:sz w:val="18"/>
                <w:szCs w:val="18"/>
              </w:rPr>
            </w:pPr>
            <w:r>
              <w:rPr>
                <w:rFonts w:ascii="宋体" w:hAnsi="宋体" w:cs="宋体" w:eastAsia="宋体" w:hint="default"/>
                <w:sz w:val="18"/>
                <w:szCs w:val="18"/>
              </w:rPr>
              <w:t>被投资企业的重大在建 项目的进展情况（如有）</w:t>
            </w:r>
          </w:p>
        </w:tc>
        <w:tc>
          <w:tcPr>
            <w:tcW w:w="7419"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6"/>
        <w:spacing w:line="240" w:lineRule="auto" w:before="34"/>
        <w:ind w:left="132" w:right="1115"/>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694"/>
        <w:jc w:val="left"/>
      </w:pPr>
      <w:r>
        <w:rPr/>
        <w:t>□ 适用 √ 不适用 公司报告期不存在关联债权债务往来。</w:t>
      </w:r>
    </w:p>
    <w:p>
      <w:pPr>
        <w:spacing w:line="240" w:lineRule="auto" w:before="12"/>
        <w:rPr>
          <w:rFonts w:ascii="宋体" w:hAnsi="宋体" w:cs="宋体" w:eastAsia="宋体" w:hint="default"/>
          <w:sz w:val="19"/>
          <w:szCs w:val="19"/>
        </w:rPr>
      </w:pPr>
    </w:p>
    <w:p>
      <w:pPr>
        <w:pStyle w:val="Heading6"/>
        <w:spacing w:line="240" w:lineRule="auto"/>
        <w:ind w:left="132" w:right="1115"/>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32" w:right="8054"/>
        <w:jc w:val="left"/>
      </w:pPr>
      <w:r>
        <w:rPr/>
        <w:t>□ 适用 √ 不适用 公司报告期无其他重大关联交易。</w:t>
      </w:r>
    </w:p>
    <w:p>
      <w:pPr>
        <w:spacing w:line="240" w:lineRule="auto" w:before="2"/>
        <w:rPr>
          <w:rFonts w:ascii="宋体" w:hAnsi="宋体" w:cs="宋体" w:eastAsia="宋体" w:hint="default"/>
          <w:sz w:val="18"/>
          <w:szCs w:val="18"/>
        </w:rPr>
      </w:pPr>
    </w:p>
    <w:p>
      <w:pPr>
        <w:pStyle w:val="Heading2"/>
        <w:spacing w:line="240" w:lineRule="auto"/>
        <w:ind w:left="132" w:right="1115"/>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2" w:right="1115"/>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32" w:right="1115"/>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8414"/>
        <w:jc w:val="left"/>
      </w:pPr>
      <w:r>
        <w:rPr/>
        <w:t>□ 适用 √ 不适用 公司报告期不存在托管情况。</w:t>
      </w:r>
    </w:p>
    <w:p>
      <w:pPr>
        <w:spacing w:line="240" w:lineRule="auto" w:before="2"/>
        <w:rPr>
          <w:rFonts w:ascii="宋体" w:hAnsi="宋体" w:cs="宋体" w:eastAsia="宋体" w:hint="default"/>
          <w:sz w:val="20"/>
          <w:szCs w:val="20"/>
        </w:rPr>
      </w:pPr>
    </w:p>
    <w:p>
      <w:pPr>
        <w:pStyle w:val="Heading6"/>
        <w:spacing w:line="240" w:lineRule="auto"/>
        <w:ind w:left="132" w:right="1115"/>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32" w:right="8414"/>
        <w:jc w:val="left"/>
      </w:pPr>
      <w:r>
        <w:rPr/>
        <w:t>□ 适用 √ 不适用 公司报告期不存在承包情况。</w:t>
      </w:r>
    </w:p>
    <w:p>
      <w:pPr>
        <w:spacing w:line="240" w:lineRule="auto" w:before="2"/>
        <w:rPr>
          <w:rFonts w:ascii="宋体" w:hAnsi="宋体" w:cs="宋体" w:eastAsia="宋体" w:hint="default"/>
          <w:sz w:val="20"/>
          <w:szCs w:val="20"/>
        </w:rPr>
      </w:pPr>
    </w:p>
    <w:p>
      <w:pPr>
        <w:pStyle w:val="Heading6"/>
        <w:spacing w:line="240" w:lineRule="auto"/>
        <w:ind w:left="132" w:right="1115"/>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8414"/>
        <w:jc w:val="left"/>
      </w:pPr>
      <w:r>
        <w:rPr/>
        <w:t>□ 适用 √ 不适用 公司报告期不存在租赁情况。</w:t>
      </w:r>
    </w:p>
    <w:p>
      <w:pPr>
        <w:spacing w:line="240" w:lineRule="auto" w:before="12"/>
        <w:rPr>
          <w:rFonts w:ascii="宋体" w:hAnsi="宋体" w:cs="宋体" w:eastAsia="宋体" w:hint="default"/>
          <w:sz w:val="19"/>
          <w:szCs w:val="19"/>
        </w:rPr>
      </w:pPr>
    </w:p>
    <w:p>
      <w:pPr>
        <w:pStyle w:val="Heading6"/>
        <w:spacing w:line="240" w:lineRule="auto"/>
        <w:ind w:left="132" w:right="1115"/>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15"/>
        <w:jc w:val="left"/>
      </w:pPr>
      <w:r>
        <w:rPr/>
        <w:t>√ 适用 □ 不适用</w:t>
      </w:r>
    </w:p>
    <w:p>
      <w:pPr>
        <w:spacing w:after="0" w:line="240" w:lineRule="auto"/>
        <w:jc w:val="left"/>
        <w:sectPr>
          <w:pgSz w:w="11910" w:h="16840"/>
          <w:pgMar w:header="890" w:footer="1012" w:top="1420" w:bottom="1200" w:left="1000" w:right="0"/>
        </w:sectPr>
      </w:pPr>
    </w:p>
    <w:p>
      <w:pPr>
        <w:pStyle w:val="Heading6"/>
        <w:spacing w:line="240" w:lineRule="auto" w:before="43"/>
        <w:ind w:left="232" w:right="2654"/>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709"/>
        <w:gridCol w:w="344"/>
        <w:gridCol w:w="572"/>
        <w:gridCol w:w="601"/>
        <w:gridCol w:w="316"/>
        <w:gridCol w:w="438"/>
        <w:gridCol w:w="146"/>
        <w:gridCol w:w="729"/>
        <w:gridCol w:w="907"/>
        <w:gridCol w:w="137"/>
        <w:gridCol w:w="654"/>
        <w:gridCol w:w="400"/>
        <w:gridCol w:w="627"/>
        <w:gridCol w:w="491"/>
        <w:gridCol w:w="209"/>
        <w:gridCol w:w="504"/>
        <w:gridCol w:w="125"/>
        <w:gridCol w:w="664"/>
      </w:tblGrid>
      <w:tr>
        <w:trPr>
          <w:trHeight w:val="250" w:hRule="exact"/>
        </w:trPr>
        <w:tc>
          <w:tcPr>
            <w:tcW w:w="9573"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970" w:hRule="exact"/>
        </w:trPr>
        <w:tc>
          <w:tcPr>
            <w:tcW w:w="20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130" w:right="130"/>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354" w:right="17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120" w:right="119"/>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255" w:right="164" w:hanging="92"/>
              <w:jc w:val="left"/>
              <w:rPr>
                <w:rFonts w:ascii="宋体" w:hAnsi="宋体" w:cs="宋体" w:eastAsia="宋体" w:hint="default"/>
                <w:sz w:val="18"/>
                <w:szCs w:val="18"/>
              </w:rPr>
            </w:pPr>
            <w:r>
              <w:rPr>
                <w:rFonts w:ascii="宋体" w:hAnsi="宋体" w:cs="宋体" w:eastAsia="宋体" w:hint="default"/>
                <w:sz w:val="18"/>
                <w:szCs w:val="18"/>
              </w:rPr>
              <w:t>担保 期</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129" w:right="12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48" w:right="144"/>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250" w:hRule="exact"/>
        </w:trPr>
        <w:tc>
          <w:tcPr>
            <w:tcW w:w="9573"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970" w:hRule="exact"/>
        </w:trPr>
        <w:tc>
          <w:tcPr>
            <w:tcW w:w="20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4"/>
              <w:ind w:left="130" w:right="130"/>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354" w:right="17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20" w:right="119"/>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255" w:right="164" w:hanging="92"/>
              <w:jc w:val="left"/>
              <w:rPr>
                <w:rFonts w:ascii="宋体" w:hAnsi="宋体" w:cs="宋体" w:eastAsia="宋体" w:hint="default"/>
                <w:sz w:val="18"/>
                <w:szCs w:val="18"/>
              </w:rPr>
            </w:pPr>
            <w:r>
              <w:rPr>
                <w:rFonts w:ascii="宋体" w:hAnsi="宋体" w:cs="宋体" w:eastAsia="宋体" w:hint="default"/>
                <w:sz w:val="18"/>
                <w:szCs w:val="18"/>
              </w:rPr>
              <w:t>担保 期</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4"/>
              <w:ind w:left="129" w:right="12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2"/>
              <w:ind w:left="148" w:right="144"/>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38"/>
              <w:jc w:val="both"/>
              <w:rPr>
                <w:rFonts w:ascii="宋体" w:hAnsi="宋体" w:cs="宋体" w:eastAsia="宋体" w:hint="default"/>
                <w:sz w:val="18"/>
                <w:szCs w:val="18"/>
              </w:rPr>
            </w:pPr>
            <w:r>
              <w:rPr>
                <w:rFonts w:ascii="宋体" w:hAnsi="宋体" w:cs="宋体" w:eastAsia="宋体" w:hint="default"/>
                <w:sz w:val="18"/>
                <w:szCs w:val="18"/>
              </w:rPr>
              <w:t>浙江万马高分子材料有 限公司（建设银行临安 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2,400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1,400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1"/>
              <w:jc w:val="left"/>
              <w:rPr>
                <w:rFonts w:ascii="宋体" w:hAnsi="宋体" w:cs="宋体" w:eastAsia="宋体" w:hint="default"/>
                <w:sz w:val="18"/>
                <w:szCs w:val="18"/>
              </w:rPr>
            </w:pPr>
            <w:r>
              <w:rPr>
                <w:rFonts w:ascii="宋体" w:hAnsi="宋体" w:cs="宋体" w:eastAsia="宋体" w:hint="default"/>
                <w:sz w:val="18"/>
                <w:szCs w:val="18"/>
              </w:rPr>
              <w:t>浙江万马高分子材料有 </w:t>
            </w:r>
            <w:r>
              <w:rPr>
                <w:rFonts w:ascii="宋体" w:hAnsi="宋体" w:cs="宋体" w:eastAsia="宋体" w:hint="default"/>
                <w:spacing w:val="-5"/>
                <w:sz w:val="18"/>
                <w:szCs w:val="18"/>
              </w:rPr>
              <w:t>限公司（农行临安支行）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1" w:right="0"/>
              <w:jc w:val="left"/>
              <w:rPr>
                <w:rFonts w:ascii="Times New Roman" w:hAnsi="Times New Roman" w:cs="Times New Roman" w:eastAsia="Times New Roman" w:hint="default"/>
                <w:sz w:val="18"/>
                <w:szCs w:val="18"/>
              </w:rPr>
            </w:pPr>
            <w:r>
              <w:rPr>
                <w:rFonts w:ascii="Times New Roman"/>
                <w:sz w:val="18"/>
              </w:rPr>
              <w:t>12,800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9" w:right="0"/>
              <w:jc w:val="left"/>
              <w:rPr>
                <w:rFonts w:ascii="Times New Roman" w:hAnsi="Times New Roman" w:cs="Times New Roman" w:eastAsia="Times New Roman" w:hint="default"/>
                <w:sz w:val="18"/>
                <w:szCs w:val="18"/>
              </w:rPr>
            </w:pPr>
            <w:r>
              <w:rPr>
                <w:rFonts w:ascii="Times New Roman"/>
                <w:sz w:val="18"/>
              </w:rPr>
              <w:t>11,250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38"/>
              <w:jc w:val="both"/>
              <w:rPr>
                <w:rFonts w:ascii="宋体" w:hAnsi="宋体" w:cs="宋体" w:eastAsia="宋体" w:hint="default"/>
                <w:sz w:val="18"/>
                <w:szCs w:val="18"/>
              </w:rPr>
            </w:pPr>
            <w:r>
              <w:rPr>
                <w:rFonts w:ascii="宋体" w:hAnsi="宋体" w:cs="宋体" w:eastAsia="宋体" w:hint="default"/>
                <w:sz w:val="18"/>
                <w:szCs w:val="18"/>
              </w:rPr>
              <w:t>浙江万马高分子材料有 限公司（中国银行浙江 省分行）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25,000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8,476</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38"/>
              <w:jc w:val="both"/>
              <w:rPr>
                <w:rFonts w:ascii="宋体" w:hAnsi="宋体" w:cs="宋体" w:eastAsia="宋体" w:hint="default"/>
                <w:sz w:val="18"/>
                <w:szCs w:val="18"/>
              </w:rPr>
            </w:pPr>
            <w:r>
              <w:rPr>
                <w:rFonts w:ascii="宋体" w:hAnsi="宋体" w:cs="宋体" w:eastAsia="宋体" w:hint="default"/>
                <w:sz w:val="18"/>
                <w:szCs w:val="18"/>
              </w:rPr>
              <w:t>浙江万马高分子材料有 限公司（浦发银行杭州 中山支行）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3,000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88</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38"/>
              <w:jc w:val="both"/>
              <w:rPr>
                <w:rFonts w:ascii="宋体" w:hAnsi="宋体" w:cs="宋体" w:eastAsia="宋体" w:hint="default"/>
                <w:sz w:val="18"/>
                <w:szCs w:val="18"/>
              </w:rPr>
            </w:pPr>
            <w:r>
              <w:rPr>
                <w:rFonts w:ascii="宋体" w:hAnsi="宋体" w:cs="宋体" w:eastAsia="宋体" w:hint="default"/>
                <w:sz w:val="18"/>
                <w:szCs w:val="18"/>
              </w:rPr>
              <w:t>浙江万马高分子材料有 限公司（交通银行临安 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8,600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1,000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38"/>
              <w:jc w:val="both"/>
              <w:rPr>
                <w:rFonts w:ascii="宋体" w:hAnsi="宋体" w:cs="宋体" w:eastAsia="宋体" w:hint="default"/>
                <w:sz w:val="18"/>
                <w:szCs w:val="18"/>
              </w:rPr>
            </w:pPr>
            <w:r>
              <w:rPr>
                <w:rFonts w:ascii="宋体" w:hAnsi="宋体" w:cs="宋体" w:eastAsia="宋体" w:hint="default"/>
                <w:sz w:val="18"/>
                <w:szCs w:val="18"/>
              </w:rPr>
              <w:t>浙江万马高分子材料有 限公司（兴业银行临安 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15,000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700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38"/>
              <w:jc w:val="both"/>
              <w:rPr>
                <w:rFonts w:ascii="宋体" w:hAnsi="宋体" w:cs="宋体" w:eastAsia="宋体" w:hint="default"/>
                <w:sz w:val="18"/>
                <w:szCs w:val="18"/>
              </w:rPr>
            </w:pPr>
            <w:r>
              <w:rPr>
                <w:rFonts w:ascii="宋体" w:hAnsi="宋体" w:cs="宋体" w:eastAsia="宋体" w:hint="default"/>
                <w:sz w:val="18"/>
                <w:szCs w:val="18"/>
              </w:rPr>
              <w:t>浙江万马天屹通信线缆 有限公司（交通银行临 安支行）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3,000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569</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38"/>
              <w:jc w:val="both"/>
              <w:rPr>
                <w:rFonts w:ascii="宋体" w:hAnsi="宋体" w:cs="宋体" w:eastAsia="宋体" w:hint="default"/>
                <w:sz w:val="18"/>
                <w:szCs w:val="18"/>
              </w:rPr>
            </w:pPr>
            <w:r>
              <w:rPr>
                <w:rFonts w:ascii="宋体" w:hAnsi="宋体" w:cs="宋体" w:eastAsia="宋体" w:hint="default"/>
                <w:sz w:val="18"/>
                <w:szCs w:val="18"/>
              </w:rPr>
              <w:t>浙江万马天屹通信线缆 有限公司（兴业银行临 安支行）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5,000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14</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38"/>
              <w:jc w:val="both"/>
              <w:rPr>
                <w:rFonts w:ascii="宋体" w:hAnsi="宋体" w:cs="宋体" w:eastAsia="宋体" w:hint="default"/>
                <w:sz w:val="18"/>
                <w:szCs w:val="18"/>
              </w:rPr>
            </w:pPr>
            <w:r>
              <w:rPr>
                <w:rFonts w:ascii="宋体" w:hAnsi="宋体" w:cs="宋体" w:eastAsia="宋体" w:hint="default"/>
                <w:sz w:val="18"/>
                <w:szCs w:val="18"/>
              </w:rPr>
              <w:t>浙江万马集团特种电子 电缆有限公司（宁波银 行杭州分行）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3,500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3,153</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1"/>
              <w:jc w:val="left"/>
              <w:rPr>
                <w:rFonts w:ascii="宋体" w:hAnsi="宋体" w:cs="宋体" w:eastAsia="宋体" w:hint="default"/>
                <w:sz w:val="18"/>
                <w:szCs w:val="18"/>
              </w:rPr>
            </w:pPr>
            <w:r>
              <w:rPr>
                <w:rFonts w:ascii="宋体" w:hAnsi="宋体" w:cs="宋体" w:eastAsia="宋体" w:hint="default"/>
                <w:sz w:val="18"/>
                <w:szCs w:val="18"/>
              </w:rPr>
              <w:t>浙江万马新能源有限公 </w:t>
            </w:r>
            <w:r>
              <w:rPr>
                <w:rFonts w:ascii="宋体" w:hAnsi="宋体" w:cs="宋体" w:eastAsia="宋体" w:hint="default"/>
                <w:spacing w:val="-5"/>
                <w:sz w:val="18"/>
                <w:szCs w:val="18"/>
              </w:rPr>
              <w:t>司（浦发银行临安支行）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18"/>
                <w:szCs w:val="18"/>
              </w:rPr>
            </w:pPr>
            <w:r>
              <w:rPr>
                <w:rFonts w:ascii="Times New Roman"/>
                <w:sz w:val="18"/>
              </w:rPr>
              <w:t>1,400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3" w:right="0"/>
              <w:jc w:val="left"/>
              <w:rPr>
                <w:rFonts w:ascii="Times New Roman" w:hAnsi="Times New Roman" w:cs="Times New Roman" w:eastAsia="Times New Roman" w:hint="default"/>
                <w:sz w:val="18"/>
                <w:szCs w:val="18"/>
              </w:rPr>
            </w:pPr>
            <w:r>
              <w:rPr>
                <w:rFonts w:ascii="Times New Roman"/>
                <w:sz w:val="18"/>
              </w:rPr>
              <w:t>1,704</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1"/>
              <w:jc w:val="left"/>
              <w:rPr>
                <w:rFonts w:ascii="宋体" w:hAnsi="宋体" w:cs="宋体" w:eastAsia="宋体" w:hint="default"/>
                <w:sz w:val="18"/>
                <w:szCs w:val="18"/>
              </w:rPr>
            </w:pPr>
            <w:r>
              <w:rPr>
                <w:rFonts w:ascii="宋体" w:hAnsi="宋体" w:cs="宋体" w:eastAsia="宋体" w:hint="default"/>
                <w:sz w:val="18"/>
                <w:szCs w:val="18"/>
              </w:rPr>
              <w:t>浙江万马新能源有限公 </w:t>
            </w:r>
            <w:r>
              <w:rPr>
                <w:rFonts w:ascii="宋体" w:hAnsi="宋体" w:cs="宋体" w:eastAsia="宋体" w:hint="default"/>
                <w:spacing w:val="-5"/>
                <w:sz w:val="18"/>
                <w:szCs w:val="18"/>
              </w:rPr>
              <w:t>司（招商银行杭州分行）</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4" w:right="0"/>
              <w:jc w:val="left"/>
              <w:rPr>
                <w:rFonts w:ascii="Times New Roman" w:hAnsi="Times New Roman" w:cs="Times New Roman" w:eastAsia="Times New Roman" w:hint="default"/>
                <w:sz w:val="18"/>
                <w:szCs w:val="18"/>
              </w:rPr>
            </w:pPr>
            <w:r>
              <w:rPr>
                <w:rFonts w:ascii="Times New Roman"/>
                <w:sz w:val="18"/>
              </w:rPr>
              <w:t>2018-04-21</w:t>
            </w: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18"/>
                <w:szCs w:val="18"/>
              </w:rPr>
            </w:pPr>
            <w:r>
              <w:rPr>
                <w:rFonts w:ascii="Times New Roman"/>
                <w:sz w:val="18"/>
              </w:rPr>
              <w:t>1,050</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7" w:right="0"/>
              <w:jc w:val="left"/>
              <w:rPr>
                <w:rFonts w:ascii="Times New Roman" w:hAnsi="Times New Roman" w:cs="Times New Roman" w:eastAsia="Times New Roman" w:hint="default"/>
                <w:sz w:val="18"/>
                <w:szCs w:val="18"/>
              </w:rPr>
            </w:pPr>
            <w:r>
              <w:rPr>
                <w:rFonts w:ascii="Times New Roman"/>
                <w:sz w:val="18"/>
              </w:rPr>
              <w:t>296</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9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9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7" w:right="0"/>
              <w:jc w:val="left"/>
              <w:rPr>
                <w:rFonts w:ascii="Times New Roman" w:hAnsi="Times New Roman" w:cs="Times New Roman" w:eastAsia="Times New Roman" w:hint="default"/>
                <w:sz w:val="18"/>
                <w:szCs w:val="18"/>
              </w:rPr>
            </w:pPr>
            <w:r>
              <w:rPr>
                <w:rFonts w:ascii="Times New Roman"/>
                <w:sz w:val="18"/>
              </w:rPr>
              <w:t>80,750</w:t>
            </w:r>
          </w:p>
        </w:tc>
        <w:tc>
          <w:tcPr>
            <w:tcW w:w="392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1" w:right="0"/>
              <w:jc w:val="left"/>
              <w:rPr>
                <w:rFonts w:ascii="Times New Roman" w:hAnsi="Times New Roman" w:cs="Times New Roman" w:eastAsia="Times New Roman" w:hint="default"/>
                <w:sz w:val="18"/>
                <w:szCs w:val="18"/>
              </w:rPr>
            </w:pPr>
            <w:r>
              <w:rPr>
                <w:rFonts w:ascii="Times New Roman"/>
                <w:sz w:val="18"/>
              </w:rPr>
              <w:t>28,650</w:t>
            </w:r>
          </w:p>
        </w:tc>
      </w:tr>
      <w:tr>
        <w:trPr>
          <w:trHeight w:val="250" w:hRule="exact"/>
        </w:trPr>
        <w:tc>
          <w:tcPr>
            <w:tcW w:w="39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7" w:right="0"/>
              <w:jc w:val="left"/>
              <w:rPr>
                <w:rFonts w:ascii="Times New Roman" w:hAnsi="Times New Roman" w:cs="Times New Roman" w:eastAsia="Times New Roman" w:hint="default"/>
                <w:sz w:val="18"/>
                <w:szCs w:val="18"/>
              </w:rPr>
            </w:pPr>
            <w:r>
              <w:rPr>
                <w:rFonts w:ascii="Times New Roman"/>
                <w:sz w:val="18"/>
              </w:rPr>
              <w:t>80,750</w:t>
            </w:r>
          </w:p>
        </w:tc>
        <w:tc>
          <w:tcPr>
            <w:tcW w:w="392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1" w:right="0"/>
              <w:jc w:val="left"/>
              <w:rPr>
                <w:rFonts w:ascii="Times New Roman" w:hAnsi="Times New Roman" w:cs="Times New Roman" w:eastAsia="Times New Roman" w:hint="default"/>
                <w:sz w:val="18"/>
                <w:szCs w:val="18"/>
              </w:rPr>
            </w:pPr>
            <w:r>
              <w:rPr>
                <w:rFonts w:ascii="Times New Roman"/>
                <w:sz w:val="18"/>
              </w:rPr>
              <w:t>28,650</w:t>
            </w:r>
          </w:p>
        </w:tc>
      </w:tr>
      <w:tr>
        <w:trPr>
          <w:trHeight w:val="250" w:hRule="exact"/>
        </w:trPr>
        <w:tc>
          <w:tcPr>
            <w:tcW w:w="9573"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97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84" w:right="180"/>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362"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338" w:right="15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3"/>
              <w:ind w:left="170" w:right="171"/>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3"/>
              <w:ind w:left="119" w:right="117"/>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250" w:hRule="exact"/>
        </w:trPr>
        <w:tc>
          <w:tcPr>
            <w:tcW w:w="9573"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250" w:hRule="exact"/>
        </w:trPr>
        <w:tc>
          <w:tcPr>
            <w:tcW w:w="39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7" w:right="0"/>
              <w:jc w:val="left"/>
              <w:rPr>
                <w:rFonts w:ascii="Times New Roman" w:hAnsi="Times New Roman" w:cs="Times New Roman" w:eastAsia="Times New Roman" w:hint="default"/>
                <w:sz w:val="18"/>
                <w:szCs w:val="18"/>
              </w:rPr>
            </w:pPr>
            <w:r>
              <w:rPr>
                <w:rFonts w:ascii="Times New Roman"/>
                <w:sz w:val="18"/>
              </w:rPr>
              <w:t>80,750</w:t>
            </w:r>
          </w:p>
        </w:tc>
        <w:tc>
          <w:tcPr>
            <w:tcW w:w="392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1" w:right="0"/>
              <w:jc w:val="left"/>
              <w:rPr>
                <w:rFonts w:ascii="Times New Roman" w:hAnsi="Times New Roman" w:cs="Times New Roman" w:eastAsia="Times New Roman" w:hint="default"/>
                <w:sz w:val="18"/>
                <w:szCs w:val="18"/>
              </w:rPr>
            </w:pPr>
            <w:r>
              <w:rPr>
                <w:rFonts w:ascii="Times New Roman"/>
                <w:sz w:val="18"/>
              </w:rPr>
              <w:t>28,650</w:t>
            </w:r>
          </w:p>
        </w:tc>
      </w:tr>
      <w:tr>
        <w:trPr>
          <w:trHeight w:val="250" w:hRule="exact"/>
        </w:trPr>
        <w:tc>
          <w:tcPr>
            <w:tcW w:w="39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7" w:right="0"/>
              <w:jc w:val="left"/>
              <w:rPr>
                <w:rFonts w:ascii="Times New Roman" w:hAnsi="Times New Roman" w:cs="Times New Roman" w:eastAsia="Times New Roman" w:hint="default"/>
                <w:sz w:val="18"/>
                <w:szCs w:val="18"/>
              </w:rPr>
            </w:pPr>
            <w:r>
              <w:rPr>
                <w:rFonts w:ascii="Times New Roman"/>
                <w:sz w:val="18"/>
              </w:rPr>
              <w:t>80,750</w:t>
            </w:r>
          </w:p>
        </w:tc>
        <w:tc>
          <w:tcPr>
            <w:tcW w:w="392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1" w:right="0"/>
              <w:jc w:val="left"/>
              <w:rPr>
                <w:rFonts w:ascii="Times New Roman" w:hAnsi="Times New Roman" w:cs="Times New Roman" w:eastAsia="Times New Roman" w:hint="default"/>
                <w:sz w:val="18"/>
                <w:szCs w:val="18"/>
              </w:rPr>
            </w:pPr>
            <w:r>
              <w:rPr>
                <w:rFonts w:ascii="Times New Roman"/>
                <w:sz w:val="18"/>
              </w:rPr>
              <w:t>28,650</w:t>
            </w:r>
          </w:p>
        </w:tc>
      </w:tr>
      <w:tr>
        <w:trPr>
          <w:trHeight w:val="250" w:hRule="exact"/>
        </w:trPr>
        <w:tc>
          <w:tcPr>
            <w:tcW w:w="48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18"/>
                <w:szCs w:val="18"/>
              </w:rPr>
            </w:pPr>
            <w:r>
              <w:rPr>
                <w:rFonts w:ascii="Times New Roman"/>
                <w:spacing w:val="-1"/>
                <w:sz w:val="18"/>
              </w:rPr>
              <w:t>7.13%</w:t>
            </w:r>
          </w:p>
        </w:tc>
      </w:tr>
      <w:tr>
        <w:trPr>
          <w:trHeight w:val="250" w:hRule="exact"/>
        </w:trPr>
        <w:tc>
          <w:tcPr>
            <w:tcW w:w="9573"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19" w:lineRule="exact"/>
        <w:jc w:val="left"/>
        <w:rPr>
          <w:rFonts w:ascii="宋体" w:hAnsi="宋体" w:cs="宋体" w:eastAsia="宋体" w:hint="default"/>
          <w:sz w:val="18"/>
          <w:szCs w:val="18"/>
        </w:rPr>
        <w:sectPr>
          <w:pgSz w:w="11910" w:h="16840"/>
          <w:pgMar w:header="890" w:footer="1012" w:top="1420" w:bottom="1200" w:left="900" w:right="0"/>
        </w:sectPr>
      </w:pPr>
    </w:p>
    <w:p>
      <w:pPr>
        <w:pStyle w:val="BodyText"/>
        <w:spacing w:line="240" w:lineRule="auto" w:before="66"/>
        <w:ind w:left="232" w:right="2654"/>
        <w:jc w:val="left"/>
      </w:pPr>
      <w:r>
        <w:rPr/>
        <w:t>采用复合方式担保的具体情况说明</w:t>
      </w:r>
    </w:p>
    <w:p>
      <w:pPr>
        <w:spacing w:line="240" w:lineRule="auto" w:before="0"/>
        <w:rPr>
          <w:rFonts w:ascii="宋体" w:hAnsi="宋体" w:cs="宋体" w:eastAsia="宋体" w:hint="default"/>
          <w:sz w:val="18"/>
          <w:szCs w:val="18"/>
        </w:rPr>
      </w:pPr>
    </w:p>
    <w:p>
      <w:pPr>
        <w:pStyle w:val="Heading6"/>
        <w:spacing w:line="240" w:lineRule="auto" w:before="118"/>
        <w:ind w:left="232" w:right="2654"/>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32" w:right="7694"/>
        <w:jc w:val="left"/>
      </w:pPr>
      <w:r>
        <w:rPr/>
        <w:t>□ 适用 √ 不适用 公司报告期无违规对外担保情况。</w:t>
      </w:r>
    </w:p>
    <w:p>
      <w:pPr>
        <w:spacing w:line="240" w:lineRule="auto" w:before="12"/>
        <w:rPr>
          <w:rFonts w:ascii="宋体" w:hAnsi="宋体" w:cs="宋体" w:eastAsia="宋体" w:hint="default"/>
          <w:sz w:val="19"/>
          <w:szCs w:val="19"/>
        </w:rPr>
      </w:pPr>
    </w:p>
    <w:p>
      <w:pPr>
        <w:pStyle w:val="Heading6"/>
        <w:spacing w:line="240" w:lineRule="auto"/>
        <w:ind w:left="232" w:right="2654"/>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232" w:right="2654"/>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29"/>
          <w:pgSz w:w="11910" w:h="16840"/>
          <w:pgMar w:header="890" w:footer="1012" w:top="1420" w:bottom="1200" w:left="900" w:right="0"/>
        </w:sectPr>
      </w:pPr>
    </w:p>
    <w:p>
      <w:pPr>
        <w:pStyle w:val="BodyText"/>
        <w:spacing w:line="360" w:lineRule="auto" w:before="44"/>
        <w:ind w:left="232"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232" w:right="0"/>
        <w:jc w:val="left"/>
      </w:pPr>
      <w:r>
        <w:rPr/>
        <w:t>单位：万元</w:t>
      </w:r>
    </w:p>
    <w:p>
      <w:pPr>
        <w:spacing w:after="0" w:line="240" w:lineRule="auto"/>
        <w:jc w:val="left"/>
        <w:sectPr>
          <w:type w:val="continuous"/>
          <w:pgSz w:w="11910" w:h="16840"/>
          <w:pgMar w:top="660" w:bottom="700" w:left="900" w:right="0"/>
          <w:cols w:num="2" w:equalWidth="0">
            <w:col w:w="2033" w:space="6705"/>
            <w:col w:w="2272"/>
          </w:cols>
        </w:sectPr>
      </w:pP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3"/>
              <w:jc w:val="righ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8"/>
              <w:jc w:val="righ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42,435.00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17,057.45</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42,435.00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17,057.45</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tabs>
          <w:tab w:pos="8692" w:val="left" w:leader="none"/>
        </w:tabs>
        <w:spacing w:line="240" w:lineRule="auto" w:before="50"/>
        <w:ind w:left="232" w:right="915"/>
        <w:jc w:val="left"/>
      </w:pPr>
      <w:r>
        <w:rPr/>
        <w:t>按银行分列理财产品明细表：</w:t>
        <w:tab/>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0"/>
        <w:gridCol w:w="498"/>
        <w:gridCol w:w="618"/>
        <w:gridCol w:w="1277"/>
        <w:gridCol w:w="1112"/>
        <w:gridCol w:w="1020"/>
        <w:gridCol w:w="579"/>
        <w:gridCol w:w="1261"/>
        <w:gridCol w:w="1082"/>
        <w:gridCol w:w="366"/>
        <w:gridCol w:w="547"/>
      </w:tblGrid>
      <w:tr>
        <w:trPr>
          <w:trHeight w:val="1930" w:hRule="exact"/>
        </w:trPr>
        <w:tc>
          <w:tcPr>
            <w:tcW w:w="11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受托人名称</w:t>
            </w:r>
          </w:p>
        </w:tc>
        <w:tc>
          <w:tcPr>
            <w:tcW w:w="4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54" w:right="152"/>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6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123" w:right="12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542" w:right="137" w:hanging="315"/>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1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105" w:right="102"/>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173" w:right="129" w:firstLine="45"/>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10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175" w:right="129" w:firstLine="45"/>
              <w:jc w:val="both"/>
              <w:rPr>
                <w:rFonts w:ascii="宋体" w:hAnsi="宋体" w:cs="宋体" w:eastAsia="宋体" w:hint="default"/>
                <w:sz w:val="18"/>
                <w:szCs w:val="18"/>
              </w:rPr>
            </w:pPr>
            <w:r>
              <w:rPr>
                <w:rFonts w:ascii="宋体" w:hAnsi="宋体" w:cs="宋体" w:eastAsia="宋体" w:hint="default"/>
                <w:sz w:val="18"/>
                <w:szCs w:val="18"/>
              </w:rPr>
              <w:t>报告期实 际损益金 额（元）</w:t>
            </w:r>
          </w:p>
        </w:tc>
        <w:tc>
          <w:tcPr>
            <w:tcW w:w="3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3" w:right="70"/>
              <w:jc w:val="both"/>
              <w:rPr>
                <w:rFonts w:ascii="宋体" w:hAnsi="宋体" w:cs="宋体" w:eastAsia="宋体" w:hint="default"/>
                <w:sz w:val="18"/>
                <w:szCs w:val="18"/>
              </w:rPr>
            </w:pPr>
            <w:r>
              <w:rPr>
                <w:rFonts w:ascii="宋体" w:hAnsi="宋体" w:cs="宋体" w:eastAsia="宋体" w:hint="default"/>
                <w:sz w:val="18"/>
                <w:szCs w:val="18"/>
              </w:rPr>
              <w:t>平 均 理 财 天 数</w:t>
            </w:r>
          </w:p>
        </w:tc>
        <w:tc>
          <w:tcPr>
            <w:tcW w:w="5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4" w:lineRule="auto" w:before="102"/>
              <w:ind w:left="177" w:right="178"/>
              <w:jc w:val="both"/>
              <w:rPr>
                <w:rFonts w:ascii="宋体" w:hAnsi="宋体" w:cs="宋体" w:eastAsia="宋体" w:hint="default"/>
                <w:sz w:val="18"/>
                <w:szCs w:val="18"/>
              </w:rPr>
            </w:pPr>
            <w:r>
              <w:rPr>
                <w:rFonts w:ascii="宋体" w:hAnsi="宋体" w:cs="宋体" w:eastAsia="宋体" w:hint="default"/>
                <w:sz w:val="18"/>
                <w:szCs w:val="18"/>
              </w:rPr>
              <w:t>平 均 年 化 收 益 率</w:t>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26" w:right="122"/>
              <w:jc w:val="left"/>
              <w:rPr>
                <w:rFonts w:ascii="宋体" w:hAnsi="宋体" w:cs="宋体" w:eastAsia="宋体" w:hint="default"/>
                <w:sz w:val="18"/>
                <w:szCs w:val="18"/>
              </w:rPr>
            </w:pPr>
            <w:r>
              <w:rPr>
                <w:rFonts w:ascii="宋体" w:hAnsi="宋体" w:cs="宋体" w:eastAsia="宋体" w:hint="default"/>
                <w:sz w:val="18"/>
                <w:szCs w:val="18"/>
              </w:rPr>
              <w:t>工商银行募 集资金专户</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585,000,000.0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585,000,000.0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5,207,547.9</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9</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3"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华夏银行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保本</w:t>
            </w:r>
          </w:p>
          <w:p>
            <w:pPr>
              <w:pStyle w:val="TableParagraph"/>
              <w:spacing w:line="244" w:lineRule="auto" w:before="4"/>
              <w:ind w:left="123" w:right="122"/>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1,029,000,000</w:t>
            </w:r>
          </w:p>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到期</w:t>
            </w:r>
          </w:p>
          <w:p>
            <w:pPr>
              <w:pStyle w:val="TableParagraph"/>
              <w:spacing w:line="244" w:lineRule="auto" w:before="4"/>
              <w:ind w:left="105" w:right="102"/>
              <w:jc w:val="left"/>
              <w:rPr>
                <w:rFonts w:ascii="宋体" w:hAnsi="宋体" w:cs="宋体" w:eastAsia="宋体" w:hint="default"/>
                <w:sz w:val="18"/>
                <w:szCs w:val="18"/>
              </w:rPr>
            </w:pPr>
            <w:r>
              <w:rPr>
                <w:rFonts w:ascii="宋体" w:hAnsi="宋体" w:cs="宋体" w:eastAsia="宋体" w:hint="default"/>
                <w:sz w:val="18"/>
                <w:szCs w:val="18"/>
              </w:rPr>
              <w:t>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1,029,000,000</w:t>
            </w:r>
          </w:p>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864,076.75</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 w:right="0"/>
              <w:jc w:val="center"/>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06" w:right="122" w:hanging="180"/>
              <w:jc w:val="left"/>
              <w:rPr>
                <w:rFonts w:ascii="宋体" w:hAnsi="宋体" w:cs="宋体" w:eastAsia="宋体" w:hint="default"/>
                <w:sz w:val="18"/>
                <w:szCs w:val="18"/>
              </w:rPr>
            </w:pPr>
            <w:r>
              <w:rPr>
                <w:rFonts w:ascii="宋体" w:hAnsi="宋体" w:cs="宋体" w:eastAsia="宋体" w:hint="default"/>
                <w:sz w:val="18"/>
                <w:szCs w:val="18"/>
              </w:rPr>
              <w:t>汇丰银行杭 州分行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保本</w:t>
            </w:r>
          </w:p>
          <w:p>
            <w:pPr>
              <w:pStyle w:val="TableParagraph"/>
              <w:spacing w:line="244" w:lineRule="auto" w:before="4"/>
              <w:ind w:left="123" w:right="122"/>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370,000,000.0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到期</w:t>
            </w:r>
          </w:p>
          <w:p>
            <w:pPr>
              <w:pStyle w:val="TableParagraph"/>
              <w:spacing w:line="244" w:lineRule="auto" w:before="4"/>
              <w:ind w:left="105" w:right="102"/>
              <w:jc w:val="left"/>
              <w:rPr>
                <w:rFonts w:ascii="宋体" w:hAnsi="宋体" w:cs="宋体" w:eastAsia="宋体" w:hint="default"/>
                <w:sz w:val="18"/>
                <w:szCs w:val="18"/>
              </w:rPr>
            </w:pPr>
            <w:r>
              <w:rPr>
                <w:rFonts w:ascii="宋体" w:hAnsi="宋体" w:cs="宋体" w:eastAsia="宋体" w:hint="default"/>
                <w:sz w:val="18"/>
                <w:szCs w:val="18"/>
              </w:rPr>
              <w:t>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370,000,000.0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2,463,944.4</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3"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6</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26" w:right="122"/>
              <w:jc w:val="left"/>
              <w:rPr>
                <w:rFonts w:ascii="宋体" w:hAnsi="宋体" w:cs="宋体" w:eastAsia="宋体" w:hint="default"/>
                <w:sz w:val="18"/>
                <w:szCs w:val="18"/>
              </w:rPr>
            </w:pPr>
            <w:r>
              <w:rPr>
                <w:rFonts w:ascii="宋体" w:hAnsi="宋体" w:cs="宋体" w:eastAsia="宋体" w:hint="default"/>
                <w:sz w:val="18"/>
                <w:szCs w:val="18"/>
              </w:rPr>
              <w:t>交通银行杭 州临安支行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4,387,200,000</w:t>
            </w:r>
          </w:p>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4,387,200,000</w:t>
            </w:r>
          </w:p>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3,271,765.8</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 w:right="0"/>
              <w:jc w:val="center"/>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306" w:right="122" w:hanging="180"/>
              <w:jc w:val="left"/>
              <w:rPr>
                <w:rFonts w:ascii="宋体" w:hAnsi="宋体" w:cs="宋体" w:eastAsia="宋体" w:hint="default"/>
                <w:sz w:val="18"/>
                <w:szCs w:val="18"/>
              </w:rPr>
            </w:pPr>
            <w:r>
              <w:rPr>
                <w:rFonts w:ascii="宋体" w:hAnsi="宋体" w:cs="宋体" w:eastAsia="宋体" w:hint="default"/>
                <w:sz w:val="18"/>
                <w:szCs w:val="18"/>
              </w:rPr>
              <w:t>宁波银行杭 州分行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z w:val="18"/>
              </w:rPr>
              <w:t>23.01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6" w:right="0"/>
              <w:jc w:val="center"/>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306" w:right="122" w:hanging="180"/>
              <w:jc w:val="left"/>
              <w:rPr>
                <w:rFonts w:ascii="宋体" w:hAnsi="宋体" w:cs="宋体" w:eastAsia="宋体" w:hint="default"/>
                <w:sz w:val="18"/>
                <w:szCs w:val="18"/>
              </w:rPr>
            </w:pPr>
            <w:r>
              <w:rPr>
                <w:rFonts w:ascii="宋体" w:hAnsi="宋体" w:cs="宋体" w:eastAsia="宋体" w:hint="default"/>
                <w:sz w:val="18"/>
                <w:szCs w:val="18"/>
              </w:rPr>
              <w:t>浦发银行临 安分行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937,200,000.0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937,200,000.0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974,840.41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6" w:right="0"/>
              <w:jc w:val="center"/>
              <w:rPr>
                <w:rFonts w:ascii="Times New Roman" w:hAnsi="Times New Roman" w:cs="Times New Roman" w:eastAsia="Times New Roman" w:hint="default"/>
                <w:sz w:val="18"/>
                <w:szCs w:val="18"/>
              </w:rPr>
            </w:pPr>
            <w:r>
              <w:rPr>
                <w:rFonts w:ascii="Times New Roman"/>
                <w:sz w:val="18"/>
              </w:rPr>
              <w:t>3.04</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兴业银行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4,000,000.00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4,000,000.00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3,835.62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4</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 w:right="0"/>
              <w:jc w:val="center"/>
              <w:rPr>
                <w:rFonts w:ascii="Times New Roman" w:hAnsi="Times New Roman" w:cs="Times New Roman" w:eastAsia="Times New Roman" w:hint="default"/>
                <w:sz w:val="18"/>
                <w:szCs w:val="18"/>
              </w:rPr>
            </w:pPr>
            <w:r>
              <w:rPr>
                <w:rFonts w:ascii="Times New Roman"/>
                <w:sz w:val="18"/>
              </w:rPr>
              <w:t>2.50</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2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招商银行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保本</w:t>
            </w:r>
          </w:p>
          <w:p>
            <w:pPr>
              <w:pStyle w:val="TableParagraph"/>
              <w:spacing w:line="244" w:lineRule="auto" w:before="4"/>
              <w:ind w:left="123" w:right="122"/>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61,200,000.00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到期</w:t>
            </w:r>
          </w:p>
          <w:p>
            <w:pPr>
              <w:pStyle w:val="TableParagraph"/>
              <w:spacing w:line="244" w:lineRule="auto" w:before="4"/>
              <w:ind w:left="105" w:right="102"/>
              <w:jc w:val="left"/>
              <w:rPr>
                <w:rFonts w:ascii="宋体" w:hAnsi="宋体" w:cs="宋体" w:eastAsia="宋体" w:hint="default"/>
                <w:sz w:val="18"/>
                <w:szCs w:val="18"/>
              </w:rPr>
            </w:pPr>
            <w:r>
              <w:rPr>
                <w:rFonts w:ascii="宋体" w:hAnsi="宋体" w:cs="宋体" w:eastAsia="宋体" w:hint="default"/>
                <w:sz w:val="18"/>
                <w:szCs w:val="18"/>
              </w:rPr>
              <w:t>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61,200,000.00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76,506.85</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3"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 w:right="0"/>
              <w:jc w:val="center"/>
              <w:rPr>
                <w:rFonts w:ascii="Times New Roman" w:hAnsi="Times New Roman" w:cs="Times New Roman" w:eastAsia="Times New Roman" w:hint="default"/>
                <w:sz w:val="18"/>
                <w:szCs w:val="18"/>
              </w:rPr>
            </w:pPr>
            <w:r>
              <w:rPr>
                <w:rFonts w:ascii="Times New Roman"/>
                <w:sz w:val="18"/>
              </w:rPr>
              <w:t>3.84</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660" w:bottom="700" w:left="900" w:right="0"/>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60"/>
        <w:gridCol w:w="498"/>
        <w:gridCol w:w="618"/>
        <w:gridCol w:w="1277"/>
        <w:gridCol w:w="1112"/>
        <w:gridCol w:w="1020"/>
        <w:gridCol w:w="579"/>
        <w:gridCol w:w="1261"/>
        <w:gridCol w:w="1082"/>
        <w:gridCol w:w="366"/>
        <w:gridCol w:w="547"/>
      </w:tblGrid>
      <w:tr>
        <w:trPr>
          <w:trHeight w:val="735" w:hRule="exact"/>
        </w:trPr>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112"/>
              <w:ind w:left="126" w:right="122"/>
              <w:jc w:val="left"/>
              <w:rPr>
                <w:rFonts w:ascii="宋体" w:hAnsi="宋体" w:cs="宋体" w:eastAsia="宋体" w:hint="default"/>
                <w:sz w:val="18"/>
                <w:szCs w:val="18"/>
              </w:rPr>
            </w:pPr>
            <w:r>
              <w:rPr>
                <w:rFonts w:ascii="宋体" w:hAnsi="宋体" w:cs="宋体" w:eastAsia="宋体" w:hint="default"/>
                <w:sz w:val="18"/>
                <w:szCs w:val="18"/>
              </w:rPr>
              <w:t>中国工商银 行临安支行</w:t>
            </w:r>
          </w:p>
        </w:tc>
        <w:tc>
          <w:tcPr>
            <w:tcW w:w="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nil" w:sz="6" w:space="0" w:color="auto"/>
              <w:left w:val="single" w:sz="4" w:space="0" w:color="000000"/>
              <w:bottom w:val="single" w:sz="4" w:space="0" w:color="000000"/>
              <w:right w:val="single" w:sz="4" w:space="0" w:color="000000"/>
            </w:tcBorders>
          </w:tcPr>
          <w:p>
            <w:pPr>
              <w:pStyle w:val="TableParagraph"/>
              <w:spacing w:line="244" w:lineRule="auto"/>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99"/>
              <w:jc w:val="right"/>
              <w:rPr>
                <w:rFonts w:ascii="Times New Roman" w:hAnsi="Times New Roman" w:cs="Times New Roman" w:eastAsia="Times New Roman" w:hint="default"/>
                <w:sz w:val="18"/>
                <w:szCs w:val="18"/>
              </w:rPr>
            </w:pPr>
            <w:r>
              <w:rPr>
                <w:rFonts w:ascii="Times New Roman"/>
                <w:spacing w:val="-1"/>
                <w:sz w:val="18"/>
              </w:rPr>
              <w:t>32,100,000.00</w:t>
            </w:r>
          </w:p>
        </w:tc>
        <w:tc>
          <w:tcPr>
            <w:tcW w:w="1112" w:type="dxa"/>
            <w:tcBorders>
              <w:top w:val="nil" w:sz="6" w:space="0" w:color="auto"/>
              <w:left w:val="single" w:sz="4" w:space="0" w:color="000000"/>
              <w:bottom w:val="single" w:sz="4" w:space="0" w:color="000000"/>
              <w:right w:val="single" w:sz="4" w:space="0" w:color="000000"/>
            </w:tcBorders>
          </w:tcPr>
          <w:p>
            <w:pPr>
              <w:pStyle w:val="TableParagraph"/>
              <w:spacing w:line="245" w:lineRule="exact" w:before="1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nil" w:sz="6" w:space="0" w:color="auto"/>
              <w:left w:val="single" w:sz="4" w:space="0" w:color="000000"/>
              <w:bottom w:val="single" w:sz="4" w:space="0" w:color="000000"/>
              <w:right w:val="single" w:sz="4" w:space="0" w:color="000000"/>
            </w:tcBorders>
          </w:tcPr>
          <w:p>
            <w:pPr>
              <w:pStyle w:val="TableParagraph"/>
              <w:spacing w:line="245" w:lineRule="exact" w:before="1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nil" w:sz="6" w:space="0" w:color="auto"/>
              <w:left w:val="single" w:sz="4" w:space="0" w:color="000000"/>
              <w:bottom w:val="single" w:sz="4" w:space="0" w:color="000000"/>
              <w:right w:val="single" w:sz="4" w:space="0" w:color="000000"/>
            </w:tcBorders>
          </w:tcPr>
          <w:p>
            <w:pPr>
              <w:pStyle w:val="TableParagraph"/>
              <w:spacing w:line="244" w:lineRule="auto"/>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99"/>
              <w:jc w:val="right"/>
              <w:rPr>
                <w:rFonts w:ascii="Times New Roman" w:hAnsi="Times New Roman" w:cs="Times New Roman" w:eastAsia="Times New Roman" w:hint="default"/>
                <w:sz w:val="18"/>
                <w:szCs w:val="18"/>
              </w:rPr>
            </w:pPr>
            <w:r>
              <w:rPr>
                <w:rFonts w:ascii="Times New Roman"/>
                <w:spacing w:val="-1"/>
                <w:sz w:val="18"/>
              </w:rPr>
              <w:t>32,100,000.00</w:t>
            </w:r>
          </w:p>
        </w:tc>
        <w:tc>
          <w:tcPr>
            <w:tcW w:w="108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99"/>
              <w:jc w:val="right"/>
              <w:rPr>
                <w:rFonts w:ascii="Times New Roman" w:hAnsi="Times New Roman" w:cs="Times New Roman" w:eastAsia="Times New Roman" w:hint="default"/>
                <w:sz w:val="18"/>
                <w:szCs w:val="18"/>
              </w:rPr>
            </w:pPr>
            <w:r>
              <w:rPr>
                <w:rFonts w:ascii="Times New Roman"/>
                <w:spacing w:val="-1"/>
                <w:sz w:val="18"/>
              </w:rPr>
              <w:t>38,926.12</w:t>
            </w:r>
          </w:p>
        </w:tc>
        <w:tc>
          <w:tcPr>
            <w:tcW w:w="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5"/>
              <w:ind w:left="1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6</w:t>
            </w:r>
          </w:p>
        </w:tc>
        <w:tc>
          <w:tcPr>
            <w:tcW w:w="5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5"/>
              <w:ind w:left="16" w:right="0"/>
              <w:jc w:val="center"/>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26" w:right="122"/>
              <w:jc w:val="left"/>
              <w:rPr>
                <w:rFonts w:ascii="宋体" w:hAnsi="宋体" w:cs="宋体" w:eastAsia="宋体" w:hint="default"/>
                <w:sz w:val="18"/>
                <w:szCs w:val="18"/>
              </w:rPr>
            </w:pPr>
            <w:r>
              <w:rPr>
                <w:rFonts w:ascii="宋体" w:hAnsi="宋体" w:cs="宋体" w:eastAsia="宋体" w:hint="default"/>
                <w:sz w:val="18"/>
                <w:szCs w:val="18"/>
              </w:rPr>
              <w:t>中国农业银 行临安支行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128,000,000.0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128,000,000.0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834,587.82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3"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14" w:right="122" w:hanging="89"/>
              <w:jc w:val="left"/>
              <w:rPr>
                <w:rFonts w:ascii="宋体" w:hAnsi="宋体" w:cs="宋体" w:eastAsia="宋体" w:hint="default"/>
                <w:sz w:val="18"/>
                <w:szCs w:val="18"/>
              </w:rPr>
            </w:pPr>
            <w:r>
              <w:rPr>
                <w:rFonts w:ascii="宋体" w:hAnsi="宋体" w:cs="宋体" w:eastAsia="宋体" w:hint="default"/>
                <w:sz w:val="18"/>
                <w:szCs w:val="18"/>
              </w:rPr>
              <w:t>中国银行浙 江省分行</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122"/>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pacing w:val="-1"/>
                <w:sz w:val="18"/>
              </w:rPr>
              <w:t>53,000,000.00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5" w:lineRule="exact"/>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102"/>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pacing w:val="-1"/>
                <w:sz w:val="18"/>
              </w:rPr>
              <w:t>53,000,000.00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pacing w:val="-1"/>
                <w:sz w:val="18"/>
              </w:rPr>
              <w:t>30,665.50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 w:right="0"/>
              <w:jc w:val="center"/>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33"/>
              <w:ind w:left="18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232" w:right="2654"/>
        <w:jc w:val="left"/>
      </w:pPr>
      <w:r>
        <w:rPr/>
        <w:t>单项金额重大或安全性较低、流动性较差、不保本的高风险委托理财具体情况</w:t>
      </w:r>
    </w:p>
    <w:p>
      <w:pPr>
        <w:pStyle w:val="BodyText"/>
        <w:spacing w:line="360" w:lineRule="auto" w:before="115"/>
        <w:ind w:left="232" w:right="5714"/>
        <w:jc w:val="left"/>
      </w:pPr>
      <w:r>
        <w:rPr/>
        <w:t>□ 适用 √ 不适用 委托理财出现预期无法收回本金或存在其他可能导致减值的情形</w:t>
      </w:r>
    </w:p>
    <w:p>
      <w:pPr>
        <w:pStyle w:val="BodyText"/>
        <w:spacing w:line="240" w:lineRule="auto" w:before="27"/>
        <w:ind w:left="232" w:right="2654"/>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232" w:right="2654"/>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32" w:right="8414"/>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6"/>
        <w:spacing w:line="240" w:lineRule="auto"/>
        <w:ind w:left="232" w:right="2654"/>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636"/>
        <w:gridCol w:w="639"/>
        <w:gridCol w:w="639"/>
        <w:gridCol w:w="475"/>
        <w:gridCol w:w="682"/>
        <w:gridCol w:w="761"/>
        <w:gridCol w:w="639"/>
        <w:gridCol w:w="638"/>
        <w:gridCol w:w="638"/>
        <w:gridCol w:w="638"/>
        <w:gridCol w:w="638"/>
        <w:gridCol w:w="638"/>
        <w:gridCol w:w="638"/>
        <w:gridCol w:w="509"/>
        <w:gridCol w:w="765"/>
      </w:tblGrid>
      <w:tr>
        <w:trPr>
          <w:trHeight w:val="2818"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34" w:right="130"/>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33" w:right="134"/>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2" w:right="141"/>
              <w:jc w:val="both"/>
              <w:rPr>
                <w:rFonts w:ascii="宋体" w:hAnsi="宋体" w:cs="宋体" w:eastAsia="宋体" w:hint="default"/>
                <w:sz w:val="18"/>
                <w:szCs w:val="18"/>
              </w:rPr>
            </w:pPr>
            <w:r>
              <w:rPr>
                <w:rFonts w:ascii="宋体" w:hAnsi="宋体" w:cs="宋体" w:eastAsia="宋体" w:hint="default"/>
                <w:sz w:val="18"/>
                <w:szCs w:val="18"/>
              </w:rPr>
              <w:t>合 同 签 订 日 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04" w:right="100" w:firstLine="52"/>
              <w:jc w:val="both"/>
              <w:rPr>
                <w:rFonts w:ascii="宋体" w:hAnsi="宋体" w:cs="宋体" w:eastAsia="宋体" w:hint="default"/>
                <w:sz w:val="18"/>
                <w:szCs w:val="18"/>
              </w:rPr>
            </w:pPr>
            <w:r>
              <w:rPr>
                <w:rFonts w:ascii="宋体" w:hAnsi="宋体" w:cs="宋体" w:eastAsia="宋体" w:hint="default"/>
                <w:sz w:val="18"/>
                <w:szCs w:val="18"/>
              </w:rPr>
              <w:t>合同 涉及 资产 的账 面价 </w:t>
            </w:r>
            <w:r>
              <w:rPr>
                <w:rFonts w:ascii="宋体" w:hAnsi="宋体" w:cs="宋体" w:eastAsia="宋体" w:hint="default"/>
                <w:spacing w:val="-25"/>
                <w:sz w:val="18"/>
                <w:szCs w:val="18"/>
              </w:rPr>
              <w:t>值（万</w:t>
            </w:r>
            <w:r>
              <w:rPr>
                <w:rFonts w:ascii="宋体" w:hAnsi="宋体" w:cs="宋体" w:eastAsia="宋体" w:hint="default"/>
                <w:sz w:val="18"/>
                <w:szCs w:val="18"/>
              </w:rPr>
              <w:t> 元）</w:t>
            </w:r>
          </w:p>
          <w:p>
            <w:pPr>
              <w:pStyle w:val="TableParagraph"/>
              <w:spacing w:line="316" w:lineRule="auto" w:before="19"/>
              <w:ind w:left="156" w:right="153"/>
              <w:jc w:val="both"/>
              <w:rPr>
                <w:rFonts w:ascii="宋体" w:hAnsi="宋体" w:cs="宋体" w:eastAsia="宋体" w:hint="default"/>
                <w:sz w:val="18"/>
                <w:szCs w:val="18"/>
              </w:rPr>
            </w:pPr>
            <w:r>
              <w:rPr>
                <w:rFonts w:ascii="宋体" w:hAnsi="宋体" w:cs="宋体" w:eastAsia="宋体" w:hint="default"/>
                <w:sz w:val="18"/>
                <w:szCs w:val="18"/>
              </w:rPr>
              <w:t>（如 有）</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6" w:right="103"/>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103" w:right="100" w:hanging="3"/>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44"/>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34" w:right="131"/>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35" w:right="131"/>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35" w:right="131"/>
              <w:jc w:val="left"/>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33" w:right="133"/>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33" w:right="13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3" w:right="132"/>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58" w:right="159"/>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87" w:right="10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75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34" w:right="130"/>
              <w:jc w:val="both"/>
              <w:rPr>
                <w:rFonts w:ascii="宋体" w:hAnsi="宋体" w:cs="宋体" w:eastAsia="宋体" w:hint="default"/>
                <w:sz w:val="18"/>
                <w:szCs w:val="18"/>
              </w:rPr>
            </w:pPr>
            <w:r>
              <w:rPr>
                <w:rFonts w:ascii="宋体" w:hAnsi="宋体" w:cs="宋体" w:eastAsia="宋体" w:hint="default"/>
                <w:sz w:val="18"/>
                <w:szCs w:val="18"/>
              </w:rPr>
              <w:t>浙江 万马 股份 有限 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国家 电网 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33" w:right="134"/>
              <w:jc w:val="left"/>
              <w:rPr>
                <w:rFonts w:ascii="宋体" w:hAnsi="宋体" w:cs="宋体" w:eastAsia="宋体" w:hint="default"/>
                <w:sz w:val="18"/>
                <w:szCs w:val="18"/>
              </w:rPr>
            </w:pPr>
            <w:r>
              <w:rPr>
                <w:rFonts w:ascii="宋体" w:hAnsi="宋体" w:cs="宋体" w:eastAsia="宋体" w:hint="default"/>
                <w:sz w:val="18"/>
                <w:szCs w:val="18"/>
              </w:rPr>
              <w:t>电力 电缆</w:t>
            </w:r>
          </w:p>
        </w:tc>
        <w:tc>
          <w:tcPr>
            <w:tcW w:w="47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23" w:right="131" w:hanging="89"/>
              <w:jc w:val="left"/>
              <w:rPr>
                <w:rFonts w:ascii="宋体" w:hAnsi="宋体" w:cs="宋体" w:eastAsia="宋体" w:hint="default"/>
                <w:sz w:val="18"/>
                <w:szCs w:val="18"/>
              </w:rPr>
            </w:pPr>
            <w:r>
              <w:rPr>
                <w:rFonts w:ascii="宋体" w:hAnsi="宋体" w:cs="宋体" w:eastAsia="宋体" w:hint="default"/>
                <w:sz w:val="18"/>
                <w:szCs w:val="18"/>
              </w:rPr>
              <w:t>招投 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25,48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1.18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60.40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58"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63"/>
              <w:ind w:left="15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14" w:right="108" w:firstLine="48"/>
              <w:jc w:val="both"/>
              <w:rPr>
                <w:rFonts w:ascii="Times New Roman" w:hAnsi="Times New Roman" w:cs="Times New Roman" w:eastAsia="Times New Roman" w:hint="default"/>
                <w:sz w:val="18"/>
                <w:szCs w:val="18"/>
              </w:rPr>
            </w:pPr>
            <w:r>
              <w:rPr>
                <w:rFonts w:ascii="Times New Roman"/>
                <w:sz w:val="18"/>
              </w:rPr>
              <w:t>http://</w:t>
            </w:r>
            <w:r>
              <w:rPr>
                <w:rFonts w:ascii="Times New Roman"/>
                <w:w w:val="99"/>
                <w:sz w:val="18"/>
              </w:rPr>
              <w:t> </w:t>
            </w:r>
            <w:r>
              <w:rPr>
                <w:rFonts w:ascii="Times New Roman"/>
                <w:spacing w:val="-3"/>
                <w:sz w:val="18"/>
              </w:rPr>
              <w:t>www.c</w:t>
            </w:r>
            <w:r>
              <w:rPr>
                <w:rFonts w:ascii="Times New Roman"/>
                <w:spacing w:val="-43"/>
                <w:sz w:val="18"/>
              </w:rPr>
              <w:t> </w:t>
            </w:r>
            <w:r>
              <w:rPr>
                <w:rFonts w:ascii="Times New Roman"/>
                <w:spacing w:val="-43"/>
                <w:sz w:val="18"/>
              </w:rPr>
            </w:r>
            <w:r>
              <w:rPr>
                <w:rFonts w:ascii="Times New Roman"/>
                <w:sz w:val="18"/>
              </w:rPr>
              <w:t>ninfo.c</w:t>
            </w:r>
            <w:r>
              <w:rPr>
                <w:rFonts w:ascii="Times New Roman"/>
                <w:w w:val="99"/>
                <w:sz w:val="18"/>
              </w:rPr>
              <w:t> </w:t>
            </w:r>
            <w:r>
              <w:rPr>
                <w:rFonts w:ascii="Times New Roman"/>
                <w:sz w:val="18"/>
              </w:rPr>
              <w:t>om.cn/</w:t>
            </w:r>
            <w:r>
              <w:rPr>
                <w:rFonts w:ascii="Times New Roman"/>
                <w:w w:val="99"/>
                <w:sz w:val="18"/>
              </w:rPr>
              <w:t> </w:t>
            </w:r>
            <w:r>
              <w:rPr>
                <w:rFonts w:ascii="Times New Roman"/>
                <w:sz w:val="18"/>
              </w:rPr>
              <w:t>new/di</w:t>
            </w:r>
            <w:r>
              <w:rPr>
                <w:rFonts w:ascii="Times New Roman"/>
                <w:w w:val="99"/>
                <w:sz w:val="18"/>
              </w:rPr>
              <w:t> </w:t>
            </w:r>
            <w:r>
              <w:rPr>
                <w:rFonts w:ascii="Times New Roman"/>
                <w:sz w:val="18"/>
              </w:rPr>
              <w:t>sclosur</w:t>
            </w:r>
            <w:r>
              <w:rPr>
                <w:rFonts w:ascii="Times New Roman"/>
                <w:sz w:val="18"/>
              </w:rPr>
              <w:t> e/detail</w:t>
            </w:r>
          </w:p>
          <w:p>
            <w:pPr>
              <w:pStyle w:val="TableParagraph"/>
              <w:spacing w:line="362" w:lineRule="auto" w:before="3"/>
              <w:ind w:left="107" w:right="104" w:hanging="1"/>
              <w:jc w:val="center"/>
              <w:rPr>
                <w:rFonts w:ascii="Times New Roman" w:hAnsi="Times New Roman" w:cs="Times New Roman" w:eastAsia="Times New Roman" w:hint="default"/>
                <w:sz w:val="18"/>
                <w:szCs w:val="18"/>
              </w:rPr>
            </w:pPr>
            <w:r>
              <w:rPr>
                <w:rFonts w:ascii="Times New Roman"/>
                <w:sz w:val="18"/>
              </w:rPr>
              <w:t>?plate=</w:t>
            </w:r>
            <w:r>
              <w:rPr>
                <w:rFonts w:ascii="Times New Roman"/>
                <w:w w:val="99"/>
                <w:sz w:val="18"/>
              </w:rPr>
              <w:t> </w:t>
            </w:r>
            <w:r>
              <w:rPr>
                <w:rFonts w:ascii="Times New Roman"/>
                <w:sz w:val="18"/>
              </w:rPr>
              <w:t>szse&amp;s</w:t>
            </w:r>
            <w:r>
              <w:rPr>
                <w:rFonts w:ascii="Times New Roman"/>
                <w:w w:val="99"/>
                <w:sz w:val="18"/>
              </w:rPr>
              <w:t> </w:t>
            </w:r>
            <w:r>
              <w:rPr>
                <w:rFonts w:ascii="Times New Roman"/>
                <w:sz w:val="18"/>
              </w:rPr>
              <w:t>tockCo</w:t>
            </w:r>
            <w:r>
              <w:rPr>
                <w:rFonts w:ascii="Times New Roman"/>
                <w:sz w:val="18"/>
              </w:rPr>
              <w:t> de=002 276</w:t>
            </w:r>
          </w:p>
        </w:tc>
      </w:tr>
    </w:tbl>
    <w:p>
      <w:pPr>
        <w:spacing w:after="0" w:line="362" w:lineRule="auto"/>
        <w:jc w:val="center"/>
        <w:rPr>
          <w:rFonts w:ascii="Times New Roman" w:hAnsi="Times New Roman" w:cs="Times New Roman" w:eastAsia="Times New Roman" w:hint="default"/>
          <w:sz w:val="18"/>
          <w:szCs w:val="18"/>
        </w:rPr>
        <w:sectPr>
          <w:pgSz w:w="11910" w:h="16840"/>
          <w:pgMar w:header="890" w:footer="1012" w:top="1420" w:bottom="1200" w:left="900" w:right="0"/>
        </w:sectPr>
      </w:pPr>
    </w:p>
    <w:p>
      <w:pPr>
        <w:pStyle w:val="Heading2"/>
        <w:spacing w:line="240" w:lineRule="auto" w:before="20"/>
        <w:ind w:right="0"/>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6"/>
        <w:rPr>
          <w:rFonts w:ascii="宋体" w:hAnsi="宋体" w:cs="宋体" w:eastAsia="宋体" w:hint="default"/>
          <w:b/>
          <w:bCs/>
          <w:sz w:val="26"/>
          <w:szCs w:val="26"/>
        </w:rPr>
      </w:pPr>
    </w:p>
    <w:p>
      <w:pPr>
        <w:pStyle w:val="Heading8"/>
        <w:spacing w:line="240" w:lineRule="auto"/>
        <w:ind w:left="472" w:right="0"/>
        <w:jc w:val="left"/>
        <w:rPr>
          <w:b w:val="0"/>
          <w:bCs w:val="0"/>
        </w:rPr>
      </w:pPr>
      <w:bookmarkStart w:name="1、履行社会责任情况" w:id="101"/>
      <w:bookmarkEnd w:id="101"/>
      <w:r>
        <w:rPr>
          <w:b w:val="0"/>
          <w:bCs w:val="0"/>
        </w:rPr>
      </w:r>
      <w:r>
        <w:rPr/>
        <w:t>1、履行社会责任情况</w:t>
      </w:r>
      <w:r>
        <w:rPr>
          <w:b w:val="0"/>
          <w:bCs w:val="0"/>
        </w:rPr>
      </w:r>
    </w:p>
    <w:p>
      <w:pPr>
        <w:spacing w:line="240" w:lineRule="auto" w:before="0"/>
        <w:rPr>
          <w:rFonts w:ascii="宋体" w:hAnsi="宋体" w:cs="宋体" w:eastAsia="宋体" w:hint="default"/>
          <w:b/>
          <w:bCs/>
          <w:sz w:val="18"/>
          <w:szCs w:val="18"/>
        </w:rPr>
      </w:pPr>
    </w:p>
    <w:p>
      <w:pPr>
        <w:spacing w:line="316" w:lineRule="auto" w:before="141"/>
        <w:ind w:left="592" w:right="0" w:hanging="118"/>
        <w:jc w:val="left"/>
        <w:rPr>
          <w:rFonts w:ascii="宋体" w:hAnsi="宋体" w:cs="宋体" w:eastAsia="宋体" w:hint="default"/>
          <w:sz w:val="18"/>
          <w:szCs w:val="18"/>
        </w:rPr>
      </w:pPr>
      <w:r>
        <w:rPr>
          <w:rFonts w:ascii="宋体" w:hAnsi="宋体" w:cs="宋体" w:eastAsia="宋体" w:hint="default"/>
          <w:b/>
          <w:bCs/>
          <w:sz w:val="18"/>
          <w:szCs w:val="18"/>
        </w:rPr>
        <w:t>（1）维护股东及债权人的合法权益。</w:t>
      </w:r>
      <w:r>
        <w:rPr>
          <w:rFonts w:ascii="宋体" w:hAnsi="宋体" w:cs="宋体" w:eastAsia="宋体" w:hint="default"/>
          <w:b/>
          <w:bCs/>
          <w:w w:val="99"/>
          <w:sz w:val="18"/>
          <w:szCs w:val="18"/>
        </w:rPr>
        <w:t> </w:t>
      </w:r>
      <w:r>
        <w:rPr>
          <w:rFonts w:ascii="宋体" w:hAnsi="宋体" w:cs="宋体" w:eastAsia="宋体" w:hint="default"/>
          <w:spacing w:val="-1"/>
          <w:sz w:val="18"/>
          <w:szCs w:val="18"/>
        </w:rPr>
        <w:t>保护股东权益。公司严格按照法律法规的要求，严格履行股东大会召集、召开、审议程序，保证股东及中小投资者的</w:t>
      </w:r>
    </w:p>
    <w:p>
      <w:pPr>
        <w:pStyle w:val="BodyText"/>
        <w:spacing w:line="316" w:lineRule="auto" w:before="19"/>
        <w:ind w:right="1034"/>
        <w:jc w:val="left"/>
      </w:pPr>
      <w:r>
        <w:rPr>
          <w:spacing w:val="-2"/>
        </w:rPr>
        <w:t>合法权益，切实保障中小股东在审议重大事项方面的表决权；对影响中小投资者利益的重大事项实行单独计票，充分保障中</w:t>
      </w:r>
      <w:r>
        <w:rPr>
          <w:spacing w:val="-65"/>
        </w:rPr>
        <w:t> </w:t>
      </w:r>
      <w:r>
        <w:rPr>
          <w:spacing w:val="-65"/>
        </w:rPr>
      </w:r>
      <w:r>
        <w:rPr/>
        <w:t>小投资者股东权益。公司严格按照有关法律、法规和公司相关制度，秉持公平、公正、公开的原则认真履行信息披露义务， 确保公司所有股东能及时、公平获得公司信息。</w:t>
      </w:r>
    </w:p>
    <w:p>
      <w:pPr>
        <w:pStyle w:val="BodyText"/>
        <w:spacing w:line="316" w:lineRule="auto" w:before="19"/>
        <w:ind w:right="1111" w:firstLine="480"/>
        <w:jc w:val="both"/>
      </w:pPr>
      <w:r>
        <w:rPr/>
        <w:t>重视股东回报。自上市以来，公司一直重视对投资者合理回报，持续稳健的实施利润分配政策，结合公司所属行业、 </w:t>
      </w:r>
      <w:r>
        <w:rPr>
          <w:spacing w:val="-8"/>
        </w:rPr>
        <w:t>发展阶段、投资状态等实际情况，切实履行现金分红承诺。2011至2015年，公司连续5年实施现金分红，合计派发现金红利</w:t>
      </w:r>
      <w:r>
        <w:rPr/>
        <w:t> 2.77</w:t>
      </w:r>
      <w:r>
        <w:rPr>
          <w:spacing w:val="-75"/>
        </w:rPr>
        <w:t> </w:t>
      </w:r>
      <w:r>
        <w:rPr>
          <w:spacing w:val="-75"/>
        </w:rPr>
      </w:r>
      <w:r>
        <w:rPr>
          <w:spacing w:val="-2"/>
        </w:rPr>
        <w:t>亿元，2014至2016年，连续三年以现金方式累计分配的利润占该三年实现的年均可供分配利润的58.50%。2017年中期，实施</w:t>
      </w:r>
      <w:r>
        <w:rPr>
          <w:spacing w:val="-57"/>
        </w:rPr>
        <w:t> </w:t>
      </w:r>
      <w:r>
        <w:rPr>
          <w:spacing w:val="-57"/>
        </w:rPr>
      </w:r>
      <w:r>
        <w:rPr/>
        <w:t>了以公司总股本</w:t>
      </w:r>
      <w:r>
        <w:rPr>
          <w:spacing w:val="-5"/>
        </w:rPr>
        <w:t> </w:t>
      </w:r>
      <w:r>
        <w:rPr/>
        <w:t>1,035,489,098股为基数向全体股东每10股派发现金股利人民币1元(含税)的分配政策，合计派发现金红利</w:t>
      </w:r>
      <w:r>
        <w:rPr/>
        <w:t> 1.04亿元。</w:t>
      </w:r>
    </w:p>
    <w:p>
      <w:pPr>
        <w:spacing w:line="316" w:lineRule="auto" w:before="19"/>
        <w:ind w:left="592" w:right="1094" w:hanging="118"/>
        <w:jc w:val="left"/>
        <w:rPr>
          <w:rFonts w:ascii="宋体" w:hAnsi="宋体" w:cs="宋体" w:eastAsia="宋体" w:hint="default"/>
          <w:sz w:val="18"/>
          <w:szCs w:val="18"/>
        </w:rPr>
      </w:pPr>
      <w:r>
        <w:rPr>
          <w:rFonts w:ascii="宋体" w:hAnsi="宋体" w:cs="宋体" w:eastAsia="宋体" w:hint="default"/>
          <w:b/>
          <w:bCs/>
          <w:sz w:val="18"/>
          <w:szCs w:val="18"/>
        </w:rPr>
        <w:t>（2）以客户服务为中心，建设健康朋友圈。</w:t>
      </w:r>
      <w:r>
        <w:rPr>
          <w:rFonts w:ascii="宋体" w:hAnsi="宋体" w:cs="宋体" w:eastAsia="宋体" w:hint="default"/>
          <w:b/>
          <w:bCs/>
          <w:w w:val="99"/>
          <w:sz w:val="18"/>
          <w:szCs w:val="18"/>
        </w:rPr>
        <w:t> </w:t>
      </w:r>
      <w:r>
        <w:rPr>
          <w:rFonts w:ascii="宋体" w:hAnsi="宋体" w:cs="宋体" w:eastAsia="宋体" w:hint="default"/>
          <w:sz w:val="18"/>
          <w:szCs w:val="18"/>
        </w:rPr>
        <w:t>2018年，万马股份通过不断增强转型升级、创新引领的内在动力，坚持以客户需求为导向，牢牢抓住行业发展契机，</w:t>
      </w:r>
    </w:p>
    <w:p>
      <w:pPr>
        <w:pStyle w:val="BodyText"/>
        <w:spacing w:line="316" w:lineRule="auto" w:before="19"/>
        <w:ind w:right="1120"/>
        <w:jc w:val="left"/>
      </w:pPr>
      <w:r>
        <w:rPr/>
        <w:t>不断优化产业结构，提升发展空间，促进行业与企业健康发展。2018年万马股份荣获“2018年中国线缆行业最具竞争力10 </w:t>
      </w:r>
      <w:r>
        <w:rPr>
          <w:spacing w:val="-9"/>
        </w:rPr>
        <w:t>强”、“2018全球新能源企业500强”、“2018年度数字新浙商”等称号，子公司万马新能源、万马高分子分别</w:t>
      </w:r>
      <w:r>
        <w:rPr>
          <w:spacing w:val="41"/>
        </w:rPr>
        <w:t> </w:t>
      </w:r>
      <w:r>
        <w:rPr>
          <w:spacing w:val="-2"/>
        </w:rPr>
        <w:t>荣获“2018年度</w:t>
      </w:r>
      <w:r>
        <w:rPr>
          <w:spacing w:val="-82"/>
        </w:rPr>
        <w:t> </w:t>
      </w:r>
      <w:r>
        <w:rPr>
          <w:spacing w:val="-82"/>
        </w:rPr>
      </w:r>
      <w:r>
        <w:rPr>
          <w:spacing w:val="-5"/>
        </w:rPr>
        <w:t>充电设施行业杰出贡献企业”、“2018年中国线缆原材料（非金属）行业最具竞争力10强”的称号，得到社会各界及专家的广</w:t>
      </w:r>
      <w:r>
        <w:rPr>
          <w:spacing w:val="-67"/>
        </w:rPr>
        <w:t> </w:t>
      </w:r>
      <w:r>
        <w:rPr>
          <w:spacing w:val="-67"/>
        </w:rPr>
      </w:r>
      <w:r>
        <w:rPr/>
        <w:t>泛认可。</w:t>
      </w:r>
    </w:p>
    <w:p>
      <w:pPr>
        <w:pStyle w:val="BodyText"/>
        <w:spacing w:line="316" w:lineRule="auto" w:before="19"/>
        <w:ind w:right="1132" w:firstLine="480"/>
        <w:jc w:val="both"/>
      </w:pPr>
      <w:r>
        <w:rPr>
          <w:spacing w:val="-1"/>
        </w:rPr>
        <w:t>以客户服务为中心。公司始终践行“以客户为中心”的管理理念，将客户需求放在首位，用过硬的产品质量、专业的</w:t>
      </w:r>
      <w:r>
        <w:rPr/>
        <w:t> </w:t>
      </w:r>
      <w:r>
        <w:rPr>
          <w:spacing w:val="-2"/>
        </w:rPr>
        <w:t>销售服务、真诚的售后服务赢得客户的肯定。公司举办经销商大会，给客户营造良好的经营环境，更好地服务客户；同时号</w:t>
      </w:r>
      <w:r>
        <w:rPr>
          <w:spacing w:val="-65"/>
        </w:rPr>
        <w:t> </w:t>
      </w:r>
      <w:r>
        <w:rPr>
          <w:spacing w:val="-65"/>
        </w:rPr>
      </w:r>
      <w:r>
        <w:rPr/>
        <w:t>召全体员工始终秉承“正人、正事、正品”的核心价值观，真诚为客户服务。</w:t>
      </w:r>
    </w:p>
    <w:p>
      <w:pPr>
        <w:pStyle w:val="BodyText"/>
        <w:spacing w:line="316" w:lineRule="auto" w:before="19"/>
        <w:ind w:right="1132" w:firstLine="480"/>
        <w:jc w:val="both"/>
      </w:pPr>
      <w:r>
        <w:rPr>
          <w:spacing w:val="-1"/>
        </w:rPr>
        <w:t>与供应商实现共赢。公司尊重并保护供应商、客户的著作权、商标权、专利权等知识产权、商业机密，合理正当地使</w:t>
      </w:r>
      <w:r>
        <w:rPr/>
        <w:t> 用相关方信息。</w:t>
      </w:r>
    </w:p>
    <w:p>
      <w:pPr>
        <w:spacing w:line="316" w:lineRule="auto" w:before="19"/>
        <w:ind w:left="592" w:right="0" w:hanging="118"/>
        <w:jc w:val="left"/>
        <w:rPr>
          <w:rFonts w:ascii="宋体" w:hAnsi="宋体" w:cs="宋体" w:eastAsia="宋体" w:hint="default"/>
          <w:sz w:val="18"/>
          <w:szCs w:val="18"/>
        </w:rPr>
      </w:pPr>
      <w:r>
        <w:rPr>
          <w:rFonts w:ascii="宋体" w:hAnsi="宋体" w:cs="宋体" w:eastAsia="宋体" w:hint="default"/>
          <w:b/>
          <w:bCs/>
          <w:sz w:val="18"/>
          <w:szCs w:val="18"/>
        </w:rPr>
        <w:t>（3）为员工提供发挥个人价值的平台</w:t>
      </w:r>
      <w:r>
        <w:rPr>
          <w:rFonts w:ascii="宋体" w:hAnsi="宋体" w:cs="宋体" w:eastAsia="宋体" w:hint="default"/>
          <w:b/>
          <w:bCs/>
          <w:w w:val="99"/>
          <w:sz w:val="18"/>
          <w:szCs w:val="18"/>
        </w:rPr>
        <w:t> </w:t>
      </w:r>
      <w:r>
        <w:rPr>
          <w:rFonts w:ascii="宋体" w:hAnsi="宋体" w:cs="宋体" w:eastAsia="宋体" w:hint="default"/>
          <w:spacing w:val="-1"/>
          <w:sz w:val="18"/>
          <w:szCs w:val="18"/>
        </w:rPr>
        <w:t>公司奉行“诚信为基，人力为本，德才兼备，唯才是举”的人才观，重视建设员工与企业和谐稳定的劳动关系，依法</w:t>
      </w:r>
    </w:p>
    <w:p>
      <w:pPr>
        <w:pStyle w:val="BodyText"/>
        <w:spacing w:line="316" w:lineRule="auto" w:before="19"/>
        <w:ind w:right="1132"/>
        <w:jc w:val="both"/>
      </w:pPr>
      <w:r>
        <w:rPr>
          <w:spacing w:val="-2"/>
        </w:rPr>
        <w:t>与员工签订劳动合同，建立合理、公平的薪酬、考核、培训体系，充分调动员工的工作积极性，同时把最大限度地发挥员工</w:t>
      </w:r>
      <w:r>
        <w:rPr>
          <w:spacing w:val="-66"/>
        </w:rPr>
        <w:t> </w:t>
      </w:r>
      <w:r>
        <w:rPr>
          <w:spacing w:val="-66"/>
        </w:rPr>
      </w:r>
      <w:r>
        <w:rPr>
          <w:spacing w:val="-2"/>
        </w:rPr>
        <w:t>才能、实现员工的全面发展，作为公司重要课题，致力于公司价值最大化与个人价值最大化的和谐统一，实现公司与员工共</w:t>
      </w:r>
      <w:r>
        <w:rPr>
          <w:spacing w:val="-66"/>
        </w:rPr>
        <w:t> </w:t>
      </w:r>
      <w:r>
        <w:rPr>
          <w:spacing w:val="-66"/>
        </w:rPr>
      </w:r>
      <w:r>
        <w:rPr/>
        <w:t>成长。</w:t>
      </w:r>
    </w:p>
    <w:p>
      <w:pPr>
        <w:pStyle w:val="BodyText"/>
        <w:spacing w:line="316" w:lineRule="auto" w:before="19"/>
        <w:ind w:right="1132" w:firstLine="360"/>
        <w:jc w:val="both"/>
      </w:pPr>
      <w:r>
        <w:rPr>
          <w:spacing w:val="-2"/>
        </w:rPr>
        <w:t>公司持续为残疾人就业做出贡献。公司有三家福利企业，为众多残疾员工提供了就业岗位，为社会福利事业贡献了自己</w:t>
      </w:r>
      <w:r>
        <w:rPr/>
        <w:t> </w:t>
      </w:r>
      <w:r>
        <w:rPr>
          <w:spacing w:val="-2"/>
        </w:rPr>
        <w:t>的力量。公司关心残疾员工生活，为了及时发现和解决他们的难处，公司工会每年对困难职工家庭情况进行深入细致的摸底</w:t>
      </w:r>
      <w:r>
        <w:rPr>
          <w:spacing w:val="-65"/>
        </w:rPr>
        <w:t> </w:t>
      </w:r>
      <w:r>
        <w:rPr>
          <w:spacing w:val="-65"/>
        </w:rPr>
      </w:r>
      <w:r>
        <w:rPr>
          <w:spacing w:val="-2"/>
        </w:rPr>
        <w:t>调查，建立和完善了困难职工档案；同时积极为生病员工募集善款，解决其实际困难；“送温暖到岗、送温暖到家”每年公</w:t>
      </w:r>
      <w:r>
        <w:rPr>
          <w:spacing w:val="-71"/>
        </w:rPr>
        <w:t> </w:t>
      </w:r>
      <w:r>
        <w:rPr>
          <w:spacing w:val="-71"/>
        </w:rPr>
      </w:r>
      <w:r>
        <w:rPr>
          <w:spacing w:val="-2"/>
        </w:rPr>
        <w:t>司都会组织高层管理人员对困难员工进行慰问活动。2018年，公司开展以“情系困难群体，奉献诚挚爱心”为主题的精准帮</w:t>
      </w:r>
      <w:r>
        <w:rPr>
          <w:spacing w:val="-63"/>
        </w:rPr>
        <w:t> </w:t>
      </w:r>
      <w:r>
        <w:rPr>
          <w:spacing w:val="-63"/>
        </w:rPr>
      </w:r>
      <w:r>
        <w:rPr>
          <w:spacing w:val="-2"/>
        </w:rPr>
        <w:t>扶工作，通过“结对子”、岗位技能培训等多种方式关注和培养员工，增强残疾员工的生活信心、战胜困难的勇气和员工集</w:t>
      </w:r>
      <w:r>
        <w:rPr>
          <w:spacing w:val="-71"/>
        </w:rPr>
        <w:t> </w:t>
      </w:r>
      <w:r>
        <w:rPr>
          <w:spacing w:val="-71"/>
        </w:rPr>
      </w:r>
      <w:r>
        <w:rPr/>
        <w:t>体凝聚力。</w:t>
      </w:r>
    </w:p>
    <w:p>
      <w:pPr>
        <w:spacing w:line="316" w:lineRule="auto" w:before="19"/>
        <w:ind w:left="592" w:right="0" w:hanging="58"/>
        <w:jc w:val="left"/>
        <w:rPr>
          <w:rFonts w:ascii="宋体" w:hAnsi="宋体" w:cs="宋体" w:eastAsia="宋体" w:hint="default"/>
          <w:sz w:val="18"/>
          <w:szCs w:val="18"/>
        </w:rPr>
      </w:pPr>
      <w:r>
        <w:rPr>
          <w:rFonts w:ascii="宋体" w:hAnsi="宋体" w:cs="宋体" w:eastAsia="宋体" w:hint="default"/>
          <w:b/>
          <w:bCs/>
          <w:sz w:val="18"/>
          <w:szCs w:val="18"/>
        </w:rPr>
        <w:t>（4）保护环境，热心社会公益事业</w:t>
      </w:r>
      <w:r>
        <w:rPr>
          <w:rFonts w:ascii="宋体" w:hAnsi="宋体" w:cs="宋体" w:eastAsia="宋体" w:hint="default"/>
          <w:b/>
          <w:bCs/>
          <w:w w:val="99"/>
          <w:sz w:val="18"/>
          <w:szCs w:val="18"/>
        </w:rPr>
        <w:t> </w:t>
      </w:r>
      <w:r>
        <w:rPr>
          <w:rFonts w:ascii="宋体" w:hAnsi="宋体" w:cs="宋体" w:eastAsia="宋体" w:hint="default"/>
          <w:spacing w:val="-1"/>
          <w:sz w:val="18"/>
          <w:szCs w:val="18"/>
        </w:rPr>
        <w:t>公司属于电线电缆制造业，生产过程有少量油污、废水、废气、固体废物、噪音、安全隐患、职业健康等环境影响因</w:t>
      </w:r>
    </w:p>
    <w:p>
      <w:pPr>
        <w:pStyle w:val="BodyText"/>
        <w:spacing w:line="316" w:lineRule="auto" w:before="19"/>
        <w:ind w:right="1132"/>
        <w:jc w:val="both"/>
      </w:pPr>
      <w:r>
        <w:rPr/>
        <w:t>素。公司通过ISO14001</w:t>
      </w:r>
      <w:r>
        <w:rPr>
          <w:spacing w:val="-7"/>
        </w:rPr>
        <w:t> </w:t>
      </w:r>
      <w:r>
        <w:rPr/>
        <w:t>体系认证，并通过了OHSAS18001职业健康安全管理体系认证，清洁生产通过审核验收，2018年公司</w:t>
      </w:r>
      <w:r>
        <w:rPr/>
        <w:t> </w:t>
      </w:r>
      <w:r>
        <w:rPr>
          <w:spacing w:val="-2"/>
        </w:rPr>
        <w:t>取得《城镇污水排入排水管网许可证》，对环境影响因素进行有效控制。公司视环境保护、能资源利用、安全生产、产品安</w:t>
      </w:r>
      <w:r>
        <w:rPr>
          <w:spacing w:val="-71"/>
        </w:rPr>
        <w:t> </w:t>
      </w:r>
      <w:r>
        <w:rPr>
          <w:spacing w:val="-71"/>
        </w:rPr>
      </w:r>
      <w:r>
        <w:rPr>
          <w:spacing w:val="-2"/>
        </w:rPr>
        <w:t>全、公共卫生五方面为企业的生命线，采取了具有可操作性的控制措施。报告期内，公司未发生环境污染事故及环境违法事</w:t>
      </w:r>
      <w:r>
        <w:rPr>
          <w:spacing w:val="-66"/>
        </w:rPr>
        <w:t> </w:t>
      </w:r>
      <w:r>
        <w:rPr>
          <w:spacing w:val="-66"/>
        </w:rPr>
      </w:r>
      <w:r>
        <w:rPr/>
        <w:t>件。</w:t>
      </w:r>
    </w:p>
    <w:p>
      <w:pPr>
        <w:pStyle w:val="BodyText"/>
        <w:spacing w:line="316" w:lineRule="auto" w:before="19"/>
        <w:ind w:right="1051" w:firstLine="360"/>
        <w:jc w:val="both"/>
      </w:pPr>
      <w:r>
        <w:rPr/>
        <w:t>在社会公益方面，公司捐资临安春风行动项目，设立万马扶贫帮困基金、万马电缆博爱救助资金、哈工大万马助学金、 </w:t>
      </w:r>
      <w:r>
        <w:rPr>
          <w:spacing w:val="-2"/>
        </w:rPr>
        <w:t>捐资爱佑基金等，筑起爱心桥梁。此外，公司党员经常到当地敬老院，开展“春风送暖，爱心送情”慰问活动。2012年，在</w:t>
      </w:r>
    </w:p>
    <w:p>
      <w:pPr>
        <w:spacing w:after="0" w:line="316" w:lineRule="auto"/>
        <w:jc w:val="both"/>
        <w:sectPr>
          <w:pgSz w:w="11910" w:h="16840"/>
          <w:pgMar w:header="890" w:footer="1012" w:top="1420" w:bottom="1200" w:left="1020" w:right="0"/>
        </w:sectPr>
      </w:pPr>
    </w:p>
    <w:p>
      <w:pPr>
        <w:pStyle w:val="BodyText"/>
        <w:spacing w:line="316" w:lineRule="auto" w:before="66"/>
        <w:ind w:right="0"/>
        <w:jc w:val="left"/>
      </w:pPr>
      <w:r>
        <w:rPr>
          <w:spacing w:val="-2"/>
        </w:rPr>
        <w:t>临安市红十字会的牵头下，由万马股份出资140万元建立了万马股份博爱救助基金，从项目成立到项目结束，先后救助了825</w:t>
      </w:r>
      <w:r>
        <w:rPr>
          <w:spacing w:val="-61"/>
        </w:rPr>
        <w:t> </w:t>
      </w:r>
      <w:r>
        <w:rPr>
          <w:spacing w:val="-61"/>
        </w:rPr>
      </w:r>
      <w:r>
        <w:rPr/>
        <w:t>名患者，帮助患者度过难关。</w:t>
      </w:r>
    </w:p>
    <w:p>
      <w:pPr>
        <w:pStyle w:val="BodyText"/>
        <w:spacing w:line="316" w:lineRule="auto" w:before="19"/>
        <w:ind w:right="0" w:firstLine="360"/>
        <w:jc w:val="left"/>
      </w:pPr>
      <w:r>
        <w:rPr>
          <w:spacing w:val="-4"/>
        </w:rPr>
        <w:t>作为上市公司，公司愿意持续积极履行社会责任，完善公司社会责任体系建设，在追求经济效益、保护股东权利的同时，</w:t>
      </w:r>
      <w:r>
        <w:rPr/>
        <w:t> </w:t>
      </w:r>
      <w:r>
        <w:rPr>
          <w:spacing w:val="-2"/>
        </w:rPr>
        <w:t>保护债权人、职工的合法权益，诚信对待供应商、客户；以“绿色能源传输专家、环保新材领跑者”为愿景，大力布局新能</w:t>
      </w:r>
      <w:r>
        <w:rPr>
          <w:spacing w:val="-66"/>
        </w:rPr>
        <w:t> </w:t>
      </w:r>
      <w:r>
        <w:rPr>
          <w:spacing w:val="-66"/>
        </w:rPr>
      </w:r>
      <w:r>
        <w:rPr>
          <w:spacing w:val="-4"/>
        </w:rPr>
        <w:t>源产业，助力低碳出行事业，促进企业与社会协调发展。以“为客户创造满意，为员工创造幸福，为社会创造价值”为使命，</w:t>
      </w:r>
      <w:r>
        <w:rPr>
          <w:spacing w:val="-42"/>
        </w:rPr>
        <w:t> </w:t>
      </w:r>
      <w:r>
        <w:rPr>
          <w:spacing w:val="-42"/>
        </w:rPr>
      </w:r>
      <w:r>
        <w:rPr/>
        <w:t>坚持创新战略，知行合一，走向成功。</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公司报告年度斩首未开展精准扶贫工作，也暂无后续精准扶贫计划。</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pStyle w:val="BodyText"/>
        <w:spacing w:line="357" w:lineRule="auto" w:before="27"/>
        <w:ind w:left="472" w:right="1111" w:firstLine="45"/>
        <w:jc w:val="left"/>
      </w:pPr>
      <w:r>
        <w:rPr/>
        <w:t>公司及其子公司不属于环境保护部门公布的重点排污单位。 报告期，公司扎实开展公司环保隐患排查治理，夯实环保工作，确保环保隐患治理率达</w:t>
      </w:r>
      <w:r>
        <w:rPr>
          <w:spacing w:val="-47"/>
        </w:rPr>
        <w:t> </w:t>
      </w:r>
      <w:r>
        <w:rPr>
          <w:rFonts w:ascii="Times New Roman" w:hAnsi="Times New Roman" w:cs="Times New Roman" w:eastAsia="Times New Roman" w:hint="default"/>
        </w:rPr>
        <w:t>100%</w:t>
      </w:r>
      <w:r>
        <w:rPr/>
        <w:t>，全年无环保事故发生，</w:t>
      </w:r>
    </w:p>
    <w:p>
      <w:pPr>
        <w:pStyle w:val="BodyText"/>
        <w:spacing w:line="201" w:lineRule="exact"/>
        <w:ind w:right="0"/>
        <w:jc w:val="left"/>
      </w:pPr>
      <w:r>
        <w:rPr/>
        <w:t>三废达到国家标准排放。主要环保举措：</w:t>
      </w:r>
    </w:p>
    <w:p>
      <w:pPr>
        <w:pStyle w:val="BodyText"/>
        <w:spacing w:line="300" w:lineRule="auto" w:before="117"/>
        <w:ind w:right="1221" w:firstLine="360"/>
        <w:jc w:val="both"/>
      </w:pPr>
      <w:r>
        <w:rPr>
          <w:rFonts w:ascii="Times New Roman" w:hAnsi="Times New Roman" w:cs="Times New Roman" w:eastAsia="Times New Roman" w:hint="default"/>
        </w:rPr>
        <w:t>(1)</w:t>
      </w:r>
      <w:r>
        <w:rPr/>
        <w:t>完善环境保护管理脉络，加强责任制建设。报告期，公司拟定环保（</w:t>
      </w:r>
      <w:r>
        <w:rPr>
          <w:rFonts w:ascii="Times New Roman" w:hAnsi="Times New Roman" w:cs="Times New Roman" w:eastAsia="Times New Roman" w:hint="default"/>
        </w:rPr>
        <w:t>EHS</w:t>
      </w:r>
      <w:r>
        <w:rPr/>
        <w:t>）目标责任书，与各子公司签订环境责任 书，明确责任，加强兼职环保员力量，明确环保职能权限及具体负责各辖区的环保工作。</w:t>
      </w:r>
    </w:p>
    <w:p>
      <w:pPr>
        <w:pStyle w:val="BodyText"/>
        <w:spacing w:line="309" w:lineRule="auto" w:before="72"/>
        <w:ind w:right="1132" w:firstLine="271"/>
        <w:jc w:val="both"/>
      </w:pPr>
      <w:r>
        <w:rPr>
          <w:spacing w:val="-2"/>
        </w:rPr>
        <w:t>（</w:t>
      </w:r>
      <w:r>
        <w:rPr>
          <w:rFonts w:ascii="Times New Roman" w:hAnsi="Times New Roman" w:cs="Times New Roman" w:eastAsia="Times New Roman" w:hint="default"/>
          <w:spacing w:val="-2"/>
        </w:rPr>
        <w:t>2</w:t>
      </w:r>
      <w:r>
        <w:rPr>
          <w:spacing w:val="-2"/>
        </w:rPr>
        <w:t>）规范建设项目环保要求。对公司新改扩建项目进行环保手续排查，环评备案批复、环评三同时验收及企业排污许可</w:t>
      </w:r>
      <w:r>
        <w:rPr/>
        <w:t> </w:t>
      </w:r>
      <w:r>
        <w:rPr>
          <w:spacing w:val="-2"/>
        </w:rPr>
        <w:t>证等相关环保手续办理，做好三废监测跟踪。确保新改扩建项目能维持区域环境质量、项目产生的废气、废水、固废、噪声</w:t>
      </w:r>
      <w:r>
        <w:rPr>
          <w:spacing w:val="-66"/>
        </w:rPr>
        <w:t> </w:t>
      </w:r>
      <w:r>
        <w:rPr>
          <w:spacing w:val="-66"/>
        </w:rPr>
      </w:r>
      <w:r>
        <w:rPr/>
        <w:t>等对周边环境影响降低到最少。</w:t>
      </w:r>
    </w:p>
    <w:p>
      <w:pPr>
        <w:pStyle w:val="BodyText"/>
        <w:spacing w:line="309" w:lineRule="auto" w:before="62"/>
        <w:ind w:right="1034" w:firstLine="360"/>
        <w:jc w:val="left"/>
      </w:pPr>
      <w:r>
        <w:rPr>
          <w:rFonts w:ascii="Times New Roman" w:hAnsi="Times New Roman" w:cs="Times New Roman" w:eastAsia="Times New Roman" w:hint="default"/>
        </w:rPr>
        <w:t>(3)</w:t>
      </w:r>
      <w:r>
        <w:rPr/>
        <w:t>开展环保治理，持续做好环保管理。开展定期环保检查，强化现场检查力度，做好防微杜渐消除环保隐患。在各子</w:t>
      </w:r>
      <w:r>
        <w:rPr>
          <w:w w:val="99"/>
        </w:rPr>
        <w:t> </w:t>
      </w:r>
      <w:r>
        <w:rPr/>
        <w:t>公司开展污水改善整治、完善废气设施配装、优化改善管网和建造环境应急池等。对危废处理单位和运输单位的从业资质、</w:t>
      </w:r>
      <w:r>
        <w:rPr>
          <w:w w:val="99"/>
        </w:rPr>
        <w:t> </w:t>
      </w:r>
      <w:r>
        <w:rPr/>
        <w:t>处理合同进行核查，保障各类危废规范处置。</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Heading6"/>
        <w:spacing w:line="240" w:lineRule="auto" w:before="92"/>
        <w:ind w:left="472" w:right="0"/>
        <w:jc w:val="left"/>
        <w:rPr>
          <w:b w:val="0"/>
          <w:bCs w:val="0"/>
        </w:rPr>
      </w:pPr>
      <w:r>
        <w:rPr>
          <w:rFonts w:ascii="Times New Roman" w:hAnsi="Times New Roman" w:cs="Times New Roman" w:eastAsia="Times New Roman" w:hint="default"/>
        </w:rPr>
        <w:t>1.</w:t>
      </w:r>
      <w:r>
        <w:rPr/>
        <w:t>控股股东更名。</w:t>
      </w:r>
      <w:r>
        <w:rPr>
          <w:b w:val="0"/>
          <w:bCs w:val="0"/>
        </w:rPr>
      </w:r>
    </w:p>
    <w:p>
      <w:pPr>
        <w:pStyle w:val="Heading7"/>
        <w:spacing w:line="256" w:lineRule="auto" w:before="177"/>
        <w:ind w:right="1132" w:firstLine="360"/>
        <w:jc w:val="both"/>
      </w:pPr>
      <w:r>
        <w:rPr>
          <w:rFonts w:ascii="Times New Roman" w:hAnsi="Times New Roman" w:cs="Times New Roman" w:eastAsia="Times New Roman" w:hint="default"/>
          <w:spacing w:val="-1"/>
          <w:w w:val="95"/>
        </w:rPr>
        <w:t>2018</w:t>
      </w:r>
      <w:r>
        <w:rPr>
          <w:spacing w:val="-1"/>
          <w:w w:val="95"/>
        </w:rPr>
        <w:t>年</w:t>
      </w:r>
      <w:r>
        <w:rPr>
          <w:rFonts w:ascii="Times New Roman" w:hAnsi="Times New Roman" w:cs="Times New Roman" w:eastAsia="Times New Roman" w:hint="default"/>
          <w:spacing w:val="-1"/>
          <w:w w:val="95"/>
        </w:rPr>
        <w:t>1</w:t>
      </w:r>
      <w:r>
        <w:rPr>
          <w:spacing w:val="-1"/>
          <w:w w:val="95"/>
        </w:rPr>
        <w:t>月，公司控股股东为体现发展定位，更名为：浙江万马智能科技集团有限公司（原名：浙江万</w:t>
      </w:r>
      <w:r>
        <w:rPr>
          <w:spacing w:val="-36"/>
          <w:w w:val="95"/>
        </w:rPr>
        <w:t> </w:t>
      </w:r>
      <w:r>
        <w:rPr>
          <w:spacing w:val="-36"/>
          <w:w w:val="95"/>
        </w:rPr>
      </w:r>
      <w:r>
        <w:rPr>
          <w:spacing w:val="-3"/>
          <w:w w:val="99"/>
        </w:rPr>
        <w:t>马投资集团有限公司）。公司控股股东除上述事项变更外，其他工商信息不变。详见公司于</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1</w:t>
      </w:r>
      <w:r>
        <w:rPr>
          <w:spacing w:val="-3"/>
          <w:w w:val="99"/>
        </w:rPr>
        <w:t>月</w:t>
      </w:r>
      <w:r>
        <w:rPr>
          <w:rFonts w:ascii="Times New Roman" w:hAnsi="Times New Roman" w:cs="Times New Roman" w:eastAsia="Times New Roman" w:hint="default"/>
          <w:spacing w:val="-3"/>
          <w:w w:val="99"/>
        </w:rPr>
        <w:t>31</w:t>
      </w:r>
      <w:r>
        <w:rPr>
          <w:spacing w:val="-3"/>
          <w:w w:val="99"/>
        </w:rPr>
        <w:t>日</w:t>
      </w:r>
      <w:r>
        <w:rPr>
          <w:spacing w:val="-57"/>
          <w:w w:val="99"/>
        </w:rPr>
        <w:t> </w:t>
      </w:r>
      <w:r>
        <w:rPr>
          <w:spacing w:val="-5"/>
          <w:w w:val="99"/>
        </w:rPr>
        <w:t>披露在巨潮资讯网的公告《</w:t>
      </w:r>
      <w:r>
        <w:rPr>
          <w:color w:val="333333"/>
          <w:spacing w:val="-5"/>
          <w:w w:val="99"/>
        </w:rPr>
        <w:t>关于控股股东变更名称的公告</w:t>
      </w:r>
      <w:r>
        <w:rPr>
          <w:spacing w:val="-5"/>
          <w:w w:val="99"/>
        </w:rPr>
        <w:t>》（公告编号：</w:t>
      </w:r>
      <w:r>
        <w:rPr>
          <w:rFonts w:ascii="Times New Roman" w:hAnsi="Times New Roman" w:cs="Times New Roman" w:eastAsia="Times New Roman" w:hint="default"/>
          <w:spacing w:val="-5"/>
          <w:w w:val="99"/>
        </w:rPr>
        <w:t>2018-004</w:t>
      </w:r>
      <w:r>
        <w:rPr>
          <w:spacing w:val="-5"/>
          <w:w w:val="99"/>
        </w:rPr>
        <w:t>）。</w:t>
      </w:r>
      <w:r>
        <w:rPr>
          <w:spacing w:val="-5"/>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6"/>
        <w:spacing w:line="240" w:lineRule="auto"/>
        <w:ind w:left="532" w:right="0"/>
        <w:jc w:val="left"/>
        <w:rPr>
          <w:b w:val="0"/>
          <w:bCs w:val="0"/>
        </w:rPr>
      </w:pPr>
      <w:r>
        <w:rPr>
          <w:rFonts w:ascii="Times New Roman" w:hAnsi="Times New Roman" w:cs="Times New Roman" w:eastAsia="Times New Roman" w:hint="default"/>
        </w:rPr>
        <w:t>2.</w:t>
      </w:r>
      <w:r>
        <w:rPr/>
        <w:t>与科研机构达成战略合作。</w:t>
      </w:r>
      <w:r>
        <w:rPr>
          <w:b w:val="0"/>
          <w:bCs w:val="0"/>
        </w:rPr>
      </w:r>
    </w:p>
    <w:p>
      <w:pPr>
        <w:pStyle w:val="Heading7"/>
        <w:spacing w:line="268" w:lineRule="auto" w:before="177"/>
        <w:ind w:right="1132" w:firstLine="360"/>
        <w:jc w:val="both"/>
      </w:pPr>
      <w:r>
        <w:rPr>
          <w:rFonts w:ascii="Times New Roman" w:hAnsi="Times New Roman" w:cs="Times New Roman" w:eastAsia="Times New Roman" w:hint="default"/>
          <w:spacing w:val="-2"/>
          <w:w w:val="99"/>
        </w:rPr>
        <w:t>2018</w:t>
      </w:r>
      <w:r>
        <w:rPr>
          <w:spacing w:val="-2"/>
          <w:w w:val="99"/>
        </w:rPr>
        <w:t>年</w:t>
      </w:r>
      <w:r>
        <w:rPr>
          <w:rFonts w:ascii="Times New Roman" w:hAnsi="Times New Roman" w:cs="Times New Roman" w:eastAsia="Times New Roman" w:hint="default"/>
          <w:spacing w:val="-2"/>
          <w:w w:val="99"/>
        </w:rPr>
        <w:t>6</w:t>
      </w:r>
      <w:r>
        <w:rPr>
          <w:spacing w:val="-2"/>
          <w:w w:val="99"/>
        </w:rPr>
        <w:t>月，公司与中国科学院长春应用化学研究所（以下简称“长春应化所”）——浙江中科应用化</w:t>
      </w:r>
      <w:r>
        <w:rPr>
          <w:w w:val="99"/>
        </w:rPr>
        <w:t> </w:t>
      </w:r>
      <w:r>
        <w:rPr>
          <w:spacing w:val="-5"/>
          <w:w w:val="99"/>
        </w:rPr>
        <w:t>学科技有限公司（以下简称“浙江中科应化”）签署《战略合作框架协议》。双方将围绕万马新智造、新材</w:t>
      </w:r>
      <w:r>
        <w:rPr>
          <w:spacing w:val="-82"/>
          <w:w w:val="99"/>
        </w:rPr>
        <w:t> </w:t>
      </w:r>
      <w:r>
        <w:rPr>
          <w:spacing w:val="-82"/>
          <w:w w:val="99"/>
        </w:rPr>
      </w:r>
      <w:r>
        <w:rPr>
          <w:w w:val="95"/>
        </w:rPr>
        <w:t>料、新能源等产业的技术需求，发挥长春应化所和浙江中科应化的技术优势，指导和帮助万马股份解决具</w:t>
      </w:r>
      <w:r>
        <w:rPr>
          <w:spacing w:val="37"/>
          <w:w w:val="95"/>
        </w:rPr>
        <w:t> </w:t>
      </w:r>
      <w:r>
        <w:rPr>
          <w:spacing w:val="37"/>
          <w:w w:val="95"/>
        </w:rPr>
      </w:r>
      <w:r>
        <w:rPr>
          <w:w w:val="95"/>
        </w:rPr>
        <w:t>有战略性、关键性和前瞻性的重大科技问题，合作开展课题研究，为公司自主创新发展提供强有力的科技</w:t>
      </w:r>
      <w:r>
        <w:rPr>
          <w:spacing w:val="40"/>
          <w:w w:val="95"/>
        </w:rPr>
        <w:t> </w:t>
      </w:r>
      <w:r>
        <w:rPr>
          <w:spacing w:val="40"/>
          <w:w w:val="95"/>
        </w:rPr>
      </w:r>
      <w:r>
        <w:rPr/>
        <w:t>支撑和保障。详见公司于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日披露在巨潮资讯网的公告《关于与浙江中科应化签订战略合作框</w:t>
      </w:r>
    </w:p>
    <w:p>
      <w:pPr>
        <w:spacing w:after="0" w:line="268" w:lineRule="auto"/>
        <w:jc w:val="both"/>
        <w:sectPr>
          <w:pgSz w:w="11910" w:h="16840"/>
          <w:pgMar w:header="890" w:footer="1012" w:top="1420" w:bottom="1200" w:left="1020" w:right="0"/>
        </w:sectPr>
      </w:pPr>
    </w:p>
    <w:p>
      <w:pPr>
        <w:pStyle w:val="Heading7"/>
        <w:spacing w:line="256" w:lineRule="auto" w:before="43"/>
        <w:ind w:right="0"/>
        <w:jc w:val="left"/>
      </w:pPr>
      <w:r>
        <w:rPr>
          <w:spacing w:val="-6"/>
          <w:w w:val="99"/>
        </w:rPr>
        <w:t>架协议的公告》（公告编号：</w:t>
      </w:r>
      <w:r>
        <w:rPr>
          <w:rFonts w:ascii="Times New Roman" w:hAnsi="Times New Roman" w:cs="Times New Roman" w:eastAsia="Times New Roman" w:hint="default"/>
          <w:spacing w:val="-6"/>
          <w:w w:val="99"/>
        </w:rPr>
        <w:t>2018-033</w:t>
      </w:r>
      <w:r>
        <w:rPr>
          <w:spacing w:val="-6"/>
          <w:w w:val="99"/>
        </w:rPr>
        <w:t>）。框架协议签订后，公司研发部门积极梳理产品项目与应化所合作；</w:t>
      </w:r>
      <w:r>
        <w:rPr>
          <w:spacing w:val="-69"/>
          <w:w w:val="99"/>
        </w:rPr>
        <w:t> </w:t>
      </w:r>
      <w:r>
        <w:rPr>
          <w:spacing w:val="-69"/>
          <w:w w:val="99"/>
        </w:rPr>
      </w:r>
      <w:r>
        <w:rPr/>
        <w:t>借助长春应化所的试验分析平台，对公司的原辅料及相关产品进行部分非常规的分析与检测。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6"/>
        <w:spacing w:line="240" w:lineRule="auto"/>
        <w:ind w:left="532" w:right="0"/>
        <w:jc w:val="left"/>
        <w:rPr>
          <w:b w:val="0"/>
          <w:bCs w:val="0"/>
        </w:rPr>
      </w:pPr>
      <w:r>
        <w:rPr>
          <w:rFonts w:ascii="Times New Roman" w:hAnsi="Times New Roman" w:cs="Times New Roman" w:eastAsia="Times New Roman" w:hint="default"/>
        </w:rPr>
        <w:t>3.</w:t>
      </w:r>
      <w:r>
        <w:rPr/>
        <w:t>超短融获准注册。</w:t>
      </w:r>
      <w:r>
        <w:rPr>
          <w:b w:val="0"/>
          <w:bCs w:val="0"/>
        </w:rPr>
      </w:r>
    </w:p>
    <w:p>
      <w:pPr>
        <w:pStyle w:val="Heading7"/>
        <w:spacing w:line="256" w:lineRule="auto" w:before="177"/>
        <w:ind w:right="1135" w:firstLine="360"/>
        <w:jc w:val="both"/>
      </w:pPr>
      <w:r>
        <w:rPr>
          <w:rFonts w:ascii="Times New Roman" w:hAnsi="Times New Roman" w:cs="Times New Roman" w:eastAsia="Times New Roman" w:hint="default"/>
          <w:spacing w:val="-2"/>
          <w:w w:val="99"/>
        </w:rPr>
        <w:t>2018</w:t>
      </w:r>
      <w:r>
        <w:rPr>
          <w:spacing w:val="-2"/>
          <w:w w:val="99"/>
        </w:rPr>
        <w:t>年</w:t>
      </w:r>
      <w:r>
        <w:rPr>
          <w:rFonts w:ascii="Times New Roman" w:hAnsi="Times New Roman" w:cs="Times New Roman" w:eastAsia="Times New Roman" w:hint="default"/>
          <w:spacing w:val="-2"/>
          <w:w w:val="99"/>
        </w:rPr>
        <w:t>9</w:t>
      </w:r>
      <w:r>
        <w:rPr>
          <w:spacing w:val="-2"/>
          <w:w w:val="99"/>
        </w:rPr>
        <w:t>月，公司收到中国银行间市场交易商协会（以下简称“交易商协会”）出具的《接受注册通知</w:t>
      </w:r>
      <w:r>
        <w:rPr>
          <w:w w:val="99"/>
        </w:rPr>
        <w:t> </w:t>
      </w:r>
      <w:r>
        <w:rPr>
          <w:spacing w:val="-6"/>
          <w:w w:val="99"/>
        </w:rPr>
        <w:t>书》（中市协注〔</w:t>
      </w:r>
      <w:r>
        <w:rPr>
          <w:rFonts w:ascii="Times New Roman" w:hAnsi="Times New Roman" w:cs="Times New Roman" w:eastAsia="Times New Roman" w:hint="default"/>
          <w:spacing w:val="-6"/>
          <w:w w:val="99"/>
        </w:rPr>
        <w:t>2018</w:t>
      </w:r>
      <w:r>
        <w:rPr>
          <w:spacing w:val="-6"/>
          <w:w w:val="99"/>
        </w:rPr>
        <w:t>〕</w:t>
      </w:r>
      <w:r>
        <w:rPr>
          <w:rFonts w:ascii="Times New Roman" w:hAnsi="Times New Roman" w:cs="Times New Roman" w:eastAsia="Times New Roman" w:hint="default"/>
          <w:spacing w:val="-6"/>
          <w:w w:val="99"/>
        </w:rPr>
        <w:t>SCP168</w:t>
      </w:r>
      <w:r>
        <w:rPr>
          <w:rFonts w:ascii="Times New Roman" w:hAnsi="Times New Roman" w:cs="Times New Roman" w:eastAsia="Times New Roman" w:hint="default"/>
          <w:spacing w:val="11"/>
          <w:w w:val="99"/>
        </w:rPr>
        <w:t> </w:t>
      </w:r>
      <w:r>
        <w:rPr>
          <w:spacing w:val="-7"/>
          <w:w w:val="99"/>
        </w:rPr>
        <w:t>号）。公司超短期融资券注册金额为</w:t>
      </w:r>
      <w:r>
        <w:rPr>
          <w:spacing w:val="12"/>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9"/>
          <w:w w:val="99"/>
        </w:rPr>
        <w:t> </w:t>
      </w:r>
      <w:r>
        <w:rPr>
          <w:w w:val="99"/>
        </w:rPr>
        <w:t>亿元，注册额度</w:t>
      </w:r>
      <w:r>
        <w:rPr>
          <w:rFonts w:ascii="Times New Roman" w:hAnsi="Times New Roman" w:cs="Times New Roman" w:eastAsia="Times New Roman" w:hint="default"/>
          <w:w w:val="99"/>
        </w:rPr>
        <w:t>2</w:t>
      </w:r>
      <w:r>
        <w:rPr>
          <w:w w:val="99"/>
        </w:rPr>
        <w:t>年内有效，由中</w:t>
      </w:r>
      <w:r>
        <w:rPr>
          <w:spacing w:val="-100"/>
          <w:w w:val="99"/>
        </w:rPr>
        <w:t> </w:t>
      </w:r>
      <w:r>
        <w:rPr>
          <w:spacing w:val="-100"/>
          <w:w w:val="99"/>
        </w:rPr>
      </w:r>
      <w:r>
        <w:rPr>
          <w:w w:val="95"/>
        </w:rPr>
        <w:t>国工商银行股份有限公司和上海浦东发展银行股份有限公司联席主承销。详见公司于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6</w:t>
      </w:r>
      <w:r>
        <w:rPr>
          <w:w w:val="95"/>
        </w:rPr>
        <w:t>日披露在</w:t>
      </w:r>
      <w:r>
        <w:rPr>
          <w:spacing w:val="37"/>
          <w:w w:val="95"/>
        </w:rPr>
        <w:t> </w:t>
      </w:r>
      <w:r>
        <w:rPr>
          <w:spacing w:val="37"/>
          <w:w w:val="95"/>
        </w:rPr>
      </w:r>
      <w:r>
        <w:rPr>
          <w:spacing w:val="-5"/>
          <w:w w:val="99"/>
        </w:rPr>
        <w:t>巨潮资讯网的公告《关于超短期融资券获准注册的公告》（公告编号：</w:t>
      </w:r>
      <w:r>
        <w:rPr>
          <w:rFonts w:ascii="Times New Roman" w:hAnsi="Times New Roman" w:cs="Times New Roman" w:eastAsia="Times New Roman" w:hint="default"/>
          <w:spacing w:val="-5"/>
          <w:w w:val="99"/>
        </w:rPr>
        <w:t>2018-052</w:t>
      </w:r>
      <w:r>
        <w:rPr>
          <w:spacing w:val="-5"/>
          <w:w w:val="99"/>
        </w:rPr>
        <w:t>）。</w:t>
      </w:r>
      <w:r>
        <w:rPr>
          <w:spacing w:val="-5"/>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6"/>
        <w:spacing w:line="240" w:lineRule="auto"/>
        <w:ind w:left="535" w:right="0"/>
        <w:jc w:val="left"/>
        <w:rPr>
          <w:b w:val="0"/>
          <w:bCs w:val="0"/>
        </w:rPr>
      </w:pPr>
      <w:r>
        <w:rPr>
          <w:rFonts w:ascii="Times New Roman" w:hAnsi="Times New Roman" w:cs="Times New Roman" w:eastAsia="Times New Roman" w:hint="default"/>
        </w:rPr>
        <w:t>4.</w:t>
      </w:r>
      <w:r>
        <w:rPr/>
        <w:t>实际控制人一致行动人之间的股份转让。</w:t>
      </w:r>
      <w:r>
        <w:rPr>
          <w:b w:val="0"/>
          <w:bCs w:val="0"/>
        </w:rPr>
      </w:r>
    </w:p>
    <w:p>
      <w:pPr>
        <w:pStyle w:val="Heading7"/>
        <w:spacing w:line="240" w:lineRule="auto" w:before="177"/>
        <w:ind w:left="47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月，公司控股股东万马智能科技集团以协议方式转让其所持有的上市公司无限售流通股</w:t>
      </w:r>
    </w:p>
    <w:p>
      <w:pPr>
        <w:pStyle w:val="Heading7"/>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1"/>
          <w:w w:val="99"/>
        </w:rPr>
        <w:t>51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spacing w:val="-2"/>
          <w:w w:val="99"/>
        </w:rPr>
        <w:t>7</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spacing w:val="-1"/>
          <w:w w:val="99"/>
        </w:rPr>
        <w:t>股</w:t>
      </w:r>
      <w:r>
        <w:rPr>
          <w:spacing w:val="2"/>
          <w:w w:val="99"/>
        </w:rPr>
        <w:t>，</w:t>
      </w:r>
      <w:r>
        <w:rPr>
          <w:spacing w:val="-1"/>
          <w:w w:val="99"/>
        </w:rPr>
        <w:t>占</w:t>
      </w:r>
      <w:r>
        <w:rPr>
          <w:spacing w:val="2"/>
          <w:w w:val="99"/>
        </w:rPr>
        <w:t>公</w:t>
      </w:r>
      <w:r>
        <w:rPr>
          <w:spacing w:val="-1"/>
          <w:w w:val="99"/>
        </w:rPr>
        <w:t>司</w:t>
      </w:r>
      <w:r>
        <w:rPr>
          <w:spacing w:val="2"/>
          <w:w w:val="99"/>
        </w:rPr>
        <w:t>总</w:t>
      </w:r>
      <w:r>
        <w:rPr>
          <w:spacing w:val="-1"/>
          <w:w w:val="99"/>
        </w:rPr>
        <w:t>股</w:t>
      </w:r>
      <w:r>
        <w:rPr>
          <w:spacing w:val="2"/>
          <w:w w:val="99"/>
        </w:rPr>
        <w:t>本的</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spacing w:val="-2"/>
          <w:w w:val="99"/>
        </w:rPr>
        <w:t>%</w:t>
      </w:r>
      <w:r>
        <w:rPr>
          <w:spacing w:val="-1"/>
          <w:w w:val="99"/>
        </w:rPr>
        <w:t>转</w:t>
      </w:r>
      <w:r>
        <w:rPr>
          <w:spacing w:val="2"/>
          <w:w w:val="99"/>
        </w:rPr>
        <w:t>让</w:t>
      </w:r>
      <w:r>
        <w:rPr>
          <w:spacing w:val="-1"/>
          <w:w w:val="99"/>
        </w:rPr>
        <w:t>给</w:t>
      </w:r>
      <w:r>
        <w:rPr>
          <w:spacing w:val="2"/>
          <w:w w:val="99"/>
        </w:rPr>
        <w:t>陆</w:t>
      </w:r>
      <w:r>
        <w:rPr>
          <w:spacing w:val="-1"/>
          <w:w w:val="99"/>
        </w:rPr>
        <w:t>珍</w:t>
      </w:r>
      <w:r>
        <w:rPr>
          <w:spacing w:val="2"/>
          <w:w w:val="99"/>
        </w:rPr>
        <w:t>玉</w:t>
      </w:r>
      <w:r>
        <w:rPr>
          <w:spacing w:val="-1"/>
          <w:w w:val="99"/>
        </w:rPr>
        <w:t>女</w:t>
      </w:r>
      <w:r>
        <w:rPr>
          <w:spacing w:val="2"/>
          <w:w w:val="99"/>
        </w:rPr>
        <w:t>士</w:t>
      </w:r>
      <w:r>
        <w:rPr>
          <w:spacing w:val="-1"/>
          <w:w w:val="99"/>
        </w:rPr>
        <w:t>（</w:t>
      </w:r>
      <w:r>
        <w:rPr>
          <w:spacing w:val="2"/>
          <w:w w:val="99"/>
        </w:rPr>
        <w:t>公</w:t>
      </w:r>
      <w:r>
        <w:rPr>
          <w:spacing w:val="-1"/>
          <w:w w:val="99"/>
        </w:rPr>
        <w:t>司</w:t>
      </w:r>
      <w:r>
        <w:rPr>
          <w:spacing w:val="2"/>
          <w:w w:val="99"/>
        </w:rPr>
        <w:t>实</w:t>
      </w:r>
      <w:r>
        <w:rPr>
          <w:spacing w:val="-1"/>
          <w:w w:val="99"/>
        </w:rPr>
        <w:t>际</w:t>
      </w:r>
      <w:r>
        <w:rPr>
          <w:spacing w:val="2"/>
          <w:w w:val="99"/>
        </w:rPr>
        <w:t>控</w:t>
      </w:r>
      <w:r>
        <w:rPr>
          <w:spacing w:val="-1"/>
          <w:w w:val="99"/>
        </w:rPr>
        <w:t>制</w:t>
      </w:r>
      <w:r>
        <w:rPr>
          <w:spacing w:val="2"/>
          <w:w w:val="99"/>
        </w:rPr>
        <w:t>人</w:t>
      </w:r>
      <w:r>
        <w:rPr>
          <w:spacing w:val="-1"/>
          <w:w w:val="99"/>
        </w:rPr>
        <w:t>之</w:t>
      </w:r>
      <w:r>
        <w:rPr>
          <w:spacing w:val="2"/>
          <w:w w:val="99"/>
        </w:rPr>
        <w:t>配</w:t>
      </w:r>
      <w:r>
        <w:rPr>
          <w:spacing w:val="-1"/>
          <w:w w:val="99"/>
        </w:rPr>
        <w:t>偶</w:t>
      </w:r>
      <w:r>
        <w:rPr>
          <w:spacing w:val="-104"/>
          <w:w w:val="99"/>
        </w:rPr>
        <w:t>）</w:t>
      </w:r>
      <w:r>
        <w:rPr>
          <w:spacing w:val="-1"/>
          <w:w w:val="99"/>
        </w:rPr>
        <w:t>。</w:t>
      </w:r>
      <w:r>
        <w:rPr>
          <w:spacing w:val="2"/>
          <w:w w:val="99"/>
        </w:rPr>
        <w:t>详</w:t>
      </w:r>
      <w:r>
        <w:rPr>
          <w:spacing w:val="-1"/>
          <w:w w:val="99"/>
        </w:rPr>
        <w:t>见</w:t>
      </w:r>
      <w:r>
        <w:rPr>
          <w:spacing w:val="2"/>
          <w:w w:val="99"/>
        </w:rPr>
        <w:t>公</w:t>
      </w:r>
      <w:r>
        <w:rPr>
          <w:spacing w:val="-1"/>
          <w:w w:val="99"/>
        </w:rPr>
        <w:t>司</w:t>
      </w:r>
      <w:r>
        <w:rPr>
          <w:spacing w:val="2"/>
          <w:w w:val="99"/>
        </w:rPr>
        <w:t>于</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spacing w:val="-2"/>
          <w:w w:val="99"/>
        </w:rPr>
        <w:t>8</w:t>
      </w:r>
      <w:r>
        <w:rPr>
          <w:spacing w:val="2"/>
          <w:w w:val="99"/>
        </w:rPr>
        <w:t>年</w:t>
      </w:r>
      <w:r>
        <w:rPr>
          <w:rFonts w:ascii="Times New Roman" w:hAnsi="Times New Roman" w:cs="Times New Roman" w:eastAsia="Times New Roman" w:hint="default"/>
          <w:spacing w:val="-2"/>
          <w:w w:val="99"/>
        </w:rPr>
        <w:t>9</w:t>
      </w:r>
      <w:r>
        <w:rPr>
          <w:spacing w:val="2"/>
          <w:w w:val="99"/>
        </w:rPr>
        <w:t>月</w:t>
      </w:r>
      <w:r>
        <w:rPr>
          <w:rFonts w:ascii="Times New Roman" w:hAnsi="Times New Roman" w:cs="Times New Roman" w:eastAsia="Times New Roman" w:hint="default"/>
          <w:w w:val="99"/>
        </w:rPr>
        <w:t>6</w:t>
      </w:r>
      <w:r>
        <w:rPr>
          <w:rFonts w:ascii="Times New Roman" w:hAnsi="Times New Roman" w:cs="Times New Roman" w:eastAsia="Times New Roman" w:hint="default"/>
        </w:rPr>
      </w:r>
    </w:p>
    <w:p>
      <w:pPr>
        <w:pStyle w:val="Heading7"/>
        <w:spacing w:line="240" w:lineRule="auto" w:before="21"/>
        <w:ind w:right="0"/>
        <w:jc w:val="both"/>
      </w:pPr>
      <w:r>
        <w:rPr>
          <w:spacing w:val="-1"/>
          <w:w w:val="99"/>
        </w:rPr>
        <w:t>日</w:t>
      </w:r>
      <w:r>
        <w:rPr>
          <w:spacing w:val="2"/>
          <w:w w:val="99"/>
        </w:rPr>
        <w:t>披</w:t>
      </w:r>
      <w:r>
        <w:rPr>
          <w:spacing w:val="-1"/>
          <w:w w:val="99"/>
        </w:rPr>
        <w:t>露</w:t>
      </w:r>
      <w:r>
        <w:rPr>
          <w:spacing w:val="2"/>
          <w:w w:val="99"/>
        </w:rPr>
        <w:t>在</w:t>
      </w:r>
      <w:r>
        <w:rPr>
          <w:spacing w:val="-1"/>
          <w:w w:val="99"/>
        </w:rPr>
        <w:t>巨</w:t>
      </w:r>
      <w:r>
        <w:rPr>
          <w:spacing w:val="2"/>
          <w:w w:val="99"/>
        </w:rPr>
        <w:t>潮</w:t>
      </w:r>
      <w:r>
        <w:rPr>
          <w:spacing w:val="-1"/>
          <w:w w:val="99"/>
        </w:rPr>
        <w:t>资</w:t>
      </w:r>
      <w:r>
        <w:rPr>
          <w:spacing w:val="2"/>
          <w:w w:val="99"/>
        </w:rPr>
        <w:t>讯</w:t>
      </w:r>
      <w:r>
        <w:rPr>
          <w:spacing w:val="-1"/>
          <w:w w:val="99"/>
        </w:rPr>
        <w:t>网</w:t>
      </w:r>
      <w:r>
        <w:rPr>
          <w:spacing w:val="2"/>
          <w:w w:val="99"/>
        </w:rPr>
        <w:t>的</w:t>
      </w:r>
      <w:r>
        <w:rPr>
          <w:spacing w:val="-1"/>
          <w:w w:val="99"/>
        </w:rPr>
        <w:t>公</w:t>
      </w:r>
      <w:r>
        <w:rPr>
          <w:spacing w:val="-27"/>
          <w:w w:val="99"/>
        </w:rPr>
        <w:t>告</w:t>
      </w:r>
      <w:r>
        <w:rPr>
          <w:spacing w:val="-1"/>
          <w:w w:val="99"/>
        </w:rPr>
        <w:t>《关</w:t>
      </w:r>
      <w:r>
        <w:rPr>
          <w:spacing w:val="2"/>
          <w:w w:val="99"/>
        </w:rPr>
        <w:t>于</w:t>
      </w:r>
      <w:r>
        <w:rPr>
          <w:spacing w:val="-1"/>
          <w:w w:val="99"/>
        </w:rPr>
        <w:t>控</w:t>
      </w:r>
      <w:r>
        <w:rPr>
          <w:spacing w:val="2"/>
          <w:w w:val="99"/>
        </w:rPr>
        <w:t>股</w:t>
      </w:r>
      <w:r>
        <w:rPr>
          <w:spacing w:val="-1"/>
          <w:w w:val="99"/>
        </w:rPr>
        <w:t>股</w:t>
      </w:r>
      <w:r>
        <w:rPr>
          <w:spacing w:val="2"/>
          <w:w w:val="99"/>
        </w:rPr>
        <w:t>东</w:t>
      </w:r>
      <w:r>
        <w:rPr>
          <w:spacing w:val="-1"/>
          <w:w w:val="99"/>
        </w:rPr>
        <w:t>协</w:t>
      </w:r>
      <w:r>
        <w:rPr>
          <w:spacing w:val="2"/>
          <w:w w:val="99"/>
        </w:rPr>
        <w:t>议</w:t>
      </w:r>
      <w:r>
        <w:rPr>
          <w:spacing w:val="-1"/>
          <w:w w:val="99"/>
        </w:rPr>
        <w:t>转</w:t>
      </w:r>
      <w:r>
        <w:rPr>
          <w:spacing w:val="2"/>
          <w:w w:val="99"/>
        </w:rPr>
        <w:t>让</w:t>
      </w:r>
      <w:r>
        <w:rPr>
          <w:spacing w:val="-1"/>
          <w:w w:val="99"/>
        </w:rPr>
        <w:t>部</w:t>
      </w:r>
      <w:r>
        <w:rPr>
          <w:spacing w:val="2"/>
          <w:w w:val="99"/>
        </w:rPr>
        <w:t>分</w:t>
      </w:r>
      <w:r>
        <w:rPr>
          <w:spacing w:val="-1"/>
          <w:w w:val="99"/>
        </w:rPr>
        <w:t>公</w:t>
      </w:r>
      <w:r>
        <w:rPr>
          <w:spacing w:val="2"/>
          <w:w w:val="99"/>
        </w:rPr>
        <w:t>司</w:t>
      </w:r>
      <w:r>
        <w:rPr>
          <w:spacing w:val="-1"/>
          <w:w w:val="99"/>
        </w:rPr>
        <w:t>股</w:t>
      </w:r>
      <w:r>
        <w:rPr>
          <w:spacing w:val="2"/>
          <w:w w:val="99"/>
        </w:rPr>
        <w:t>份</w:t>
      </w:r>
      <w:r>
        <w:rPr>
          <w:spacing w:val="-1"/>
          <w:w w:val="99"/>
        </w:rPr>
        <w:t>的</w:t>
      </w:r>
      <w:r>
        <w:rPr>
          <w:spacing w:val="2"/>
          <w:w w:val="99"/>
        </w:rPr>
        <w:t>提</w:t>
      </w:r>
      <w:r>
        <w:rPr>
          <w:spacing w:val="-1"/>
          <w:w w:val="99"/>
        </w:rPr>
        <w:t>示</w:t>
      </w:r>
      <w:r>
        <w:rPr>
          <w:spacing w:val="2"/>
          <w:w w:val="99"/>
        </w:rPr>
        <w:t>性</w:t>
      </w:r>
      <w:r>
        <w:rPr>
          <w:spacing w:val="-1"/>
          <w:w w:val="99"/>
        </w:rPr>
        <w:t>公</w:t>
      </w:r>
      <w:r>
        <w:rPr>
          <w:spacing w:val="2"/>
          <w:w w:val="99"/>
        </w:rPr>
        <w:t>告</w:t>
      </w:r>
      <w:r>
        <w:rPr>
          <w:spacing w:val="-135"/>
          <w:w w:val="99"/>
        </w:rPr>
        <w:t>》</w:t>
      </w:r>
      <w:r>
        <w:rPr>
          <w:spacing w:val="-1"/>
          <w:w w:val="99"/>
        </w:rPr>
        <w:t>（公</w:t>
      </w:r>
      <w:r>
        <w:rPr>
          <w:spacing w:val="2"/>
          <w:w w:val="99"/>
        </w:rPr>
        <w:t>告</w:t>
      </w:r>
      <w:r>
        <w:rPr>
          <w:spacing w:val="-1"/>
          <w:w w:val="99"/>
        </w:rPr>
        <w:t>编</w:t>
      </w:r>
      <w:r>
        <w:rPr>
          <w:spacing w:val="2"/>
          <w:w w:val="99"/>
        </w:rPr>
        <w:t>号</w:t>
      </w:r>
      <w:r>
        <w:rPr>
          <w:spacing w:val="-29"/>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066</w:t>
      </w:r>
      <w:r>
        <w:rPr>
          <w:spacing w:val="-104"/>
          <w:w w:val="99"/>
        </w:rPr>
        <w:t>）</w:t>
      </w:r>
      <w:r>
        <w:rPr>
          <w:w w:val="99"/>
        </w:rPr>
        <w:t>。</w:t>
      </w:r>
      <w:r>
        <w:rPr/>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pStyle w:val="Heading6"/>
        <w:spacing w:line="240" w:lineRule="auto" w:before="92"/>
        <w:ind w:left="429" w:right="0"/>
        <w:jc w:val="left"/>
        <w:rPr>
          <w:b w:val="0"/>
          <w:bCs w:val="0"/>
        </w:rPr>
      </w:pPr>
      <w:r>
        <w:rPr/>
        <w:t>1</w:t>
      </w:r>
      <w:r>
        <w:rPr>
          <w:rFonts w:ascii="Times New Roman" w:hAnsi="Times New Roman" w:cs="Times New Roman" w:eastAsia="Times New Roman" w:hint="default"/>
        </w:rPr>
        <w:t>.</w:t>
      </w:r>
      <w:r>
        <w:rPr/>
        <w:t>新能源城市公司投资进展。</w:t>
      </w:r>
      <w:r>
        <w:rPr>
          <w:b w:val="0"/>
          <w:bCs w:val="0"/>
        </w:rPr>
      </w:r>
    </w:p>
    <w:p>
      <w:pPr>
        <w:pStyle w:val="Heading7"/>
        <w:spacing w:line="266" w:lineRule="auto" w:before="59"/>
        <w:ind w:right="1132" w:firstLine="360"/>
        <w:jc w:val="left"/>
      </w:pPr>
      <w:r>
        <w:rPr/>
        <w:t>（1）</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7"/>
        </w:rPr>
        <w:t> </w:t>
      </w:r>
      <w:r>
        <w:rPr/>
        <w:t>9</w:t>
      </w:r>
      <w:r>
        <w:rPr>
          <w:spacing w:val="-56"/>
        </w:rPr>
        <w:t> </w:t>
      </w:r>
      <w:r>
        <w:rPr/>
        <w:t>月，孙公司海南万充与三亚飞马、威尔金鼎为共同投资建设运营充电桩业务，三方拟</w:t>
      </w:r>
      <w:r>
        <w:rPr>
          <w:w w:val="99"/>
        </w:rPr>
        <w:t> 共同出资</w:t>
      </w:r>
      <w:r>
        <w:rPr>
          <w:spacing w:val="-48"/>
          <w:w w:val="99"/>
        </w:rPr>
        <w:t> </w:t>
      </w:r>
      <w:r>
        <w:rPr>
          <w:w w:val="99"/>
        </w:rPr>
        <w:t>3,000</w:t>
      </w:r>
      <w:r>
        <w:rPr>
          <w:spacing w:val="-50"/>
          <w:w w:val="99"/>
        </w:rPr>
        <w:t> </w:t>
      </w:r>
      <w:r>
        <w:rPr>
          <w:spacing w:val="-4"/>
          <w:w w:val="99"/>
        </w:rPr>
        <w:t>万元设立“三亚万城充新能源科技有限公司”。具体内容详见</w:t>
      </w:r>
      <w:r>
        <w:rPr>
          <w:spacing w:val="-51"/>
          <w:w w:val="99"/>
        </w:rPr>
        <w:t> </w:t>
      </w:r>
      <w:r>
        <w:rPr>
          <w:w w:val="99"/>
        </w:rPr>
        <w:t>2018</w:t>
      </w:r>
      <w:r>
        <w:rPr>
          <w:spacing w:val="-52"/>
          <w:w w:val="99"/>
        </w:rPr>
        <w:t> </w:t>
      </w:r>
      <w:r>
        <w:rPr>
          <w:w w:val="99"/>
        </w:rPr>
        <w:t>年</w:t>
      </w:r>
      <w:r>
        <w:rPr>
          <w:spacing w:val="-48"/>
          <w:w w:val="99"/>
        </w:rPr>
        <w:t> </w:t>
      </w:r>
      <w:r>
        <w:rPr>
          <w:w w:val="99"/>
        </w:rPr>
        <w:t>1</w:t>
      </w:r>
      <w:r>
        <w:rPr>
          <w:spacing w:val="-52"/>
          <w:w w:val="99"/>
        </w:rPr>
        <w:t> </w:t>
      </w:r>
      <w:r>
        <w:rPr>
          <w:w w:val="99"/>
        </w:rPr>
        <w:t>月</w:t>
      </w:r>
      <w:r>
        <w:rPr>
          <w:spacing w:val="-48"/>
          <w:w w:val="99"/>
        </w:rPr>
        <w:t> </w:t>
      </w:r>
      <w:r>
        <w:rPr>
          <w:w w:val="99"/>
        </w:rPr>
        <w:t>31</w:t>
      </w:r>
      <w:r>
        <w:rPr>
          <w:spacing w:val="-52"/>
          <w:w w:val="99"/>
        </w:rPr>
        <w:t> </w:t>
      </w:r>
      <w:r>
        <w:rPr>
          <w:w w:val="99"/>
        </w:rPr>
        <w:t>日巨潮资讯</w:t>
      </w:r>
      <w:r>
        <w:rPr>
          <w:spacing w:val="-100"/>
          <w:w w:val="99"/>
        </w:rPr>
        <w:t> </w:t>
      </w:r>
      <w:r>
        <w:rPr>
          <w:spacing w:val="-100"/>
          <w:w w:val="99"/>
        </w:rPr>
      </w:r>
      <w:r>
        <w:rPr>
          <w:spacing w:val="-5"/>
          <w:w w:val="99"/>
        </w:rPr>
        <w:t>网《关于孙公司合资设立三亚万城充新能源科技有限公司（筹）的公告》（公告编号：2018-006）。截至报</w:t>
      </w:r>
      <w:r>
        <w:rPr>
          <w:spacing w:val="-58"/>
          <w:w w:val="99"/>
        </w:rPr>
        <w:t> </w:t>
      </w:r>
      <w:r>
        <w:rPr>
          <w:spacing w:val="-58"/>
          <w:w w:val="99"/>
        </w:rPr>
      </w:r>
      <w:r>
        <w:rPr/>
        <w:t>告期末，该项投资因合作各方原因，决定不新设公司，以其他方式合作。</w:t>
      </w:r>
    </w:p>
    <w:p>
      <w:pPr>
        <w:pStyle w:val="Heading7"/>
        <w:spacing w:line="240" w:lineRule="auto" w:before="55"/>
        <w:ind w:left="472" w:right="0"/>
        <w:jc w:val="left"/>
      </w:pPr>
      <w:r>
        <w:rPr/>
        <w:t>（2）</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8"/>
        </w:rPr>
        <w:t> </w:t>
      </w:r>
      <w:r>
        <w:rPr/>
        <w:t>9</w:t>
      </w:r>
      <w:r>
        <w:rPr>
          <w:spacing w:val="-57"/>
        </w:rPr>
        <w:t> </w:t>
      </w:r>
      <w:r>
        <w:rPr/>
        <w:t>月，子公司万马联合新能源投资有限公司投资</w:t>
      </w:r>
      <w:r>
        <w:rPr>
          <w:spacing w:val="-55"/>
        </w:rPr>
        <w:t> </w:t>
      </w:r>
      <w:r>
        <w:rPr/>
        <w:t>500</w:t>
      </w:r>
      <w:r>
        <w:rPr>
          <w:spacing w:val="-58"/>
        </w:rPr>
        <w:t> </w:t>
      </w:r>
      <w:r>
        <w:rPr/>
        <w:t>万元在广东省佛山市设立佛山万充</w:t>
      </w:r>
    </w:p>
    <w:p>
      <w:pPr>
        <w:pStyle w:val="Heading7"/>
        <w:spacing w:line="273" w:lineRule="auto" w:before="21"/>
        <w:ind w:right="1132"/>
        <w:jc w:val="both"/>
      </w:pPr>
      <w:r>
        <w:rPr/>
        <w:t>新能源科技有限公司。具体内容详见</w:t>
      </w:r>
      <w:r>
        <w:rPr>
          <w:spacing w:val="-58"/>
        </w:rPr>
        <w:t> </w:t>
      </w:r>
      <w:r>
        <w:rPr/>
        <w:t>2018</w:t>
      </w:r>
      <w:r>
        <w:rPr>
          <w:spacing w:val="-60"/>
        </w:rPr>
        <w:t> </w:t>
      </w:r>
      <w:r>
        <w:rPr/>
        <w:t>年</w:t>
      </w:r>
      <w:r>
        <w:rPr>
          <w:spacing w:val="-61"/>
        </w:rPr>
        <w:t> </w:t>
      </w:r>
      <w:r>
        <w:rPr/>
        <w:t>1</w:t>
      </w:r>
      <w:r>
        <w:rPr>
          <w:spacing w:val="-60"/>
        </w:rPr>
        <w:t> </w:t>
      </w:r>
      <w:r>
        <w:rPr/>
        <w:t>月</w:t>
      </w:r>
      <w:r>
        <w:rPr>
          <w:spacing w:val="-61"/>
        </w:rPr>
        <w:t> </w:t>
      </w:r>
      <w:r>
        <w:rPr/>
        <w:t>31</w:t>
      </w:r>
      <w:r>
        <w:rPr>
          <w:spacing w:val="-62"/>
        </w:rPr>
        <w:t> </w:t>
      </w:r>
      <w:r>
        <w:rPr/>
        <w:t>日巨潮资讯网《关于万马联合新能源投资设立佛山万</w:t>
      </w:r>
      <w:r>
        <w:rPr>
          <w:w w:val="99"/>
        </w:rPr>
        <w:t> </w:t>
      </w:r>
      <w:r>
        <w:rPr>
          <w:spacing w:val="-5"/>
          <w:w w:val="99"/>
        </w:rPr>
        <w:t>充新能源科技有限公司（筹）的公告》（公告编号：2018-007）。截至报告期末，公司已取得该新设公司营</w:t>
      </w:r>
      <w:r>
        <w:rPr>
          <w:spacing w:val="-58"/>
          <w:w w:val="99"/>
        </w:rPr>
        <w:t> </w:t>
      </w:r>
      <w:r>
        <w:rPr>
          <w:spacing w:val="-58"/>
          <w:w w:val="99"/>
        </w:rPr>
      </w:r>
      <w:r>
        <w:rPr/>
        <w:t>业执照。</w:t>
      </w:r>
    </w:p>
    <w:p>
      <w:pPr>
        <w:pStyle w:val="Heading7"/>
        <w:spacing w:line="256" w:lineRule="auto" w:before="48"/>
        <w:ind w:right="0" w:firstLine="360"/>
        <w:jc w:val="left"/>
      </w:pPr>
      <w:r>
        <w:rPr>
          <w:spacing w:val="2"/>
          <w:w w:val="99"/>
        </w:rPr>
        <w:t>（</w:t>
      </w:r>
      <w:r>
        <w:rPr>
          <w:spacing w:val="1"/>
          <w:w w:val="99"/>
        </w:rPr>
        <w:t>3</w:t>
      </w:r>
      <w:r>
        <w:rPr>
          <w:spacing w:val="-3"/>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w w:val="99"/>
        </w:rPr>
        <w:t>年</w:t>
      </w:r>
      <w:r>
        <w:rPr>
          <w:spacing w:val="-53"/>
        </w:rPr>
        <w:t> </w:t>
      </w:r>
      <w:r>
        <w:rPr>
          <w:w w:val="99"/>
        </w:rPr>
        <w:t>3</w:t>
      </w:r>
      <w:r>
        <w:rPr>
          <w:spacing w:val="-52"/>
        </w:rPr>
        <w:t> </w:t>
      </w:r>
      <w:r>
        <w:rPr>
          <w:spacing w:val="-1"/>
          <w:w w:val="99"/>
        </w:rPr>
        <w:t>月</w:t>
      </w:r>
      <w:r>
        <w:rPr>
          <w:spacing w:val="-3"/>
          <w:w w:val="99"/>
        </w:rPr>
        <w:t>，</w:t>
      </w:r>
      <w:r>
        <w:rPr>
          <w:spacing w:val="-1"/>
          <w:w w:val="99"/>
        </w:rPr>
        <w:t>子</w:t>
      </w:r>
      <w:r>
        <w:rPr>
          <w:spacing w:val="2"/>
          <w:w w:val="99"/>
        </w:rPr>
        <w:t>公</w:t>
      </w:r>
      <w:r>
        <w:rPr>
          <w:spacing w:val="-1"/>
          <w:w w:val="99"/>
        </w:rPr>
        <w:t>司</w:t>
      </w:r>
      <w:r>
        <w:rPr>
          <w:spacing w:val="2"/>
          <w:w w:val="99"/>
        </w:rPr>
        <w:t>万</w:t>
      </w:r>
      <w:r>
        <w:rPr>
          <w:spacing w:val="-1"/>
          <w:w w:val="99"/>
        </w:rPr>
        <w:t>马</w:t>
      </w:r>
      <w:r>
        <w:rPr>
          <w:spacing w:val="2"/>
          <w:w w:val="99"/>
        </w:rPr>
        <w:t>联</w:t>
      </w:r>
      <w:r>
        <w:rPr>
          <w:spacing w:val="-1"/>
          <w:w w:val="99"/>
        </w:rPr>
        <w:t>合</w:t>
      </w:r>
      <w:r>
        <w:rPr>
          <w:spacing w:val="2"/>
          <w:w w:val="99"/>
        </w:rPr>
        <w:t>新</w:t>
      </w:r>
      <w:r>
        <w:rPr>
          <w:spacing w:val="-1"/>
          <w:w w:val="99"/>
        </w:rPr>
        <w:t>能</w:t>
      </w:r>
      <w:r>
        <w:rPr>
          <w:spacing w:val="2"/>
          <w:w w:val="99"/>
        </w:rPr>
        <w:t>源</w:t>
      </w:r>
      <w:r>
        <w:rPr>
          <w:spacing w:val="-1"/>
          <w:w w:val="99"/>
        </w:rPr>
        <w:t>投</w:t>
      </w:r>
      <w:r>
        <w:rPr>
          <w:spacing w:val="2"/>
          <w:w w:val="99"/>
        </w:rPr>
        <w:t>资</w:t>
      </w:r>
      <w:r>
        <w:rPr>
          <w:spacing w:val="-1"/>
          <w:w w:val="99"/>
        </w:rPr>
        <w:t>有</w:t>
      </w:r>
      <w:r>
        <w:rPr>
          <w:spacing w:val="2"/>
          <w:w w:val="99"/>
        </w:rPr>
        <w:t>限</w:t>
      </w:r>
      <w:r>
        <w:rPr>
          <w:spacing w:val="-1"/>
          <w:w w:val="99"/>
        </w:rPr>
        <w:t>公</w:t>
      </w:r>
      <w:r>
        <w:rPr>
          <w:spacing w:val="2"/>
          <w:w w:val="99"/>
        </w:rPr>
        <w:t>司</w:t>
      </w:r>
      <w:r>
        <w:rPr>
          <w:spacing w:val="-1"/>
          <w:w w:val="99"/>
        </w:rPr>
        <w:t>（以</w:t>
      </w:r>
      <w:r>
        <w:rPr>
          <w:spacing w:val="2"/>
          <w:w w:val="99"/>
        </w:rPr>
        <w:t>下</w:t>
      </w:r>
      <w:r>
        <w:rPr>
          <w:spacing w:val="-1"/>
          <w:w w:val="99"/>
        </w:rPr>
        <w:t>简称“万</w:t>
      </w:r>
      <w:r>
        <w:rPr>
          <w:spacing w:val="2"/>
          <w:w w:val="99"/>
        </w:rPr>
        <w:t>马</w:t>
      </w:r>
      <w:r>
        <w:rPr>
          <w:spacing w:val="-1"/>
          <w:w w:val="99"/>
        </w:rPr>
        <w:t>新</w:t>
      </w:r>
      <w:r>
        <w:rPr>
          <w:spacing w:val="2"/>
          <w:w w:val="99"/>
        </w:rPr>
        <w:t>能</w:t>
      </w:r>
      <w:r>
        <w:rPr>
          <w:spacing w:val="-1"/>
          <w:w w:val="99"/>
        </w:rPr>
        <w:t>源</w:t>
      </w:r>
      <w:r>
        <w:rPr>
          <w:spacing w:val="2"/>
          <w:w w:val="99"/>
        </w:rPr>
        <w:t>投</w:t>
      </w:r>
      <w:r>
        <w:rPr>
          <w:spacing w:val="-1"/>
          <w:w w:val="99"/>
        </w:rPr>
        <w:t>资</w:t>
      </w:r>
      <w:r>
        <w:rPr>
          <w:spacing w:val="-104"/>
          <w:w w:val="99"/>
        </w:rPr>
        <w:t>”</w:t>
      </w:r>
      <w:r>
        <w:rPr>
          <w:spacing w:val="-1"/>
          <w:w w:val="99"/>
        </w:rPr>
        <w:t>）与</w:t>
      </w:r>
      <w:r>
        <w:rPr>
          <w:spacing w:val="2"/>
          <w:w w:val="99"/>
        </w:rPr>
        <w:t>金</w:t>
      </w:r>
      <w:r>
        <w:rPr>
          <w:spacing w:val="-1"/>
          <w:w w:val="99"/>
        </w:rPr>
        <w:t>华</w:t>
      </w:r>
      <w:r>
        <w:rPr>
          <w:spacing w:val="2"/>
          <w:w w:val="99"/>
        </w:rPr>
        <w:t>市</w:t>
      </w:r>
      <w:r>
        <w:rPr>
          <w:w w:val="99"/>
        </w:rPr>
        <w:t>义</w:t>
      </w:r>
      <w:r>
        <w:rPr>
          <w:w w:val="99"/>
        </w:rPr>
        <w:t> </w:t>
      </w:r>
      <w:r>
        <w:rPr>
          <w:spacing w:val="-1"/>
          <w:w w:val="99"/>
        </w:rPr>
        <w:t>兴</w:t>
      </w:r>
      <w:r>
        <w:rPr>
          <w:spacing w:val="2"/>
          <w:w w:val="99"/>
        </w:rPr>
        <w:t>资</w:t>
      </w:r>
      <w:r>
        <w:rPr>
          <w:spacing w:val="-1"/>
          <w:w w:val="99"/>
        </w:rPr>
        <w:t>产</w:t>
      </w:r>
      <w:r>
        <w:rPr>
          <w:spacing w:val="2"/>
          <w:w w:val="99"/>
        </w:rPr>
        <w:t>管</w:t>
      </w:r>
      <w:r>
        <w:rPr>
          <w:spacing w:val="-1"/>
          <w:w w:val="99"/>
        </w:rPr>
        <w:t>理</w:t>
      </w:r>
      <w:r>
        <w:rPr>
          <w:spacing w:val="2"/>
          <w:w w:val="99"/>
        </w:rPr>
        <w:t>有</w:t>
      </w:r>
      <w:r>
        <w:rPr>
          <w:spacing w:val="-1"/>
          <w:w w:val="99"/>
        </w:rPr>
        <w:t>限</w:t>
      </w:r>
      <w:r>
        <w:rPr>
          <w:spacing w:val="2"/>
          <w:w w:val="99"/>
        </w:rPr>
        <w:t>公</w:t>
      </w:r>
      <w:r>
        <w:rPr>
          <w:spacing w:val="-1"/>
          <w:w w:val="99"/>
        </w:rPr>
        <w:t>司</w:t>
      </w:r>
      <w:r>
        <w:rPr>
          <w:spacing w:val="2"/>
          <w:w w:val="99"/>
        </w:rPr>
        <w:t>（</w:t>
      </w:r>
      <w:r>
        <w:rPr>
          <w:spacing w:val="-1"/>
          <w:w w:val="99"/>
        </w:rPr>
        <w:t>以</w:t>
      </w:r>
      <w:r>
        <w:rPr>
          <w:spacing w:val="2"/>
          <w:w w:val="99"/>
        </w:rPr>
        <w:t>下</w:t>
      </w:r>
      <w:r>
        <w:rPr>
          <w:spacing w:val="-1"/>
          <w:w w:val="99"/>
        </w:rPr>
        <w:t>简</w:t>
      </w:r>
      <w:r>
        <w:rPr>
          <w:spacing w:val="2"/>
          <w:w w:val="99"/>
        </w:rPr>
        <w:t>称“</w:t>
      </w:r>
      <w:r>
        <w:rPr>
          <w:spacing w:val="-1"/>
          <w:w w:val="99"/>
        </w:rPr>
        <w:t>金</w:t>
      </w:r>
      <w:r>
        <w:rPr>
          <w:spacing w:val="2"/>
          <w:w w:val="99"/>
        </w:rPr>
        <w:t>华</w:t>
      </w:r>
      <w:r>
        <w:rPr>
          <w:spacing w:val="-1"/>
          <w:w w:val="99"/>
        </w:rPr>
        <w:t>义</w:t>
      </w:r>
      <w:r>
        <w:rPr>
          <w:spacing w:val="2"/>
          <w:w w:val="99"/>
        </w:rPr>
        <w:t>兴</w:t>
      </w:r>
      <w:r>
        <w:rPr>
          <w:spacing w:val="-1"/>
          <w:w w:val="99"/>
        </w:rPr>
        <w:t>资</w:t>
      </w:r>
      <w:r>
        <w:rPr>
          <w:spacing w:val="2"/>
          <w:w w:val="99"/>
        </w:rPr>
        <w:t>管</w:t>
      </w:r>
      <w:r>
        <w:rPr>
          <w:spacing w:val="-104"/>
          <w:w w:val="99"/>
        </w:rPr>
        <w:t>”</w:t>
      </w:r>
      <w:r>
        <w:rPr>
          <w:spacing w:val="-1"/>
          <w:w w:val="99"/>
        </w:rPr>
        <w:t>）</w:t>
      </w:r>
      <w:r>
        <w:rPr>
          <w:spacing w:val="2"/>
          <w:w w:val="99"/>
        </w:rPr>
        <w:t>签</w:t>
      </w:r>
      <w:r>
        <w:rPr>
          <w:spacing w:val="-1"/>
          <w:w w:val="99"/>
        </w:rPr>
        <w:t>订</w:t>
      </w:r>
      <w:r>
        <w:rPr>
          <w:spacing w:val="2"/>
          <w:w w:val="99"/>
        </w:rPr>
        <w:t>合</w:t>
      </w:r>
      <w:r>
        <w:rPr>
          <w:spacing w:val="-1"/>
          <w:w w:val="99"/>
        </w:rPr>
        <w:t>资</w:t>
      </w:r>
      <w:r>
        <w:rPr>
          <w:spacing w:val="2"/>
          <w:w w:val="99"/>
        </w:rPr>
        <w:t>协</w:t>
      </w:r>
      <w:r>
        <w:rPr>
          <w:spacing w:val="-1"/>
          <w:w w:val="99"/>
        </w:rPr>
        <w:t>议</w:t>
      </w:r>
      <w:r>
        <w:rPr>
          <w:spacing w:val="2"/>
          <w:w w:val="99"/>
        </w:rPr>
        <w:t>，</w:t>
      </w:r>
      <w:r>
        <w:rPr>
          <w:spacing w:val="-1"/>
          <w:w w:val="99"/>
        </w:rPr>
        <w:t>双</w:t>
      </w:r>
      <w:r>
        <w:rPr>
          <w:spacing w:val="2"/>
          <w:w w:val="99"/>
        </w:rPr>
        <w:t>方</w:t>
      </w:r>
      <w:r>
        <w:rPr>
          <w:spacing w:val="-1"/>
          <w:w w:val="99"/>
        </w:rPr>
        <w:t>拟</w:t>
      </w:r>
      <w:r>
        <w:rPr>
          <w:spacing w:val="2"/>
          <w:w w:val="99"/>
        </w:rPr>
        <w:t>共</w:t>
      </w:r>
      <w:r>
        <w:rPr>
          <w:spacing w:val="-1"/>
          <w:w w:val="99"/>
        </w:rPr>
        <w:t>同</w:t>
      </w:r>
      <w:r>
        <w:rPr>
          <w:spacing w:val="2"/>
          <w:w w:val="99"/>
        </w:rPr>
        <w:t>投</w:t>
      </w:r>
      <w:r>
        <w:rPr>
          <w:w w:val="99"/>
        </w:rPr>
        <w:t>资</w:t>
      </w:r>
      <w:r>
        <w:rPr>
          <w:spacing w:val="-53"/>
        </w:rPr>
        <w:t> </w:t>
      </w:r>
      <w:r>
        <w:rPr>
          <w:spacing w:val="1"/>
          <w:w w:val="99"/>
        </w:rPr>
        <w:t>50</w:t>
      </w:r>
      <w:r>
        <w:rPr>
          <w:w w:val="99"/>
        </w:rPr>
        <w:t>0</w:t>
      </w:r>
      <w:r>
        <w:rPr>
          <w:spacing w:val="-54"/>
        </w:rPr>
        <w:t> </w:t>
      </w:r>
      <w:r>
        <w:rPr>
          <w:spacing w:val="-1"/>
          <w:w w:val="99"/>
        </w:rPr>
        <w:t>万</w:t>
      </w:r>
      <w:r>
        <w:rPr>
          <w:spacing w:val="2"/>
          <w:w w:val="99"/>
        </w:rPr>
        <w:t>元</w:t>
      </w:r>
      <w:r>
        <w:rPr>
          <w:spacing w:val="-1"/>
          <w:w w:val="99"/>
        </w:rPr>
        <w:t>设</w:t>
      </w:r>
      <w:r>
        <w:rPr>
          <w:spacing w:val="2"/>
          <w:w w:val="99"/>
        </w:rPr>
        <w:t>立</w:t>
      </w:r>
      <w:r>
        <w:rPr>
          <w:spacing w:val="-1"/>
          <w:w w:val="99"/>
        </w:rPr>
        <w:t>金</w:t>
      </w:r>
      <w:r>
        <w:rPr>
          <w:spacing w:val="2"/>
          <w:w w:val="99"/>
        </w:rPr>
        <w:t>华</w:t>
      </w:r>
      <w:r>
        <w:rPr>
          <w:w w:val="99"/>
        </w:rPr>
        <w:t>万</w:t>
      </w:r>
      <w:r>
        <w:rPr/>
      </w:r>
    </w:p>
    <w:p>
      <w:pPr>
        <w:pStyle w:val="Heading7"/>
        <w:spacing w:line="273" w:lineRule="auto" w:before="22"/>
        <w:ind w:right="1132"/>
        <w:jc w:val="left"/>
      </w:pPr>
      <w:r>
        <w:rPr>
          <w:spacing w:val="-1"/>
          <w:w w:val="99"/>
        </w:rPr>
        <w:t>马</w:t>
      </w:r>
      <w:r>
        <w:rPr>
          <w:spacing w:val="2"/>
          <w:w w:val="99"/>
        </w:rPr>
        <w:t>义</w:t>
      </w:r>
      <w:r>
        <w:rPr>
          <w:spacing w:val="-1"/>
          <w:w w:val="99"/>
        </w:rPr>
        <w:t>兴</w:t>
      </w:r>
      <w:r>
        <w:rPr>
          <w:spacing w:val="2"/>
          <w:w w:val="99"/>
        </w:rPr>
        <w:t>新</w:t>
      </w:r>
      <w:r>
        <w:rPr>
          <w:spacing w:val="-1"/>
          <w:w w:val="99"/>
        </w:rPr>
        <w:t>能</w:t>
      </w:r>
      <w:r>
        <w:rPr>
          <w:spacing w:val="2"/>
          <w:w w:val="99"/>
        </w:rPr>
        <w:t>源</w:t>
      </w:r>
      <w:r>
        <w:rPr>
          <w:spacing w:val="-1"/>
          <w:w w:val="99"/>
        </w:rPr>
        <w:t>开</w:t>
      </w:r>
      <w:r>
        <w:rPr>
          <w:spacing w:val="2"/>
          <w:w w:val="99"/>
        </w:rPr>
        <w:t>发</w:t>
      </w:r>
      <w:r>
        <w:rPr>
          <w:spacing w:val="-1"/>
          <w:w w:val="99"/>
        </w:rPr>
        <w:t>有</w:t>
      </w:r>
      <w:r>
        <w:rPr>
          <w:spacing w:val="2"/>
          <w:w w:val="99"/>
        </w:rPr>
        <w:t>限</w:t>
      </w:r>
      <w:r>
        <w:rPr>
          <w:spacing w:val="-1"/>
          <w:w w:val="99"/>
        </w:rPr>
        <w:t>公</w:t>
      </w:r>
      <w:r>
        <w:rPr>
          <w:spacing w:val="-3"/>
          <w:w w:val="99"/>
        </w:rPr>
        <w:t>司</w:t>
      </w:r>
      <w:r>
        <w:rPr>
          <w:spacing w:val="-1"/>
          <w:w w:val="99"/>
        </w:rPr>
        <w:t>（筹</w:t>
      </w:r>
      <w:r>
        <w:rPr>
          <w:spacing w:val="-104"/>
          <w:w w:val="99"/>
        </w:rPr>
        <w:t>）</w:t>
      </w:r>
      <w:r>
        <w:rPr>
          <w:spacing w:val="-8"/>
          <w:w w:val="99"/>
        </w:rPr>
        <w:t>。</w:t>
      </w:r>
      <w:r>
        <w:rPr>
          <w:spacing w:val="-1"/>
          <w:w w:val="99"/>
        </w:rPr>
        <w:t>具</w:t>
      </w:r>
      <w:r>
        <w:rPr>
          <w:spacing w:val="2"/>
          <w:w w:val="99"/>
        </w:rPr>
        <w:t>体</w:t>
      </w:r>
      <w:r>
        <w:rPr>
          <w:spacing w:val="-1"/>
          <w:w w:val="99"/>
        </w:rPr>
        <w:t>内</w:t>
      </w:r>
      <w:r>
        <w:rPr>
          <w:spacing w:val="2"/>
          <w:w w:val="99"/>
        </w:rPr>
        <w:t>容</w:t>
      </w:r>
      <w:r>
        <w:rPr>
          <w:spacing w:val="-1"/>
          <w:w w:val="99"/>
        </w:rPr>
        <w:t>详</w:t>
      </w:r>
      <w:r>
        <w:rPr>
          <w:w w:val="99"/>
        </w:rPr>
        <w:t>见</w:t>
      </w:r>
      <w:r>
        <w:rPr>
          <w:spacing w:val="-50"/>
        </w:rPr>
        <w:t> </w:t>
      </w:r>
      <w:r>
        <w:rPr>
          <w:spacing w:val="1"/>
          <w:w w:val="99"/>
        </w:rPr>
        <w:t>201</w:t>
      </w:r>
      <w:r>
        <w:rPr>
          <w:w w:val="99"/>
        </w:rPr>
        <w:t>8</w:t>
      </w:r>
      <w:r>
        <w:rPr>
          <w:spacing w:val="-54"/>
        </w:rPr>
        <w:t> </w:t>
      </w:r>
      <w:r>
        <w:rPr>
          <w:w w:val="99"/>
        </w:rPr>
        <w:t>年</w:t>
      </w:r>
      <w:r>
        <w:rPr>
          <w:spacing w:val="-53"/>
        </w:rPr>
        <w:t> </w:t>
      </w:r>
      <w:r>
        <w:rPr>
          <w:w w:val="99"/>
        </w:rPr>
        <w:t>3</w:t>
      </w:r>
      <w:r>
        <w:rPr>
          <w:spacing w:val="-52"/>
        </w:rPr>
        <w:t> </w:t>
      </w:r>
      <w:r>
        <w:rPr>
          <w:w w:val="99"/>
        </w:rPr>
        <w:t>月</w:t>
      </w:r>
      <w:r>
        <w:rPr>
          <w:spacing w:val="-53"/>
        </w:rPr>
        <w:t> </w:t>
      </w:r>
      <w:r>
        <w:rPr>
          <w:w w:val="99"/>
        </w:rPr>
        <w:t>6</w:t>
      </w:r>
      <w:r>
        <w:rPr>
          <w:spacing w:val="-52"/>
        </w:rPr>
        <w:t> </w:t>
      </w:r>
      <w:r>
        <w:rPr>
          <w:spacing w:val="-1"/>
          <w:w w:val="99"/>
        </w:rPr>
        <w:t>日</w:t>
      </w:r>
      <w:r>
        <w:rPr>
          <w:spacing w:val="2"/>
          <w:w w:val="99"/>
        </w:rPr>
        <w:t>巨</w:t>
      </w:r>
      <w:r>
        <w:rPr>
          <w:spacing w:val="-1"/>
          <w:w w:val="99"/>
        </w:rPr>
        <w:t>潮</w:t>
      </w:r>
      <w:r>
        <w:rPr>
          <w:spacing w:val="2"/>
          <w:w w:val="99"/>
        </w:rPr>
        <w:t>资</w:t>
      </w:r>
      <w:r>
        <w:rPr>
          <w:spacing w:val="-1"/>
          <w:w w:val="99"/>
        </w:rPr>
        <w:t>讯</w:t>
      </w:r>
      <w:r>
        <w:rPr>
          <w:spacing w:val="-5"/>
          <w:w w:val="99"/>
        </w:rPr>
        <w:t>网</w:t>
      </w:r>
      <w:r>
        <w:rPr>
          <w:spacing w:val="2"/>
          <w:w w:val="99"/>
        </w:rPr>
        <w:t>《</w:t>
      </w:r>
      <w:r>
        <w:rPr>
          <w:spacing w:val="-1"/>
          <w:w w:val="99"/>
        </w:rPr>
        <w:t>关</w:t>
      </w:r>
      <w:r>
        <w:rPr>
          <w:spacing w:val="2"/>
          <w:w w:val="99"/>
        </w:rPr>
        <w:t>于</w:t>
      </w:r>
      <w:r>
        <w:rPr>
          <w:spacing w:val="-1"/>
          <w:w w:val="99"/>
        </w:rPr>
        <w:t>合</w:t>
      </w:r>
      <w:r>
        <w:rPr>
          <w:spacing w:val="2"/>
          <w:w w:val="99"/>
        </w:rPr>
        <w:t>资</w:t>
      </w:r>
      <w:r>
        <w:rPr>
          <w:spacing w:val="-1"/>
          <w:w w:val="99"/>
        </w:rPr>
        <w:t>设</w:t>
      </w:r>
      <w:r>
        <w:rPr>
          <w:spacing w:val="2"/>
          <w:w w:val="99"/>
        </w:rPr>
        <w:t>立</w:t>
      </w:r>
      <w:r>
        <w:rPr>
          <w:spacing w:val="-1"/>
          <w:w w:val="99"/>
        </w:rPr>
        <w:t>金</w:t>
      </w:r>
      <w:r>
        <w:rPr>
          <w:spacing w:val="2"/>
          <w:w w:val="99"/>
        </w:rPr>
        <w:t>华</w:t>
      </w:r>
      <w:r>
        <w:rPr>
          <w:spacing w:val="-1"/>
          <w:w w:val="99"/>
        </w:rPr>
        <w:t>万</w:t>
      </w:r>
      <w:r>
        <w:rPr>
          <w:spacing w:val="2"/>
          <w:w w:val="99"/>
        </w:rPr>
        <w:t>马</w:t>
      </w:r>
      <w:r>
        <w:rPr>
          <w:w w:val="99"/>
        </w:rPr>
        <w:t>义</w:t>
      </w:r>
      <w:r>
        <w:rPr>
          <w:w w:val="99"/>
        </w:rPr>
        <w:t> </w:t>
      </w:r>
      <w:r>
        <w:rPr>
          <w:spacing w:val="-1"/>
          <w:w w:val="99"/>
        </w:rPr>
        <w:t>兴</w:t>
      </w:r>
      <w:r>
        <w:rPr>
          <w:spacing w:val="2"/>
          <w:w w:val="99"/>
        </w:rPr>
        <w:t>新</w:t>
      </w:r>
      <w:r>
        <w:rPr>
          <w:spacing w:val="-1"/>
          <w:w w:val="99"/>
        </w:rPr>
        <w:t>能</w:t>
      </w:r>
      <w:r>
        <w:rPr>
          <w:spacing w:val="2"/>
          <w:w w:val="99"/>
        </w:rPr>
        <w:t>源</w:t>
      </w:r>
      <w:r>
        <w:rPr>
          <w:spacing w:val="-1"/>
          <w:w w:val="99"/>
        </w:rPr>
        <w:t>开</w:t>
      </w:r>
      <w:r>
        <w:rPr>
          <w:spacing w:val="2"/>
          <w:w w:val="99"/>
        </w:rPr>
        <w:t>发</w:t>
      </w:r>
      <w:r>
        <w:rPr>
          <w:spacing w:val="-1"/>
          <w:w w:val="99"/>
        </w:rPr>
        <w:t>有</w:t>
      </w:r>
      <w:r>
        <w:rPr>
          <w:spacing w:val="2"/>
          <w:w w:val="99"/>
        </w:rPr>
        <w:t>限</w:t>
      </w:r>
      <w:r>
        <w:rPr>
          <w:spacing w:val="-1"/>
          <w:w w:val="99"/>
        </w:rPr>
        <w:t>公</w:t>
      </w:r>
      <w:r>
        <w:rPr>
          <w:spacing w:val="2"/>
          <w:w w:val="99"/>
        </w:rPr>
        <w:t>司</w:t>
      </w:r>
      <w:r>
        <w:rPr>
          <w:spacing w:val="-1"/>
          <w:w w:val="99"/>
        </w:rPr>
        <w:t>的</w:t>
      </w:r>
      <w:r>
        <w:rPr>
          <w:spacing w:val="2"/>
          <w:w w:val="99"/>
        </w:rPr>
        <w:t>公告</w:t>
      </w:r>
      <w:r>
        <w:rPr>
          <w:spacing w:val="-104"/>
          <w:w w:val="99"/>
        </w:rPr>
        <w:t>》</w:t>
      </w:r>
      <w:r>
        <w:rPr>
          <w:spacing w:val="-1"/>
          <w:w w:val="99"/>
        </w:rPr>
        <w:t>（</w:t>
      </w:r>
      <w:r>
        <w:rPr>
          <w:spacing w:val="2"/>
          <w:w w:val="99"/>
        </w:rPr>
        <w:t>公</w:t>
      </w:r>
      <w:r>
        <w:rPr>
          <w:spacing w:val="-1"/>
          <w:w w:val="99"/>
        </w:rPr>
        <w:t>告</w:t>
      </w:r>
      <w:r>
        <w:rPr>
          <w:spacing w:val="2"/>
          <w:w w:val="99"/>
        </w:rPr>
        <w:t>编</w:t>
      </w:r>
      <w:r>
        <w:rPr>
          <w:spacing w:val="-1"/>
          <w:w w:val="99"/>
        </w:rPr>
        <w:t>号</w:t>
      </w:r>
      <w:r>
        <w:rPr>
          <w:spacing w:val="2"/>
          <w:w w:val="99"/>
        </w:rPr>
        <w:t>：</w:t>
      </w:r>
      <w:r>
        <w:rPr>
          <w:spacing w:val="1"/>
          <w:w w:val="99"/>
        </w:rPr>
        <w:t>20</w:t>
      </w:r>
      <w:r>
        <w:rPr>
          <w:spacing w:val="-2"/>
          <w:w w:val="99"/>
        </w:rPr>
        <w:t>1</w:t>
      </w:r>
      <w:r>
        <w:rPr>
          <w:spacing w:val="1"/>
          <w:w w:val="99"/>
        </w:rPr>
        <w:t>8-</w:t>
      </w:r>
      <w:r>
        <w:rPr>
          <w:spacing w:val="-2"/>
          <w:w w:val="99"/>
        </w:rPr>
        <w:t>0</w:t>
      </w:r>
      <w:r>
        <w:rPr>
          <w:spacing w:val="1"/>
          <w:w w:val="99"/>
        </w:rPr>
        <w:t>10</w:t>
      </w:r>
      <w:r>
        <w:rPr>
          <w:spacing w:val="-106"/>
          <w:w w:val="99"/>
        </w:rPr>
        <w:t>）</w:t>
      </w:r>
      <w:r>
        <w:rPr>
          <w:spacing w:val="2"/>
          <w:w w:val="99"/>
        </w:rPr>
        <w:t>。</w:t>
      </w:r>
      <w:r>
        <w:rPr>
          <w:spacing w:val="-1"/>
          <w:w w:val="99"/>
        </w:rPr>
        <w:t>因</w:t>
      </w:r>
      <w:r>
        <w:rPr>
          <w:spacing w:val="2"/>
          <w:w w:val="99"/>
        </w:rPr>
        <w:t>合</w:t>
      </w:r>
      <w:r>
        <w:rPr>
          <w:spacing w:val="-1"/>
          <w:w w:val="99"/>
        </w:rPr>
        <w:t>作</w:t>
      </w:r>
      <w:r>
        <w:rPr>
          <w:spacing w:val="2"/>
          <w:w w:val="99"/>
        </w:rPr>
        <w:t>各</w:t>
      </w:r>
      <w:r>
        <w:rPr>
          <w:spacing w:val="-1"/>
          <w:w w:val="99"/>
        </w:rPr>
        <w:t>方</w:t>
      </w:r>
      <w:r>
        <w:rPr>
          <w:spacing w:val="2"/>
          <w:w w:val="99"/>
        </w:rPr>
        <w:t>原</w:t>
      </w:r>
      <w:r>
        <w:rPr>
          <w:spacing w:val="-1"/>
          <w:w w:val="99"/>
        </w:rPr>
        <w:t>因</w:t>
      </w:r>
      <w:r>
        <w:rPr>
          <w:spacing w:val="2"/>
          <w:w w:val="99"/>
        </w:rPr>
        <w:t>，</w:t>
      </w:r>
      <w:r>
        <w:rPr>
          <w:spacing w:val="-1"/>
          <w:w w:val="99"/>
        </w:rPr>
        <w:t>该</w:t>
      </w:r>
      <w:r>
        <w:rPr>
          <w:spacing w:val="2"/>
          <w:w w:val="99"/>
        </w:rPr>
        <w:t>项</w:t>
      </w:r>
      <w:r>
        <w:rPr>
          <w:spacing w:val="-1"/>
          <w:w w:val="99"/>
        </w:rPr>
        <w:t>投</w:t>
      </w:r>
      <w:r>
        <w:rPr>
          <w:spacing w:val="2"/>
          <w:w w:val="99"/>
        </w:rPr>
        <w:t>资</w:t>
      </w:r>
      <w:r>
        <w:rPr>
          <w:spacing w:val="-1"/>
          <w:w w:val="99"/>
        </w:rPr>
        <w:t>取</w:t>
      </w:r>
      <w:r>
        <w:rPr>
          <w:spacing w:val="2"/>
          <w:w w:val="99"/>
        </w:rPr>
        <w:t>消</w:t>
      </w:r>
      <w:r>
        <w:rPr>
          <w:w w:val="99"/>
        </w:rPr>
        <w:t>。</w:t>
      </w:r>
      <w:r>
        <w:rPr/>
      </w:r>
    </w:p>
    <w:p>
      <w:pPr>
        <w:spacing w:line="240" w:lineRule="auto" w:before="0"/>
        <w:rPr>
          <w:rFonts w:ascii="宋体" w:hAnsi="宋体" w:cs="宋体" w:eastAsia="宋体" w:hint="default"/>
          <w:sz w:val="20"/>
          <w:szCs w:val="20"/>
        </w:rPr>
      </w:pPr>
    </w:p>
    <w:p>
      <w:pPr>
        <w:spacing w:line="307" w:lineRule="auto" w:before="137"/>
        <w:ind w:left="472" w:right="0" w:firstLine="0"/>
        <w:jc w:val="left"/>
        <w:rPr>
          <w:rFonts w:ascii="宋体" w:hAnsi="宋体" w:cs="宋体" w:eastAsia="宋体" w:hint="default"/>
          <w:sz w:val="21"/>
          <w:szCs w:val="21"/>
        </w:rPr>
      </w:pPr>
      <w:r>
        <w:rPr>
          <w:rFonts w:ascii="宋体" w:hAnsi="宋体" w:cs="宋体" w:eastAsia="宋体" w:hint="default"/>
          <w:b/>
          <w:bCs/>
          <w:sz w:val="21"/>
          <w:szCs w:val="21"/>
        </w:rPr>
        <w:t>2.新能源产业垂直整合进展。</w:t>
      </w:r>
      <w:r>
        <w:rPr>
          <w:rFonts w:ascii="宋体" w:hAnsi="宋体" w:cs="宋体" w:eastAsia="宋体" w:hint="default"/>
          <w:b/>
          <w:bCs/>
          <w:w w:val="99"/>
          <w:sz w:val="21"/>
          <w:szCs w:val="21"/>
        </w:rPr>
        <w:t> </w:t>
      </w:r>
      <w:r>
        <w:rPr>
          <w:rFonts w:ascii="宋体" w:hAnsi="宋体" w:cs="宋体" w:eastAsia="宋体" w:hint="default"/>
          <w:w w:val="95"/>
          <w:sz w:val="21"/>
          <w:szCs w:val="21"/>
        </w:rPr>
        <w:t>为理顺业务架构，加强产业管理，整合资源，形成协同效应，经公司第四届董事会第二次会议、2016</w:t>
      </w:r>
      <w:r>
        <w:rPr>
          <w:rFonts w:ascii="宋体" w:hAnsi="宋体" w:cs="宋体" w:eastAsia="宋体" w:hint="default"/>
          <w:sz w:val="21"/>
          <w:szCs w:val="21"/>
        </w:rPr>
      </w:r>
    </w:p>
    <w:p>
      <w:pPr>
        <w:pStyle w:val="Heading7"/>
        <w:spacing w:line="253" w:lineRule="exact"/>
        <w:ind w:right="0"/>
        <w:jc w:val="both"/>
      </w:pPr>
      <w:r>
        <w:rPr>
          <w:spacing w:val="-1"/>
          <w:w w:val="99"/>
        </w:rPr>
        <w:t>年</w:t>
      </w:r>
      <w:r>
        <w:rPr>
          <w:spacing w:val="2"/>
          <w:w w:val="99"/>
        </w:rPr>
        <w:t>第</w:t>
      </w:r>
      <w:r>
        <w:rPr>
          <w:spacing w:val="-1"/>
          <w:w w:val="99"/>
        </w:rPr>
        <w:t>四</w:t>
      </w:r>
      <w:r>
        <w:rPr>
          <w:spacing w:val="2"/>
          <w:w w:val="99"/>
        </w:rPr>
        <w:t>次</w:t>
      </w:r>
      <w:r>
        <w:rPr>
          <w:spacing w:val="-1"/>
          <w:w w:val="99"/>
        </w:rPr>
        <w:t>临</w:t>
      </w:r>
      <w:r>
        <w:rPr>
          <w:spacing w:val="2"/>
          <w:w w:val="99"/>
        </w:rPr>
        <w:t>时</w:t>
      </w:r>
      <w:r>
        <w:rPr>
          <w:spacing w:val="-1"/>
          <w:w w:val="99"/>
        </w:rPr>
        <w:t>股</w:t>
      </w:r>
      <w:r>
        <w:rPr>
          <w:spacing w:val="2"/>
          <w:w w:val="99"/>
        </w:rPr>
        <w:t>东</w:t>
      </w:r>
      <w:r>
        <w:rPr>
          <w:spacing w:val="-1"/>
          <w:w w:val="99"/>
        </w:rPr>
        <w:t>大</w:t>
      </w:r>
      <w:r>
        <w:rPr>
          <w:spacing w:val="2"/>
          <w:w w:val="99"/>
        </w:rPr>
        <w:t>会</w:t>
      </w:r>
      <w:r>
        <w:rPr>
          <w:spacing w:val="-1"/>
          <w:w w:val="99"/>
        </w:rPr>
        <w:t>审</w:t>
      </w:r>
      <w:r>
        <w:rPr>
          <w:spacing w:val="2"/>
          <w:w w:val="99"/>
        </w:rPr>
        <w:t>议</w:t>
      </w:r>
      <w:r>
        <w:rPr>
          <w:spacing w:val="-1"/>
          <w:w w:val="99"/>
        </w:rPr>
        <w:t>通</w:t>
      </w:r>
      <w:r>
        <w:rPr>
          <w:spacing w:val="2"/>
          <w:w w:val="99"/>
        </w:rPr>
        <w:t>过</w:t>
      </w:r>
      <w:r>
        <w:rPr>
          <w:spacing w:val="-1"/>
          <w:w w:val="99"/>
        </w:rPr>
        <w:t>《</w:t>
      </w:r>
      <w:r>
        <w:rPr>
          <w:spacing w:val="2"/>
          <w:w w:val="99"/>
        </w:rPr>
        <w:t>关</w:t>
      </w:r>
      <w:r>
        <w:rPr>
          <w:spacing w:val="-1"/>
          <w:w w:val="99"/>
        </w:rPr>
        <w:t>于</w:t>
      </w:r>
      <w:r>
        <w:rPr>
          <w:spacing w:val="2"/>
          <w:w w:val="99"/>
        </w:rPr>
        <w:t>成</w:t>
      </w:r>
      <w:r>
        <w:rPr>
          <w:spacing w:val="-1"/>
          <w:w w:val="99"/>
        </w:rPr>
        <w:t>立</w:t>
      </w:r>
      <w:r>
        <w:rPr>
          <w:spacing w:val="2"/>
          <w:w w:val="99"/>
        </w:rPr>
        <w:t>新</w:t>
      </w:r>
      <w:r>
        <w:rPr>
          <w:spacing w:val="-1"/>
          <w:w w:val="99"/>
        </w:rPr>
        <w:t>能</w:t>
      </w:r>
      <w:r>
        <w:rPr>
          <w:spacing w:val="2"/>
          <w:w w:val="99"/>
        </w:rPr>
        <w:t>源</w:t>
      </w:r>
      <w:r>
        <w:rPr>
          <w:spacing w:val="-1"/>
          <w:w w:val="99"/>
        </w:rPr>
        <w:t>产</w:t>
      </w:r>
      <w:r>
        <w:rPr>
          <w:spacing w:val="2"/>
          <w:w w:val="99"/>
        </w:rPr>
        <w:t>业</w:t>
      </w:r>
      <w:r>
        <w:rPr>
          <w:spacing w:val="-1"/>
          <w:w w:val="99"/>
        </w:rPr>
        <w:t>公</w:t>
      </w:r>
      <w:r>
        <w:rPr>
          <w:spacing w:val="2"/>
          <w:w w:val="99"/>
        </w:rPr>
        <w:t>司</w:t>
      </w:r>
      <w:r>
        <w:rPr>
          <w:spacing w:val="-1"/>
          <w:w w:val="99"/>
        </w:rPr>
        <w:t>暨</w:t>
      </w:r>
      <w:r>
        <w:rPr>
          <w:spacing w:val="2"/>
          <w:w w:val="99"/>
        </w:rPr>
        <w:t>拟</w:t>
      </w:r>
      <w:r>
        <w:rPr>
          <w:spacing w:val="-1"/>
          <w:w w:val="99"/>
        </w:rPr>
        <w:t>对</w:t>
      </w:r>
      <w:r>
        <w:rPr>
          <w:spacing w:val="2"/>
          <w:w w:val="99"/>
        </w:rPr>
        <w:t>新</w:t>
      </w:r>
      <w:r>
        <w:rPr>
          <w:spacing w:val="-1"/>
          <w:w w:val="99"/>
        </w:rPr>
        <w:t>能</w:t>
      </w:r>
      <w:r>
        <w:rPr>
          <w:spacing w:val="2"/>
          <w:w w:val="99"/>
        </w:rPr>
        <w:t>源</w:t>
      </w:r>
      <w:r>
        <w:rPr>
          <w:spacing w:val="-1"/>
          <w:w w:val="99"/>
        </w:rPr>
        <w:t>产</w:t>
      </w:r>
      <w:r>
        <w:rPr>
          <w:spacing w:val="2"/>
          <w:w w:val="99"/>
        </w:rPr>
        <w:t>业</w:t>
      </w:r>
      <w:r>
        <w:rPr>
          <w:spacing w:val="-1"/>
          <w:w w:val="99"/>
        </w:rPr>
        <w:t>进</w:t>
      </w:r>
      <w:r>
        <w:rPr>
          <w:spacing w:val="2"/>
          <w:w w:val="99"/>
        </w:rPr>
        <w:t>行</w:t>
      </w:r>
      <w:r>
        <w:rPr>
          <w:spacing w:val="-1"/>
          <w:w w:val="99"/>
        </w:rPr>
        <w:t>垂</w:t>
      </w:r>
      <w:r>
        <w:rPr>
          <w:spacing w:val="2"/>
          <w:w w:val="99"/>
        </w:rPr>
        <w:t>直</w:t>
      </w:r>
      <w:r>
        <w:rPr>
          <w:spacing w:val="-1"/>
          <w:w w:val="99"/>
        </w:rPr>
        <w:t>整</w:t>
      </w:r>
      <w:r>
        <w:rPr>
          <w:spacing w:val="2"/>
          <w:w w:val="99"/>
        </w:rPr>
        <w:t>合</w:t>
      </w:r>
      <w:r>
        <w:rPr>
          <w:spacing w:val="-1"/>
          <w:w w:val="99"/>
        </w:rPr>
        <w:t>的</w:t>
      </w:r>
      <w:r>
        <w:rPr>
          <w:spacing w:val="2"/>
          <w:w w:val="99"/>
        </w:rPr>
        <w:t>议案</w:t>
      </w:r>
      <w:r>
        <w:rPr>
          <w:spacing w:val="-104"/>
          <w:w w:val="99"/>
        </w:rPr>
        <w:t>》</w:t>
      </w:r>
      <w:r>
        <w:rPr>
          <w:spacing w:val="-1"/>
          <w:w w:val="99"/>
        </w:rPr>
        <w:t>，</w:t>
      </w:r>
      <w:r>
        <w:rPr>
          <w:w w:val="99"/>
        </w:rPr>
        <w:t>公</w:t>
      </w:r>
      <w:r>
        <w:rPr/>
      </w:r>
    </w:p>
    <w:p>
      <w:pPr>
        <w:pStyle w:val="Heading7"/>
        <w:spacing w:line="273" w:lineRule="auto" w:before="37"/>
        <w:ind w:right="0"/>
        <w:jc w:val="left"/>
      </w:pPr>
      <w:r>
        <w:rPr>
          <w:w w:val="95"/>
        </w:rPr>
        <w:t>司以股权及现金相结合的方式投资设立浙江万马奔腾新能源产业有限公司，并拟将万马股份所持有的新能</w:t>
      </w:r>
      <w:r>
        <w:rPr>
          <w:spacing w:val="39"/>
          <w:w w:val="95"/>
        </w:rPr>
        <w:t> </w:t>
      </w:r>
      <w:r>
        <w:rPr>
          <w:spacing w:val="39"/>
          <w:w w:val="95"/>
        </w:rPr>
      </w:r>
      <w:r>
        <w:rPr/>
        <w:t>源板块子公司股权转让给该产业公司，实现新能源产业的内部垂直整合。具体内容详见</w:t>
      </w:r>
      <w:r>
        <w:rPr>
          <w:spacing w:val="-56"/>
        </w:rPr>
        <w:t> </w:t>
      </w:r>
      <w:r>
        <w:rPr/>
        <w:t>2016</w:t>
      </w:r>
      <w:r>
        <w:rPr>
          <w:spacing w:val="-57"/>
        </w:rPr>
        <w:t> </w:t>
      </w:r>
      <w:r>
        <w:rPr/>
        <w:t>年</w:t>
      </w:r>
      <w:r>
        <w:rPr>
          <w:spacing w:val="-58"/>
        </w:rPr>
        <w:t> </w:t>
      </w:r>
      <w:r>
        <w:rPr/>
        <w:t>10</w:t>
      </w:r>
      <w:r>
        <w:rPr>
          <w:spacing w:val="-57"/>
        </w:rPr>
        <w:t> </w:t>
      </w:r>
      <w:r>
        <w:rPr/>
        <w:t>月</w:t>
      </w:r>
      <w:r>
        <w:rPr>
          <w:spacing w:val="-58"/>
        </w:rPr>
        <w:t> </w:t>
      </w:r>
      <w:r>
        <w:rPr/>
        <w:t>18</w:t>
      </w:r>
    </w:p>
    <w:p>
      <w:pPr>
        <w:pStyle w:val="Heading7"/>
        <w:spacing w:line="307" w:lineRule="auto" w:before="7"/>
        <w:ind w:left="472" w:right="0" w:hanging="360"/>
        <w:jc w:val="left"/>
      </w:pPr>
      <w:r>
        <w:rPr/>
        <w:t>日、2016</w:t>
      </w:r>
      <w:r>
        <w:rPr>
          <w:spacing w:val="-55"/>
        </w:rPr>
        <w:t> </w:t>
      </w:r>
      <w:r>
        <w:rPr/>
        <w:t>年</w:t>
      </w:r>
      <w:r>
        <w:rPr>
          <w:spacing w:val="-51"/>
        </w:rPr>
        <w:t> </w:t>
      </w:r>
      <w:r>
        <w:rPr/>
        <w:t>11</w:t>
      </w:r>
      <w:r>
        <w:rPr>
          <w:spacing w:val="-55"/>
        </w:rPr>
        <w:t> </w:t>
      </w:r>
      <w:r>
        <w:rPr/>
        <w:t>月</w:t>
      </w:r>
      <w:r>
        <w:rPr>
          <w:spacing w:val="-54"/>
        </w:rPr>
        <w:t> </w:t>
      </w:r>
      <w:r>
        <w:rPr/>
        <w:t>3</w:t>
      </w:r>
      <w:r>
        <w:rPr>
          <w:spacing w:val="-53"/>
        </w:rPr>
        <w:t> </w:t>
      </w:r>
      <w:r>
        <w:rPr/>
        <w:t>日巨潮资讯网公司相关公告。</w:t>
      </w:r>
      <w:r>
        <w:rPr>
          <w:w w:val="99"/>
        </w:rPr>
        <w:t> </w:t>
      </w:r>
      <w:r>
        <w:rPr>
          <w:w w:val="95"/>
        </w:rPr>
        <w:t>截至报告期末，万马股份所持有的浙江万马新能源有限公司、浙江万马爱充网络科技有限公司、浙江</w:t>
      </w:r>
      <w:r>
        <w:rPr/>
      </w:r>
    </w:p>
    <w:p>
      <w:pPr>
        <w:pStyle w:val="Heading7"/>
        <w:spacing w:line="253" w:lineRule="exact"/>
        <w:ind w:right="0"/>
        <w:jc w:val="both"/>
      </w:pPr>
      <w:r>
        <w:rPr/>
        <w:t>万马海立斯新能源有限公司、山东万恩新能源科技有限公司、浙江万马光伏有限公司的股权已转让至万马</w:t>
      </w:r>
    </w:p>
    <w:p>
      <w:pPr>
        <w:pStyle w:val="Heading7"/>
        <w:spacing w:line="240" w:lineRule="auto" w:before="37"/>
        <w:ind w:right="0"/>
        <w:jc w:val="both"/>
      </w:pPr>
      <w:r>
        <w:rPr/>
        <w:t>奔腾新能源。</w:t>
      </w:r>
    </w:p>
    <w:p>
      <w:pPr>
        <w:spacing w:after="0" w:line="240" w:lineRule="auto"/>
        <w:jc w:val="both"/>
        <w:sectPr>
          <w:pgSz w:w="11910" w:h="16840"/>
          <w:pgMar w:header="890" w:footer="1012" w:top="1420" w:bottom="1200" w:left="1020" w:right="0"/>
        </w:sectPr>
      </w:pPr>
    </w:p>
    <w:p>
      <w:pPr>
        <w:spacing w:line="240" w:lineRule="auto" w:before="6"/>
        <w:rPr>
          <w:rFonts w:ascii="宋体" w:hAnsi="宋体" w:cs="宋体" w:eastAsia="宋体" w:hint="default"/>
          <w:sz w:val="27"/>
          <w:szCs w:val="27"/>
        </w:rPr>
      </w:pPr>
    </w:p>
    <w:p>
      <w:pPr>
        <w:pStyle w:val="Heading6"/>
        <w:spacing w:line="240" w:lineRule="auto" w:before="34"/>
        <w:ind w:left="472" w:right="0"/>
        <w:jc w:val="left"/>
        <w:rPr>
          <w:b w:val="0"/>
          <w:bCs w:val="0"/>
        </w:rPr>
      </w:pPr>
      <w:r>
        <w:rPr/>
        <w:t>3.新材料全国布局推进中。</w:t>
      </w:r>
      <w:r>
        <w:rPr>
          <w:b w:val="0"/>
          <w:bCs w:val="0"/>
        </w:rPr>
      </w:r>
    </w:p>
    <w:p>
      <w:pPr>
        <w:pStyle w:val="Heading7"/>
        <w:spacing w:line="268" w:lineRule="auto" w:before="37"/>
        <w:ind w:right="1130" w:firstLine="420"/>
        <w:jc w:val="both"/>
      </w:pPr>
      <w:r>
        <w:rPr>
          <w:rFonts w:ascii="Times New Roman" w:hAnsi="Times New Roman" w:cs="Times New Roman" w:eastAsia="Times New Roman" w:hint="default"/>
          <w:w w:val="95"/>
        </w:rPr>
        <w:t>2018</w:t>
      </w:r>
      <w:r>
        <w:rPr>
          <w:w w:val="95"/>
        </w:rPr>
        <w:t>年10月，为贴近客户需求，提升服务效率，降低运输成本，扩大公司新材料板块的产能，逐步实</w:t>
      </w:r>
      <w:r>
        <w:rPr>
          <w:spacing w:val="-97"/>
          <w:w w:val="95"/>
        </w:rPr>
        <w:t> </w:t>
      </w:r>
      <w:r>
        <w:rPr>
          <w:spacing w:val="-97"/>
          <w:w w:val="95"/>
        </w:rPr>
      </w:r>
      <w:r>
        <w:rPr>
          <w:w w:val="99"/>
        </w:rPr>
        <w:t>现全国布局，子公司万马高分子在广东设立“清远万马新材料有限公司”，在浙江湖州设立湖州万马新材</w:t>
      </w:r>
      <w:r>
        <w:rPr>
          <w:spacing w:val="-98"/>
          <w:w w:val="99"/>
        </w:rPr>
        <w:t> </w:t>
      </w:r>
      <w:r>
        <w:rPr>
          <w:spacing w:val="-98"/>
          <w:w w:val="99"/>
        </w:rPr>
      </w:r>
      <w:r>
        <w:rPr>
          <w:w w:val="95"/>
        </w:rPr>
        <w:t>料有限公司。具体内容详见2018年10月10日巨潮资讯网《关于万马高分子在广州、湖州投资设立子公司的</w:t>
      </w:r>
      <w:r>
        <w:rPr>
          <w:spacing w:val="43"/>
          <w:w w:val="95"/>
        </w:rPr>
        <w:t> </w:t>
      </w:r>
      <w:r>
        <w:rPr>
          <w:spacing w:val="43"/>
          <w:w w:val="95"/>
        </w:rPr>
      </w:r>
      <w:r>
        <w:rPr>
          <w:spacing w:val="-4"/>
          <w:w w:val="99"/>
        </w:rPr>
        <w:t>公告》（公告编号：2018-058）。目前，清远万马正在按计划投资建设中；湖州万马因地方产业规划等问题</w:t>
      </w:r>
      <w:r>
        <w:rPr>
          <w:w w:val="99"/>
        </w:rPr>
        <w:t> </w:t>
      </w:r>
      <w:r>
        <w:rPr/>
        <w:t>取消投资。</w:t>
      </w:r>
    </w:p>
    <w:p>
      <w:pPr>
        <w:spacing w:line="240" w:lineRule="auto" w:before="10"/>
        <w:rPr>
          <w:rFonts w:ascii="宋体" w:hAnsi="宋体" w:cs="宋体" w:eastAsia="宋体" w:hint="default"/>
          <w:sz w:val="24"/>
          <w:szCs w:val="24"/>
        </w:rPr>
      </w:pPr>
    </w:p>
    <w:p>
      <w:pPr>
        <w:pStyle w:val="Heading6"/>
        <w:spacing w:line="240" w:lineRule="auto"/>
        <w:ind w:left="472" w:right="0"/>
        <w:jc w:val="left"/>
        <w:rPr>
          <w:b w:val="0"/>
          <w:bCs w:val="0"/>
        </w:rPr>
      </w:pPr>
      <w:r>
        <w:rPr/>
        <w:t>4.国际化之路。</w:t>
      </w:r>
      <w:r>
        <w:rPr>
          <w:b w:val="0"/>
          <w:bCs w:val="0"/>
        </w:rPr>
      </w:r>
    </w:p>
    <w:p>
      <w:pPr>
        <w:pStyle w:val="Heading7"/>
        <w:spacing w:line="273" w:lineRule="auto" w:before="37"/>
        <w:ind w:right="1025" w:firstLine="360"/>
        <w:jc w:val="left"/>
      </w:pPr>
      <w:r>
        <w:rPr/>
        <w:t>为推进公司向国际化进程迈进步伐，公司对子公司</w:t>
      </w:r>
      <w:r>
        <w:rPr>
          <w:spacing w:val="-7"/>
        </w:rPr>
        <w:t> </w:t>
      </w:r>
      <w:r>
        <w:rPr/>
        <w:t>Optrum</w:t>
      </w:r>
      <w:r>
        <w:rPr>
          <w:spacing w:val="-41"/>
        </w:rPr>
        <w:t> </w:t>
      </w:r>
      <w:r>
        <w:rPr/>
        <w:t>Technology</w:t>
      </w:r>
      <w:r>
        <w:rPr>
          <w:spacing w:val="-38"/>
        </w:rPr>
        <w:t> </w:t>
      </w:r>
      <w:r>
        <w:rPr/>
        <w:t>LLC（奥创科技有限责任公司）</w:t>
      </w:r>
      <w:r>
        <w:rPr>
          <w:w w:val="99"/>
        </w:rPr>
        <w:t> </w:t>
      </w:r>
      <w:r>
        <w:rPr/>
        <w:t>以自有资金现金增资100万美元。具体内容详见2018年11月29日巨潮资讯网《关于对全资子公司Optrum</w:t>
      </w:r>
      <w:r>
        <w:rPr>
          <w:w w:val="99"/>
        </w:rPr>
        <w:t> Technology</w:t>
      </w:r>
      <w:r>
        <w:rPr>
          <w:spacing w:val="30"/>
          <w:w w:val="99"/>
        </w:rPr>
        <w:t> </w:t>
      </w:r>
      <w:r>
        <w:rPr>
          <w:spacing w:val="-6"/>
          <w:w w:val="99"/>
        </w:rPr>
        <w:t>LLC进行增资的公告》（公告编号：2018-064）。该项投资正在推进中。</w:t>
      </w:r>
      <w:r>
        <w:rPr>
          <w:spacing w:val="-6"/>
        </w:rPr>
      </w:r>
    </w:p>
    <w:p>
      <w:pPr>
        <w:spacing w:after="0" w:line="273" w:lineRule="auto"/>
        <w:jc w:val="left"/>
        <w:sectPr>
          <w:footerReference w:type="default" r:id="rId30"/>
          <w:pgSz w:w="11910" w:h="16840"/>
          <w:pgMar w:footer="1012" w:header="890" w:top="1420" w:bottom="1200" w:left="1020" w:right="0"/>
          <w:pgNumType w:start="5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048" w:right="2654"/>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232" w:right="2654"/>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32" w:right="2654"/>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20"/>
        <w:gridCol w:w="1260"/>
        <w:gridCol w:w="890"/>
        <w:gridCol w:w="380"/>
        <w:gridCol w:w="340"/>
        <w:gridCol w:w="370"/>
        <w:gridCol w:w="1180"/>
        <w:gridCol w:w="1100"/>
        <w:gridCol w:w="1150"/>
        <w:gridCol w:w="882"/>
      </w:tblGrid>
      <w:tr>
        <w:trPr>
          <w:trHeight w:val="327" w:hRule="exact"/>
        </w:trPr>
        <w:tc>
          <w:tcPr>
            <w:tcW w:w="2020" w:type="dxa"/>
            <w:vMerge w:val="restart"/>
            <w:tcBorders>
              <w:top w:val="single" w:sz="8" w:space="0" w:color="000000"/>
              <w:left w:val="single" w:sz="8" w:space="0" w:color="000000"/>
              <w:right w:val="single" w:sz="4" w:space="0" w:color="000000"/>
            </w:tcBorders>
            <w:shd w:val="clear" w:color="auto" w:fill="D2D2D2"/>
          </w:tcPr>
          <w:p>
            <w:pPr/>
          </w:p>
        </w:tc>
        <w:tc>
          <w:tcPr>
            <w:tcW w:w="2150" w:type="dxa"/>
            <w:gridSpan w:val="2"/>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1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370" w:type="dxa"/>
            <w:gridSpan w:val="5"/>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8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32" w:type="dxa"/>
            <w:gridSpan w:val="2"/>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0" w:hRule="exact"/>
        </w:trPr>
        <w:tc>
          <w:tcPr>
            <w:tcW w:w="2020" w:type="dxa"/>
            <w:vMerge/>
            <w:tcBorders>
              <w:left w:val="single" w:sz="8"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84"/>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45"/>
              <w:jc w:val="left"/>
              <w:rPr>
                <w:rFonts w:ascii="宋体" w:hAnsi="宋体" w:cs="宋体" w:eastAsia="宋体" w:hint="default"/>
                <w:sz w:val="18"/>
                <w:szCs w:val="18"/>
              </w:rPr>
            </w:pPr>
            <w:r>
              <w:rPr>
                <w:rFonts w:ascii="宋体" w:hAnsi="宋体" w:cs="宋体" w:eastAsia="宋体" w:hint="default"/>
                <w:sz w:val="18"/>
                <w:szCs w:val="18"/>
              </w:rPr>
              <w:t>送 股</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74"/>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82" w:type="dxa"/>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202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sz w:val="15"/>
              </w:rPr>
              <w:t>98,453,829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sz w:val="15"/>
              </w:rPr>
              <w:t>9.51%</w:t>
            </w:r>
          </w:p>
        </w:tc>
        <w:tc>
          <w:tcPr>
            <w:tcW w:w="3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5"/>
                <w:szCs w:val="15"/>
              </w:rPr>
            </w:pPr>
            <w:r>
              <w:rPr>
                <w:rFonts w:ascii="Times New Roman"/>
                <w:spacing w:val="-1"/>
                <w:sz w:val="15"/>
              </w:rPr>
              <w:t>-96,995,759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5"/>
                <w:szCs w:val="15"/>
              </w:rPr>
            </w:pPr>
            <w:r>
              <w:rPr>
                <w:rFonts w:ascii="Times New Roman"/>
                <w:spacing w:val="-1"/>
                <w:sz w:val="15"/>
              </w:rPr>
              <w:t>-96,995,759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sz w:val="15"/>
              </w:rPr>
              <w:t>1,458,070</w:t>
            </w:r>
          </w:p>
        </w:tc>
        <w:tc>
          <w:tcPr>
            <w:tcW w:w="8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9"/>
              <w:ind w:right="95"/>
              <w:jc w:val="right"/>
              <w:rPr>
                <w:rFonts w:ascii="Times New Roman" w:hAnsi="Times New Roman" w:cs="Times New Roman" w:eastAsia="Times New Roman" w:hint="default"/>
                <w:sz w:val="15"/>
                <w:szCs w:val="15"/>
              </w:rPr>
            </w:pPr>
            <w:r>
              <w:rPr>
                <w:rFonts w:ascii="Times New Roman"/>
                <w:spacing w:val="-1"/>
                <w:sz w:val="15"/>
              </w:rPr>
              <w:t>0.14%</w:t>
            </w:r>
          </w:p>
        </w:tc>
      </w:tr>
      <w:tr>
        <w:trPr>
          <w:trHeight w:val="322" w:hRule="exact"/>
        </w:trPr>
        <w:tc>
          <w:tcPr>
            <w:tcW w:w="202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98,453,829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9.51%</w:t>
            </w:r>
          </w:p>
        </w:tc>
        <w:tc>
          <w:tcPr>
            <w:tcW w:w="3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-96,995,759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-96,995,759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1,458,070</w:t>
            </w:r>
          </w:p>
        </w:tc>
        <w:tc>
          <w:tcPr>
            <w:tcW w:w="8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5"/>
              <w:jc w:val="right"/>
              <w:rPr>
                <w:rFonts w:ascii="Times New Roman" w:hAnsi="Times New Roman" w:cs="Times New Roman" w:eastAsia="Times New Roman" w:hint="default"/>
                <w:sz w:val="15"/>
                <w:szCs w:val="15"/>
              </w:rPr>
            </w:pPr>
            <w:r>
              <w:rPr>
                <w:rFonts w:ascii="Times New Roman"/>
                <w:spacing w:val="-1"/>
                <w:sz w:val="15"/>
              </w:rPr>
              <w:t>0.14%</w:t>
            </w:r>
          </w:p>
        </w:tc>
      </w:tr>
      <w:tr>
        <w:trPr>
          <w:trHeight w:val="322" w:hRule="exact"/>
        </w:trPr>
        <w:tc>
          <w:tcPr>
            <w:tcW w:w="202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96,343,610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9.30%</w:t>
            </w:r>
          </w:p>
        </w:tc>
        <w:tc>
          <w:tcPr>
            <w:tcW w:w="3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-96,343,610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-96,343,610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8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5"/>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02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2"/>
              <w:ind w:left="63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5"/>
                <w:szCs w:val="15"/>
              </w:rPr>
            </w:pPr>
            <w:r>
              <w:rPr>
                <w:rFonts w:ascii="Times New Roman"/>
                <w:spacing w:val="-1"/>
                <w:w w:val="95"/>
                <w:sz w:val="15"/>
              </w:rPr>
              <w:t>2,110,219</w:t>
            </w:r>
            <w:r>
              <w:rPr>
                <w:rFonts w:ascii="Times New Roman"/>
                <w:spacing w:val="-1"/>
                <w:sz w:val="15"/>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5"/>
                <w:szCs w:val="15"/>
              </w:rPr>
            </w:pPr>
            <w:r>
              <w:rPr>
                <w:rFonts w:ascii="Times New Roman"/>
                <w:spacing w:val="-1"/>
                <w:sz w:val="15"/>
              </w:rPr>
              <w:t>0.20%</w:t>
            </w:r>
          </w:p>
        </w:tc>
        <w:tc>
          <w:tcPr>
            <w:tcW w:w="3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15"/>
                <w:szCs w:val="15"/>
              </w:rPr>
            </w:pPr>
            <w:r>
              <w:rPr>
                <w:rFonts w:ascii="Times New Roman"/>
                <w:spacing w:val="-1"/>
                <w:sz w:val="15"/>
              </w:rPr>
              <w:t>-652,149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15"/>
                <w:szCs w:val="15"/>
              </w:rPr>
            </w:pPr>
            <w:r>
              <w:rPr>
                <w:rFonts w:ascii="Times New Roman"/>
                <w:spacing w:val="-1"/>
                <w:sz w:val="15"/>
              </w:rPr>
              <w:t>-652,149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15"/>
                <w:szCs w:val="15"/>
              </w:rPr>
            </w:pPr>
            <w:r>
              <w:rPr>
                <w:rFonts w:ascii="Times New Roman"/>
                <w:spacing w:val="-1"/>
                <w:sz w:val="15"/>
              </w:rPr>
              <w:t>1,458,070</w:t>
            </w:r>
          </w:p>
        </w:tc>
        <w:tc>
          <w:tcPr>
            <w:tcW w:w="8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0"/>
              <w:ind w:right="95"/>
              <w:jc w:val="right"/>
              <w:rPr>
                <w:rFonts w:ascii="Times New Roman" w:hAnsi="Times New Roman" w:cs="Times New Roman" w:eastAsia="Times New Roman" w:hint="default"/>
                <w:sz w:val="15"/>
                <w:szCs w:val="15"/>
              </w:rPr>
            </w:pPr>
            <w:r>
              <w:rPr>
                <w:rFonts w:ascii="Times New Roman"/>
                <w:spacing w:val="-1"/>
                <w:sz w:val="15"/>
              </w:rPr>
              <w:t>0.14%</w:t>
            </w:r>
          </w:p>
        </w:tc>
      </w:tr>
      <w:tr>
        <w:trPr>
          <w:trHeight w:val="322" w:hRule="exact"/>
        </w:trPr>
        <w:tc>
          <w:tcPr>
            <w:tcW w:w="202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sz w:val="15"/>
              </w:rPr>
              <w:t>937,035,269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w w:val="95"/>
                <w:sz w:val="15"/>
              </w:rPr>
              <w:t>90.49%</w:t>
            </w:r>
            <w:r>
              <w:rPr>
                <w:rFonts w:ascii="Times New Roman"/>
                <w:spacing w:val="-1"/>
                <w:sz w:val="15"/>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5"/>
                <w:szCs w:val="15"/>
              </w:rPr>
            </w:pPr>
            <w:r>
              <w:rPr>
                <w:rFonts w:ascii="Times New Roman"/>
                <w:spacing w:val="-1"/>
                <w:sz w:val="15"/>
              </w:rPr>
              <w:t>96,995,759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sz w:val="15"/>
              </w:rPr>
              <w:t>96,995,759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sz w:val="15"/>
              </w:rPr>
              <w:t>1,034,031,028</w:t>
            </w:r>
          </w:p>
        </w:tc>
        <w:tc>
          <w:tcPr>
            <w:tcW w:w="8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5"/>
                <w:szCs w:val="15"/>
              </w:rPr>
            </w:pPr>
            <w:r>
              <w:rPr>
                <w:rFonts w:ascii="Times New Roman"/>
                <w:spacing w:val="-1"/>
                <w:w w:val="95"/>
                <w:sz w:val="15"/>
              </w:rPr>
              <w:t>99.86%</w:t>
            </w:r>
            <w:r>
              <w:rPr>
                <w:rFonts w:ascii="Times New Roman"/>
                <w:spacing w:val="-1"/>
                <w:sz w:val="15"/>
              </w:rPr>
            </w:r>
          </w:p>
        </w:tc>
      </w:tr>
      <w:tr>
        <w:trPr>
          <w:trHeight w:val="322" w:hRule="exact"/>
        </w:trPr>
        <w:tc>
          <w:tcPr>
            <w:tcW w:w="202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sz w:val="15"/>
              </w:rPr>
              <w:t>937,035,269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w w:val="95"/>
                <w:sz w:val="15"/>
              </w:rPr>
              <w:t>90.49%</w:t>
            </w:r>
            <w:r>
              <w:rPr>
                <w:rFonts w:ascii="Times New Roman"/>
                <w:spacing w:val="-1"/>
                <w:sz w:val="15"/>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5"/>
                <w:szCs w:val="15"/>
              </w:rPr>
            </w:pPr>
            <w:r>
              <w:rPr>
                <w:rFonts w:ascii="Times New Roman"/>
                <w:spacing w:val="-1"/>
                <w:sz w:val="15"/>
              </w:rPr>
              <w:t>96,995,759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sz w:val="15"/>
              </w:rPr>
              <w:t>96,995,759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sz w:val="15"/>
              </w:rPr>
              <w:t>1,034,031,028</w:t>
            </w:r>
          </w:p>
        </w:tc>
        <w:tc>
          <w:tcPr>
            <w:tcW w:w="8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5"/>
                <w:szCs w:val="15"/>
              </w:rPr>
            </w:pPr>
            <w:r>
              <w:rPr>
                <w:rFonts w:ascii="Times New Roman"/>
                <w:spacing w:val="-1"/>
                <w:w w:val="95"/>
                <w:sz w:val="15"/>
              </w:rPr>
              <w:t>99.86%</w:t>
            </w:r>
            <w:r>
              <w:rPr>
                <w:rFonts w:ascii="Times New Roman"/>
                <w:spacing w:val="-1"/>
                <w:sz w:val="15"/>
              </w:rPr>
            </w:r>
          </w:p>
        </w:tc>
      </w:tr>
      <w:tr>
        <w:trPr>
          <w:trHeight w:val="327" w:hRule="exact"/>
        </w:trPr>
        <w:tc>
          <w:tcPr>
            <w:tcW w:w="2020"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5"/>
                <w:szCs w:val="15"/>
              </w:rPr>
            </w:pPr>
            <w:r>
              <w:rPr>
                <w:rFonts w:ascii="Times New Roman"/>
                <w:spacing w:val="-1"/>
                <w:sz w:val="15"/>
              </w:rPr>
              <w:t>1,035,489,098</w:t>
            </w: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c>
          <w:tcPr>
            <w:tcW w:w="380" w:type="dxa"/>
            <w:tcBorders>
              <w:top w:val="single" w:sz="4" w:space="0" w:color="000000"/>
              <w:left w:val="single" w:sz="4" w:space="0" w:color="000000"/>
              <w:bottom w:val="single" w:sz="8" w:space="0" w:color="000000"/>
              <w:right w:val="single" w:sz="4" w:space="0" w:color="000000"/>
            </w:tcBorders>
          </w:tcPr>
          <w:p>
            <w:pPr/>
          </w:p>
        </w:tc>
        <w:tc>
          <w:tcPr>
            <w:tcW w:w="340" w:type="dxa"/>
            <w:tcBorders>
              <w:top w:val="single" w:sz="4" w:space="0" w:color="000000"/>
              <w:left w:val="single" w:sz="4" w:space="0" w:color="000000"/>
              <w:bottom w:val="single" w:sz="8" w:space="0" w:color="000000"/>
              <w:right w:val="single" w:sz="4" w:space="0" w:color="000000"/>
            </w:tcBorders>
          </w:tcPr>
          <w:p>
            <w:pPr/>
          </w:p>
        </w:tc>
        <w:tc>
          <w:tcPr>
            <w:tcW w:w="370" w:type="dxa"/>
            <w:tcBorders>
              <w:top w:val="single" w:sz="4" w:space="0" w:color="000000"/>
              <w:left w:val="single" w:sz="4" w:space="0" w:color="000000"/>
              <w:bottom w:val="single" w:sz="8" w:space="0" w:color="000000"/>
              <w:right w:val="single" w:sz="4" w:space="0" w:color="000000"/>
            </w:tcBorders>
          </w:tcPr>
          <w:p>
            <w:pPr/>
          </w:p>
        </w:tc>
        <w:tc>
          <w:tcPr>
            <w:tcW w:w="11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1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11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sz w:val="15"/>
              </w:rPr>
              <w:t>1,035,489,098</w:t>
            </w:r>
          </w:p>
        </w:tc>
        <w:tc>
          <w:tcPr>
            <w:tcW w:w="88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r>
    </w:tbl>
    <w:p>
      <w:pPr>
        <w:pStyle w:val="Heading6"/>
        <w:spacing w:line="240" w:lineRule="auto" w:before="64"/>
        <w:ind w:left="232" w:right="2654"/>
        <w:jc w:val="left"/>
        <w:rPr>
          <w:b w:val="0"/>
          <w:bCs w:val="0"/>
        </w:rPr>
      </w:pPr>
      <w:r>
        <w:rPr/>
        <w:t>股份变动的原因</w:t>
      </w:r>
      <w:r>
        <w:rPr>
          <w:b w:val="0"/>
          <w:bCs w:val="0"/>
        </w:rPr>
      </w:r>
    </w:p>
    <w:p>
      <w:pPr>
        <w:spacing w:line="240" w:lineRule="auto" w:before="10"/>
        <w:rPr>
          <w:rFonts w:ascii="宋体" w:hAnsi="宋体" w:cs="宋体" w:eastAsia="宋体" w:hint="default"/>
          <w:b/>
          <w:bCs/>
          <w:sz w:val="13"/>
          <w:szCs w:val="13"/>
        </w:rPr>
      </w:pPr>
    </w:p>
    <w:p>
      <w:pPr>
        <w:pStyle w:val="BodyText"/>
        <w:spacing w:line="240" w:lineRule="auto"/>
        <w:ind w:left="232" w:right="2654"/>
        <w:jc w:val="left"/>
      </w:pPr>
      <w:r>
        <w:rPr/>
        <w:t>√ 适用 □ 不适用</w:t>
      </w:r>
    </w:p>
    <w:p>
      <w:pPr>
        <w:pStyle w:val="BodyText"/>
        <w:spacing w:line="316" w:lineRule="auto" w:before="117"/>
        <w:ind w:left="232" w:right="1124" w:firstLine="360"/>
        <w:jc w:val="left"/>
      </w:pPr>
      <w:r>
        <w:rPr/>
        <w:t>1.公司2017年非公开发行股份认购方所持股份解除限售，共计96,343,610</w:t>
      </w:r>
      <w:r>
        <w:rPr>
          <w:spacing w:val="-21"/>
        </w:rPr>
        <w:t> </w:t>
      </w:r>
      <w:r>
        <w:rPr>
          <w:spacing w:val="-3"/>
        </w:rPr>
        <w:t>股，占公司股本总额的9.3042%，该部分股份</w:t>
      </w:r>
      <w:r>
        <w:rPr/>
        <w:t> 上市流通日期：2018 年 7 月 11</w:t>
      </w:r>
      <w:r>
        <w:rPr>
          <w:spacing w:val="-3"/>
        </w:rPr>
        <w:t> </w:t>
      </w:r>
      <w:r>
        <w:rPr/>
        <w:t>日。</w:t>
      </w:r>
    </w:p>
    <w:p>
      <w:pPr>
        <w:pStyle w:val="BodyText"/>
        <w:spacing w:line="357" w:lineRule="auto" w:before="19"/>
        <w:ind w:left="232" w:right="4634" w:firstLine="360"/>
        <w:jc w:val="left"/>
      </w:pPr>
      <w:r>
        <w:rPr/>
        <w:t>2.其他为公司董监高正常年度股份变动及因离职等原因引起的股份变动。 股份变动的批准情况</w:t>
      </w:r>
    </w:p>
    <w:p>
      <w:pPr>
        <w:pStyle w:val="BodyText"/>
        <w:spacing w:line="360" w:lineRule="auto" w:before="29"/>
        <w:ind w:left="232" w:right="9134"/>
        <w:jc w:val="left"/>
      </w:pPr>
      <w:r>
        <w:rPr/>
        <w:t>□ 适用 √ 不适用 股份变动的过户情况</w:t>
      </w:r>
    </w:p>
    <w:p>
      <w:pPr>
        <w:pStyle w:val="BodyText"/>
        <w:spacing w:line="360" w:lineRule="auto" w:before="25"/>
        <w:ind w:left="232" w:right="8774"/>
        <w:jc w:val="left"/>
      </w:pPr>
      <w:r>
        <w:rPr/>
        <w:t>□ 适用 √ 不适用 股份回购的实施进展情况</w:t>
      </w:r>
    </w:p>
    <w:p>
      <w:pPr>
        <w:pStyle w:val="BodyText"/>
        <w:spacing w:line="357" w:lineRule="auto" w:before="27"/>
        <w:ind w:left="232" w:right="6974"/>
        <w:jc w:val="left"/>
      </w:pPr>
      <w:r>
        <w:rPr/>
        <w:t>□ 适用 √ 不适用 采用集中竞价方式减持回购股份的实施进展情况</w:t>
      </w:r>
    </w:p>
    <w:p>
      <w:pPr>
        <w:pStyle w:val="BodyText"/>
        <w:spacing w:line="360" w:lineRule="auto" w:before="29"/>
        <w:ind w:left="232" w:right="1394"/>
        <w:jc w:val="left"/>
      </w:pPr>
      <w:r>
        <w:rPr/>
        <w:t>□ 适用 √ 不适用 股份变动对最近一年和最近一期基本每股收益和稀释每股收益、归属于公司普通股股东的每股净资产等财务指标的影响</w:t>
      </w:r>
    </w:p>
    <w:p>
      <w:pPr>
        <w:pStyle w:val="BodyText"/>
        <w:spacing w:line="360" w:lineRule="auto" w:before="25"/>
        <w:ind w:left="232" w:right="6794"/>
        <w:jc w:val="left"/>
      </w:pPr>
      <w:r>
        <w:rPr/>
        <w:t>□ 适用 √ 不适用 公司认为必要或证券监管机构要求披露的其他内容</w:t>
      </w:r>
    </w:p>
    <w:p>
      <w:pPr>
        <w:pStyle w:val="BodyText"/>
        <w:spacing w:line="240" w:lineRule="auto" w:before="27"/>
        <w:ind w:left="232" w:right="2654"/>
        <w:jc w:val="left"/>
      </w:pPr>
      <w:r>
        <w:rPr/>
        <w:t>□ 适用 √ 不适用</w:t>
      </w:r>
    </w:p>
    <w:p>
      <w:pPr>
        <w:spacing w:after="0" w:line="240" w:lineRule="auto"/>
        <w:jc w:val="left"/>
        <w:sectPr>
          <w:pgSz w:w="11910" w:h="16840"/>
          <w:pgMar w:header="890" w:footer="1012" w:top="1420" w:bottom="1200" w:left="900" w:right="0"/>
        </w:sectPr>
      </w:pPr>
    </w:p>
    <w:p>
      <w:pPr>
        <w:pStyle w:val="Heading6"/>
        <w:spacing w:line="240" w:lineRule="auto" w:before="43"/>
        <w:ind w:left="232" w:right="2654"/>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232" w:right="2654"/>
        <w:jc w:val="left"/>
      </w:pPr>
      <w:r>
        <w:rPr/>
        <w:t>√ 适用 □ 不适用</w:t>
      </w:r>
    </w:p>
    <w:p>
      <w:pPr>
        <w:pStyle w:val="BodyText"/>
        <w:spacing w:line="240" w:lineRule="auto" w:before="117"/>
        <w:ind w:left="0" w:right="1132"/>
        <w:jc w:val="right"/>
      </w:pPr>
      <w:r>
        <w:rPr/>
        <w:t>单位：股</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136"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7"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2,110,219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652,149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1,458,070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董事高管每年 按比例解锁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每年年初或按 期解锁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2,110,219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652,149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1,458,070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232" w:right="2654"/>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32" w:right="2654"/>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232" w:right="2654"/>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232" w:right="2654"/>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32" w:right="2654"/>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32" w:right="2654"/>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30"/>
        <w:gridCol w:w="871"/>
        <w:gridCol w:w="1210"/>
        <w:gridCol w:w="420"/>
        <w:gridCol w:w="420"/>
        <w:gridCol w:w="333"/>
        <w:gridCol w:w="817"/>
        <w:gridCol w:w="1065"/>
        <w:gridCol w:w="511"/>
        <w:gridCol w:w="344"/>
        <w:gridCol w:w="1070"/>
        <w:gridCol w:w="320"/>
        <w:gridCol w:w="210"/>
        <w:gridCol w:w="448"/>
      </w:tblGrid>
      <w:tr>
        <w:trPr>
          <w:trHeight w:val="1263" w:hRule="exact"/>
        </w:trPr>
        <w:tc>
          <w:tcPr>
            <w:tcW w:w="1530"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8" w:right="155"/>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101,209</w:t>
            </w:r>
          </w:p>
        </w:tc>
        <w:tc>
          <w:tcPr>
            <w:tcW w:w="1630" w:type="dxa"/>
            <w:gridSpan w:val="2"/>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26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753"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98,951</w:t>
            </w:r>
          </w:p>
        </w:tc>
        <w:tc>
          <w:tcPr>
            <w:tcW w:w="1882" w:type="dxa"/>
            <w:gridSpan w:val="2"/>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5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w:t>
            </w:r>
          </w:p>
        </w:tc>
        <w:tc>
          <w:tcPr>
            <w:tcW w:w="1944" w:type="dxa"/>
            <w:gridSpan w:val="4"/>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2" w:right="209"/>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568" w:type="dxa"/>
            <w:gridSpan w:val="14"/>
            <w:tcBorders>
              <w:top w:val="single" w:sz="4" w:space="0" w:color="000000"/>
              <w:left w:val="single" w:sz="8" w:space="0" w:color="000000"/>
              <w:bottom w:val="single" w:sz="4" w:space="0" w:color="000000"/>
              <w:right w:val="single" w:sz="8" w:space="0" w:color="000000"/>
            </w:tcBorders>
            <w:shd w:val="clear" w:color="auto" w:fill="D2D2D2"/>
          </w:tcPr>
          <w:p>
            <w:pPr>
              <w:pStyle w:val="TableParagraph"/>
              <w:spacing w:line="240" w:lineRule="auto" w:before="10"/>
              <w:ind w:left="305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634" w:hRule="exact"/>
        </w:trPr>
        <w:tc>
          <w:tcPr>
            <w:tcW w:w="2401" w:type="dxa"/>
            <w:gridSpan w:val="2"/>
            <w:vMerge w:val="restart"/>
            <w:tcBorders>
              <w:top w:val="single" w:sz="4" w:space="0" w:color="000000"/>
              <w:left w:val="single" w:sz="8"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25" w:right="142"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99" w:right="11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6" w:right="14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69" w:right="133"/>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69" w:right="16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978" w:type="dxa"/>
            <w:gridSpan w:val="3"/>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316" w:lineRule="auto" w:before="12"/>
              <w:ind w:left="215" w:right="117" w:hanging="92"/>
              <w:jc w:val="left"/>
              <w:rPr>
                <w:rFonts w:ascii="宋体" w:hAnsi="宋体" w:cs="宋体" w:eastAsia="宋体" w:hint="default"/>
                <w:sz w:val="18"/>
                <w:szCs w:val="18"/>
              </w:rPr>
            </w:pPr>
            <w:r>
              <w:rPr>
                <w:rFonts w:ascii="宋体" w:hAnsi="宋体" w:cs="宋体" w:eastAsia="宋体" w:hint="default"/>
                <w:sz w:val="18"/>
                <w:szCs w:val="18"/>
              </w:rPr>
              <w:t>质押或冻 结情况</w:t>
            </w:r>
          </w:p>
        </w:tc>
      </w:tr>
      <w:tr>
        <w:trPr>
          <w:trHeight w:val="1258" w:hRule="exact"/>
        </w:trPr>
        <w:tc>
          <w:tcPr>
            <w:tcW w:w="2401" w:type="dxa"/>
            <w:gridSpan w:val="2"/>
            <w:vMerge/>
            <w:tcBorders>
              <w:left w:val="single" w:sz="8"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150" w:type="dxa"/>
            <w:gridSpan w:val="2"/>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855" w:type="dxa"/>
            <w:gridSpan w:val="2"/>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2" w:right="26"/>
              <w:jc w:val="both"/>
              <w:rPr>
                <w:rFonts w:ascii="宋体" w:hAnsi="宋体" w:cs="宋体" w:eastAsia="宋体" w:hint="default"/>
                <w:sz w:val="18"/>
                <w:szCs w:val="18"/>
              </w:rPr>
            </w:pPr>
            <w:r>
              <w:rPr>
                <w:rFonts w:ascii="宋体" w:hAnsi="宋体" w:cs="宋体" w:eastAsia="宋体" w:hint="default"/>
                <w:sz w:val="18"/>
                <w:szCs w:val="18"/>
              </w:rPr>
              <w:t>股 份 状 态</w:t>
            </w:r>
          </w:p>
        </w:tc>
        <w:tc>
          <w:tcPr>
            <w:tcW w:w="658" w:type="dxa"/>
            <w:gridSpan w:val="2"/>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944" w:hRule="exact"/>
        </w:trPr>
        <w:tc>
          <w:tcPr>
            <w:tcW w:w="2401" w:type="dxa"/>
            <w:gridSpan w:val="2"/>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8" w:right="126"/>
              <w:jc w:val="left"/>
              <w:rPr>
                <w:rFonts w:ascii="宋体" w:hAnsi="宋体" w:cs="宋体" w:eastAsia="宋体" w:hint="default"/>
                <w:sz w:val="18"/>
                <w:szCs w:val="18"/>
              </w:rPr>
            </w:pPr>
            <w:r>
              <w:rPr>
                <w:rFonts w:ascii="宋体" w:hAnsi="宋体" w:cs="宋体" w:eastAsia="宋体" w:hint="default"/>
                <w:sz w:val="18"/>
                <w:szCs w:val="18"/>
              </w:rPr>
              <w:t>浙江万马智能科技集团有限 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18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1" w:right="0"/>
              <w:jc w:val="left"/>
              <w:rPr>
                <w:rFonts w:ascii="Times New Roman" w:hAnsi="Times New Roman" w:cs="Times New Roman" w:eastAsia="Times New Roman" w:hint="default"/>
                <w:sz w:val="18"/>
                <w:szCs w:val="18"/>
              </w:rPr>
            </w:pPr>
            <w:r>
              <w:rPr>
                <w:rFonts w:ascii="Times New Roman"/>
                <w:sz w:val="18"/>
              </w:rPr>
              <w:t>25.41%</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6" w:right="0"/>
              <w:jc w:val="left"/>
              <w:rPr>
                <w:rFonts w:ascii="Times New Roman" w:hAnsi="Times New Roman" w:cs="Times New Roman" w:eastAsia="Times New Roman" w:hint="default"/>
                <w:sz w:val="18"/>
                <w:szCs w:val="18"/>
              </w:rPr>
            </w:pPr>
            <w:r>
              <w:rPr>
                <w:rFonts w:ascii="Times New Roman"/>
                <w:sz w:val="18"/>
              </w:rPr>
              <w:t>263,141,812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Times New Roman" w:hAnsi="Times New Roman" w:cs="Times New Roman" w:eastAsia="Times New Roman" w:hint="default"/>
                <w:sz w:val="18"/>
                <w:szCs w:val="18"/>
              </w:rPr>
            </w:pPr>
            <w:r>
              <w:rPr>
                <w:rFonts w:ascii="Times New Roman"/>
                <w:sz w:val="18"/>
              </w:rPr>
              <w:t>-51,774,500</w:t>
            </w:r>
          </w:p>
        </w:tc>
        <w:tc>
          <w:tcPr>
            <w:tcW w:w="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263,141,81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2" w:right="26"/>
              <w:jc w:val="left"/>
              <w:rPr>
                <w:rFonts w:ascii="宋体" w:hAnsi="宋体" w:cs="宋体" w:eastAsia="宋体" w:hint="default"/>
                <w:sz w:val="18"/>
                <w:szCs w:val="18"/>
              </w:rPr>
            </w:pPr>
            <w:r>
              <w:rPr>
                <w:rFonts w:ascii="宋体" w:hAnsi="宋体" w:cs="宋体" w:eastAsia="宋体" w:hint="default"/>
                <w:sz w:val="18"/>
                <w:szCs w:val="18"/>
              </w:rPr>
              <w:t>质 押</w:t>
            </w:r>
          </w:p>
        </w:tc>
        <w:tc>
          <w:tcPr>
            <w:tcW w:w="658"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900" w:right="0"/>
        </w:sectPr>
      </w:pPr>
    </w:p>
    <w:tbl>
      <w:tblPr>
        <w:tblW w:w="0" w:type="auto"/>
        <w:jc w:val="left"/>
        <w:tblInd w:w="108" w:type="dxa"/>
        <w:tblLayout w:type="fixed"/>
        <w:tblCellMar>
          <w:top w:w="0" w:type="dxa"/>
          <w:left w:w="0" w:type="dxa"/>
          <w:bottom w:w="0" w:type="dxa"/>
          <w:right w:w="0" w:type="dxa"/>
        </w:tblCellMar>
        <w:tblLook w:val="01E0"/>
      </w:tblPr>
      <w:tblGrid>
        <w:gridCol w:w="2410"/>
        <w:gridCol w:w="1200"/>
        <w:gridCol w:w="560"/>
        <w:gridCol w:w="280"/>
        <w:gridCol w:w="1150"/>
        <w:gridCol w:w="1100"/>
        <w:gridCol w:w="820"/>
        <w:gridCol w:w="830"/>
        <w:gridCol w:w="240"/>
        <w:gridCol w:w="320"/>
        <w:gridCol w:w="658"/>
      </w:tblGrid>
      <w:tr>
        <w:trPr>
          <w:trHeight w:val="322"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Times New Roman" w:hAnsi="Times New Roman" w:cs="Times New Roman" w:eastAsia="Times New Roman" w:hint="default"/>
                <w:sz w:val="18"/>
                <w:szCs w:val="18"/>
              </w:rPr>
            </w:pPr>
            <w:r>
              <w:rPr>
                <w:rFonts w:ascii="Times New Roman"/>
                <w:sz w:val="18"/>
              </w:rPr>
              <w:t>6.13%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63,450,322</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63,450,322</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陆珍玉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Times New Roman" w:hAnsi="Times New Roman" w:cs="Times New Roman" w:eastAsia="Times New Roman" w:hint="default"/>
                <w:sz w:val="18"/>
                <w:szCs w:val="18"/>
              </w:rPr>
            </w:pPr>
            <w:r>
              <w:rPr>
                <w:rFonts w:ascii="Times New Roman"/>
                <w:sz w:val="18"/>
              </w:rPr>
              <w:t>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51,774,500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51,774,500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51,774,500</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全国社保基金五零四组合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3" w:right="0"/>
              <w:jc w:val="left"/>
              <w:rPr>
                <w:rFonts w:ascii="Times New Roman" w:hAnsi="Times New Roman" w:cs="Times New Roman" w:eastAsia="Times New Roman" w:hint="default"/>
                <w:sz w:val="18"/>
                <w:szCs w:val="18"/>
              </w:rPr>
            </w:pPr>
            <w:r>
              <w:rPr>
                <w:rFonts w:ascii="Times New Roman"/>
                <w:sz w:val="18"/>
              </w:rPr>
              <w:t>1.13%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11,671,631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r>
              <w:rPr>
                <w:rFonts w:ascii="Times New Roman"/>
                <w:sz w:val="18"/>
              </w:rPr>
              <w:t>-10,354,800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4" w:right="0"/>
              <w:jc w:val="left"/>
              <w:rPr>
                <w:rFonts w:ascii="Times New Roman" w:hAnsi="Times New Roman" w:cs="Times New Roman" w:eastAsia="Times New Roman" w:hint="default"/>
                <w:sz w:val="18"/>
                <w:szCs w:val="18"/>
              </w:rPr>
            </w:pPr>
            <w:r>
              <w:rPr>
                <w:rFonts w:ascii="Times New Roman"/>
                <w:sz w:val="18"/>
              </w:rPr>
              <w:t>11,671,631</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946"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6" w:lineRule="auto" w:before="76"/>
              <w:ind w:left="98" w:right="135"/>
              <w:jc w:val="left"/>
              <w:rPr>
                <w:rFonts w:ascii="宋体" w:hAnsi="宋体" w:cs="宋体" w:eastAsia="宋体" w:hint="default"/>
                <w:sz w:val="18"/>
                <w:szCs w:val="18"/>
              </w:rPr>
            </w:pPr>
            <w:r>
              <w:rPr>
                <w:rFonts w:ascii="宋体" w:hAnsi="宋体" w:cs="宋体" w:eastAsia="宋体" w:hint="default"/>
                <w:sz w:val="18"/>
                <w:szCs w:val="18"/>
              </w:rPr>
              <w:t>－银华鑫锐定增灵活配置混 合型证券投资基金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3" w:right="0"/>
              <w:jc w:val="left"/>
              <w:rPr>
                <w:rFonts w:ascii="Times New Roman" w:hAnsi="Times New Roman" w:cs="Times New Roman" w:eastAsia="Times New Roman" w:hint="default"/>
                <w:sz w:val="18"/>
                <w:szCs w:val="18"/>
              </w:rPr>
            </w:pPr>
            <w:r>
              <w:rPr>
                <w:rFonts w:ascii="Times New Roman"/>
                <w:sz w:val="18"/>
              </w:rPr>
              <w:t>1.06%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11,013,215</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4" w:right="0"/>
              <w:jc w:val="left"/>
              <w:rPr>
                <w:rFonts w:ascii="Times New Roman" w:hAnsi="Times New Roman" w:cs="Times New Roman" w:eastAsia="Times New Roman" w:hint="default"/>
                <w:sz w:val="18"/>
                <w:szCs w:val="18"/>
              </w:rPr>
            </w:pPr>
            <w:r>
              <w:rPr>
                <w:rFonts w:ascii="Times New Roman"/>
                <w:sz w:val="18"/>
              </w:rPr>
              <w:t>11,013,215</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浙江广杰投资管理有限公司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8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10,462,555</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10,462,555</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3" w:right="0"/>
              <w:jc w:val="left"/>
              <w:rPr>
                <w:rFonts w:ascii="Times New Roman" w:hAnsi="Times New Roman" w:cs="Times New Roman" w:eastAsia="Times New Roman" w:hint="default"/>
                <w:sz w:val="18"/>
                <w:szCs w:val="18"/>
              </w:rPr>
            </w:pPr>
            <w:r>
              <w:rPr>
                <w:rFonts w:ascii="Times New Roman"/>
                <w:sz w:val="18"/>
              </w:rPr>
              <w:t>0.92%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9,491,320</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6" w:right="0"/>
              <w:jc w:val="left"/>
              <w:rPr>
                <w:rFonts w:ascii="Times New Roman" w:hAnsi="Times New Roman" w:cs="Times New Roman" w:eastAsia="Times New Roman" w:hint="default"/>
                <w:sz w:val="18"/>
                <w:szCs w:val="18"/>
              </w:rPr>
            </w:pPr>
            <w:r>
              <w:rPr>
                <w:rFonts w:ascii="Times New Roman"/>
                <w:sz w:val="18"/>
              </w:rPr>
              <w:t>9,491,320</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946"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p>
            <w:pPr>
              <w:pStyle w:val="TableParagraph"/>
              <w:spacing w:line="300" w:lineRule="auto" w:before="76"/>
              <w:ind w:left="98" w:right="135"/>
              <w:jc w:val="left"/>
              <w:rPr>
                <w:rFonts w:ascii="宋体" w:hAnsi="宋体" w:cs="宋体" w:eastAsia="宋体" w:hint="default"/>
                <w:sz w:val="18"/>
                <w:szCs w:val="18"/>
              </w:rPr>
            </w:pPr>
            <w:r>
              <w:rPr>
                <w:rFonts w:ascii="宋体" w:hAnsi="宋体" w:cs="宋体" w:eastAsia="宋体" w:hint="default"/>
                <w:sz w:val="18"/>
                <w:szCs w:val="18"/>
              </w:rPr>
              <w:t>－中证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交易型开放式指 数证券投资基金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Times New Roman" w:hAnsi="Times New Roman" w:cs="Times New Roman" w:eastAsia="Times New Roman" w:hint="default"/>
                <w:sz w:val="18"/>
                <w:szCs w:val="18"/>
              </w:rPr>
            </w:pPr>
            <w:r>
              <w:rPr>
                <w:rFonts w:ascii="Times New Roman"/>
                <w:sz w:val="18"/>
              </w:rPr>
              <w:t>0.69%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7,166,242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Times New Roman" w:hAnsi="Times New Roman" w:cs="Times New Roman" w:eastAsia="Times New Roman" w:hint="default"/>
                <w:sz w:val="18"/>
                <w:szCs w:val="18"/>
              </w:rPr>
            </w:pPr>
            <w:r>
              <w:rPr>
                <w:rFonts w:ascii="Times New Roman"/>
                <w:sz w:val="18"/>
              </w:rPr>
              <w:t>4,476,500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6" w:right="0"/>
              <w:jc w:val="left"/>
              <w:rPr>
                <w:rFonts w:ascii="Times New Roman" w:hAnsi="Times New Roman" w:cs="Times New Roman" w:eastAsia="Times New Roman" w:hint="default"/>
                <w:sz w:val="18"/>
                <w:szCs w:val="18"/>
              </w:rPr>
            </w:pPr>
            <w:r>
              <w:rPr>
                <w:rFonts w:ascii="Times New Roman"/>
                <w:sz w:val="18"/>
              </w:rPr>
              <w:t>7,166,242</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于俊峰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Times New Roman" w:hAnsi="Times New Roman" w:cs="Times New Roman" w:eastAsia="Times New Roman" w:hint="default"/>
                <w:sz w:val="18"/>
                <w:szCs w:val="18"/>
              </w:rPr>
            </w:pPr>
            <w:r>
              <w:rPr>
                <w:rFonts w:ascii="Times New Roman"/>
                <w:sz w:val="18"/>
              </w:rPr>
              <w:t>0.39%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4,035,877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615,000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4,035,877</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2410" w:type="dxa"/>
            <w:tcBorders>
              <w:top w:val="single" w:sz="4" w:space="0" w:color="000000"/>
              <w:left w:val="single" w:sz="8" w:space="0" w:color="000000"/>
              <w:bottom w:val="single" w:sz="4" w:space="0" w:color="000000"/>
              <w:right w:val="single" w:sz="4" w:space="0" w:color="000000"/>
            </w:tcBorders>
          </w:tcPr>
          <w:p>
            <w:pPr>
              <w:pStyle w:val="TableParagraph"/>
              <w:spacing w:line="300" w:lineRule="auto" w:before="11"/>
              <w:ind w:left="98" w:right="2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萍乡皓熙汇达新能源产业 投资基金（有限合伙）</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8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0.34%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3,500,000</w:t>
            </w:r>
          </w:p>
        </w:tc>
        <w:tc>
          <w:tcPr>
            <w:tcW w:w="3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8" w:space="0" w:color="000000"/>
            </w:tcBorders>
          </w:tcPr>
          <w:p>
            <w:pPr/>
          </w:p>
        </w:tc>
      </w:tr>
      <w:tr>
        <w:trPr>
          <w:trHeight w:val="946" w:hRule="exact"/>
        </w:trPr>
        <w:tc>
          <w:tcPr>
            <w:tcW w:w="2410" w:type="dxa"/>
            <w:tcBorders>
              <w:top w:val="single" w:sz="4" w:space="0" w:color="000000"/>
              <w:left w:val="single" w:sz="8"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8" w:right="135"/>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58" w:type="dxa"/>
            <w:gridSpan w:val="10"/>
            <w:tcBorders>
              <w:top w:val="single" w:sz="4" w:space="0" w:color="000000"/>
              <w:left w:val="single" w:sz="4" w:space="0" w:color="000000"/>
              <w:bottom w:val="single" w:sz="4" w:space="0" w:color="000000"/>
              <w:right w:val="single" w:sz="8" w:space="0" w:color="000000"/>
            </w:tcBorders>
          </w:tcPr>
          <w:p>
            <w:pPr>
              <w:pStyle w:val="TableParagraph"/>
              <w:spacing w:line="309" w:lineRule="auto" w:before="10"/>
              <w:ind w:left="102" w:right="96"/>
              <w:jc w:val="both"/>
              <w:rPr>
                <w:rFonts w:ascii="宋体" w:hAnsi="宋体" w:cs="宋体" w:eastAsia="宋体" w:hint="default"/>
                <w:sz w:val="18"/>
                <w:szCs w:val="18"/>
              </w:rPr>
            </w:pPr>
            <w:r>
              <w:rPr>
                <w:rFonts w:ascii="宋体" w:hAnsi="宋体" w:cs="宋体" w:eastAsia="宋体" w:hint="default"/>
                <w:spacing w:val="-7"/>
                <w:sz w:val="18"/>
                <w:szCs w:val="18"/>
              </w:rPr>
              <w:t>智能科技集团、张德生（实际控制人）、陆珍玉（实际控制人之配偶）、张珊珊（实际控制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人之女）构成一致行动关系。除此之外，公司未知前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 也未知是否存在《上市公司收购管理办法》中规定的一致行动人的情况。</w:t>
            </w:r>
          </w:p>
        </w:tc>
      </w:tr>
      <w:tr>
        <w:trPr>
          <w:trHeight w:val="322" w:hRule="exact"/>
        </w:trPr>
        <w:tc>
          <w:tcPr>
            <w:tcW w:w="9568" w:type="dxa"/>
            <w:gridSpan w:val="11"/>
            <w:tcBorders>
              <w:top w:val="single" w:sz="4" w:space="0" w:color="000000"/>
              <w:left w:val="single" w:sz="8" w:space="0" w:color="000000"/>
              <w:bottom w:val="single" w:sz="4" w:space="0" w:color="000000"/>
              <w:right w:val="single" w:sz="8"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4170" w:type="dxa"/>
            <w:gridSpan w:val="3"/>
            <w:vMerge w:val="restart"/>
            <w:tcBorders>
              <w:top w:val="single" w:sz="4" w:space="0" w:color="000000"/>
              <w:left w:val="single" w:sz="8"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7"/>
              <w:ind w:left="989" w:right="177" w:hanging="809"/>
              <w:jc w:val="left"/>
              <w:rPr>
                <w:rFonts w:ascii="宋体" w:hAnsi="宋体" w:cs="宋体" w:eastAsia="宋体" w:hint="default"/>
                <w:sz w:val="18"/>
                <w:szCs w:val="18"/>
              </w:rPr>
            </w:pPr>
            <w:r>
              <w:rPr>
                <w:rFonts w:ascii="宋体" w:hAnsi="宋体" w:cs="宋体" w:eastAsia="宋体" w:hint="default"/>
                <w:sz w:val="18"/>
                <w:szCs w:val="18"/>
              </w:rPr>
              <w:t>报告期末持有无限售条件股 份数量</w:t>
            </w:r>
          </w:p>
        </w:tc>
        <w:tc>
          <w:tcPr>
            <w:tcW w:w="2868" w:type="dxa"/>
            <w:gridSpan w:val="5"/>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4170" w:type="dxa"/>
            <w:gridSpan w:val="3"/>
            <w:vMerge/>
            <w:tcBorders>
              <w:left w:val="single" w:sz="8" w:space="0" w:color="000000"/>
              <w:bottom w:val="single" w:sz="4" w:space="0" w:color="000000"/>
              <w:right w:val="single" w:sz="4" w:space="0" w:color="000000"/>
            </w:tcBorders>
            <w:shd w:val="clear" w:color="auto" w:fill="D2D2D2"/>
          </w:tcPr>
          <w:p>
            <w:pPr/>
          </w:p>
        </w:tc>
        <w:tc>
          <w:tcPr>
            <w:tcW w:w="2530" w:type="dxa"/>
            <w:gridSpan w:val="3"/>
            <w:vMerge/>
            <w:tcBorders>
              <w:left w:val="single" w:sz="4" w:space="0" w:color="000000"/>
              <w:bottom w:val="single" w:sz="4" w:space="0" w:color="000000"/>
              <w:right w:val="single" w:sz="4" w:space="0" w:color="000000"/>
            </w:tcBorders>
            <w:shd w:val="clear" w:color="auto" w:fill="D2D2D2"/>
          </w:tcPr>
          <w:p>
            <w:pPr/>
          </w:p>
        </w:tc>
        <w:tc>
          <w:tcPr>
            <w:tcW w:w="16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18" w:type="dxa"/>
            <w:gridSpan w:val="3"/>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12"/>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7" w:right="0"/>
              <w:jc w:val="left"/>
              <w:rPr>
                <w:rFonts w:ascii="Times New Roman" w:hAnsi="Times New Roman" w:cs="Times New Roman" w:eastAsia="Times New Roman" w:hint="default"/>
                <w:sz w:val="18"/>
                <w:szCs w:val="18"/>
              </w:rPr>
            </w:pPr>
            <w:r>
              <w:rPr>
                <w:rFonts w:ascii="Times New Roman"/>
                <w:sz w:val="18"/>
              </w:rPr>
              <w:t>263,141,812</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205" w:right="0"/>
              <w:jc w:val="left"/>
              <w:rPr>
                <w:rFonts w:ascii="Times New Roman" w:hAnsi="Times New Roman" w:cs="Times New Roman" w:eastAsia="Times New Roman" w:hint="default"/>
                <w:sz w:val="18"/>
                <w:szCs w:val="18"/>
              </w:rPr>
            </w:pPr>
            <w:r>
              <w:rPr>
                <w:rFonts w:ascii="Times New Roman"/>
                <w:sz w:val="18"/>
              </w:rPr>
              <w:t>263,141,812</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06" w:right="0"/>
              <w:jc w:val="left"/>
              <w:rPr>
                <w:rFonts w:ascii="Times New Roman" w:hAnsi="Times New Roman" w:cs="Times New Roman" w:eastAsia="Times New Roman" w:hint="default"/>
                <w:sz w:val="18"/>
                <w:szCs w:val="18"/>
              </w:rPr>
            </w:pPr>
            <w:r>
              <w:rPr>
                <w:rFonts w:ascii="Times New Roman"/>
                <w:sz w:val="18"/>
              </w:rPr>
              <w:t>63,450,322</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left="294" w:right="0"/>
              <w:jc w:val="left"/>
              <w:rPr>
                <w:rFonts w:ascii="Times New Roman" w:hAnsi="Times New Roman" w:cs="Times New Roman" w:eastAsia="Times New Roman" w:hint="default"/>
                <w:sz w:val="18"/>
                <w:szCs w:val="18"/>
              </w:rPr>
            </w:pPr>
            <w:r>
              <w:rPr>
                <w:rFonts w:ascii="Times New Roman"/>
                <w:sz w:val="18"/>
              </w:rPr>
              <w:t>63,450,322</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陆珍玉</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06" w:right="0"/>
              <w:jc w:val="left"/>
              <w:rPr>
                <w:rFonts w:ascii="Times New Roman" w:hAnsi="Times New Roman" w:cs="Times New Roman" w:eastAsia="Times New Roman" w:hint="default"/>
                <w:sz w:val="18"/>
                <w:szCs w:val="18"/>
              </w:rPr>
            </w:pPr>
            <w:r>
              <w:rPr>
                <w:rFonts w:ascii="Times New Roman"/>
                <w:sz w:val="18"/>
              </w:rPr>
              <w:t>51,774,500</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left="294" w:right="0"/>
              <w:jc w:val="left"/>
              <w:rPr>
                <w:rFonts w:ascii="Times New Roman" w:hAnsi="Times New Roman" w:cs="Times New Roman" w:eastAsia="Times New Roman" w:hint="default"/>
                <w:sz w:val="18"/>
                <w:szCs w:val="18"/>
              </w:rPr>
            </w:pPr>
            <w:r>
              <w:rPr>
                <w:rFonts w:ascii="Times New Roman"/>
                <w:sz w:val="18"/>
              </w:rPr>
              <w:t>51,774,500</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全国社保基金五零四组合</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13" w:right="0"/>
              <w:jc w:val="left"/>
              <w:rPr>
                <w:rFonts w:ascii="Times New Roman" w:hAnsi="Times New Roman" w:cs="Times New Roman" w:eastAsia="Times New Roman" w:hint="default"/>
                <w:sz w:val="18"/>
                <w:szCs w:val="18"/>
              </w:rPr>
            </w:pPr>
            <w:r>
              <w:rPr>
                <w:rFonts w:ascii="Times New Roman"/>
                <w:sz w:val="18"/>
              </w:rPr>
              <w:t>11,671,631</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left="301" w:right="0"/>
              <w:jc w:val="left"/>
              <w:rPr>
                <w:rFonts w:ascii="Times New Roman" w:hAnsi="Times New Roman" w:cs="Times New Roman" w:eastAsia="Times New Roman" w:hint="default"/>
                <w:sz w:val="18"/>
                <w:szCs w:val="18"/>
              </w:rPr>
            </w:pPr>
            <w:r>
              <w:rPr>
                <w:rFonts w:ascii="Times New Roman"/>
                <w:sz w:val="18"/>
              </w:rPr>
              <w:t>11,671,631</w:t>
            </w:r>
          </w:p>
        </w:tc>
      </w:tr>
      <w:tr>
        <w:trPr>
          <w:trHeight w:val="634"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98" w:right="275"/>
              <w:jc w:val="left"/>
              <w:rPr>
                <w:rFonts w:ascii="宋体" w:hAnsi="宋体" w:cs="宋体" w:eastAsia="宋体" w:hint="default"/>
                <w:sz w:val="18"/>
                <w:szCs w:val="18"/>
              </w:rPr>
            </w:pPr>
            <w:r>
              <w:rPr>
                <w:rFonts w:ascii="宋体" w:hAnsi="宋体" w:cs="宋体" w:eastAsia="宋体" w:hint="default"/>
                <w:sz w:val="18"/>
                <w:szCs w:val="18"/>
              </w:rPr>
              <w:t>中国建设银行股份有限公司－银华鑫锐定增灵活 配置混合型证券投资基金</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3" w:right="0"/>
              <w:jc w:val="left"/>
              <w:rPr>
                <w:rFonts w:ascii="Times New Roman" w:hAnsi="Times New Roman" w:cs="Times New Roman" w:eastAsia="Times New Roman" w:hint="default"/>
                <w:sz w:val="18"/>
                <w:szCs w:val="18"/>
              </w:rPr>
            </w:pPr>
            <w:r>
              <w:rPr>
                <w:rFonts w:ascii="Times New Roman"/>
                <w:sz w:val="18"/>
              </w:rPr>
              <w:t>11,013,215</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11,013,215</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98" w:right="0"/>
              <w:jc w:val="left"/>
              <w:rPr>
                <w:rFonts w:ascii="宋体" w:hAnsi="宋体" w:cs="宋体" w:eastAsia="宋体" w:hint="default"/>
                <w:sz w:val="18"/>
                <w:szCs w:val="18"/>
              </w:rPr>
            </w:pPr>
            <w:r>
              <w:rPr>
                <w:rFonts w:ascii="宋体" w:hAnsi="宋体" w:cs="宋体" w:eastAsia="宋体" w:hint="default"/>
                <w:sz w:val="18"/>
                <w:szCs w:val="18"/>
              </w:rPr>
              <w:t>浙江广杰投资管理有限公司</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6" w:right="0"/>
              <w:jc w:val="left"/>
              <w:rPr>
                <w:rFonts w:ascii="Times New Roman" w:hAnsi="Times New Roman" w:cs="Times New Roman" w:eastAsia="Times New Roman" w:hint="default"/>
                <w:sz w:val="18"/>
                <w:szCs w:val="18"/>
              </w:rPr>
            </w:pPr>
            <w:r>
              <w:rPr>
                <w:rFonts w:ascii="Times New Roman"/>
                <w:sz w:val="18"/>
              </w:rPr>
              <w:t>10,462,555</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294" w:right="0"/>
              <w:jc w:val="left"/>
              <w:rPr>
                <w:rFonts w:ascii="Times New Roman" w:hAnsi="Times New Roman" w:cs="Times New Roman" w:eastAsia="Times New Roman" w:hint="default"/>
                <w:sz w:val="18"/>
                <w:szCs w:val="18"/>
              </w:rPr>
            </w:pPr>
            <w:r>
              <w:rPr>
                <w:rFonts w:ascii="Times New Roman"/>
                <w:sz w:val="18"/>
              </w:rPr>
              <w:t>10,462,555</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9,491,320</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385" w:right="0"/>
              <w:jc w:val="left"/>
              <w:rPr>
                <w:rFonts w:ascii="Times New Roman" w:hAnsi="Times New Roman" w:cs="Times New Roman" w:eastAsia="Times New Roman" w:hint="default"/>
                <w:sz w:val="18"/>
                <w:szCs w:val="18"/>
              </w:rPr>
            </w:pPr>
            <w:r>
              <w:rPr>
                <w:rFonts w:ascii="Times New Roman"/>
                <w:sz w:val="18"/>
              </w:rPr>
              <w:t>9,491,320</w:t>
            </w:r>
          </w:p>
        </w:tc>
      </w:tr>
      <w:tr>
        <w:trPr>
          <w:trHeight w:val="634"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300" w:lineRule="auto" w:before="11"/>
              <w:ind w:left="98" w:right="10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交易型开放 式指数证券投资基金</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7,166,242</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7,166,242</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于俊峰</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4,035,877</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left="385" w:right="0"/>
              <w:jc w:val="left"/>
              <w:rPr>
                <w:rFonts w:ascii="Times New Roman" w:hAnsi="Times New Roman" w:cs="Times New Roman" w:eastAsia="Times New Roman" w:hint="default"/>
                <w:sz w:val="18"/>
                <w:szCs w:val="18"/>
              </w:rPr>
            </w:pPr>
            <w:r>
              <w:rPr>
                <w:rFonts w:ascii="Times New Roman"/>
                <w:sz w:val="18"/>
              </w:rPr>
              <w:t>4,035,877</w:t>
            </w:r>
          </w:p>
        </w:tc>
      </w:tr>
      <w:tr>
        <w:trPr>
          <w:trHeight w:val="322" w:hRule="exact"/>
        </w:trPr>
        <w:tc>
          <w:tcPr>
            <w:tcW w:w="417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萍乡皓熙汇达新能源产业投资基金（有限合伙）</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3,500,000</w:t>
            </w:r>
          </w:p>
        </w:tc>
        <w:tc>
          <w:tcPr>
            <w:tcW w:w="1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18" w:type="dxa"/>
            <w:gridSpan w:val="3"/>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left="385" w:right="0"/>
              <w:jc w:val="left"/>
              <w:rPr>
                <w:rFonts w:ascii="Times New Roman" w:hAnsi="Times New Roman" w:cs="Times New Roman" w:eastAsia="Times New Roman" w:hint="default"/>
                <w:sz w:val="18"/>
                <w:szCs w:val="18"/>
              </w:rPr>
            </w:pPr>
            <w:r>
              <w:rPr>
                <w:rFonts w:ascii="Times New Roman"/>
                <w:sz w:val="18"/>
              </w:rPr>
              <w:t>3,500,000</w:t>
            </w:r>
          </w:p>
        </w:tc>
      </w:tr>
      <w:tr>
        <w:trPr>
          <w:trHeight w:val="1263" w:hRule="exact"/>
        </w:trPr>
        <w:tc>
          <w:tcPr>
            <w:tcW w:w="3610" w:type="dxa"/>
            <w:gridSpan w:val="2"/>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98" w:right="164"/>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 联关系或一致行动的说明</w:t>
            </w:r>
          </w:p>
        </w:tc>
        <w:tc>
          <w:tcPr>
            <w:tcW w:w="5958" w:type="dxa"/>
            <w:gridSpan w:val="9"/>
            <w:tcBorders>
              <w:top w:val="single" w:sz="4" w:space="0" w:color="000000"/>
              <w:left w:val="single" w:sz="4" w:space="0" w:color="000000"/>
              <w:bottom w:val="single" w:sz="8" w:space="0" w:color="000000"/>
              <w:right w:val="single" w:sz="8" w:space="0" w:color="000000"/>
            </w:tcBorders>
          </w:tcPr>
          <w:p>
            <w:pPr>
              <w:pStyle w:val="TableParagraph"/>
              <w:spacing w:line="312" w:lineRule="auto" w:before="10"/>
              <w:ind w:left="102" w:right="7"/>
              <w:jc w:val="left"/>
              <w:rPr>
                <w:rFonts w:ascii="宋体" w:hAnsi="宋体" w:cs="宋体" w:eastAsia="宋体" w:hint="default"/>
                <w:sz w:val="18"/>
                <w:szCs w:val="18"/>
              </w:rPr>
            </w:pPr>
            <w:r>
              <w:rPr>
                <w:rFonts w:ascii="宋体" w:hAnsi="宋体" w:cs="宋体" w:eastAsia="宋体" w:hint="default"/>
                <w:spacing w:val="-7"/>
                <w:sz w:val="18"/>
                <w:szCs w:val="18"/>
              </w:rPr>
              <w:t>智能科技集团、张德生（实际控制人）、陆珍玉（实际控制人之配偶）、张</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珊珊（实际控制人之女）构成一致行动关系。除此之外，公司未知前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名股东之间是否存在关联关系，也未知是否存在《上市公司收购管理办法》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中规定的一致行动人的情况。</w:t>
            </w:r>
          </w:p>
        </w:tc>
      </w:tr>
    </w:tbl>
    <w:p>
      <w:pPr>
        <w:pStyle w:val="BodyText"/>
        <w:spacing w:line="240" w:lineRule="auto" w:before="50"/>
        <w:ind w:left="232" w:right="265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left="232" w:right="2654"/>
        <w:jc w:val="left"/>
      </w:pPr>
      <w:r>
        <w:rPr/>
        <w:t>□ 是 √ 否</w:t>
      </w:r>
    </w:p>
    <w:p>
      <w:pPr>
        <w:pStyle w:val="BodyText"/>
        <w:spacing w:line="240" w:lineRule="auto" w:before="117"/>
        <w:ind w:left="232" w:right="265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after="0" w:line="240" w:lineRule="auto"/>
        <w:jc w:val="left"/>
        <w:sectPr>
          <w:pgSz w:w="11910" w:h="16840"/>
          <w:pgMar w:header="890" w:footer="1012" w:top="1480" w:bottom="1200" w:left="900" w:right="0"/>
        </w:sectPr>
      </w:pPr>
    </w:p>
    <w:p>
      <w:pPr>
        <w:pStyle w:val="Heading6"/>
        <w:spacing w:line="240" w:lineRule="auto" w:before="43"/>
        <w:ind w:left="232" w:right="2654"/>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32" w:right="8594"/>
        <w:jc w:val="left"/>
      </w:pPr>
      <w:r>
        <w:rPr/>
        <w:t>控股股东性质：自然人控股 控股股东类型：法人</w:t>
      </w:r>
    </w:p>
    <w:tbl>
      <w:tblPr>
        <w:tblW w:w="0" w:type="auto"/>
        <w:jc w:val="left"/>
        <w:tblInd w:w="113" w:type="dxa"/>
        <w:tblLayout w:type="fixed"/>
        <w:tblCellMar>
          <w:top w:w="0" w:type="dxa"/>
          <w:left w:w="0" w:type="dxa"/>
          <w:bottom w:w="0" w:type="dxa"/>
          <w:right w:w="0" w:type="dxa"/>
        </w:tblCellMar>
        <w:tblLook w:val="01E0"/>
      </w:tblPr>
      <w:tblGrid>
        <w:gridCol w:w="1360"/>
        <w:gridCol w:w="800"/>
        <w:gridCol w:w="1340"/>
        <w:gridCol w:w="1630"/>
        <w:gridCol w:w="4438"/>
      </w:tblGrid>
      <w:tr>
        <w:trPr>
          <w:trHeight w:val="357" w:hRule="exact"/>
        </w:trPr>
        <w:tc>
          <w:tcPr>
            <w:tcW w:w="1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w:t>
            </w: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c>
          <w:tcPr>
            <w:tcW w:w="44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3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10"/>
              <w:ind w:left="125" w:right="123" w:firstLine="64"/>
              <w:jc w:val="left"/>
              <w:rPr>
                <w:rFonts w:ascii="宋体" w:hAnsi="宋体" w:cs="宋体" w:eastAsia="宋体" w:hint="default"/>
                <w:sz w:val="18"/>
                <w:szCs w:val="18"/>
              </w:rPr>
            </w:pPr>
            <w:r>
              <w:rPr>
                <w:rFonts w:ascii="宋体" w:hAnsi="宋体" w:cs="宋体" w:eastAsia="宋体" w:hint="default"/>
                <w:sz w:val="18"/>
                <w:szCs w:val="18"/>
              </w:rPr>
              <w:t>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单位负</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责人</w:t>
            </w: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c>
          <w:tcPr>
            <w:tcW w:w="44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65"/>
              <w:jc w:val="both"/>
              <w:rPr>
                <w:rFonts w:ascii="宋体" w:hAnsi="宋体" w:cs="宋体" w:eastAsia="宋体" w:hint="default"/>
                <w:sz w:val="18"/>
                <w:szCs w:val="18"/>
              </w:rPr>
            </w:pPr>
            <w:r>
              <w:rPr>
                <w:rFonts w:ascii="宋体" w:hAnsi="宋体" w:cs="宋体" w:eastAsia="宋体" w:hint="default"/>
                <w:sz w:val="18"/>
                <w:szCs w:val="18"/>
              </w:rPr>
              <w:t>浙江万马智能 科技集团有限 公司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张德生</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101" w:right="166"/>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 码： </w:t>
            </w:r>
            <w:r>
              <w:rPr>
                <w:rFonts w:ascii="Times New Roman" w:hAnsi="Times New Roman" w:cs="Times New Roman" w:eastAsia="Times New Roman" w:hint="default"/>
                <w:sz w:val="18"/>
                <w:szCs w:val="18"/>
              </w:rPr>
              <w:t>913301857043124</w:t>
            </w:r>
          </w:p>
          <w:p>
            <w:pPr>
              <w:pStyle w:val="TableParagraph"/>
              <w:spacing w:line="240" w:lineRule="auto" w:before="23"/>
              <w:ind w:left="101" w:right="0"/>
              <w:jc w:val="left"/>
              <w:rPr>
                <w:rFonts w:ascii="Times New Roman" w:hAnsi="Times New Roman" w:cs="Times New Roman" w:eastAsia="Times New Roman" w:hint="default"/>
                <w:sz w:val="18"/>
                <w:szCs w:val="18"/>
              </w:rPr>
            </w:pPr>
            <w:r>
              <w:rPr>
                <w:rFonts w:ascii="Times New Roman"/>
                <w:sz w:val="18"/>
              </w:rPr>
              <w:t>91N</w:t>
            </w:r>
          </w:p>
        </w:tc>
        <w:tc>
          <w:tcPr>
            <w:tcW w:w="4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2"/>
              <w:jc w:val="left"/>
              <w:rPr>
                <w:rFonts w:ascii="宋体" w:hAnsi="宋体" w:cs="宋体" w:eastAsia="宋体" w:hint="default"/>
                <w:sz w:val="18"/>
                <w:szCs w:val="18"/>
              </w:rPr>
            </w:pPr>
            <w:r>
              <w:rPr>
                <w:rFonts w:ascii="宋体" w:hAnsi="宋体" w:cs="宋体" w:eastAsia="宋体" w:hint="default"/>
                <w:spacing w:val="-1"/>
                <w:sz w:val="18"/>
                <w:szCs w:val="18"/>
              </w:rPr>
              <w:t>实业投资；研发、销售：电力设备、器材，橡塑制品、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橡胶及制品、机械设备、化工产品及原料等。</w:t>
            </w:r>
          </w:p>
        </w:tc>
      </w:tr>
      <w:tr>
        <w:trPr>
          <w:trHeight w:val="357" w:hRule="exact"/>
        </w:trPr>
        <w:tc>
          <w:tcPr>
            <w:tcW w:w="2160"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408"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截至报告期末，智能科技集团及其一致行动人张德生（实际控制人</w:t>
            </w:r>
            <w:r>
              <w:rPr>
                <w:rFonts w:ascii="宋体" w:hAnsi="宋体" w:cs="宋体" w:eastAsia="宋体" w:hint="default"/>
                <w:spacing w:val="-89"/>
                <w:sz w:val="18"/>
                <w:szCs w:val="18"/>
              </w:rPr>
              <w:t>）</w:t>
            </w:r>
            <w:r>
              <w:rPr>
                <w:rFonts w:ascii="宋体" w:hAnsi="宋体" w:cs="宋体" w:eastAsia="宋体" w:hint="default"/>
                <w:sz w:val="18"/>
                <w:szCs w:val="18"/>
              </w:rPr>
              <w:t>、张珊珊（实际控制人</w:t>
            </w:r>
          </w:p>
        </w:tc>
      </w:tr>
      <w:tr>
        <w:trPr>
          <w:trHeight w:val="312" w:hRule="exact"/>
        </w:trPr>
        <w:tc>
          <w:tcPr>
            <w:tcW w:w="216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40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之女）合计持有创业板上市公司万马科技股份有限公司（股票简称：万马科技，股票代码：</w:t>
            </w:r>
          </w:p>
        </w:tc>
      </w:tr>
      <w:tr>
        <w:trPr>
          <w:trHeight w:val="357" w:hRule="exact"/>
        </w:trPr>
        <w:tc>
          <w:tcPr>
            <w:tcW w:w="2160"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408"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300698</w:t>
            </w:r>
            <w:r>
              <w:rPr>
                <w:rFonts w:ascii="宋体" w:hAnsi="宋体" w:cs="宋体" w:eastAsia="宋体" w:hint="default"/>
                <w:sz w:val="18"/>
                <w:szCs w:val="18"/>
              </w:rPr>
              <w:t>）</w:t>
            </w:r>
            <w:r>
              <w:rPr>
                <w:rFonts w:ascii="Times New Roman" w:hAnsi="Times New Roman" w:cs="Times New Roman" w:eastAsia="Times New Roman" w:hint="default"/>
                <w:sz w:val="18"/>
                <w:szCs w:val="18"/>
              </w:rPr>
              <w:t>4,475.89 </w:t>
            </w:r>
            <w:r>
              <w:rPr>
                <w:rFonts w:ascii="宋体" w:hAnsi="宋体" w:cs="宋体" w:eastAsia="宋体" w:hint="default"/>
                <w:sz w:val="18"/>
                <w:szCs w:val="18"/>
              </w:rPr>
              <w:t>万股，占万马科技总股本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33.40%</w:t>
            </w:r>
            <w:r>
              <w:rPr>
                <w:rFonts w:ascii="宋体" w:hAnsi="宋体" w:cs="宋体" w:eastAsia="宋体" w:hint="default"/>
                <w:sz w:val="18"/>
                <w:szCs w:val="18"/>
              </w:rPr>
              <w:t>。</w:t>
            </w:r>
          </w:p>
        </w:tc>
      </w:tr>
    </w:tbl>
    <w:p>
      <w:pPr>
        <w:pStyle w:val="BodyText"/>
        <w:spacing w:line="240" w:lineRule="auto" w:before="67"/>
        <w:ind w:left="232" w:right="2654"/>
        <w:jc w:val="left"/>
      </w:pPr>
      <w:r>
        <w:rPr/>
        <w:t>控股股东报告期内变更</w:t>
      </w:r>
    </w:p>
    <w:p>
      <w:pPr>
        <w:pStyle w:val="BodyText"/>
        <w:spacing w:line="360" w:lineRule="auto" w:before="115"/>
        <w:ind w:left="232" w:right="7694"/>
        <w:jc w:val="left"/>
      </w:pPr>
      <w:r>
        <w:rPr/>
        <w:t>□ 适用 √ 不适用 公司报告期控股股东未发生变更。</w:t>
      </w:r>
    </w:p>
    <w:p>
      <w:pPr>
        <w:spacing w:line="240" w:lineRule="auto" w:before="12"/>
        <w:rPr>
          <w:rFonts w:ascii="宋体" w:hAnsi="宋体" w:cs="宋体" w:eastAsia="宋体" w:hint="default"/>
          <w:sz w:val="19"/>
          <w:szCs w:val="19"/>
        </w:rPr>
      </w:pPr>
    </w:p>
    <w:p>
      <w:pPr>
        <w:pStyle w:val="Heading6"/>
        <w:spacing w:line="240" w:lineRule="auto"/>
        <w:ind w:left="232" w:right="2654"/>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2654"/>
        <w:jc w:val="left"/>
      </w:pPr>
      <w:r>
        <w:rPr/>
        <w:t>实际控制人性质：境内自然人</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120"/>
        <w:gridCol w:w="4210"/>
        <w:gridCol w:w="846"/>
        <w:gridCol w:w="2392"/>
      </w:tblGrid>
      <w:tr>
        <w:trPr>
          <w:trHeight w:val="63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4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8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陆珍玉</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4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张德生：</w:t>
            </w:r>
            <w:r>
              <w:rPr>
                <w:rFonts w:ascii="Times New Roman" w:hAnsi="Times New Roman" w:cs="Times New Roman" w:eastAsia="Times New Roman" w:hint="default"/>
                <w:spacing w:val="-5"/>
                <w:sz w:val="18"/>
                <w:szCs w:val="18"/>
              </w:rPr>
              <w:t>1974</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年起历任临天乡农机厂副厂长、临天乡标牌厂副厂长、临天乡供销社公司经理；</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年起创业，逐步发展壮大。最近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年内一直担任万马联合控股集团有限公司董事长。</w:t>
            </w:r>
          </w:p>
        </w:tc>
      </w:tr>
      <w:tr>
        <w:trPr>
          <w:trHeight w:val="63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2" w:right="11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 外上市公司情况</w:t>
            </w:r>
          </w:p>
        </w:tc>
        <w:tc>
          <w:tcPr>
            <w:tcW w:w="74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2"/>
                <w:sz w:val="18"/>
                <w:szCs w:val="18"/>
              </w:rPr>
              <w:t>张德生先生直接持有万马科技（</w:t>
            </w:r>
            <w:r>
              <w:rPr>
                <w:rFonts w:ascii="Times New Roman" w:hAnsi="Times New Roman" w:cs="Times New Roman" w:eastAsia="Times New Roman" w:hint="default"/>
                <w:spacing w:val="-2"/>
                <w:sz w:val="18"/>
                <w:szCs w:val="18"/>
              </w:rPr>
              <w:t>300698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30.75%</w:t>
            </w:r>
            <w:r>
              <w:rPr>
                <w:rFonts w:ascii="宋体" w:hAnsi="宋体" w:cs="宋体" w:eastAsia="宋体" w:hint="default"/>
                <w:spacing w:val="-2"/>
                <w:sz w:val="18"/>
                <w:szCs w:val="18"/>
              </w:rPr>
              <w:t>的股份，为万马科技控股股东、实际控制人。</w:t>
            </w:r>
          </w:p>
        </w:tc>
      </w:tr>
    </w:tbl>
    <w:p>
      <w:pPr>
        <w:pStyle w:val="BodyText"/>
        <w:spacing w:line="240" w:lineRule="auto" w:before="50"/>
        <w:ind w:left="232" w:right="2654"/>
        <w:jc w:val="left"/>
      </w:pPr>
      <w:r>
        <w:rPr/>
        <w:t>实际控制人报告期内变更</w:t>
      </w:r>
    </w:p>
    <w:p>
      <w:pPr>
        <w:spacing w:line="360" w:lineRule="auto" w:before="115"/>
        <w:ind w:left="232" w:right="6597"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w:t>
      </w: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after="0" w:line="360" w:lineRule="auto"/>
        <w:jc w:val="left"/>
        <w:rPr>
          <w:rFonts w:ascii="宋体" w:hAnsi="宋体" w:cs="宋体" w:eastAsia="宋体" w:hint="default"/>
          <w:sz w:val="18"/>
          <w:szCs w:val="18"/>
        </w:rPr>
        <w:sectPr>
          <w:pgSz w:w="11910" w:h="16840"/>
          <w:pgMar w:header="890" w:footer="1012" w:top="1420" w:bottom="1200" w:left="900" w:right="0"/>
        </w:sectPr>
      </w:pPr>
    </w:p>
    <w:p>
      <w:pPr>
        <w:spacing w:line="240" w:lineRule="auto" w:before="10"/>
        <w:rPr>
          <w:rFonts w:ascii="宋体" w:hAnsi="宋体" w:cs="宋体" w:eastAsia="宋体" w:hint="default"/>
          <w:b/>
          <w:bCs/>
          <w:sz w:val="13"/>
          <w:szCs w:val="13"/>
        </w:rPr>
      </w:pPr>
    </w:p>
    <w:p>
      <w:pPr>
        <w:spacing w:line="2259" w:lineRule="exact"/>
        <w:ind w:left="2016"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3717631" cy="1435036"/>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31" cstate="print"/>
                    <a:stretch>
                      <a:fillRect/>
                    </a:stretch>
                  </pic:blipFill>
                  <pic:spPr>
                    <a:xfrm>
                      <a:off x="0" y="0"/>
                      <a:ext cx="3717631" cy="1435036"/>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4"/>
        <w:rPr>
          <w:rFonts w:ascii="宋体" w:hAnsi="宋体" w:cs="宋体" w:eastAsia="宋体" w:hint="default"/>
          <w:b/>
          <w:bCs/>
          <w:sz w:val="20"/>
          <w:szCs w:val="20"/>
        </w:rPr>
      </w:pPr>
    </w:p>
    <w:p>
      <w:pPr>
        <w:pStyle w:val="Heading7"/>
        <w:spacing w:line="240" w:lineRule="auto" w:before="34"/>
        <w:ind w:right="0"/>
        <w:jc w:val="left"/>
      </w:pPr>
      <w:r>
        <w:rPr/>
        <w:t>实际控制人通过信托或其他资产管理方式控制公司</w:t>
      </w:r>
    </w:p>
    <w:p>
      <w:pPr>
        <w:spacing w:line="240" w:lineRule="auto" w:before="0"/>
        <w:rPr>
          <w:rFonts w:ascii="宋体" w:hAnsi="宋体" w:cs="宋体" w:eastAsia="宋体" w:hint="default"/>
          <w:sz w:val="20"/>
          <w:szCs w:val="20"/>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47" w:right="0"/>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60" w:lineRule="auto" w:before="44"/>
        <w:ind w:right="8594"/>
        <w:jc w:val="left"/>
      </w:pPr>
      <w:r>
        <w:rPr/>
        <w:t>□ 适用 √ 不适用 报告期公司不存在优先股。</w:t>
      </w:r>
    </w:p>
    <w:p>
      <w:pPr>
        <w:spacing w:after="0" w:line="360" w:lineRule="auto"/>
        <w:jc w:val="left"/>
        <w:sectPr>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763" w:right="915"/>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232" w:right="2654"/>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798"/>
        <w:gridCol w:w="1032"/>
        <w:gridCol w:w="670"/>
        <w:gridCol w:w="540"/>
        <w:gridCol w:w="430"/>
        <w:gridCol w:w="1120"/>
        <w:gridCol w:w="1080"/>
        <w:gridCol w:w="850"/>
        <w:gridCol w:w="800"/>
        <w:gridCol w:w="690"/>
        <w:gridCol w:w="640"/>
        <w:gridCol w:w="922"/>
      </w:tblGrid>
      <w:tr>
        <w:trPr>
          <w:trHeight w:val="111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18" w:lineRule="exact"/>
              <w:ind w:left="149" w:right="14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18" w:lineRule="exact"/>
              <w:ind w:left="175" w:right="172"/>
              <w:jc w:val="left"/>
              <w:rPr>
                <w:rFonts w:ascii="宋体" w:hAnsi="宋体" w:cs="宋体" w:eastAsia="宋体" w:hint="default"/>
                <w:sz w:val="18"/>
                <w:szCs w:val="18"/>
              </w:rPr>
            </w:pPr>
            <w:r>
              <w:rPr>
                <w:rFonts w:ascii="宋体" w:hAnsi="宋体" w:cs="宋体" w:eastAsia="宋体" w:hint="default"/>
                <w:sz w:val="18"/>
                <w:szCs w:val="18"/>
              </w:rPr>
              <w:t>性 别</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18" w:lineRule="exact"/>
              <w:ind w:left="120" w:right="118"/>
              <w:jc w:val="left"/>
              <w:rPr>
                <w:rFonts w:ascii="宋体" w:hAnsi="宋体" w:cs="宋体" w:eastAsia="宋体" w:hint="default"/>
                <w:sz w:val="18"/>
                <w:szCs w:val="18"/>
              </w:rPr>
            </w:pPr>
            <w:r>
              <w:rPr>
                <w:rFonts w:ascii="宋体" w:hAnsi="宋体" w:cs="宋体" w:eastAsia="宋体" w:hint="default"/>
                <w:sz w:val="18"/>
                <w:szCs w:val="18"/>
              </w:rPr>
              <w:t>年 龄</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18" w:lineRule="exact"/>
              <w:ind w:left="465" w:right="102"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18" w:lineRule="exact"/>
              <w:ind w:left="356" w:right="17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18" w:lineRule="exact"/>
              <w:ind w:left="240" w:right="148"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03" w:lineRule="exact"/>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auto" w:before="91"/>
              <w:ind w:left="125"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23" w:lineRule="exact"/>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160"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23" w:lineRule="auto" w:before="7"/>
              <w:ind w:left="160" w:right="158"/>
              <w:jc w:val="both"/>
              <w:rPr>
                <w:rFonts w:ascii="宋体" w:hAnsi="宋体" w:cs="宋体" w:eastAsia="宋体" w:hint="default"/>
                <w:sz w:val="18"/>
                <w:szCs w:val="18"/>
              </w:rPr>
            </w:pPr>
            <w:r>
              <w:rPr>
                <w:rFonts w:ascii="宋体" w:hAnsi="宋体" w:cs="宋体" w:eastAsia="宋体" w:hint="default"/>
                <w:sz w:val="18"/>
                <w:szCs w:val="18"/>
              </w:rPr>
              <w:t>减持 股份 数量</w:t>
            </w:r>
          </w:p>
          <w:p>
            <w:pPr>
              <w:pStyle w:val="TableParagraph"/>
              <w:spacing w:line="223" w:lineRule="exact"/>
              <w:ind w:left="10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18" w:lineRule="exact" w:before="28"/>
              <w:ind w:left="135" w:right="133"/>
              <w:jc w:val="center"/>
              <w:rPr>
                <w:rFonts w:ascii="宋体" w:hAnsi="宋体" w:cs="宋体" w:eastAsia="宋体" w:hint="default"/>
                <w:sz w:val="18"/>
                <w:szCs w:val="18"/>
              </w:rPr>
            </w:pPr>
            <w:r>
              <w:rPr>
                <w:rFonts w:ascii="宋体" w:hAnsi="宋体" w:cs="宋体" w:eastAsia="宋体" w:hint="default"/>
                <w:sz w:val="18"/>
                <w:szCs w:val="18"/>
              </w:rPr>
              <w:t>增减 变动</w:t>
            </w:r>
          </w:p>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18" w:lineRule="exact"/>
              <w:ind w:left="275" w:right="184"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03" w:lineRule="exact"/>
              <w:ind w:left="186"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center"/>
              <w:rPr>
                <w:rFonts w:ascii="Times New Roman" w:hAnsi="Times New Roman" w:cs="Times New Roman" w:eastAsia="Times New Roman" w:hint="default"/>
                <w:sz w:val="18"/>
                <w:szCs w:val="18"/>
              </w:rPr>
            </w:pPr>
            <w:r>
              <w:rPr>
                <w:rFonts w:ascii="Times New Roman"/>
                <w:sz w:val="18"/>
              </w:rPr>
              <w:t>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Times New Roman" w:hAnsi="Times New Roman" w:cs="Times New Roman" w:eastAsia="Times New Roman" w:hint="default"/>
                <w:sz w:val="18"/>
                <w:szCs w:val="18"/>
              </w:rPr>
            </w:pPr>
            <w:r>
              <w:rPr>
                <w:rFonts w:ascii="Times New Roman"/>
                <w:sz w:val="18"/>
              </w:rPr>
              <w:t>2014-04-11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100,000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 w:right="0"/>
              <w:jc w:val="center"/>
              <w:rPr>
                <w:rFonts w:ascii="Times New Roman" w:hAnsi="Times New Roman" w:cs="Times New Roman" w:eastAsia="Times New Roman" w:hint="default"/>
                <w:sz w:val="18"/>
                <w:szCs w:val="18"/>
              </w:rPr>
            </w:pPr>
            <w:r>
              <w:rPr>
                <w:rFonts w:ascii="Times New Roman"/>
                <w:sz w:val="18"/>
              </w:rPr>
              <w:t>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0"/>
              <w:jc w:val="center"/>
              <w:rPr>
                <w:rFonts w:ascii="Times New Roman" w:hAnsi="Times New Roman" w:cs="Times New Roman" w:eastAsia="Times New Roman" w:hint="default"/>
                <w:sz w:val="18"/>
                <w:szCs w:val="18"/>
              </w:rPr>
            </w:pPr>
            <w:r>
              <w:rPr>
                <w:rFonts w:ascii="Times New Roman"/>
                <w:sz w:val="18"/>
              </w:rPr>
              <w:t>2007-01-28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2"/>
                <w:sz w:val="18"/>
              </w:rPr>
              <w:t>110,000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44"/>
              <w:jc w:val="right"/>
              <w:rPr>
                <w:rFonts w:ascii="宋体" w:hAnsi="宋体" w:cs="宋体" w:eastAsia="宋体" w:hint="default"/>
                <w:sz w:val="18"/>
                <w:szCs w:val="18"/>
              </w:rPr>
            </w:pPr>
            <w:r>
              <w:rPr>
                <w:rFonts w:ascii="宋体" w:hAnsi="宋体" w:cs="宋体" w:eastAsia="宋体" w:hint="default"/>
                <w:sz w:val="18"/>
                <w:szCs w:val="18"/>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 w:right="0"/>
              <w:jc w:val="center"/>
              <w:rPr>
                <w:rFonts w:ascii="Times New Roman" w:hAnsi="Times New Roman" w:cs="Times New Roman" w:eastAsia="Times New Roman" w:hint="default"/>
                <w:sz w:val="18"/>
                <w:szCs w:val="18"/>
              </w:rPr>
            </w:pPr>
            <w:r>
              <w:rPr>
                <w:rFonts w:ascii="Times New Roman"/>
                <w:sz w:val="18"/>
              </w:rPr>
              <w:t>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0"/>
              <w:jc w:val="center"/>
              <w:rPr>
                <w:rFonts w:ascii="Times New Roman" w:hAnsi="Times New Roman" w:cs="Times New Roman" w:eastAsia="Times New Roman" w:hint="default"/>
                <w:sz w:val="18"/>
                <w:szCs w:val="18"/>
              </w:rPr>
            </w:pPr>
            <w:r>
              <w:rPr>
                <w:rFonts w:ascii="Times New Roman"/>
                <w:sz w:val="18"/>
              </w:rPr>
              <w:t>2007-01-28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50,000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孙小红</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4"/>
                <w:sz w:val="18"/>
                <w:szCs w:val="18"/>
              </w:rPr>
              <w:t>、</w:t>
            </w:r>
            <w:r>
              <w:rPr>
                <w:rFonts w:ascii="宋体" w:hAnsi="宋体" w:cs="宋体" w:eastAsia="宋体" w:hint="default"/>
                <w:sz w:val="18"/>
                <w:szCs w:val="18"/>
              </w:rPr>
              <w:t>总经</w:t>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5" w:right="0"/>
              <w:jc w:val="center"/>
              <w:rPr>
                <w:rFonts w:ascii="Times New Roman" w:hAnsi="Times New Roman" w:cs="Times New Roman" w:eastAsia="Times New Roman" w:hint="default"/>
                <w:sz w:val="18"/>
                <w:szCs w:val="18"/>
              </w:rPr>
            </w:pPr>
            <w:r>
              <w:rPr>
                <w:rFonts w:ascii="Times New Roman"/>
                <w:sz w:val="18"/>
              </w:rPr>
              <w:t>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60"/>
              <w:jc w:val="center"/>
              <w:rPr>
                <w:rFonts w:ascii="Times New Roman" w:hAnsi="Times New Roman" w:cs="Times New Roman" w:eastAsia="Times New Roman" w:hint="default"/>
                <w:sz w:val="18"/>
                <w:szCs w:val="18"/>
              </w:rPr>
            </w:pPr>
            <w:r>
              <w:rPr>
                <w:rFonts w:ascii="Times New Roman"/>
                <w:sz w:val="18"/>
              </w:rPr>
              <w:t>2018-07-18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p>
        </w:tc>
      </w:tr>
      <w:tr>
        <w:trPr>
          <w:trHeight w:val="4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3"/>
              <w:ind w:left="104" w:right="100"/>
              <w:jc w:val="left"/>
              <w:rPr>
                <w:rFonts w:ascii="宋体" w:hAnsi="宋体" w:cs="宋体" w:eastAsia="宋体" w:hint="default"/>
                <w:sz w:val="18"/>
                <w:szCs w:val="18"/>
              </w:rPr>
            </w:pPr>
            <w:r>
              <w:rPr>
                <w:rFonts w:ascii="宋体" w:hAnsi="宋体" w:cs="宋体" w:eastAsia="宋体" w:hint="default"/>
                <w:spacing w:val="-17"/>
                <w:sz w:val="18"/>
                <w:szCs w:val="18"/>
              </w:rPr>
              <w:t>董事、副总</w:t>
            </w:r>
            <w:r>
              <w:rPr>
                <w:rFonts w:ascii="宋体" w:hAnsi="宋体" w:cs="宋体" w:eastAsia="宋体" w:hint="default"/>
                <w:sz w:val="18"/>
                <w:szCs w:val="18"/>
              </w:rPr>
              <w:t> 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5" w:right="0"/>
              <w:jc w:val="center"/>
              <w:rPr>
                <w:rFonts w:ascii="Times New Roman" w:hAnsi="Times New Roman" w:cs="Times New Roman" w:eastAsia="Times New Roman" w:hint="default"/>
                <w:sz w:val="18"/>
                <w:szCs w:val="18"/>
              </w:rPr>
            </w:pPr>
            <w:r>
              <w:rPr>
                <w:rFonts w:ascii="Times New Roman"/>
                <w:sz w:val="18"/>
              </w:rPr>
              <w:t>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60"/>
              <w:jc w:val="center"/>
              <w:rPr>
                <w:rFonts w:ascii="Times New Roman" w:hAnsi="Times New Roman" w:cs="Times New Roman" w:eastAsia="Times New Roman" w:hint="default"/>
                <w:sz w:val="18"/>
                <w:szCs w:val="18"/>
              </w:rPr>
            </w:pPr>
            <w:r>
              <w:rPr>
                <w:rFonts w:ascii="Times New Roman"/>
                <w:sz w:val="18"/>
              </w:rPr>
              <w:t>2015-06-12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18"/>
                <w:szCs w:val="18"/>
              </w:rPr>
            </w:pPr>
            <w:r>
              <w:rPr>
                <w:rFonts w:ascii="Times New Roman"/>
                <w:spacing w:val="-1"/>
                <w:sz w:val="18"/>
              </w:rPr>
              <w:t>204,750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204,750</w:t>
            </w:r>
          </w:p>
        </w:tc>
      </w:tr>
      <w:tr>
        <w:trPr>
          <w:trHeight w:val="4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4"/>
                <w:sz w:val="18"/>
                <w:szCs w:val="18"/>
              </w:rPr>
              <w:t>、</w:t>
            </w:r>
            <w:r>
              <w:rPr>
                <w:rFonts w:ascii="宋体" w:hAnsi="宋体" w:cs="宋体" w:eastAsia="宋体" w:hint="default"/>
                <w:sz w:val="18"/>
                <w:szCs w:val="18"/>
              </w:rPr>
              <w:t>副总</w:t>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5" w:right="0"/>
              <w:jc w:val="center"/>
              <w:rPr>
                <w:rFonts w:ascii="Times New Roman" w:hAnsi="Times New Roman" w:cs="Times New Roman" w:eastAsia="Times New Roman" w:hint="default"/>
                <w:sz w:val="18"/>
                <w:szCs w:val="18"/>
              </w:rPr>
            </w:pPr>
            <w:r>
              <w:rPr>
                <w:rFonts w:ascii="Times New Roman"/>
                <w:sz w:val="18"/>
              </w:rPr>
              <w:t>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60"/>
              <w:jc w:val="center"/>
              <w:rPr>
                <w:rFonts w:ascii="Times New Roman" w:hAnsi="Times New Roman" w:cs="Times New Roman" w:eastAsia="Times New Roman" w:hint="default"/>
                <w:sz w:val="18"/>
                <w:szCs w:val="18"/>
              </w:rPr>
            </w:pPr>
            <w:r>
              <w:rPr>
                <w:rFonts w:ascii="Times New Roman"/>
                <w:sz w:val="18"/>
              </w:rPr>
              <w:t>2015-06-12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spacing w:val="-1"/>
                <w:sz w:val="18"/>
              </w:rPr>
              <w:t>280,000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2"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center"/>
              <w:rPr>
                <w:rFonts w:ascii="Times New Roman" w:hAnsi="Times New Roman" w:cs="Times New Roman" w:eastAsia="Times New Roman" w:hint="default"/>
                <w:sz w:val="18"/>
                <w:szCs w:val="18"/>
              </w:rPr>
            </w:pPr>
            <w:r>
              <w:rPr>
                <w:rFonts w:ascii="Times New Roman"/>
                <w:sz w:val="18"/>
              </w:rPr>
              <w:t>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
              <w:jc w:val="center"/>
              <w:rPr>
                <w:rFonts w:ascii="Times New Roman" w:hAnsi="Times New Roman" w:cs="Times New Roman" w:eastAsia="Times New Roman" w:hint="default"/>
                <w:sz w:val="18"/>
                <w:szCs w:val="18"/>
              </w:rPr>
            </w:pPr>
            <w:r>
              <w:rPr>
                <w:rFonts w:ascii="Times New Roman"/>
                <w:sz w:val="18"/>
              </w:rPr>
              <w:t>2015-05-06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 w:right="0"/>
              <w:jc w:val="center"/>
              <w:rPr>
                <w:rFonts w:ascii="Times New Roman" w:hAnsi="Times New Roman" w:cs="Times New Roman" w:eastAsia="Times New Roman" w:hint="default"/>
                <w:sz w:val="18"/>
                <w:szCs w:val="18"/>
              </w:rPr>
            </w:pPr>
            <w:r>
              <w:rPr>
                <w:rFonts w:ascii="Times New Roman"/>
                <w:sz w:val="18"/>
              </w:rPr>
              <w:t>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0"/>
              <w:jc w:val="center"/>
              <w:rPr>
                <w:rFonts w:ascii="Times New Roman" w:hAnsi="Times New Roman" w:cs="Times New Roman" w:eastAsia="Times New Roman" w:hint="default"/>
                <w:sz w:val="18"/>
                <w:szCs w:val="18"/>
              </w:rPr>
            </w:pPr>
            <w:r>
              <w:rPr>
                <w:rFonts w:ascii="Times New Roman"/>
                <w:sz w:val="18"/>
              </w:rPr>
              <w:t>2013-05-09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2" w:right="0"/>
              <w:jc w:val="left"/>
              <w:rPr>
                <w:rFonts w:ascii="宋体" w:hAnsi="宋体" w:cs="宋体" w:eastAsia="宋体" w:hint="default"/>
                <w:sz w:val="18"/>
                <w:szCs w:val="18"/>
              </w:rPr>
            </w:pPr>
            <w:r>
              <w:rPr>
                <w:rFonts w:ascii="宋体" w:hAnsi="宋体" w:cs="宋体" w:eastAsia="宋体" w:hint="default"/>
                <w:sz w:val="18"/>
                <w:szCs w:val="18"/>
              </w:rPr>
              <w:t>邹  峻</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 w:right="0"/>
              <w:jc w:val="center"/>
              <w:rPr>
                <w:rFonts w:ascii="Times New Roman" w:hAnsi="Times New Roman" w:cs="Times New Roman" w:eastAsia="Times New Roman" w:hint="default"/>
                <w:sz w:val="18"/>
                <w:szCs w:val="18"/>
              </w:rPr>
            </w:pPr>
            <w:r>
              <w:rPr>
                <w:rFonts w:ascii="Times New Roman"/>
                <w:sz w:val="18"/>
              </w:rPr>
              <w:t>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0"/>
              <w:jc w:val="center"/>
              <w:rPr>
                <w:rFonts w:ascii="Times New Roman" w:hAnsi="Times New Roman" w:cs="Times New Roman" w:eastAsia="Times New Roman" w:hint="default"/>
                <w:sz w:val="18"/>
                <w:szCs w:val="18"/>
              </w:rPr>
            </w:pPr>
            <w:r>
              <w:rPr>
                <w:rFonts w:ascii="Times New Roman"/>
                <w:sz w:val="18"/>
              </w:rPr>
              <w:t>2013-05-09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2"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44"/>
              <w:jc w:val="right"/>
              <w:rPr>
                <w:rFonts w:ascii="宋体" w:hAnsi="宋体" w:cs="宋体" w:eastAsia="宋体" w:hint="default"/>
                <w:sz w:val="18"/>
                <w:szCs w:val="18"/>
              </w:rPr>
            </w:pPr>
            <w:r>
              <w:rPr>
                <w:rFonts w:ascii="宋体" w:hAnsi="宋体" w:cs="宋体" w:eastAsia="宋体" w:hint="default"/>
                <w:sz w:val="18"/>
                <w:szCs w:val="18"/>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Times New Roman" w:hAnsi="Times New Roman" w:cs="Times New Roman" w:eastAsia="Times New Roman" w:hint="default"/>
                <w:sz w:val="18"/>
                <w:szCs w:val="18"/>
              </w:rPr>
            </w:pPr>
            <w:r>
              <w:rPr>
                <w:rFonts w:ascii="Times New Roman"/>
                <w:sz w:val="18"/>
              </w:rPr>
              <w:t>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
              <w:jc w:val="center"/>
              <w:rPr>
                <w:rFonts w:ascii="Times New Roman" w:hAnsi="Times New Roman" w:cs="Times New Roman" w:eastAsia="Times New Roman" w:hint="default"/>
                <w:sz w:val="18"/>
                <w:szCs w:val="18"/>
              </w:rPr>
            </w:pPr>
            <w:r>
              <w:rPr>
                <w:rFonts w:ascii="Times New Roman"/>
                <w:sz w:val="18"/>
              </w:rPr>
              <w:t>2017-09-05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27,000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27,000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4"/>
              <w:jc w:val="right"/>
              <w:rPr>
                <w:rFonts w:ascii="宋体" w:hAnsi="宋体" w:cs="宋体" w:eastAsia="宋体" w:hint="default"/>
                <w:sz w:val="18"/>
                <w:szCs w:val="18"/>
              </w:rPr>
            </w:pPr>
            <w:r>
              <w:rPr>
                <w:rFonts w:ascii="宋体" w:hAnsi="宋体" w:cs="宋体" w:eastAsia="宋体" w:hint="default"/>
                <w:sz w:val="18"/>
                <w:szCs w:val="18"/>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0"/>
              <w:jc w:val="center"/>
              <w:rPr>
                <w:rFonts w:ascii="Times New Roman" w:hAnsi="Times New Roman" w:cs="Times New Roman" w:eastAsia="Times New Roman" w:hint="default"/>
                <w:sz w:val="18"/>
                <w:szCs w:val="18"/>
              </w:rPr>
            </w:pPr>
            <w:r>
              <w:rPr>
                <w:rFonts w:ascii="Times New Roman"/>
                <w:sz w:val="18"/>
              </w:rPr>
              <w:t>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center"/>
              <w:rPr>
                <w:rFonts w:ascii="Times New Roman" w:hAnsi="Times New Roman" w:cs="Times New Roman" w:eastAsia="Times New Roman" w:hint="default"/>
                <w:sz w:val="18"/>
                <w:szCs w:val="18"/>
              </w:rPr>
            </w:pPr>
            <w:r>
              <w:rPr>
                <w:rFonts w:ascii="Times New Roman"/>
                <w:sz w:val="18"/>
              </w:rPr>
              <w:t>2014-04-11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4"/>
              <w:jc w:val="right"/>
              <w:rPr>
                <w:rFonts w:ascii="宋体" w:hAnsi="宋体" w:cs="宋体" w:eastAsia="宋体" w:hint="default"/>
                <w:sz w:val="18"/>
                <w:szCs w:val="18"/>
              </w:rPr>
            </w:pPr>
            <w:r>
              <w:rPr>
                <w:rFonts w:ascii="宋体" w:hAnsi="宋体" w:cs="宋体" w:eastAsia="宋体" w:hint="default"/>
                <w:sz w:val="18"/>
                <w:szCs w:val="18"/>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center"/>
              <w:rPr>
                <w:rFonts w:ascii="Times New Roman" w:hAnsi="Times New Roman" w:cs="Times New Roman" w:eastAsia="Times New Roman" w:hint="default"/>
                <w:sz w:val="18"/>
                <w:szCs w:val="18"/>
              </w:rPr>
            </w:pPr>
            <w:r>
              <w:rPr>
                <w:rFonts w:ascii="Times New Roman"/>
                <w:sz w:val="18"/>
              </w:rPr>
              <w:t>41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
              <w:jc w:val="center"/>
              <w:rPr>
                <w:rFonts w:ascii="Times New Roman" w:hAnsi="Times New Roman" w:cs="Times New Roman" w:eastAsia="Times New Roman" w:hint="default"/>
                <w:sz w:val="18"/>
                <w:szCs w:val="18"/>
              </w:rPr>
            </w:pPr>
            <w:r>
              <w:rPr>
                <w:rFonts w:ascii="Times New Roman"/>
                <w:sz w:val="18"/>
              </w:rPr>
              <w:t>2007-01-28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2" w:right="0"/>
              <w:jc w:val="left"/>
              <w:rPr>
                <w:rFonts w:ascii="宋体" w:hAnsi="宋体" w:cs="宋体" w:eastAsia="宋体" w:hint="default"/>
                <w:sz w:val="18"/>
                <w:szCs w:val="18"/>
              </w:rPr>
            </w:pPr>
            <w:r>
              <w:rPr>
                <w:rFonts w:ascii="宋体" w:hAnsi="宋体" w:cs="宋体" w:eastAsia="宋体" w:hint="default"/>
                <w:sz w:val="18"/>
                <w:szCs w:val="18"/>
              </w:rPr>
              <w:t>许  刚</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center"/>
              <w:rPr>
                <w:rFonts w:ascii="Times New Roman" w:hAnsi="Times New Roman" w:cs="Times New Roman" w:eastAsia="Times New Roman" w:hint="default"/>
                <w:sz w:val="18"/>
                <w:szCs w:val="18"/>
              </w:rPr>
            </w:pPr>
            <w:r>
              <w:rPr>
                <w:rFonts w:ascii="Times New Roman"/>
                <w:sz w:val="18"/>
              </w:rPr>
              <w:t>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
              <w:jc w:val="center"/>
              <w:rPr>
                <w:rFonts w:ascii="Times New Roman" w:hAnsi="Times New Roman" w:cs="Times New Roman" w:eastAsia="Times New Roman" w:hint="default"/>
                <w:sz w:val="18"/>
                <w:szCs w:val="18"/>
              </w:rPr>
            </w:pPr>
            <w:r>
              <w:rPr>
                <w:rFonts w:ascii="Times New Roman"/>
                <w:sz w:val="18"/>
              </w:rPr>
              <w:t>2017-10-13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0</w:t>
            </w:r>
          </w:p>
        </w:tc>
      </w:tr>
      <w:tr>
        <w:trPr>
          <w:trHeight w:val="4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赵宇恺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sz w:val="18"/>
                <w:szCs w:val="18"/>
              </w:rPr>
              <w:t>董秘</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4"/>
              <w:jc w:val="right"/>
              <w:rPr>
                <w:rFonts w:ascii="宋体" w:hAnsi="宋体" w:cs="宋体" w:eastAsia="宋体" w:hint="default"/>
                <w:sz w:val="18"/>
                <w:szCs w:val="18"/>
              </w:rPr>
            </w:pPr>
            <w:r>
              <w:rPr>
                <w:rFonts w:ascii="宋体" w:hAnsi="宋体" w:cs="宋体" w:eastAsia="宋体" w:hint="default"/>
                <w:sz w:val="18"/>
                <w:szCs w:val="18"/>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5" w:right="0"/>
              <w:jc w:val="center"/>
              <w:rPr>
                <w:rFonts w:ascii="Times New Roman" w:hAnsi="Times New Roman" w:cs="Times New Roman" w:eastAsia="Times New Roman" w:hint="default"/>
                <w:sz w:val="18"/>
                <w:szCs w:val="18"/>
              </w:rPr>
            </w:pPr>
            <w:r>
              <w:rPr>
                <w:rFonts w:ascii="Times New Roman"/>
                <w:sz w:val="18"/>
              </w:rPr>
              <w:t>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60"/>
              <w:jc w:val="center"/>
              <w:rPr>
                <w:rFonts w:ascii="Times New Roman" w:hAnsi="Times New Roman" w:cs="Times New Roman" w:eastAsia="Times New Roman" w:hint="default"/>
                <w:sz w:val="18"/>
                <w:szCs w:val="18"/>
              </w:rPr>
            </w:pPr>
            <w:r>
              <w:rPr>
                <w:rFonts w:ascii="Times New Roman"/>
                <w:sz w:val="18"/>
              </w:rPr>
              <w:t>2017-08-21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center"/>
              <w:rPr>
                <w:rFonts w:ascii="Times New Roman" w:hAnsi="Times New Roman" w:cs="Times New Roman" w:eastAsia="Times New Roman" w:hint="default"/>
                <w:sz w:val="18"/>
                <w:szCs w:val="18"/>
              </w:rPr>
            </w:pPr>
            <w:r>
              <w:rPr>
                <w:rFonts w:ascii="Times New Roman"/>
                <w:sz w:val="18"/>
              </w:rPr>
              <w:t>2019-08-25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宋体" w:hAnsi="宋体" w:cs="宋体" w:eastAsia="宋体" w:hint="default"/>
                <w:sz w:val="18"/>
                <w:szCs w:val="18"/>
              </w:rPr>
            </w:pPr>
            <w:r>
              <w:rPr>
                <w:rFonts w:ascii="宋体" w:hAnsi="宋体" w:cs="宋体" w:eastAsia="宋体" w:hint="default"/>
                <w:sz w:val="18"/>
                <w:szCs w:val="18"/>
              </w:rPr>
              <w:t>周  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0"/>
              <w:jc w:val="center"/>
              <w:rPr>
                <w:rFonts w:ascii="Times New Roman" w:hAnsi="Times New Roman" w:cs="Times New Roman" w:eastAsia="Times New Roman" w:hint="default"/>
                <w:sz w:val="18"/>
                <w:szCs w:val="18"/>
              </w:rPr>
            </w:pPr>
            <w:r>
              <w:rPr>
                <w:rFonts w:ascii="Times New Roman"/>
                <w:sz w:val="18"/>
              </w:rPr>
              <w:t>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
              <w:jc w:val="center"/>
              <w:rPr>
                <w:rFonts w:ascii="Times New Roman" w:hAnsi="Times New Roman" w:cs="Times New Roman" w:eastAsia="Times New Roman" w:hint="default"/>
                <w:sz w:val="18"/>
                <w:szCs w:val="18"/>
              </w:rPr>
            </w:pPr>
            <w:r>
              <w:rPr>
                <w:rFonts w:ascii="Times New Roman"/>
                <w:sz w:val="18"/>
              </w:rPr>
              <w:t>2007-01-28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center"/>
              <w:rPr>
                <w:rFonts w:ascii="Times New Roman" w:hAnsi="Times New Roman" w:cs="Times New Roman" w:eastAsia="Times New Roman" w:hint="default"/>
                <w:sz w:val="18"/>
                <w:szCs w:val="18"/>
              </w:rPr>
            </w:pPr>
            <w:r>
              <w:rPr>
                <w:rFonts w:ascii="Times New Roman"/>
                <w:sz w:val="18"/>
              </w:rPr>
              <w:t>2019-04-01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637,500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637,500</w:t>
            </w:r>
          </w:p>
        </w:tc>
      </w:tr>
      <w:tr>
        <w:trPr>
          <w:trHeight w:val="4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2"/>
              <w:ind w:left="104" w:right="100"/>
              <w:jc w:val="left"/>
              <w:rPr>
                <w:rFonts w:ascii="宋体" w:hAnsi="宋体" w:cs="宋体" w:eastAsia="宋体" w:hint="default"/>
                <w:sz w:val="18"/>
                <w:szCs w:val="18"/>
              </w:rPr>
            </w:pPr>
            <w:r>
              <w:rPr>
                <w:rFonts w:ascii="宋体" w:hAnsi="宋体" w:cs="宋体" w:eastAsia="宋体" w:hint="default"/>
                <w:spacing w:val="-17"/>
                <w:sz w:val="18"/>
                <w:szCs w:val="18"/>
              </w:rPr>
              <w:t>原董事、总</w:t>
            </w:r>
            <w:r>
              <w:rPr>
                <w:rFonts w:ascii="宋体" w:hAnsi="宋体" w:cs="宋体" w:eastAsia="宋体" w:hint="default"/>
                <w:sz w:val="18"/>
                <w:szCs w:val="18"/>
              </w:rPr>
              <w:t> 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4"/>
              <w:jc w:val="right"/>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44"/>
              <w:jc w:val="right"/>
              <w:rPr>
                <w:rFonts w:ascii="宋体" w:hAnsi="宋体" w:cs="宋体" w:eastAsia="宋体" w:hint="default"/>
                <w:sz w:val="18"/>
                <w:szCs w:val="18"/>
              </w:rPr>
            </w:pPr>
            <w:r>
              <w:rPr>
                <w:rFonts w:ascii="宋体" w:hAnsi="宋体" w:cs="宋体" w:eastAsia="宋体" w:hint="default"/>
                <w:sz w:val="18"/>
                <w:szCs w:val="18"/>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5" w:right="0"/>
              <w:jc w:val="center"/>
              <w:rPr>
                <w:rFonts w:ascii="Times New Roman" w:hAnsi="Times New Roman" w:cs="Times New Roman" w:eastAsia="Times New Roman" w:hint="default"/>
                <w:sz w:val="18"/>
                <w:szCs w:val="18"/>
              </w:rPr>
            </w:pPr>
            <w:r>
              <w:rPr>
                <w:rFonts w:ascii="Times New Roman"/>
                <w:sz w:val="18"/>
              </w:rPr>
              <w:t>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0"/>
              <w:jc w:val="center"/>
              <w:rPr>
                <w:rFonts w:ascii="Times New Roman" w:hAnsi="Times New Roman" w:cs="Times New Roman" w:eastAsia="Times New Roman" w:hint="default"/>
                <w:sz w:val="18"/>
                <w:szCs w:val="18"/>
              </w:rPr>
            </w:pPr>
            <w:r>
              <w:rPr>
                <w:rFonts w:ascii="Times New Roman"/>
                <w:sz w:val="18"/>
              </w:rPr>
              <w:t>2013-05-09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center"/>
              <w:rPr>
                <w:rFonts w:ascii="Times New Roman" w:hAnsi="Times New Roman" w:cs="Times New Roman" w:eastAsia="Times New Roman" w:hint="default"/>
                <w:sz w:val="18"/>
                <w:szCs w:val="18"/>
              </w:rPr>
            </w:pPr>
            <w:r>
              <w:rPr>
                <w:rFonts w:ascii="Times New Roman"/>
                <w:sz w:val="18"/>
              </w:rPr>
              <w:t>2018-06-28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480,000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480,000</w:t>
            </w:r>
          </w:p>
        </w:tc>
      </w:tr>
      <w:tr>
        <w:trPr>
          <w:trHeight w:val="45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266"/>
              <w:jc w:val="righ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right="201"/>
              <w:jc w:val="right"/>
              <w:rPr>
                <w:rFonts w:ascii="Times New Roman" w:hAnsi="Times New Roman" w:cs="Times New Roman" w:eastAsia="Times New Roman" w:hint="default"/>
                <w:sz w:val="18"/>
                <w:szCs w:val="18"/>
              </w:rPr>
            </w:pPr>
            <w:r>
              <w:rPr>
                <w:rFonts w:ascii="Times New Roman"/>
                <w:sz w:val="18"/>
              </w:rPr>
              <w:t>--</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1,862,25</w:t>
            </w:r>
          </w:p>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27,000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1,889,25</w:t>
            </w:r>
          </w:p>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3"/>
        <w:rPr>
          <w:rFonts w:ascii="宋体" w:hAnsi="宋体" w:cs="宋体" w:eastAsia="宋体" w:hint="default"/>
          <w:b/>
          <w:bCs/>
          <w:sz w:val="17"/>
          <w:szCs w:val="17"/>
        </w:rPr>
      </w:pPr>
    </w:p>
    <w:p>
      <w:pPr>
        <w:pStyle w:val="Heading2"/>
        <w:spacing w:line="240" w:lineRule="auto" w:before="26"/>
        <w:ind w:left="232" w:right="2654"/>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2" w:right="2654"/>
        <w:jc w:val="left"/>
      </w:pPr>
      <w:r>
        <w:rPr/>
        <w:t>√ 适用 □ 不适用</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30"/>
        <w:gridCol w:w="1330"/>
        <w:gridCol w:w="1330"/>
        <w:gridCol w:w="2630"/>
        <w:gridCol w:w="2947"/>
      </w:tblGrid>
      <w:tr>
        <w:trPr>
          <w:trHeight w:val="32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王震宇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主动离职</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王震宇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0"/>
        <w:rPr>
          <w:rFonts w:ascii="宋体" w:hAnsi="宋体" w:cs="宋体" w:eastAsia="宋体" w:hint="default"/>
          <w:sz w:val="18"/>
          <w:szCs w:val="18"/>
        </w:rPr>
      </w:pPr>
    </w:p>
    <w:p>
      <w:pPr>
        <w:pStyle w:val="Heading2"/>
        <w:spacing w:line="240" w:lineRule="auto" w:before="26"/>
        <w:ind w:left="232" w:right="2654"/>
        <w:jc w:val="left"/>
        <w:rPr>
          <w:b w:val="0"/>
          <w:bCs w:val="0"/>
        </w:rPr>
      </w:pPr>
      <w:bookmarkStart w:name="三、任职情况" w:id="127"/>
      <w:bookmarkEnd w:id="127"/>
      <w:r>
        <w:rPr>
          <w:b w:val="0"/>
          <w:bCs w:val="0"/>
        </w:rPr>
      </w:r>
      <w:r>
        <w:rPr/>
        <w:t>三、任职情况</w:t>
      </w:r>
      <w:r>
        <w:rPr>
          <w:b w:val="0"/>
          <w:bCs w:val="0"/>
        </w:rPr>
      </w:r>
    </w:p>
    <w:p>
      <w:pPr>
        <w:spacing w:line="240" w:lineRule="auto" w:before="8"/>
        <w:rPr>
          <w:rFonts w:ascii="宋体" w:hAnsi="宋体" w:cs="宋体" w:eastAsia="宋体" w:hint="default"/>
          <w:b/>
          <w:bCs/>
          <w:sz w:val="30"/>
          <w:szCs w:val="30"/>
        </w:rPr>
      </w:pPr>
    </w:p>
    <w:p>
      <w:pPr>
        <w:pStyle w:val="Heading7"/>
        <w:spacing w:line="240" w:lineRule="auto"/>
        <w:ind w:left="864" w:right="915"/>
        <w:jc w:val="left"/>
      </w:pPr>
      <w:r>
        <w:rPr/>
        <w:t>公司现任董事、监事、高级管理人员专业背景、主要工作经历以及目前在公司的主要职责</w:t>
      </w:r>
    </w:p>
    <w:p>
      <w:pPr>
        <w:spacing w:line="240" w:lineRule="auto" w:before="11"/>
        <w:rPr>
          <w:rFonts w:ascii="宋体" w:hAnsi="宋体" w:cs="宋体" w:eastAsia="宋体" w:hint="default"/>
          <w:sz w:val="20"/>
          <w:szCs w:val="20"/>
        </w:rPr>
      </w:pPr>
    </w:p>
    <w:p>
      <w:pPr>
        <w:spacing w:line="475" w:lineRule="auto" w:before="0"/>
        <w:ind w:left="648" w:right="915" w:firstLine="4"/>
        <w:jc w:val="left"/>
        <w:rPr>
          <w:rFonts w:ascii="宋体" w:hAnsi="宋体" w:cs="宋体" w:eastAsia="宋体" w:hint="default"/>
          <w:sz w:val="21"/>
          <w:szCs w:val="21"/>
        </w:rPr>
      </w:pPr>
      <w:r>
        <w:rPr>
          <w:rFonts w:ascii="宋体" w:hAnsi="宋体" w:cs="宋体" w:eastAsia="宋体" w:hint="default"/>
          <w:b/>
          <w:bCs/>
          <w:sz w:val="21"/>
          <w:szCs w:val="21"/>
        </w:rPr>
        <w:t>（一）董事</w:t>
      </w:r>
      <w:r>
        <w:rPr>
          <w:rFonts w:ascii="宋体" w:hAnsi="宋体" w:cs="宋体" w:eastAsia="宋体" w:hint="default"/>
          <w:b/>
          <w:bCs/>
          <w:w w:val="99"/>
          <w:sz w:val="21"/>
          <w:szCs w:val="21"/>
        </w:rPr>
        <w:t> </w:t>
      </w:r>
      <w:r>
        <w:rPr>
          <w:rFonts w:ascii="宋体" w:hAnsi="宋体" w:cs="宋体" w:eastAsia="宋体" w:hint="default"/>
          <w:b/>
          <w:bCs/>
          <w:spacing w:val="-3"/>
          <w:sz w:val="21"/>
          <w:szCs w:val="21"/>
        </w:rPr>
        <w:t>何若虚先生：</w:t>
      </w:r>
      <w:r>
        <w:rPr>
          <w:rFonts w:ascii="Times New Roman" w:hAnsi="Times New Roman" w:cs="Times New Roman" w:eastAsia="Times New Roman" w:hint="default"/>
          <w:spacing w:val="-3"/>
          <w:sz w:val="21"/>
          <w:szCs w:val="21"/>
        </w:rPr>
        <w:t>1979</w:t>
      </w:r>
      <w:r>
        <w:rPr>
          <w:rFonts w:ascii="宋体" w:hAnsi="宋体" w:cs="宋体" w:eastAsia="宋体" w:hint="default"/>
          <w:spacing w:val="-3"/>
          <w:sz w:val="21"/>
          <w:szCs w:val="21"/>
        </w:rPr>
        <w:t>年出生，中国籍，硕士，高级经济师、工程师。历任浙江万马药业有限公司总经理、</w:t>
      </w:r>
    </w:p>
    <w:p>
      <w:pPr>
        <w:pStyle w:val="Heading7"/>
        <w:spacing w:line="224" w:lineRule="exact"/>
        <w:ind w:left="232" w:right="915"/>
        <w:jc w:val="left"/>
      </w:pPr>
      <w:r>
        <w:rPr/>
        <w:t>浙江万马房地产集团有限公司总裁。现任万马联合控股集团有限公司董事兼副总裁、本公司董事长、万马</w:t>
      </w:r>
    </w:p>
    <w:p>
      <w:pPr>
        <w:spacing w:line="240" w:lineRule="auto" w:before="10"/>
        <w:rPr>
          <w:rFonts w:ascii="宋体" w:hAnsi="宋体" w:cs="宋体" w:eastAsia="宋体" w:hint="default"/>
          <w:sz w:val="14"/>
          <w:szCs w:val="14"/>
        </w:rPr>
      </w:pPr>
    </w:p>
    <w:p>
      <w:pPr>
        <w:pStyle w:val="Heading7"/>
        <w:spacing w:line="240" w:lineRule="auto"/>
        <w:ind w:left="232" w:right="2654"/>
        <w:jc w:val="left"/>
      </w:pPr>
      <w:r>
        <w:rPr/>
        <w:t>联合新能源投资有限公司董事长、浙江爱充网络科技有限公司执行董事。</w:t>
      </w:r>
    </w:p>
    <w:p>
      <w:pPr>
        <w:spacing w:after="0" w:line="240" w:lineRule="auto"/>
        <w:jc w:val="left"/>
        <w:sectPr>
          <w:pgSz w:w="11910" w:h="16840"/>
          <w:pgMar w:header="890" w:footer="1012" w:top="1420" w:bottom="1200" w:left="900" w:right="0"/>
        </w:sectPr>
      </w:pPr>
    </w:p>
    <w:p>
      <w:pPr>
        <w:pStyle w:val="Heading7"/>
        <w:spacing w:line="398" w:lineRule="auto" w:before="120"/>
        <w:ind w:right="1108" w:firstLine="415"/>
        <w:jc w:val="both"/>
      </w:pPr>
      <w:r>
        <w:rPr>
          <w:rFonts w:ascii="宋体" w:hAnsi="宋体" w:cs="宋体" w:eastAsia="宋体" w:hint="default"/>
          <w:b/>
          <w:bCs/>
        </w:rPr>
        <w:t>姚伟国先生：</w:t>
      </w:r>
      <w:r>
        <w:rPr>
          <w:rFonts w:ascii="Times New Roman" w:hAnsi="Times New Roman" w:cs="Times New Roman" w:eastAsia="Times New Roman" w:hint="default"/>
        </w:rPr>
        <w:t>1972</w:t>
      </w:r>
      <w:r>
        <w:rPr/>
        <w:t>年出生，中国籍，硕士研究生，中国注册会计师。历任上海无线电六厂财务科长，</w:t>
      </w:r>
      <w:r>
        <w:rPr>
          <w:w w:val="99"/>
        </w:rPr>
        <w:t> </w:t>
      </w:r>
      <w:r>
        <w:rPr>
          <w:w w:val="95"/>
        </w:rPr>
        <w:t>上海飞乐股份有限公司财务部经理，德隆国际战略投资有限公司战略发展管理部经理。现任万马联合控股</w:t>
      </w:r>
      <w:r>
        <w:rPr>
          <w:spacing w:val="37"/>
          <w:w w:val="95"/>
        </w:rPr>
        <w:t> </w:t>
      </w:r>
      <w:r>
        <w:rPr>
          <w:spacing w:val="37"/>
          <w:w w:val="95"/>
        </w:rPr>
      </w:r>
      <w:r>
        <w:rPr/>
        <w:t>集团副总裁、万马科技董事、本公司副董事长。</w:t>
      </w:r>
    </w:p>
    <w:p>
      <w:pPr>
        <w:spacing w:line="240" w:lineRule="auto" w:before="1"/>
        <w:rPr>
          <w:rFonts w:ascii="宋体" w:hAnsi="宋体" w:cs="宋体" w:eastAsia="宋体" w:hint="default"/>
          <w:sz w:val="16"/>
          <w:szCs w:val="16"/>
        </w:rPr>
      </w:pPr>
    </w:p>
    <w:p>
      <w:pPr>
        <w:pStyle w:val="Heading7"/>
        <w:spacing w:line="386" w:lineRule="auto"/>
        <w:ind w:right="1124" w:firstLine="518"/>
        <w:jc w:val="both"/>
      </w:pPr>
      <w:r>
        <w:rPr>
          <w:rFonts w:ascii="宋体" w:hAnsi="宋体" w:cs="宋体" w:eastAsia="宋体" w:hint="default"/>
          <w:b/>
          <w:bCs/>
          <w:spacing w:val="-4"/>
        </w:rPr>
        <w:t>张丹凤女士：</w:t>
      </w:r>
      <w:r>
        <w:rPr>
          <w:rFonts w:ascii="Times New Roman" w:hAnsi="Times New Roman" w:cs="Times New Roman" w:eastAsia="Times New Roman" w:hint="default"/>
          <w:spacing w:val="-4"/>
        </w:rPr>
        <w:t>1965</w:t>
      </w:r>
      <w:r>
        <w:rPr>
          <w:spacing w:val="-4"/>
        </w:rPr>
        <w:t>年出生，中国籍，浙江工业大学</w:t>
      </w:r>
      <w:r>
        <w:rPr>
          <w:rFonts w:ascii="Times New Roman" w:hAnsi="Times New Roman" w:cs="Times New Roman" w:eastAsia="Times New Roman" w:hint="default"/>
          <w:spacing w:val="-4"/>
        </w:rPr>
        <w:t>MBA</w:t>
      </w:r>
      <w:r>
        <w:rPr>
          <w:spacing w:val="-4"/>
        </w:rPr>
        <w:t>。曾任浙江天屹集团有限公司副总经理、</w:t>
      </w:r>
      <w:r>
        <w:rPr>
          <w:rFonts w:ascii="Times New Roman" w:hAnsi="Times New Roman" w:cs="Times New Roman" w:eastAsia="Times New Roman" w:hint="default"/>
          <w:spacing w:val="-4"/>
        </w:rPr>
        <w:t>2004</w:t>
      </w:r>
      <w:r>
        <w:rPr>
          <w:rFonts w:ascii="Times New Roman" w:hAnsi="Times New Roman" w:cs="Times New Roman" w:eastAsia="Times New Roman" w:hint="default"/>
          <w:w w:val="99"/>
        </w:rPr>
        <w:t> </w:t>
      </w:r>
      <w:r>
        <w:rPr/>
        <w:t>年加入万马联合控股集团，先后担任投资总监、总裁助理、副总裁、副董事长等职，现任本公司董事。</w:t>
      </w:r>
    </w:p>
    <w:p>
      <w:pPr>
        <w:spacing w:line="240" w:lineRule="auto" w:before="12"/>
        <w:rPr>
          <w:rFonts w:ascii="宋体" w:hAnsi="宋体" w:cs="宋体" w:eastAsia="宋体" w:hint="default"/>
          <w:sz w:val="16"/>
          <w:szCs w:val="16"/>
        </w:rPr>
      </w:pPr>
    </w:p>
    <w:p>
      <w:pPr>
        <w:pStyle w:val="Heading7"/>
        <w:spacing w:line="398" w:lineRule="auto"/>
        <w:ind w:right="1127" w:firstLine="420"/>
        <w:jc w:val="both"/>
      </w:pPr>
      <w:r>
        <w:rPr>
          <w:rFonts w:ascii="宋体" w:hAnsi="宋体" w:cs="宋体" w:eastAsia="宋体" w:hint="default"/>
          <w:b/>
          <w:bCs/>
          <w:w w:val="95"/>
        </w:rPr>
        <w:t>孙小红先生：</w:t>
      </w:r>
      <w:r>
        <w:rPr>
          <w:rFonts w:ascii="Times New Roman" w:hAnsi="Times New Roman" w:cs="Times New Roman" w:eastAsia="Times New Roman" w:hint="default"/>
          <w:w w:val="95"/>
        </w:rPr>
        <w:t>1974</w:t>
      </w:r>
      <w:r>
        <w:rPr>
          <w:w w:val="95"/>
        </w:rPr>
        <w:t>年出生，中国籍，工商硕士。</w:t>
      </w:r>
      <w:r>
        <w:rPr>
          <w:rFonts w:ascii="Times New Roman" w:hAnsi="Times New Roman" w:cs="Times New Roman" w:eastAsia="Times New Roman" w:hint="default"/>
          <w:w w:val="95"/>
        </w:rPr>
        <w:t>2001</w:t>
      </w:r>
      <w:r>
        <w:rPr>
          <w:w w:val="95"/>
        </w:rPr>
        <w:t>年</w:t>
      </w:r>
      <w:r>
        <w:rPr>
          <w:rFonts w:ascii="Times New Roman" w:hAnsi="Times New Roman" w:cs="Times New Roman" w:eastAsia="Times New Roman" w:hint="default"/>
          <w:w w:val="95"/>
        </w:rPr>
        <w:t>2</w:t>
      </w:r>
      <w:r>
        <w:rPr>
          <w:w w:val="95"/>
        </w:rPr>
        <w:t>月至</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3</w:t>
      </w:r>
      <w:r>
        <w:rPr>
          <w:w w:val="95"/>
        </w:rPr>
        <w:t>月，就职于欧普照明股份有限公</w:t>
      </w:r>
      <w:r>
        <w:rPr>
          <w:spacing w:val="-97"/>
          <w:w w:val="95"/>
        </w:rPr>
        <w:t> </w:t>
      </w:r>
      <w:r>
        <w:rPr>
          <w:spacing w:val="-97"/>
          <w:w w:val="95"/>
        </w:rPr>
      </w:r>
      <w:r>
        <w:rPr>
          <w:w w:val="95"/>
        </w:rPr>
        <w:t>司，先后担任分公司经理、大区营销总监、全国销售总监、运营发展总监、供应链总监、欧普集成家居有</w:t>
      </w:r>
      <w:r>
        <w:rPr>
          <w:spacing w:val="40"/>
          <w:w w:val="95"/>
        </w:rPr>
        <w:t> </w:t>
      </w:r>
      <w:r>
        <w:rPr>
          <w:spacing w:val="40"/>
          <w:w w:val="95"/>
        </w:rPr>
      </w:r>
      <w:r>
        <w:rPr/>
        <w:t>限公司总经理等职务。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月加入本公司，任公司董事、总经理。</w:t>
      </w:r>
    </w:p>
    <w:p>
      <w:pPr>
        <w:pStyle w:val="Heading7"/>
        <w:spacing w:line="386" w:lineRule="auto" w:before="180"/>
        <w:ind w:right="1127" w:firstLine="559"/>
        <w:jc w:val="both"/>
      </w:pPr>
      <w:r>
        <w:rPr>
          <w:rFonts w:ascii="宋体" w:hAnsi="宋体" w:cs="宋体" w:eastAsia="宋体" w:hint="default"/>
          <w:b/>
          <w:bCs/>
        </w:rPr>
        <w:t>沈伟康先生：</w:t>
      </w:r>
      <w:r>
        <w:rPr>
          <w:rFonts w:ascii="Times New Roman" w:hAnsi="Times New Roman" w:cs="Times New Roman" w:eastAsia="Times New Roman" w:hint="default"/>
        </w:rPr>
        <w:t>1965</w:t>
      </w:r>
      <w:r>
        <w:rPr/>
        <w:t>年出生，中国籍，中共党员，研究生学历，曾任东方通信股份有限公司副总裁。</w:t>
      </w:r>
      <w:r>
        <w:rPr>
          <w:w w:val="99"/>
        </w:rPr>
        <w:t> </w:t>
      </w:r>
      <w:r>
        <w:rPr>
          <w:w w:val="95"/>
        </w:rPr>
        <w:t>曾获全国劳动模范、浙江省经营管理大师等荣誉。</w:t>
      </w:r>
      <w:r>
        <w:rPr>
          <w:rFonts w:ascii="Times New Roman" w:hAnsi="Times New Roman" w:cs="Times New Roman" w:eastAsia="Times New Roman" w:hint="default"/>
          <w:w w:val="95"/>
        </w:rPr>
        <w:t>2010</w:t>
      </w:r>
      <w:r>
        <w:rPr>
          <w:w w:val="95"/>
        </w:rPr>
        <w:t>年加入浙江万马高分子材料有限公司任万马高分子</w:t>
      </w:r>
      <w:r>
        <w:rPr>
          <w:spacing w:val="37"/>
          <w:w w:val="95"/>
        </w:rPr>
        <w:t> </w:t>
      </w:r>
      <w:r>
        <w:rPr>
          <w:spacing w:val="37"/>
          <w:w w:val="95"/>
        </w:rPr>
      </w:r>
      <w:r>
        <w:rPr/>
        <w:t>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月起任万马高分子董事长。自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月起任本公司董事、副总经理。</w:t>
      </w:r>
    </w:p>
    <w:p>
      <w:pPr>
        <w:pStyle w:val="Heading7"/>
        <w:spacing w:line="386" w:lineRule="auto" w:before="191"/>
        <w:ind w:right="0" w:firstLine="559"/>
        <w:jc w:val="left"/>
      </w:pPr>
      <w:r>
        <w:rPr>
          <w:rFonts w:ascii="宋体" w:hAnsi="宋体" w:cs="宋体" w:eastAsia="宋体" w:hint="default"/>
          <w:b/>
          <w:bCs/>
        </w:rPr>
        <w:t>何孙益先生：</w:t>
      </w:r>
      <w:r>
        <w:rPr>
          <w:rFonts w:ascii="Times New Roman" w:hAnsi="Times New Roman" w:cs="Times New Roman" w:eastAsia="Times New Roman" w:hint="default"/>
        </w:rPr>
        <w:t>1970</w:t>
      </w:r>
      <w:r>
        <w:rPr/>
        <w:t>年出生，中国国籍，中共党员，大专学历。</w:t>
      </w:r>
      <w:r>
        <w:rPr>
          <w:rFonts w:ascii="Times New Roman" w:hAnsi="Times New Roman" w:cs="Times New Roman" w:eastAsia="Times New Roman" w:hint="default"/>
        </w:rPr>
        <w:t>2000</w:t>
      </w:r>
      <w:r>
        <w:rPr/>
        <w:t>年加入本公司，历任浙江万马天</w:t>
      </w:r>
      <w:r>
        <w:rPr>
          <w:w w:val="99"/>
        </w:rPr>
        <w:t> </w:t>
      </w:r>
      <w:r>
        <w:rPr>
          <w:w w:val="95"/>
        </w:rPr>
        <w:t>屹通信线缆有限公司总经理、浙江万马集团特种电子电缆有限公司总经理。现任本公司董事、副总经理。</w:t>
      </w:r>
      <w:r>
        <w:rPr/>
      </w:r>
    </w:p>
    <w:p>
      <w:pPr>
        <w:spacing w:line="240" w:lineRule="auto" w:before="12"/>
        <w:rPr>
          <w:rFonts w:ascii="宋体" w:hAnsi="宋体" w:cs="宋体" w:eastAsia="宋体" w:hint="default"/>
          <w:sz w:val="16"/>
          <w:szCs w:val="16"/>
        </w:rPr>
      </w:pPr>
    </w:p>
    <w:p>
      <w:pPr>
        <w:pStyle w:val="Heading7"/>
        <w:spacing w:line="403" w:lineRule="auto"/>
        <w:ind w:right="0" w:firstLine="511"/>
        <w:jc w:val="left"/>
      </w:pPr>
      <w:r>
        <w:rPr>
          <w:rFonts w:ascii="宋体" w:hAnsi="宋体" w:cs="宋体" w:eastAsia="宋体" w:hint="default"/>
          <w:b/>
          <w:bCs/>
        </w:rPr>
        <w:t>杜烈康先生：</w:t>
      </w:r>
      <w:r>
        <w:rPr>
          <w:rFonts w:ascii="Times New Roman" w:hAnsi="Times New Roman" w:cs="Times New Roman" w:eastAsia="Times New Roman" w:hint="default"/>
        </w:rPr>
        <w:t>1973</w:t>
      </w:r>
      <w:r>
        <w:rPr/>
        <w:t>年出生，中国籍，硕士学历，高级会计师、注册会计师、注册税务师。历任天健</w:t>
      </w:r>
      <w:r>
        <w:rPr>
          <w:w w:val="99"/>
        </w:rPr>
        <w:t> </w:t>
      </w:r>
      <w:r>
        <w:rPr>
          <w:w w:val="95"/>
        </w:rPr>
        <w:t>会计师事务所审计员、项目经理、部门经理、党委委员。现任浙江核新同花顺网络信息股份有限公司财务</w:t>
      </w:r>
      <w:r>
        <w:rPr>
          <w:spacing w:val="41"/>
          <w:w w:val="95"/>
        </w:rPr>
        <w:t> </w:t>
      </w:r>
      <w:r>
        <w:rPr>
          <w:spacing w:val="41"/>
          <w:w w:val="95"/>
        </w:rPr>
      </w:r>
      <w:r>
        <w:rPr>
          <w:w w:val="95"/>
        </w:rPr>
        <w:t>总监，兼任中国上市公司协会财务总监专业委员会委员、浙江上市公司协会财务总监专业委员会副主任，</w:t>
      </w:r>
      <w:r>
        <w:rPr>
          <w:spacing w:val="61"/>
          <w:w w:val="95"/>
        </w:rPr>
        <w:t> </w:t>
      </w:r>
      <w:r>
        <w:rPr>
          <w:spacing w:val="61"/>
          <w:w w:val="95"/>
        </w:rPr>
      </w:r>
      <w:r>
        <w:rPr>
          <w:w w:val="95"/>
        </w:rPr>
        <w:t>中国注册会计师协会综合报告委员会委员，浙江中马传动股份有限公司独立董事、永杰新材料股份有限公</w:t>
      </w:r>
      <w:r>
        <w:rPr>
          <w:spacing w:val="37"/>
          <w:w w:val="95"/>
        </w:rPr>
        <w:t> </w:t>
      </w:r>
      <w:r>
        <w:rPr>
          <w:spacing w:val="37"/>
          <w:w w:val="95"/>
        </w:rPr>
      </w:r>
      <w:r>
        <w:rPr>
          <w:w w:val="95"/>
        </w:rPr>
        <w:t>司独立董事、浙江万马股份有限公司独立董事、杭州沪宁电梯部件股份有限公司独立董事、浙江国祥股份</w:t>
      </w:r>
      <w:r>
        <w:rPr>
          <w:spacing w:val="37"/>
          <w:w w:val="95"/>
        </w:rPr>
        <w:t> </w:t>
      </w:r>
      <w:r>
        <w:rPr>
          <w:spacing w:val="37"/>
          <w:w w:val="95"/>
        </w:rPr>
      </w:r>
      <w:r>
        <w:rPr/>
        <w:t>有限公司独立董事。</w:t>
      </w:r>
    </w:p>
    <w:p>
      <w:pPr>
        <w:spacing w:line="240" w:lineRule="auto" w:before="10"/>
        <w:rPr>
          <w:rFonts w:ascii="宋体" w:hAnsi="宋体" w:cs="宋体" w:eastAsia="宋体" w:hint="default"/>
          <w:sz w:val="15"/>
          <w:szCs w:val="15"/>
        </w:rPr>
      </w:pPr>
    </w:p>
    <w:p>
      <w:pPr>
        <w:pStyle w:val="Heading7"/>
        <w:spacing w:line="403" w:lineRule="auto"/>
        <w:ind w:right="1025" w:firstLine="405"/>
        <w:jc w:val="left"/>
      </w:pPr>
      <w:r>
        <w:rPr>
          <w:rFonts w:ascii="宋体" w:hAnsi="宋体" w:cs="宋体" w:eastAsia="宋体" w:hint="default"/>
          <w:b/>
          <w:bCs/>
        </w:rPr>
        <w:t>邹峻先生：</w:t>
      </w:r>
      <w:r>
        <w:rPr/>
        <w:t>一级律师，</w:t>
      </w:r>
      <w:r>
        <w:rPr>
          <w:rFonts w:ascii="Times New Roman" w:hAnsi="Times New Roman" w:cs="Times New Roman" w:eastAsia="Times New Roman" w:hint="default"/>
        </w:rPr>
        <w:t>1971</w:t>
      </w:r>
      <w:r>
        <w:rPr/>
        <w:t>年生，中国籍，华东政法学院国际经济法专业本科，浙江大学高级工商管</w:t>
      </w:r>
      <w:r>
        <w:rPr>
          <w:w w:val="99"/>
        </w:rPr>
        <w:t> </w:t>
      </w:r>
      <w:r>
        <w:rPr/>
        <w:t>理硕士。历任浙江天册律师事务所合伙人，北京凯源律师事务所合伙人、浙江凯麦律师事务所合伙人。现</w:t>
      </w:r>
      <w:r>
        <w:rPr>
          <w:w w:val="99"/>
        </w:rPr>
        <w:t> </w:t>
      </w:r>
      <w:r>
        <w:rPr>
          <w:spacing w:val="-3"/>
        </w:rPr>
        <w:t>任北京观韬中茂（杭州）律师事务所合伙人；兼任浙江康莱特集团有限公司董事，浙江金固股份有限公司、</w:t>
      </w:r>
      <w:r>
        <w:rPr>
          <w:w w:val="99"/>
        </w:rPr>
        <w:t> </w:t>
      </w:r>
      <w:r>
        <w:rPr/>
        <w:t>浙江诺力智能装备股份有限公司及本公司独立董事。任杭州仲裁委员会仲裁员、中国国际经济贸易仲裁委</w:t>
      </w:r>
      <w:r>
        <w:rPr>
          <w:w w:val="99"/>
        </w:rPr>
        <w:t> </w:t>
      </w:r>
      <w:r>
        <w:rPr/>
        <w:t>员会仲裁员。</w:t>
      </w:r>
    </w:p>
    <w:p>
      <w:pPr>
        <w:spacing w:line="240" w:lineRule="auto" w:before="10"/>
        <w:rPr>
          <w:rFonts w:ascii="宋体" w:hAnsi="宋体" w:cs="宋体" w:eastAsia="宋体" w:hint="default"/>
          <w:sz w:val="15"/>
          <w:szCs w:val="15"/>
        </w:rPr>
      </w:pPr>
    </w:p>
    <w:p>
      <w:pPr>
        <w:pStyle w:val="Heading7"/>
        <w:spacing w:line="398" w:lineRule="auto"/>
        <w:ind w:right="1135" w:firstLine="405"/>
        <w:jc w:val="both"/>
      </w:pPr>
      <w:r>
        <w:rPr>
          <w:rFonts w:ascii="宋体" w:hAnsi="宋体" w:cs="宋体" w:eastAsia="宋体" w:hint="default"/>
          <w:b/>
          <w:bCs/>
          <w:w w:val="95"/>
        </w:rPr>
        <w:t>阎孟昆先生：</w:t>
      </w:r>
      <w:r>
        <w:rPr>
          <w:rFonts w:ascii="Times New Roman" w:hAnsi="Times New Roman" w:cs="Times New Roman" w:eastAsia="Times New Roman" w:hint="default"/>
          <w:w w:val="95"/>
        </w:rPr>
        <w:t>1965</w:t>
      </w:r>
      <w:r>
        <w:rPr>
          <w:w w:val="95"/>
        </w:rPr>
        <w:t>年出生，中国籍，西安交通大学电气工程系硕士毕业。中国电力科学研究院电气设</w:t>
      </w:r>
      <w:r>
        <w:rPr>
          <w:spacing w:val="-78"/>
          <w:w w:val="95"/>
        </w:rPr>
        <w:t> </w:t>
      </w:r>
      <w:r>
        <w:rPr>
          <w:spacing w:val="-78"/>
          <w:w w:val="95"/>
        </w:rPr>
      </w:r>
      <w:r>
        <w:rPr>
          <w:w w:val="95"/>
        </w:rPr>
        <w:t>备检测中心教授级高工；电力行业电力电缆标准化技术委员会委员；中国电力科学研究院高电压与输电线</w:t>
      </w:r>
      <w:r>
        <w:rPr>
          <w:spacing w:val="37"/>
          <w:w w:val="95"/>
        </w:rPr>
        <w:t> </w:t>
      </w:r>
      <w:r>
        <w:rPr>
          <w:spacing w:val="37"/>
          <w:w w:val="95"/>
        </w:rPr>
      </w:r>
      <w:r>
        <w:rPr/>
        <w:t>路技术分委会委员；全国输配电技术协作网专家组成员。现任本公司独立董事。</w:t>
      </w:r>
    </w:p>
    <w:p>
      <w:pPr>
        <w:spacing w:after="0" w:line="398" w:lineRule="auto"/>
        <w:jc w:val="both"/>
        <w:sectPr>
          <w:pgSz w:w="11910" w:h="16840"/>
          <w:pgMar w:header="890" w:footer="1012" w:top="1420" w:bottom="1200" w:left="1020" w:right="0"/>
        </w:sectPr>
      </w:pPr>
    </w:p>
    <w:p>
      <w:pPr>
        <w:pStyle w:val="Heading6"/>
        <w:spacing w:line="240" w:lineRule="auto" w:before="120"/>
        <w:ind w:left="712" w:right="2654"/>
        <w:jc w:val="left"/>
        <w:rPr>
          <w:b w:val="0"/>
          <w:bCs w:val="0"/>
        </w:rPr>
      </w:pPr>
      <w:r>
        <w:rPr/>
        <w:t>（二）监事</w:t>
      </w:r>
      <w:r>
        <w:rPr>
          <w:b w:val="0"/>
          <w:bCs w:val="0"/>
        </w:rPr>
      </w:r>
    </w:p>
    <w:p>
      <w:pPr>
        <w:spacing w:line="240" w:lineRule="auto" w:before="9"/>
        <w:rPr>
          <w:rFonts w:ascii="宋体" w:hAnsi="宋体" w:cs="宋体" w:eastAsia="宋体" w:hint="default"/>
          <w:b/>
          <w:bCs/>
          <w:sz w:val="26"/>
          <w:szCs w:val="26"/>
        </w:rPr>
      </w:pPr>
    </w:p>
    <w:p>
      <w:pPr>
        <w:pStyle w:val="Heading7"/>
        <w:spacing w:line="386" w:lineRule="auto"/>
        <w:ind w:left="232" w:right="1127" w:firstLine="480"/>
        <w:jc w:val="both"/>
      </w:pPr>
      <w:r>
        <w:rPr>
          <w:rFonts w:ascii="宋体" w:hAnsi="宋体" w:cs="宋体" w:eastAsia="宋体" w:hint="default"/>
          <w:b/>
          <w:bCs/>
          <w:spacing w:val="-1"/>
          <w:w w:val="95"/>
        </w:rPr>
        <w:t>赵亚芬女士：</w:t>
      </w:r>
      <w:r>
        <w:rPr>
          <w:rFonts w:ascii="Times New Roman" w:hAnsi="Times New Roman" w:cs="Times New Roman" w:eastAsia="Times New Roman" w:hint="default"/>
          <w:spacing w:val="-1"/>
          <w:w w:val="95"/>
        </w:rPr>
        <w:t>1974</w:t>
      </w:r>
      <w:r>
        <w:rPr>
          <w:spacing w:val="-1"/>
          <w:w w:val="95"/>
        </w:rPr>
        <w:t>年</w:t>
      </w:r>
      <w:r>
        <w:rPr>
          <w:rFonts w:ascii="Times New Roman" w:hAnsi="Times New Roman" w:cs="Times New Roman" w:eastAsia="Times New Roman" w:hint="default"/>
          <w:spacing w:val="-1"/>
          <w:w w:val="95"/>
        </w:rPr>
        <w:t>8</w:t>
      </w:r>
      <w:r>
        <w:rPr>
          <w:spacing w:val="-1"/>
          <w:w w:val="95"/>
        </w:rPr>
        <w:t>月出生，本科学历，中国国籍，助理会计师职称。</w:t>
      </w:r>
      <w:r>
        <w:rPr>
          <w:rFonts w:ascii="Times New Roman" w:hAnsi="Times New Roman" w:cs="Times New Roman" w:eastAsia="Times New Roman" w:hint="default"/>
          <w:spacing w:val="-1"/>
          <w:w w:val="95"/>
        </w:rPr>
        <w:t>1993</w:t>
      </w:r>
      <w:r>
        <w:rPr>
          <w:spacing w:val="-1"/>
          <w:w w:val="95"/>
        </w:rPr>
        <w:t>年</w:t>
      </w:r>
      <w:r>
        <w:rPr>
          <w:rFonts w:ascii="Times New Roman" w:hAnsi="Times New Roman" w:cs="Times New Roman" w:eastAsia="Times New Roman" w:hint="default"/>
          <w:spacing w:val="-1"/>
          <w:w w:val="95"/>
        </w:rPr>
        <w:t>5</w:t>
      </w:r>
      <w:r>
        <w:rPr>
          <w:spacing w:val="-1"/>
          <w:w w:val="95"/>
        </w:rPr>
        <w:t>月到</w:t>
      </w:r>
      <w:r>
        <w:rPr>
          <w:rFonts w:ascii="Times New Roman" w:hAnsi="Times New Roman" w:cs="Times New Roman" w:eastAsia="Times New Roman" w:hint="default"/>
          <w:spacing w:val="-1"/>
          <w:w w:val="95"/>
        </w:rPr>
        <w:t>1995</w:t>
      </w:r>
      <w:r>
        <w:rPr>
          <w:spacing w:val="-1"/>
          <w:w w:val="95"/>
        </w:rPr>
        <w:t>年</w:t>
      </w:r>
      <w:r>
        <w:rPr>
          <w:rFonts w:ascii="Times New Roman" w:hAnsi="Times New Roman" w:cs="Times New Roman" w:eastAsia="Times New Roman" w:hint="default"/>
          <w:spacing w:val="-1"/>
          <w:w w:val="95"/>
        </w:rPr>
        <w:t>10</w:t>
      </w:r>
      <w:r>
        <w:rPr>
          <w:spacing w:val="-1"/>
          <w:w w:val="95"/>
        </w:rPr>
        <w:t>月任临</w:t>
      </w:r>
      <w:r>
        <w:rPr>
          <w:w w:val="99"/>
        </w:rPr>
        <w:t> </w:t>
      </w:r>
      <w:r>
        <w:rPr>
          <w:spacing w:val="2"/>
          <w:w w:val="95"/>
        </w:rPr>
        <w:t>安万马特种电子电缆有限公司成本会计；</w:t>
      </w:r>
      <w:r>
        <w:rPr>
          <w:rFonts w:ascii="Times New Roman" w:hAnsi="Times New Roman" w:cs="Times New Roman" w:eastAsia="Times New Roman" w:hint="default"/>
          <w:spacing w:val="2"/>
          <w:w w:val="95"/>
        </w:rPr>
        <w:t>1995</w:t>
      </w:r>
      <w:r>
        <w:rPr>
          <w:spacing w:val="2"/>
          <w:w w:val="95"/>
        </w:rPr>
        <w:t>年</w:t>
      </w:r>
      <w:r>
        <w:rPr>
          <w:rFonts w:ascii="Times New Roman" w:hAnsi="Times New Roman" w:cs="Times New Roman" w:eastAsia="Times New Roman" w:hint="default"/>
          <w:spacing w:val="2"/>
          <w:w w:val="95"/>
        </w:rPr>
        <w:t>11</w:t>
      </w:r>
      <w:r>
        <w:rPr>
          <w:spacing w:val="2"/>
          <w:w w:val="95"/>
        </w:rPr>
        <w:t>月到</w:t>
      </w:r>
      <w:r>
        <w:rPr>
          <w:rFonts w:ascii="Times New Roman" w:hAnsi="Times New Roman" w:cs="Times New Roman" w:eastAsia="Times New Roman" w:hint="default"/>
          <w:spacing w:val="2"/>
          <w:w w:val="95"/>
        </w:rPr>
        <w:t>2010</w:t>
      </w:r>
      <w:r>
        <w:rPr>
          <w:spacing w:val="2"/>
          <w:w w:val="95"/>
        </w:rPr>
        <w:t>年</w:t>
      </w:r>
      <w:r>
        <w:rPr>
          <w:rFonts w:ascii="Times New Roman" w:hAnsi="Times New Roman" w:cs="Times New Roman" w:eastAsia="Times New Roman" w:hint="default"/>
          <w:spacing w:val="2"/>
          <w:w w:val="95"/>
        </w:rPr>
        <w:t>8</w:t>
      </w:r>
      <w:r>
        <w:rPr>
          <w:spacing w:val="2"/>
          <w:w w:val="95"/>
        </w:rPr>
        <w:t>月任浙江万马集团有限公司主办会计、财</w:t>
      </w:r>
      <w:r>
        <w:rPr>
          <w:spacing w:val="35"/>
          <w:w w:val="95"/>
        </w:rPr>
        <w:t> </w:t>
      </w:r>
      <w:r>
        <w:rPr>
          <w:spacing w:val="35"/>
          <w:w w:val="95"/>
        </w:rPr>
      </w:r>
      <w:r>
        <w:rPr>
          <w:w w:val="95"/>
        </w:rPr>
        <w:t>务经理；</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9</w:t>
      </w:r>
      <w:r>
        <w:rPr>
          <w:w w:val="95"/>
        </w:rPr>
        <w:t>月到</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9</w:t>
      </w:r>
      <w:r>
        <w:rPr>
          <w:w w:val="95"/>
        </w:rPr>
        <w:t>月任浙江万马集团有限公司资金部副总；</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10</w:t>
      </w:r>
      <w:r>
        <w:rPr>
          <w:w w:val="95"/>
        </w:rPr>
        <w:t>月至今任万马联合控股公</w:t>
      </w:r>
      <w:r>
        <w:rPr>
          <w:spacing w:val="40"/>
          <w:w w:val="95"/>
        </w:rPr>
        <w:t> </w:t>
      </w:r>
      <w:r>
        <w:rPr>
          <w:spacing w:val="40"/>
          <w:w w:val="95"/>
        </w:rPr>
      </w:r>
      <w:r>
        <w:rPr/>
        <w:t>司集团财务总监。现任本公司监事会主席。</w:t>
      </w:r>
    </w:p>
    <w:p>
      <w:pPr>
        <w:spacing w:line="240" w:lineRule="auto" w:before="12"/>
        <w:rPr>
          <w:rFonts w:ascii="宋体" w:hAnsi="宋体" w:cs="宋体" w:eastAsia="宋体" w:hint="default"/>
          <w:sz w:val="16"/>
          <w:szCs w:val="16"/>
        </w:rPr>
      </w:pPr>
    </w:p>
    <w:p>
      <w:pPr>
        <w:pStyle w:val="Heading7"/>
        <w:spacing w:line="386" w:lineRule="auto"/>
        <w:ind w:left="232" w:right="1112" w:firstLine="480"/>
        <w:jc w:val="both"/>
      </w:pPr>
      <w:r>
        <w:rPr>
          <w:rFonts w:ascii="宋体" w:hAnsi="宋体" w:cs="宋体" w:eastAsia="宋体" w:hint="default"/>
          <w:b/>
          <w:bCs/>
          <w:spacing w:val="-1"/>
          <w:w w:val="95"/>
        </w:rPr>
        <w:t>张亦春女士：</w:t>
      </w:r>
      <w:r>
        <w:rPr>
          <w:rFonts w:ascii="Times New Roman" w:hAnsi="Times New Roman" w:cs="Times New Roman" w:eastAsia="Times New Roman" w:hint="default"/>
          <w:spacing w:val="-1"/>
          <w:w w:val="95"/>
        </w:rPr>
        <w:t>1970</w:t>
      </w:r>
      <w:r>
        <w:rPr>
          <w:spacing w:val="-1"/>
          <w:w w:val="95"/>
        </w:rPr>
        <w:t>年</w:t>
      </w:r>
      <w:r>
        <w:rPr>
          <w:rFonts w:ascii="Times New Roman" w:hAnsi="Times New Roman" w:cs="Times New Roman" w:eastAsia="Times New Roman" w:hint="default"/>
          <w:spacing w:val="-1"/>
          <w:w w:val="95"/>
        </w:rPr>
        <w:t>11</w:t>
      </w:r>
      <w:r>
        <w:rPr>
          <w:spacing w:val="-1"/>
          <w:w w:val="95"/>
        </w:rPr>
        <w:t>月出生，本科，中国国籍，高级经济师、会计师。</w:t>
      </w:r>
      <w:r>
        <w:rPr>
          <w:rFonts w:ascii="Times New Roman" w:hAnsi="Times New Roman" w:cs="Times New Roman" w:eastAsia="Times New Roman" w:hint="default"/>
          <w:spacing w:val="-1"/>
          <w:w w:val="95"/>
        </w:rPr>
        <w:t>2004</w:t>
      </w:r>
      <w:r>
        <w:rPr>
          <w:spacing w:val="-1"/>
          <w:w w:val="95"/>
        </w:rPr>
        <w:t>年</w:t>
      </w:r>
      <w:r>
        <w:rPr>
          <w:rFonts w:ascii="Times New Roman" w:hAnsi="Times New Roman" w:cs="Times New Roman" w:eastAsia="Times New Roman" w:hint="default"/>
          <w:spacing w:val="-1"/>
          <w:w w:val="95"/>
        </w:rPr>
        <w:t>8</w:t>
      </w:r>
      <w:r>
        <w:rPr>
          <w:spacing w:val="-1"/>
          <w:w w:val="95"/>
        </w:rPr>
        <w:t>月至</w:t>
      </w:r>
      <w:r>
        <w:rPr>
          <w:rFonts w:ascii="Times New Roman" w:hAnsi="Times New Roman" w:cs="Times New Roman" w:eastAsia="Times New Roman" w:hint="default"/>
          <w:spacing w:val="-1"/>
          <w:w w:val="95"/>
        </w:rPr>
        <w:t>2010</w:t>
      </w:r>
      <w:r>
        <w:rPr>
          <w:spacing w:val="-1"/>
          <w:w w:val="95"/>
        </w:rPr>
        <w:t>年</w:t>
      </w:r>
      <w:r>
        <w:rPr>
          <w:rFonts w:ascii="Times New Roman" w:hAnsi="Times New Roman" w:cs="Times New Roman" w:eastAsia="Times New Roman" w:hint="default"/>
          <w:spacing w:val="-1"/>
          <w:w w:val="95"/>
        </w:rPr>
        <w:t>7</w:t>
      </w:r>
      <w:r>
        <w:rPr>
          <w:spacing w:val="-1"/>
          <w:w w:val="95"/>
        </w:rPr>
        <w:t>月任杭</w:t>
      </w:r>
      <w:r>
        <w:rPr>
          <w:w w:val="99"/>
        </w:rPr>
        <w:t> </w:t>
      </w:r>
      <w:r>
        <w:rPr>
          <w:w w:val="95"/>
        </w:rPr>
        <w:t>州万马高能量电池有限公司财务经理，</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8</w:t>
      </w:r>
      <w:r>
        <w:rPr>
          <w:w w:val="95"/>
        </w:rPr>
        <w:t>月至</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2</w:t>
      </w:r>
      <w:r>
        <w:rPr>
          <w:w w:val="95"/>
        </w:rPr>
        <w:t>月任浙江万马高分子材料有限公司财务经理。</w:t>
      </w:r>
      <w:r>
        <w:rPr>
          <w:spacing w:val="61"/>
          <w:w w:val="95"/>
        </w:rPr>
        <w:t> </w:t>
      </w:r>
      <w:r>
        <w:rPr>
          <w:spacing w:val="61"/>
          <w:w w:val="95"/>
        </w:rPr>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3</w:t>
      </w:r>
      <w:r>
        <w:rPr>
          <w:w w:val="95"/>
        </w:rPr>
        <w:t>月至</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9</w:t>
      </w:r>
      <w:r>
        <w:rPr>
          <w:w w:val="95"/>
        </w:rPr>
        <w:t>月任万马联合控股集团有限公司财务副总监。</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10</w:t>
      </w:r>
      <w:r>
        <w:rPr>
          <w:w w:val="95"/>
        </w:rPr>
        <w:t>月至今任万马联合控股集团金</w:t>
      </w:r>
      <w:r>
        <w:rPr>
          <w:spacing w:val="39"/>
          <w:w w:val="95"/>
        </w:rPr>
        <w:t> </w:t>
      </w:r>
      <w:r>
        <w:rPr>
          <w:spacing w:val="39"/>
          <w:w w:val="95"/>
        </w:rPr>
      </w:r>
      <w:r>
        <w:rPr/>
        <w:t>属贸易事业部财务总监，现任本公司监事。</w:t>
      </w:r>
    </w:p>
    <w:p>
      <w:pPr>
        <w:spacing w:line="240" w:lineRule="auto" w:before="12"/>
        <w:rPr>
          <w:rFonts w:ascii="宋体" w:hAnsi="宋体" w:cs="宋体" w:eastAsia="宋体" w:hint="default"/>
          <w:sz w:val="16"/>
          <w:szCs w:val="16"/>
        </w:rPr>
      </w:pPr>
    </w:p>
    <w:p>
      <w:pPr>
        <w:pStyle w:val="Heading7"/>
        <w:spacing w:line="386" w:lineRule="auto"/>
        <w:ind w:left="232" w:right="1127" w:firstLine="480"/>
        <w:jc w:val="both"/>
      </w:pPr>
      <w:r>
        <w:rPr>
          <w:rFonts w:ascii="宋体" w:hAnsi="宋体" w:cs="宋体" w:eastAsia="宋体" w:hint="default"/>
          <w:b/>
          <w:bCs/>
          <w:spacing w:val="-1"/>
          <w:w w:val="95"/>
        </w:rPr>
        <w:t>邵淑青女士：</w:t>
      </w:r>
      <w:r>
        <w:rPr>
          <w:rFonts w:ascii="Times New Roman" w:hAnsi="Times New Roman" w:cs="Times New Roman" w:eastAsia="Times New Roman" w:hint="default"/>
          <w:spacing w:val="-1"/>
          <w:w w:val="95"/>
        </w:rPr>
        <w:t>1978</w:t>
      </w:r>
      <w:r>
        <w:rPr>
          <w:spacing w:val="-1"/>
          <w:w w:val="95"/>
        </w:rPr>
        <w:t>年出生，本科，高级经济师。</w:t>
      </w:r>
      <w:r>
        <w:rPr>
          <w:rFonts w:ascii="Times New Roman" w:hAnsi="Times New Roman" w:cs="Times New Roman" w:eastAsia="Times New Roman" w:hint="default"/>
          <w:spacing w:val="-1"/>
          <w:w w:val="95"/>
        </w:rPr>
        <w:t>2008</w:t>
      </w:r>
      <w:r>
        <w:rPr>
          <w:spacing w:val="-1"/>
          <w:w w:val="95"/>
        </w:rPr>
        <w:t>年取得深交所董事会秘书资格证书，</w:t>
      </w:r>
      <w:r>
        <w:rPr>
          <w:rFonts w:ascii="Times New Roman" w:hAnsi="Times New Roman" w:cs="Times New Roman" w:eastAsia="Times New Roman" w:hint="default"/>
          <w:spacing w:val="-1"/>
          <w:w w:val="95"/>
        </w:rPr>
        <w:t>2007</w:t>
      </w:r>
      <w:r>
        <w:rPr>
          <w:spacing w:val="-1"/>
          <w:w w:val="95"/>
        </w:rPr>
        <w:t>年至今</w:t>
      </w:r>
      <w:r>
        <w:rPr>
          <w:w w:val="99"/>
        </w:rPr>
        <w:t> </w:t>
      </w:r>
      <w:r>
        <w:rPr/>
        <w:t>担任公司证券事务代表，参与公司</w:t>
      </w:r>
      <w:r>
        <w:rPr>
          <w:rFonts w:ascii="Times New Roman" w:hAnsi="Times New Roman" w:cs="Times New Roman" w:eastAsia="Times New Roman" w:hint="default"/>
        </w:rPr>
        <w:t>IPO</w:t>
      </w:r>
      <w:r>
        <w:rPr/>
        <w:t>、非公开发行、重大资产重组等项目工作。现任本公司监事。</w:t>
      </w:r>
    </w:p>
    <w:p>
      <w:pPr>
        <w:pStyle w:val="Heading6"/>
        <w:spacing w:line="240" w:lineRule="auto" w:before="191"/>
        <w:ind w:left="712" w:right="2654"/>
        <w:jc w:val="left"/>
        <w:rPr>
          <w:b w:val="0"/>
          <w:bCs w:val="0"/>
        </w:rPr>
      </w:pPr>
      <w:r>
        <w:rPr/>
        <w:t>（三）其他高级管理人员</w:t>
      </w:r>
      <w:r>
        <w:rPr>
          <w:b w:val="0"/>
          <w:bCs w:val="0"/>
        </w:rPr>
      </w:r>
    </w:p>
    <w:p>
      <w:pPr>
        <w:spacing w:line="240" w:lineRule="auto" w:before="9"/>
        <w:rPr>
          <w:rFonts w:ascii="宋体" w:hAnsi="宋体" w:cs="宋体" w:eastAsia="宋体" w:hint="default"/>
          <w:b/>
          <w:bCs/>
          <w:sz w:val="26"/>
          <w:szCs w:val="26"/>
        </w:rPr>
      </w:pPr>
    </w:p>
    <w:p>
      <w:pPr>
        <w:pStyle w:val="Heading7"/>
        <w:spacing w:line="240" w:lineRule="auto"/>
        <w:ind w:left="652" w:right="915"/>
        <w:jc w:val="left"/>
      </w:pPr>
      <w:r>
        <w:rPr>
          <w:rFonts w:ascii="宋体" w:hAnsi="宋体" w:cs="宋体" w:eastAsia="宋体" w:hint="default"/>
          <w:b/>
          <w:bCs/>
        </w:rPr>
        <w:t>赵宇恺女士：</w:t>
      </w:r>
      <w:r>
        <w:rPr>
          <w:rFonts w:ascii="Times New Roman" w:hAnsi="Times New Roman" w:cs="Times New Roman" w:eastAsia="Times New Roman" w:hint="default"/>
        </w:rPr>
        <w:t>1982</w:t>
      </w:r>
      <w:r>
        <w:rPr/>
        <w:t>年出生，法学硕士。历任上海锦天城律师事务所杭州分所专职律师、上海圣奥实业</w:t>
      </w:r>
    </w:p>
    <w:p>
      <w:pPr>
        <w:pStyle w:val="Heading7"/>
        <w:spacing w:line="408" w:lineRule="auto" w:before="177"/>
        <w:ind w:left="232" w:right="915"/>
        <w:jc w:val="left"/>
      </w:pPr>
      <w:r>
        <w:rPr>
          <w:w w:val="95"/>
        </w:rPr>
        <w:t>（集团）有限公司法务总监、浙江腾飞金鹰律师事务所专职律师、万马联合控股集团有限公司法务总监、</w:t>
      </w:r>
      <w:r>
        <w:rPr>
          <w:spacing w:val="61"/>
          <w:w w:val="95"/>
        </w:rPr>
        <w:t> </w:t>
      </w:r>
      <w:r>
        <w:rPr>
          <w:spacing w:val="61"/>
          <w:w w:val="95"/>
        </w:rPr>
      </w:r>
      <w:r>
        <w:rPr/>
        <w:t>副总裁助理。自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月至今任本公司副总经理、董事会秘书。</w:t>
      </w:r>
    </w:p>
    <w:p>
      <w:pPr>
        <w:pStyle w:val="Heading7"/>
        <w:spacing w:line="386" w:lineRule="auto" w:before="170"/>
        <w:ind w:left="232" w:right="915" w:firstLine="420"/>
        <w:jc w:val="left"/>
      </w:pPr>
      <w:r>
        <w:rPr>
          <w:rFonts w:ascii="宋体" w:hAnsi="宋体" w:cs="宋体" w:eastAsia="宋体" w:hint="default"/>
          <w:b/>
          <w:bCs/>
          <w:w w:val="95"/>
        </w:rPr>
        <w:t>许刚先生</w:t>
      </w:r>
      <w:r>
        <w:rPr>
          <w:rFonts w:ascii="Times New Roman" w:hAnsi="Times New Roman" w:cs="Times New Roman" w:eastAsia="Times New Roman" w:hint="default"/>
          <w:b/>
          <w:bCs/>
          <w:w w:val="95"/>
        </w:rPr>
        <w:t>:</w:t>
      </w:r>
      <w:r>
        <w:rPr>
          <w:rFonts w:ascii="Times New Roman" w:hAnsi="Times New Roman" w:cs="Times New Roman" w:eastAsia="Times New Roman" w:hint="default"/>
          <w:w w:val="95"/>
        </w:rPr>
        <w:t>1975</w:t>
      </w:r>
      <w:r>
        <w:rPr>
          <w:w w:val="95"/>
        </w:rPr>
        <w:t>年出生，浙江工业大学</w:t>
      </w:r>
      <w:r>
        <w:rPr>
          <w:rFonts w:ascii="Times New Roman" w:hAnsi="Times New Roman" w:cs="Times New Roman" w:eastAsia="Times New Roman" w:hint="default"/>
          <w:w w:val="95"/>
        </w:rPr>
        <w:t>MBA</w:t>
      </w:r>
      <w:r>
        <w:rPr>
          <w:w w:val="95"/>
        </w:rPr>
        <w:t>，中国国籍，中国注册会计师，中国注册税务师，会计师。</w:t>
      </w:r>
      <w:r>
        <w:rPr>
          <w:w w:val="9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月任苏泊尔集团有限公司审计负责人。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月任万马联合控股集团有</w:t>
      </w:r>
      <w:r>
        <w:rPr>
          <w:w w:val="99"/>
        </w:rPr>
        <w:t> </w:t>
      </w:r>
      <w:r>
        <w:rPr/>
        <w:t>限公司审计总监。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月任万马股份内审负责人。现任本公司财务总监。</w:t>
      </w:r>
    </w:p>
    <w:p>
      <w:pPr>
        <w:pStyle w:val="Heading7"/>
        <w:spacing w:line="386" w:lineRule="auto" w:before="191"/>
        <w:ind w:left="232" w:right="1127" w:firstLine="405"/>
        <w:jc w:val="both"/>
      </w:pPr>
      <w:r>
        <w:rPr>
          <w:rFonts w:ascii="宋体" w:hAnsi="宋体" w:cs="宋体" w:eastAsia="宋体" w:hint="default"/>
          <w:b/>
          <w:bCs/>
          <w:w w:val="95"/>
        </w:rPr>
        <w:t>周炯先生：</w:t>
      </w:r>
      <w:r>
        <w:rPr>
          <w:rFonts w:ascii="Times New Roman" w:hAnsi="Times New Roman" w:cs="Times New Roman" w:eastAsia="Times New Roman" w:hint="default"/>
          <w:w w:val="95"/>
        </w:rPr>
        <w:t>1970</w:t>
      </w:r>
      <w:r>
        <w:rPr>
          <w:w w:val="95"/>
        </w:rPr>
        <w:t>年出生，中国国籍，大专。历任临安区横畈镇酒厂厂长助理，杭州锦江集团公司销售</w:t>
      </w:r>
      <w:r>
        <w:rPr>
          <w:spacing w:val="-70"/>
          <w:w w:val="95"/>
        </w:rPr>
        <w:t> </w:t>
      </w:r>
      <w:r>
        <w:rPr>
          <w:spacing w:val="-70"/>
          <w:w w:val="95"/>
        </w:rPr>
      </w:r>
      <w:r>
        <w:rPr>
          <w:w w:val="95"/>
        </w:rPr>
        <w:t>员，浙江天目神实业有限公司副总经理，</w:t>
      </w:r>
      <w:r>
        <w:rPr>
          <w:rFonts w:ascii="Times New Roman" w:hAnsi="Times New Roman" w:cs="Times New Roman" w:eastAsia="Times New Roman" w:hint="default"/>
          <w:w w:val="95"/>
        </w:rPr>
        <w:t>2003</w:t>
      </w:r>
      <w:r>
        <w:rPr>
          <w:w w:val="95"/>
        </w:rPr>
        <w:t>年起任万马电缆销售经理、副总经理。报告期任本公司副总</w:t>
      </w:r>
      <w:r>
        <w:rPr>
          <w:spacing w:val="44"/>
          <w:w w:val="95"/>
        </w:rPr>
        <w:t> </w:t>
      </w:r>
      <w:r>
        <w:rPr>
          <w:spacing w:val="44"/>
          <w:w w:val="95"/>
        </w:rPr>
      </w:r>
      <w:r>
        <w:rPr/>
        <w:t>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月离职。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Heading8"/>
        <w:spacing w:line="240" w:lineRule="auto"/>
        <w:ind w:right="2654"/>
        <w:jc w:val="left"/>
        <w:rPr>
          <w:b w:val="0"/>
          <w:bCs w:val="0"/>
        </w:rPr>
      </w:pPr>
      <w:r>
        <w:rPr/>
        <w:t>在股东单位任职情况</w:t>
      </w:r>
      <w:r>
        <w:rPr>
          <w:b w:val="0"/>
          <w:bCs w:val="0"/>
        </w:rPr>
      </w:r>
    </w:p>
    <w:p>
      <w:pPr>
        <w:pStyle w:val="BodyText"/>
        <w:spacing w:line="240" w:lineRule="auto" w:before="117"/>
        <w:ind w:left="232" w:right="2654"/>
        <w:jc w:val="left"/>
      </w:pPr>
      <w:r>
        <w:rPr/>
        <w:t>√ 适用 □ 不适用</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30"/>
        <w:gridCol w:w="3117"/>
        <w:gridCol w:w="1077"/>
        <w:gridCol w:w="1916"/>
        <w:gridCol w:w="840"/>
        <w:gridCol w:w="1288"/>
      </w:tblGrid>
      <w:tr>
        <w:trPr>
          <w:trHeight w:val="946"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72" w:right="172"/>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46" w:right="14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89" w:right="187"/>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32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2"/>
          <w:pgSz w:w="11910" w:h="16840"/>
          <w:pgMar w:header="890" w:footer="1012" w:top="1420" w:bottom="1200" w:left="900" w:right="0"/>
        </w:sectPr>
      </w:pPr>
    </w:p>
    <w:p>
      <w:pPr>
        <w:spacing w:line="240" w:lineRule="auto" w:before="5"/>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330"/>
        <w:gridCol w:w="3117"/>
        <w:gridCol w:w="1077"/>
        <w:gridCol w:w="1916"/>
        <w:gridCol w:w="840"/>
        <w:gridCol w:w="1288"/>
      </w:tblGrid>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0"/>
        <w:ind w:left="232" w:right="2654"/>
        <w:jc w:val="left"/>
      </w:pPr>
      <w:r>
        <w:rPr/>
        <w:t>在其他单位任职情况</w:t>
      </w:r>
    </w:p>
    <w:p>
      <w:pPr>
        <w:pStyle w:val="BodyText"/>
        <w:spacing w:line="240" w:lineRule="auto" w:before="117"/>
        <w:ind w:left="232" w:right="2654"/>
        <w:jc w:val="left"/>
      </w:pPr>
      <w:r>
        <w:rPr/>
        <w:t>√ 适用 □ 不适用</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939"/>
        <w:gridCol w:w="3180"/>
        <w:gridCol w:w="1483"/>
        <w:gridCol w:w="1847"/>
        <w:gridCol w:w="911"/>
        <w:gridCol w:w="1207"/>
      </w:tblGrid>
      <w:tr>
        <w:trPr>
          <w:trHeight w:val="946"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85" w:right="102"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4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66" w:right="104"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0" w:right="1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47" w:right="147"/>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浙江万马家装有限公司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宁波万爱新能源科技有限公司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北京万京新能源科技有限公司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武汉万爱新能源科技有限公司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上海万遥新能源科技有限公司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深圳万充新能源科技有限公司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苏州万充新能源科技有限公司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福州万充新能源科技有限公司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无锡会通轻质材料股份有限公司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浙江万马聚力新材料科技有限公司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浙江万马奔腾新能源产业有限公司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宁波万爱新能源科技有限公司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北京万京新能源科技有限公司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33"/>
          <w:pgSz w:w="11910" w:h="16840"/>
          <w:pgMar w:footer="1012" w:header="890" w:top="1420" w:bottom="1200" w:left="900" w:right="0"/>
          <w:pgNumType w:start="60"/>
        </w:sectPr>
      </w:pPr>
    </w:p>
    <w:p>
      <w:pPr>
        <w:spacing w:line="240" w:lineRule="auto" w:before="5"/>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939"/>
        <w:gridCol w:w="3180"/>
        <w:gridCol w:w="1483"/>
        <w:gridCol w:w="1847"/>
        <w:gridCol w:w="911"/>
        <w:gridCol w:w="1207"/>
      </w:tblGrid>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武汉万爱新能源科技有限公司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江苏万充新能源科技有限公司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上海万遥新能源科技有限公司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深圳万充新能源科技有限公司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杭州万充电力工程有限公司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苏州万充新能源科技有限公司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无锡万充新能源科技有限公司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四川万马高分子材料有限公司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许刚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浙江万马家装有限公司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许刚</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上海骥驰实业有限公司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232" w:right="2654"/>
        <w:jc w:val="left"/>
      </w:pPr>
      <w:r>
        <w:rPr/>
        <w:t>公司现任及报告期内离任董事、监事和高级管理人员近三年证券监管机构处罚的情况</w:t>
      </w:r>
    </w:p>
    <w:p>
      <w:pPr>
        <w:pStyle w:val="BodyText"/>
        <w:spacing w:line="240" w:lineRule="auto" w:before="115"/>
        <w:ind w:left="232" w:right="2654"/>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left="232" w:right="2654"/>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Heading8"/>
        <w:spacing w:line="240" w:lineRule="auto"/>
        <w:ind w:right="2654"/>
        <w:jc w:val="left"/>
        <w:rPr>
          <w:b w:val="0"/>
          <w:bCs w:val="0"/>
        </w:rPr>
      </w:pPr>
      <w:r>
        <w:rPr>
          <w:rFonts w:ascii="Times New Roman" w:hAnsi="Times New Roman" w:cs="Times New Roman" w:eastAsia="Times New Roman" w:hint="default"/>
        </w:rPr>
        <w:t>1.</w:t>
      </w:r>
      <w:r>
        <w:rPr/>
        <w:t>董事、监事、高级管理人员报酬的决策程序、确定依据、实际支付情况：</w:t>
      </w:r>
      <w:r>
        <w:rPr>
          <w:b w:val="0"/>
          <w:bCs w:val="0"/>
        </w:rPr>
      </w:r>
    </w:p>
    <w:p>
      <w:pPr>
        <w:pStyle w:val="BodyText"/>
        <w:spacing w:line="300" w:lineRule="auto" w:before="103"/>
        <w:ind w:left="232" w:right="1124"/>
        <w:jc w:val="left"/>
      </w:pPr>
      <w:r>
        <w:rPr/>
        <w:t>（</w:t>
      </w:r>
      <w:r>
        <w:rPr>
          <w:rFonts w:ascii="Times New Roman" w:hAnsi="Times New Roman" w:cs="Times New Roman" w:eastAsia="Times New Roman" w:hint="default"/>
        </w:rPr>
        <w:t>1</w:t>
      </w:r>
      <w:r>
        <w:rPr/>
        <w:t>）董事、监事、高级管理人员报酬确定依据：在公司任职的董事、监事和高级管理人员按其行政岗位及职务，根据公司 现行的年度考核体系和薪酬制度领取薪酬。未在公司担任行政职务的董事、监事无津贴。</w:t>
      </w:r>
    </w:p>
    <w:p>
      <w:pPr>
        <w:pStyle w:val="BodyText"/>
        <w:spacing w:line="240" w:lineRule="auto" w:before="70"/>
        <w:ind w:left="232" w:right="915"/>
        <w:jc w:val="left"/>
      </w:pPr>
      <w:r>
        <w:rPr/>
        <w:t>（</w:t>
      </w:r>
      <w:r>
        <w:rPr>
          <w:rFonts w:ascii="Times New Roman" w:hAnsi="Times New Roman" w:cs="Times New Roman" w:eastAsia="Times New Roman" w:hint="default"/>
        </w:rPr>
        <w:t>2</w:t>
      </w:r>
      <w:r>
        <w:rPr/>
        <w:t>）独立董事报酬确定依据：公司独立董事的薪酬由董事会审议后提交股东大会批准决定，按月支付到个人帐户。</w:t>
      </w:r>
    </w:p>
    <w:p>
      <w:pPr>
        <w:pStyle w:val="Heading8"/>
        <w:spacing w:line="240" w:lineRule="auto" w:before="103"/>
        <w:ind w:right="2654"/>
        <w:jc w:val="left"/>
        <w:rPr>
          <w:b w:val="0"/>
          <w:bCs w:val="0"/>
        </w:rPr>
      </w:pPr>
      <w:r>
        <w:rPr>
          <w:rFonts w:ascii="Times New Roman" w:hAnsi="Times New Roman" w:cs="Times New Roman" w:eastAsia="Times New Roman" w:hint="default"/>
        </w:rPr>
        <w:t>2.</w:t>
      </w:r>
      <w:r>
        <w:rPr/>
        <w:t>公司报告期内董事、监事和高级管理人员报酬情况</w:t>
      </w:r>
      <w:r>
        <w:rPr>
          <w:b w:val="0"/>
          <w:bCs w:val="0"/>
        </w:rPr>
      </w:r>
    </w:p>
    <w:p>
      <w:pPr>
        <w:pStyle w:val="BodyText"/>
        <w:spacing w:line="240" w:lineRule="auto" w:before="103"/>
        <w:ind w:left="0" w:right="1132"/>
        <w:jc w:val="right"/>
      </w:pPr>
      <w:r>
        <w:rPr/>
        <w:t>单位：万元</w:t>
      </w: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9"/>
        <w:gridCol w:w="2061"/>
        <w:gridCol w:w="910"/>
        <w:gridCol w:w="1130"/>
        <w:gridCol w:w="1367"/>
        <w:gridCol w:w="1367"/>
        <w:gridCol w:w="1367"/>
      </w:tblGrid>
      <w:tr>
        <w:trPr>
          <w:trHeight w:val="63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孙小红</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赵宇恺</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90" w:footer="1012" w:top="1420" w:bottom="1200" w:left="900" w:right="0"/>
        </w:sectPr>
      </w:pPr>
    </w:p>
    <w:p>
      <w:pPr>
        <w:spacing w:line="240" w:lineRule="auto" w:before="5"/>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369"/>
        <w:gridCol w:w="2061"/>
        <w:gridCol w:w="910"/>
        <w:gridCol w:w="1130"/>
        <w:gridCol w:w="1367"/>
        <w:gridCol w:w="1367"/>
        <w:gridCol w:w="1367"/>
      </w:tblGrid>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许刚</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0" w:right="0"/>
              <w:jc w:val="left"/>
              <w:rPr>
                <w:rFonts w:ascii="Times New Roman" w:hAnsi="Times New Roman" w:cs="Times New Roman" w:eastAsia="Times New Roman" w:hint="default"/>
                <w:sz w:val="18"/>
                <w:szCs w:val="18"/>
              </w:rPr>
            </w:pPr>
            <w:r>
              <w:rPr>
                <w:rFonts w:ascii="Times New Roman"/>
                <w:sz w:val="18"/>
              </w:rPr>
              <w:t>--</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352.98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32" w:right="2654"/>
        <w:jc w:val="left"/>
      </w:pPr>
      <w:r>
        <w:rPr/>
        <w:t>公司董事、高级管理人员报告期内被授予的股权激励情况</w:t>
      </w:r>
    </w:p>
    <w:p>
      <w:pPr>
        <w:pStyle w:val="BodyText"/>
        <w:spacing w:line="240" w:lineRule="auto" w:before="115"/>
        <w:ind w:left="232" w:right="2654"/>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left="232" w:right="2654"/>
        <w:jc w:val="left"/>
        <w:rPr>
          <w:b w:val="0"/>
          <w:bCs w:val="0"/>
        </w:rPr>
      </w:pPr>
      <w:bookmarkStart w:name="五、公司员工情况" w:id="129"/>
      <w:bookmarkEnd w:id="129"/>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232" w:right="2654"/>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4784"/>
        <w:gridCol w:w="4784"/>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1,978</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2,965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4,943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4,943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2,952</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360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198</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4,943</w:t>
            </w:r>
          </w:p>
        </w:tc>
      </w:tr>
      <w:tr>
        <w:trPr>
          <w:trHeight w:val="32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72</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755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3123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4,943</w:t>
            </w:r>
          </w:p>
        </w:tc>
      </w:tr>
    </w:tbl>
    <w:p>
      <w:pPr>
        <w:spacing w:line="240" w:lineRule="auto" w:before="3"/>
        <w:rPr>
          <w:rFonts w:ascii="宋体" w:hAnsi="宋体" w:cs="宋体" w:eastAsia="宋体" w:hint="default"/>
          <w:b/>
          <w:bCs/>
          <w:sz w:val="19"/>
          <w:szCs w:val="19"/>
        </w:rPr>
      </w:pPr>
    </w:p>
    <w:p>
      <w:pPr>
        <w:pStyle w:val="Heading6"/>
        <w:spacing w:line="240" w:lineRule="auto" w:before="34"/>
        <w:ind w:left="232" w:right="2654"/>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Heading7"/>
        <w:spacing w:line="240" w:lineRule="auto"/>
        <w:ind w:left="232" w:right="2654"/>
        <w:jc w:val="left"/>
      </w:pPr>
      <w:r>
        <w:rPr/>
        <w:t>（</w:t>
      </w:r>
      <w:r>
        <w:rPr>
          <w:rFonts w:ascii="Times New Roman" w:hAnsi="Times New Roman" w:cs="Times New Roman" w:eastAsia="Times New Roman" w:hint="default"/>
        </w:rPr>
        <w:t>1</w:t>
      </w:r>
      <w:r>
        <w:rPr/>
        <w:t>）提升公司经营效益，改善员工工作环境，制定合理的薪资体系。</w:t>
      </w:r>
    </w:p>
    <w:p>
      <w:pPr>
        <w:pStyle w:val="Heading7"/>
        <w:spacing w:line="386" w:lineRule="auto" w:before="177"/>
        <w:ind w:left="232" w:right="915"/>
        <w:jc w:val="left"/>
      </w:pPr>
      <w:r>
        <w:rPr>
          <w:spacing w:val="2"/>
          <w:w w:val="95"/>
        </w:rPr>
        <w:t>（</w:t>
      </w:r>
      <w:r>
        <w:rPr>
          <w:rFonts w:ascii="Times New Roman" w:hAnsi="Times New Roman" w:cs="Times New Roman" w:eastAsia="Times New Roman" w:hint="default"/>
          <w:spacing w:val="2"/>
          <w:w w:val="95"/>
        </w:rPr>
        <w:t>2</w:t>
      </w:r>
      <w:r>
        <w:rPr>
          <w:spacing w:val="2"/>
          <w:w w:val="95"/>
        </w:rPr>
        <w:t>）企业提高综合竞争力，是吸引员工的根本。公司全体员工共同努力，各司其职，向市场、向管理要</w:t>
      </w:r>
      <w:r>
        <w:rPr>
          <w:spacing w:val="49"/>
          <w:w w:val="95"/>
        </w:rPr>
        <w:t> </w:t>
      </w:r>
      <w:r>
        <w:rPr>
          <w:spacing w:val="49"/>
          <w:w w:val="95"/>
        </w:rPr>
      </w:r>
      <w:r>
        <w:rPr/>
        <w:t>效益，为员工创造提薪、提升机会、实现员企双赢。</w:t>
      </w:r>
    </w:p>
    <w:p>
      <w:pPr>
        <w:pStyle w:val="Heading7"/>
        <w:spacing w:line="240" w:lineRule="auto" w:before="65"/>
        <w:ind w:left="232" w:right="915"/>
        <w:jc w:val="left"/>
      </w:pPr>
      <w:r>
        <w:rPr/>
        <w:t>（</w:t>
      </w:r>
      <w:r>
        <w:rPr>
          <w:rFonts w:ascii="Times New Roman" w:hAnsi="Times New Roman" w:cs="Times New Roman" w:eastAsia="Times New Roman" w:hint="default"/>
        </w:rPr>
        <w:t>3</w:t>
      </w:r>
      <w:r>
        <w:rPr/>
        <w:t>）设备更新改造、改善员工工作环境、结合实际生产情况制定合理的工时定额，稳定员工。</w:t>
      </w:r>
    </w:p>
    <w:p>
      <w:pPr>
        <w:pStyle w:val="Heading7"/>
        <w:spacing w:line="386" w:lineRule="auto" w:before="177"/>
        <w:ind w:left="232" w:right="915"/>
        <w:jc w:val="left"/>
      </w:pPr>
      <w:r>
        <w:rPr>
          <w:spacing w:val="2"/>
          <w:w w:val="95"/>
        </w:rPr>
        <w:t>（</w:t>
      </w:r>
      <w:r>
        <w:rPr>
          <w:rFonts w:ascii="Times New Roman" w:hAnsi="Times New Roman" w:cs="Times New Roman" w:eastAsia="Times New Roman" w:hint="default"/>
          <w:spacing w:val="2"/>
          <w:w w:val="95"/>
        </w:rPr>
        <w:t>4</w:t>
      </w:r>
      <w:r>
        <w:rPr>
          <w:spacing w:val="2"/>
          <w:w w:val="95"/>
        </w:rPr>
        <w:t>）建立科学合理的薪酬激励机制，着重体现岗位价值和个人贡献，并鼓励员工长期为企业服务，共同</w:t>
      </w:r>
      <w:r>
        <w:rPr>
          <w:spacing w:val="49"/>
          <w:w w:val="95"/>
        </w:rPr>
        <w:t> </w:t>
      </w:r>
      <w:r>
        <w:rPr>
          <w:spacing w:val="49"/>
          <w:w w:val="95"/>
        </w:rPr>
      </w:r>
      <w:r>
        <w:rPr/>
        <w:t>致力于企业的不断成长和可持续发展，同时共享企业发展所带来的成果。</w:t>
      </w:r>
    </w:p>
    <w:p>
      <w:pPr>
        <w:spacing w:after="0" w:line="386" w:lineRule="auto"/>
        <w:jc w:val="left"/>
        <w:sectPr>
          <w:pgSz w:w="11910" w:h="16840"/>
          <w:pgMar w:header="890" w:footer="1012" w:top="1420" w:bottom="1200" w:left="900" w:right="0"/>
        </w:sectPr>
      </w:pPr>
    </w:p>
    <w:p>
      <w:pPr>
        <w:pStyle w:val="Heading6"/>
        <w:spacing w:line="240" w:lineRule="auto" w:before="43"/>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Heading7"/>
        <w:spacing w:line="386" w:lineRule="auto"/>
        <w:ind w:right="0"/>
        <w:jc w:val="left"/>
      </w:pPr>
      <w:r>
        <w:rPr>
          <w:spacing w:val="2"/>
          <w:w w:val="95"/>
        </w:rPr>
        <w:t>（</w:t>
      </w:r>
      <w:r>
        <w:rPr>
          <w:rFonts w:ascii="Times New Roman" w:hAnsi="Times New Roman" w:cs="Times New Roman" w:eastAsia="Times New Roman" w:hint="default"/>
          <w:spacing w:val="2"/>
          <w:w w:val="95"/>
        </w:rPr>
        <w:t>1</w:t>
      </w:r>
      <w:r>
        <w:rPr>
          <w:spacing w:val="2"/>
          <w:w w:val="95"/>
        </w:rPr>
        <w:t>）积极组织公司中高层外出对标学习，加强与行业标杆企业交流及商务合作，对提升公司的管理水平</w:t>
      </w:r>
      <w:r>
        <w:rPr>
          <w:spacing w:val="49"/>
          <w:w w:val="95"/>
        </w:rPr>
        <w:t> </w:t>
      </w:r>
      <w:r>
        <w:rPr>
          <w:spacing w:val="49"/>
          <w:w w:val="95"/>
        </w:rPr>
      </w:r>
      <w:r>
        <w:rPr/>
        <w:t>与创新发展起到了良好的借鉴作用，延伸了现代化管理的触角。</w:t>
      </w:r>
    </w:p>
    <w:p>
      <w:pPr>
        <w:pStyle w:val="Heading7"/>
        <w:spacing w:line="240" w:lineRule="auto" w:before="65"/>
        <w:ind w:right="0"/>
        <w:jc w:val="left"/>
      </w:pPr>
      <w:r>
        <w:rPr/>
        <w:t>（</w:t>
      </w:r>
      <w:r>
        <w:rPr>
          <w:rFonts w:ascii="Times New Roman" w:hAnsi="Times New Roman" w:cs="Times New Roman" w:eastAsia="Times New Roman" w:hint="default"/>
        </w:rPr>
        <w:t>2</w:t>
      </w:r>
      <w:r>
        <w:rPr/>
        <w:t>）积极参加培训行业学习技术大会、公开课等，拓宽工作视野，提高人员专业度。</w:t>
      </w:r>
    </w:p>
    <w:p>
      <w:pPr>
        <w:pStyle w:val="Heading7"/>
        <w:spacing w:line="386" w:lineRule="auto" w:before="177"/>
        <w:ind w:right="0"/>
        <w:jc w:val="left"/>
      </w:pPr>
      <w:r>
        <w:rPr>
          <w:spacing w:val="2"/>
          <w:w w:val="95"/>
        </w:rPr>
        <w:t>（</w:t>
      </w:r>
      <w:r>
        <w:rPr>
          <w:rFonts w:ascii="Times New Roman" w:hAnsi="Times New Roman" w:cs="Times New Roman" w:eastAsia="Times New Roman" w:hint="default"/>
          <w:spacing w:val="2"/>
          <w:w w:val="95"/>
        </w:rPr>
        <w:t>3</w:t>
      </w:r>
      <w:r>
        <w:rPr>
          <w:spacing w:val="2"/>
          <w:w w:val="95"/>
        </w:rPr>
        <w:t>）定期组织并参加五大集团学习联盟，加强与各兄弟单位的学习和交流，进一步提高各专业线的专业</w:t>
      </w:r>
      <w:r>
        <w:rPr>
          <w:spacing w:val="49"/>
          <w:w w:val="95"/>
        </w:rPr>
        <w:t> </w:t>
      </w:r>
      <w:r>
        <w:rPr>
          <w:spacing w:val="49"/>
          <w:w w:val="95"/>
        </w:rPr>
      </w:r>
      <w:r>
        <w:rPr/>
        <w:t>化水平，共同发展共同进步，提升圈内影响力。</w:t>
      </w:r>
    </w:p>
    <w:p>
      <w:pPr>
        <w:pStyle w:val="Heading7"/>
        <w:spacing w:line="386" w:lineRule="auto" w:before="65"/>
        <w:ind w:right="0"/>
        <w:jc w:val="left"/>
      </w:pPr>
      <w:r>
        <w:rPr>
          <w:spacing w:val="2"/>
          <w:w w:val="95"/>
        </w:rPr>
        <w:t>（</w:t>
      </w:r>
      <w:r>
        <w:rPr>
          <w:rFonts w:ascii="Times New Roman" w:hAnsi="Times New Roman" w:cs="Times New Roman" w:eastAsia="Times New Roman" w:hint="default"/>
          <w:spacing w:val="2"/>
          <w:w w:val="95"/>
        </w:rPr>
        <w:t>4</w:t>
      </w:r>
      <w:r>
        <w:rPr>
          <w:spacing w:val="2"/>
          <w:w w:val="95"/>
        </w:rPr>
        <w:t>）持续运营和推广移动学习平台，打造灵活多变的混合式学习体验，大大提高了全员学习的氛围，同</w:t>
      </w:r>
      <w:r>
        <w:rPr>
          <w:spacing w:val="49"/>
          <w:w w:val="95"/>
        </w:rPr>
        <w:t> </w:t>
      </w:r>
      <w:r>
        <w:rPr>
          <w:spacing w:val="49"/>
          <w:w w:val="95"/>
        </w:rPr>
      </w:r>
      <w:r>
        <w:rPr/>
        <w:t>时，高效多样的学习渠道让企业内部知识与经验得以沉淀和固化。</w:t>
      </w:r>
    </w:p>
    <w:p>
      <w:pPr>
        <w:pStyle w:val="Heading7"/>
        <w:spacing w:line="386" w:lineRule="auto" w:before="65"/>
        <w:ind w:right="0"/>
        <w:jc w:val="left"/>
      </w:pPr>
      <w:r>
        <w:rPr>
          <w:spacing w:val="2"/>
          <w:w w:val="95"/>
        </w:rPr>
        <w:t>（</w:t>
      </w:r>
      <w:r>
        <w:rPr>
          <w:rFonts w:ascii="Times New Roman" w:hAnsi="Times New Roman" w:cs="Times New Roman" w:eastAsia="Times New Roman" w:hint="default"/>
          <w:spacing w:val="2"/>
          <w:w w:val="95"/>
        </w:rPr>
        <w:t>5</w:t>
      </w:r>
      <w:r>
        <w:rPr>
          <w:spacing w:val="2"/>
          <w:w w:val="95"/>
        </w:rPr>
        <w:t>）拟订员工职业发展规划，帮助员工认识和明确自身发展方向，将个人意愿、资质与企业的发展相结</w:t>
      </w:r>
      <w:r>
        <w:rPr>
          <w:spacing w:val="49"/>
          <w:w w:val="95"/>
        </w:rPr>
        <w:t> </w:t>
      </w:r>
      <w:r>
        <w:rPr>
          <w:spacing w:val="49"/>
          <w:w w:val="95"/>
        </w:rPr>
      </w:r>
      <w:r>
        <w:rPr/>
        <w:t>合。根据员工绩效达成结果，进行动态跟踪，并为员工提供有效的培训学习机制。</w:t>
      </w:r>
    </w:p>
    <w:p>
      <w:pPr>
        <w:pStyle w:val="Heading7"/>
        <w:spacing w:line="400" w:lineRule="auto" w:before="65"/>
        <w:ind w:right="0"/>
        <w:jc w:val="left"/>
      </w:pPr>
      <w:r>
        <w:rPr>
          <w:spacing w:val="-2"/>
          <w:w w:val="99"/>
        </w:rPr>
        <w:t>（</w:t>
      </w:r>
      <w:r>
        <w:rPr>
          <w:rFonts w:ascii="Times New Roman" w:hAnsi="Times New Roman" w:cs="Times New Roman" w:eastAsia="Times New Roman" w:hint="default"/>
          <w:spacing w:val="-2"/>
          <w:w w:val="99"/>
        </w:rPr>
        <w:t>6</w:t>
      </w:r>
      <w:r>
        <w:rPr>
          <w:spacing w:val="-2"/>
          <w:w w:val="99"/>
        </w:rPr>
        <w:t>）</w:t>
      </w:r>
      <w:r>
        <w:rPr>
          <w:rFonts w:ascii="Times New Roman" w:hAnsi="Times New Roman" w:cs="Times New Roman" w:eastAsia="Times New Roman" w:hint="default"/>
          <w:spacing w:val="-2"/>
          <w:w w:val="99"/>
        </w:rPr>
        <w:t>2018</w:t>
      </w:r>
      <w:r>
        <w:rPr>
          <w:spacing w:val="-2"/>
          <w:w w:val="99"/>
        </w:rPr>
        <w:t>年，管理序列推出针对校招生的“青苗计划”、新任经理人</w:t>
      </w:r>
      <w:r>
        <w:rPr>
          <w:rFonts w:ascii="Times New Roman" w:hAnsi="Times New Roman" w:cs="Times New Roman" w:eastAsia="Times New Roman" w:hint="default"/>
          <w:spacing w:val="-2"/>
          <w:w w:val="99"/>
        </w:rPr>
        <w:t>90</w:t>
      </w:r>
      <w:r>
        <w:rPr>
          <w:spacing w:val="-2"/>
          <w:w w:val="99"/>
        </w:rPr>
        <w:t>天学习计划、高级管理人的“逐日</w:t>
      </w:r>
      <w:r>
        <w:rPr>
          <w:w w:val="99"/>
        </w:rPr>
        <w:t> </w:t>
      </w:r>
      <w:r>
        <w:rPr>
          <w:spacing w:val="-3"/>
          <w:w w:val="99"/>
        </w:rPr>
        <w:t>计划”等培养项目；专业序列推出</w:t>
      </w:r>
      <w:r>
        <w:rPr>
          <w:w w:val="99"/>
        </w:rPr>
        <w:t> </w:t>
      </w:r>
      <w:r>
        <w:rPr>
          <w:spacing w:val="-5"/>
          <w:w w:val="99"/>
        </w:rPr>
        <w:t>“雪狼计划”营销工程师培养项目、“猎豹计划”采购工程师培养项目；</w:t>
      </w:r>
      <w:r>
        <w:rPr>
          <w:spacing w:val="-100"/>
          <w:w w:val="99"/>
        </w:rPr>
        <w:t> </w:t>
      </w:r>
      <w:r>
        <w:rPr>
          <w:spacing w:val="-100"/>
          <w:w w:val="99"/>
        </w:rPr>
      </w:r>
      <w:r>
        <w:rPr/>
        <w:t>资源体系建设推出“铭师计划”内训师培养项目以及日常团队学习和团队建设活动等，为企业的变革和发</w:t>
      </w:r>
      <w:r>
        <w:rPr>
          <w:w w:val="99"/>
        </w:rPr>
        <w:t> </w:t>
      </w:r>
      <w:r>
        <w:rPr/>
        <w:t>展注入新的活力。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6"/>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017"/>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Heading7"/>
        <w:spacing w:line="408" w:lineRule="auto"/>
        <w:ind w:right="1130" w:firstLine="480"/>
        <w:jc w:val="both"/>
      </w:pPr>
      <w:r>
        <w:rPr>
          <w:spacing w:val="-15"/>
          <w:w w:val="99"/>
        </w:rPr>
        <w:t>报告期内，公司严格按照《公司法》、《证券法》、《上市公司治理准则》、《深圳证券交易所股票上市规</w:t>
      </w:r>
      <w:r>
        <w:rPr>
          <w:w w:val="99"/>
        </w:rPr>
        <w:t> </w:t>
      </w:r>
      <w:r>
        <w:rPr>
          <w:spacing w:val="-5"/>
          <w:w w:val="99"/>
        </w:rPr>
        <w:t>则》、《深圳证券交易所中小企业板上市公司规范运作指引》及中国证监会有关法律法规要求，不断完善公</w:t>
      </w:r>
      <w:r>
        <w:rPr>
          <w:spacing w:val="-77"/>
          <w:w w:val="99"/>
        </w:rPr>
        <w:t> </w:t>
      </w:r>
      <w:r>
        <w:rPr>
          <w:spacing w:val="-77"/>
          <w:w w:val="99"/>
        </w:rPr>
      </w:r>
      <w:r>
        <w:rPr>
          <w:w w:val="95"/>
        </w:rPr>
        <w:t>司法人治理结构、建立健全公司内部管理和控制制度，规范运作。公司切实维护全体股东特别是中小股东</w:t>
      </w:r>
      <w:r>
        <w:rPr>
          <w:spacing w:val="40"/>
          <w:w w:val="95"/>
        </w:rPr>
        <w:t> </w:t>
      </w:r>
      <w:r>
        <w:rPr>
          <w:spacing w:val="40"/>
          <w:w w:val="95"/>
        </w:rPr>
      </w:r>
      <w:r>
        <w:rPr/>
        <w:t>的利益，公司治理的实际情况符合中国证监会有关上市公司治理的规范性文件的要求。</w:t>
      </w:r>
    </w:p>
    <w:p>
      <w:pPr>
        <w:spacing w:line="240" w:lineRule="auto" w:before="6"/>
        <w:rPr>
          <w:rFonts w:ascii="宋体" w:hAnsi="宋体" w:cs="宋体" w:eastAsia="宋体" w:hint="default"/>
          <w:sz w:val="24"/>
          <w:szCs w:val="24"/>
        </w:rPr>
      </w:pPr>
    </w:p>
    <w:p>
      <w:pPr>
        <w:pStyle w:val="Heading7"/>
        <w:spacing w:line="240" w:lineRule="auto"/>
        <w:ind w:right="0"/>
        <w:jc w:val="both"/>
      </w:pPr>
      <w:r>
        <w:rPr/>
        <w:t>公司治理的实际状况与中国证监会发布的有关上市公司治理的规范性文件是否存在重大差异</w:t>
      </w:r>
    </w:p>
    <w:p>
      <w:pPr>
        <w:pStyle w:val="Heading7"/>
        <w:spacing w:line="307" w:lineRule="auto" w:before="78"/>
        <w:ind w:right="2114"/>
        <w:jc w:val="left"/>
      </w:pPr>
      <w:r>
        <w:rPr/>
        <w:t>□ 是 √</w:t>
      </w:r>
      <w:r>
        <w:rPr>
          <w:spacing w:val="1"/>
        </w:rPr>
        <w:t> </w:t>
      </w:r>
      <w:r>
        <w:rPr/>
        <w:t>否</w:t>
      </w:r>
      <w:r>
        <w:rPr>
          <w:w w:val="99"/>
        </w:rPr>
        <w:t> </w:t>
      </w:r>
      <w:r>
        <w:rPr>
          <w:w w:val="95"/>
        </w:rPr>
        <w:t>公司治理的实际状况与中国证监会发布的有关上市公司治理的规范性文件不存在重大差异。</w:t>
      </w:r>
      <w:r>
        <w:rPr/>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Heading7"/>
        <w:spacing w:line="408" w:lineRule="auto"/>
        <w:ind w:right="1025" w:firstLine="420"/>
        <w:jc w:val="left"/>
      </w:pPr>
      <w:r>
        <w:rPr>
          <w:spacing w:val="-5"/>
          <w:w w:val="99"/>
        </w:rPr>
        <w:t>公司成立以来，严格按照《公司法》、《证券法》等有关法律、法规和公司章程的要求规范运作，具有</w:t>
      </w:r>
      <w:r>
        <w:rPr>
          <w:w w:val="99"/>
        </w:rPr>
        <w:t> </w:t>
      </w:r>
      <w:r>
        <w:rPr>
          <w:spacing w:val="-3"/>
        </w:rPr>
        <w:t>独立完整的供应、生产、销售、研发系统，完全独立运作、独立承担责任和风险。公司与控股股东在业务、</w:t>
      </w:r>
      <w:r>
        <w:rPr>
          <w:w w:val="99"/>
        </w:rPr>
        <w:t> </w:t>
      </w:r>
      <w:r>
        <w:rPr/>
        <w:t>人员、资产、机构、财务等方面完全分开，具有独立完整的业务及自主经营能力。</w:t>
      </w:r>
    </w:p>
    <w:p>
      <w:pPr>
        <w:pStyle w:val="Heading7"/>
        <w:spacing w:line="386" w:lineRule="auto" w:before="46"/>
        <w:ind w:left="532" w:right="1120"/>
        <w:jc w:val="left"/>
      </w:pPr>
      <w:r>
        <w:rPr>
          <w:rFonts w:ascii="Times New Roman" w:hAnsi="Times New Roman" w:cs="Times New Roman" w:eastAsia="Times New Roman" w:hint="default"/>
        </w:rPr>
        <w:t>1.</w:t>
      </w:r>
      <w:r>
        <w:rPr/>
        <w:t>业务独立</w:t>
      </w:r>
      <w:r>
        <w:rPr>
          <w:w w:val="99"/>
        </w:rPr>
        <w:t> </w:t>
      </w:r>
      <w:r>
        <w:rPr>
          <w:w w:val="95"/>
        </w:rPr>
        <w:t>公司具有独立开展业务的能力，拥有独立的经营决策权和实施权，并完全独立于控股股东、实际控制</w:t>
      </w:r>
      <w:r>
        <w:rPr/>
      </w:r>
    </w:p>
    <w:p>
      <w:pPr>
        <w:pStyle w:val="Heading7"/>
        <w:spacing w:line="408" w:lineRule="auto" w:before="65"/>
        <w:ind w:right="1132"/>
        <w:jc w:val="both"/>
      </w:pPr>
      <w:r>
        <w:rPr>
          <w:w w:val="95"/>
        </w:rPr>
        <w:t>人及其控制的其他企业。公司与控股股东、实际控制人及其控制的其他企业间不存在同业竞争或者显失公</w:t>
      </w:r>
      <w:r>
        <w:rPr>
          <w:spacing w:val="40"/>
          <w:w w:val="95"/>
        </w:rPr>
        <w:t> </w:t>
      </w:r>
      <w:r>
        <w:rPr>
          <w:spacing w:val="40"/>
          <w:w w:val="95"/>
        </w:rPr>
      </w:r>
      <w:r>
        <w:rPr/>
        <w:t>允的关联交易。本公司拥有独立完整的业务，具备独立面向市场自主经营的能力。</w:t>
      </w:r>
    </w:p>
    <w:p>
      <w:pPr>
        <w:pStyle w:val="Heading7"/>
        <w:spacing w:line="386" w:lineRule="auto" w:before="46"/>
        <w:ind w:left="532" w:right="1120"/>
        <w:jc w:val="left"/>
      </w:pPr>
      <w:r>
        <w:rPr>
          <w:rFonts w:ascii="Times New Roman" w:hAnsi="Times New Roman" w:cs="Times New Roman" w:eastAsia="Times New Roman" w:hint="default"/>
        </w:rPr>
        <w:t>2.</w:t>
      </w:r>
      <w:r>
        <w:rPr/>
        <w:t>资产完整</w:t>
      </w:r>
      <w:r>
        <w:rPr>
          <w:w w:val="99"/>
        </w:rPr>
        <w:t> </w:t>
      </w:r>
      <w:r>
        <w:rPr>
          <w:w w:val="95"/>
        </w:rPr>
        <w:t>公司拥有独立、完整的生产经营场所，以及与生产经营有关的生产系统、辅助生产系统、配套系统和</w:t>
      </w:r>
      <w:r>
        <w:rPr/>
      </w:r>
    </w:p>
    <w:p>
      <w:pPr>
        <w:pStyle w:val="Heading7"/>
        <w:spacing w:line="408" w:lineRule="auto" w:before="65"/>
        <w:ind w:right="1135"/>
        <w:jc w:val="both"/>
      </w:pPr>
      <w:r>
        <w:rPr>
          <w:w w:val="95"/>
        </w:rPr>
        <w:t>土地使用权、商标、专利、非专利技术的所有权或者使用权，具有独立完整的原料采购、生产、销售等配</w:t>
      </w:r>
      <w:r>
        <w:rPr>
          <w:spacing w:val="37"/>
          <w:w w:val="95"/>
        </w:rPr>
        <w:t> </w:t>
      </w:r>
      <w:r>
        <w:rPr>
          <w:spacing w:val="37"/>
          <w:w w:val="95"/>
        </w:rPr>
      </w:r>
      <w:r>
        <w:rPr>
          <w:w w:val="95"/>
        </w:rPr>
        <w:t>套设施及固定资产。公司对所有资产拥有完全的控制支配权，不存在资产、资金被各股东、实际控制人及</w:t>
      </w:r>
      <w:r>
        <w:rPr>
          <w:spacing w:val="39"/>
          <w:w w:val="95"/>
        </w:rPr>
        <w:t> </w:t>
      </w:r>
      <w:r>
        <w:rPr>
          <w:spacing w:val="39"/>
          <w:w w:val="95"/>
        </w:rPr>
      </w:r>
      <w:r>
        <w:rPr/>
        <w:t>其控制的其他企业违规占用而损害公司利益的情况。</w:t>
      </w:r>
    </w:p>
    <w:p>
      <w:pPr>
        <w:pStyle w:val="Heading7"/>
        <w:spacing w:line="386" w:lineRule="auto" w:before="46"/>
        <w:ind w:left="532" w:right="1120"/>
        <w:jc w:val="left"/>
      </w:pPr>
      <w:r>
        <w:rPr>
          <w:rFonts w:ascii="Times New Roman" w:hAnsi="Times New Roman" w:cs="Times New Roman" w:eastAsia="Times New Roman" w:hint="default"/>
        </w:rPr>
        <w:t>3.</w:t>
      </w:r>
      <w:r>
        <w:rPr/>
        <w:t>人员独立</w:t>
      </w:r>
      <w:r>
        <w:rPr>
          <w:w w:val="99"/>
        </w:rPr>
        <w:t> </w:t>
      </w:r>
      <w:r>
        <w:rPr>
          <w:spacing w:val="-5"/>
          <w:w w:val="99"/>
        </w:rPr>
        <w:t>公司董事、监事及高级管理人员均严格按照《公司法》、《公司章程》规定的程序推选和任免，不存在</w:t>
      </w:r>
      <w:r>
        <w:rPr>
          <w:spacing w:val="-5"/>
        </w:rPr>
      </w:r>
    </w:p>
    <w:p>
      <w:pPr>
        <w:pStyle w:val="Heading7"/>
        <w:spacing w:line="408" w:lineRule="auto" w:before="65"/>
        <w:ind w:right="1112"/>
        <w:jc w:val="both"/>
      </w:pPr>
      <w:r>
        <w:rPr>
          <w:w w:val="95"/>
        </w:rPr>
        <w:t>股东超越公司股东大会和董事会做出人事任免决定的情况。公司的人事及工资管理与股东单位完全分离，</w:t>
      </w:r>
      <w:r>
        <w:rPr>
          <w:spacing w:val="61"/>
          <w:w w:val="95"/>
        </w:rPr>
        <w:t> </w:t>
      </w:r>
      <w:r>
        <w:rPr>
          <w:spacing w:val="61"/>
          <w:w w:val="95"/>
        </w:rPr>
      </w:r>
      <w:r>
        <w:rPr>
          <w:w w:val="95"/>
        </w:rPr>
        <w:t>公司总经理、副总经理、财务负责人和董事会秘书等高级管理人员未在控股股东、实际控制人及其控制的</w:t>
      </w:r>
      <w:r>
        <w:rPr/>
      </w:r>
    </w:p>
    <w:p>
      <w:pPr>
        <w:spacing w:after="0" w:line="408" w:lineRule="auto"/>
        <w:jc w:val="both"/>
        <w:sectPr>
          <w:pgSz w:w="11910" w:h="16840"/>
          <w:pgMar w:header="890" w:footer="1012" w:top="1420" w:bottom="1200" w:left="1020" w:right="0"/>
        </w:sectPr>
      </w:pPr>
    </w:p>
    <w:p>
      <w:pPr>
        <w:pStyle w:val="Heading7"/>
        <w:spacing w:line="408" w:lineRule="auto" w:before="120"/>
        <w:ind w:right="1132"/>
        <w:jc w:val="both"/>
      </w:pPr>
      <w:r>
        <w:rPr>
          <w:w w:val="95"/>
        </w:rPr>
        <w:t>其他企业中担任除董事、监事以外的其他职务，未在控股股东、实际控制人及其控制的其他企业领薪；公</w:t>
      </w:r>
      <w:r>
        <w:rPr>
          <w:spacing w:val="41"/>
          <w:w w:val="95"/>
        </w:rPr>
        <w:t> </w:t>
      </w:r>
      <w:r>
        <w:rPr>
          <w:spacing w:val="41"/>
          <w:w w:val="95"/>
        </w:rPr>
      </w:r>
      <w:r>
        <w:rPr>
          <w:w w:val="95"/>
        </w:rPr>
        <w:t>司财务人员未在控股股东、实际控制人及其控制的其他企业中兼职；公司董事、高级管理人员不存在兼任</w:t>
      </w:r>
      <w:r>
        <w:rPr>
          <w:spacing w:val="40"/>
          <w:w w:val="95"/>
        </w:rPr>
        <w:t> </w:t>
      </w:r>
      <w:r>
        <w:rPr>
          <w:spacing w:val="40"/>
          <w:w w:val="95"/>
        </w:rPr>
      </w:r>
      <w:r>
        <w:rPr/>
        <w:t>监事的情形。同时，公司建立并独立执行人力资源及薪酬管理制度。</w:t>
      </w:r>
    </w:p>
    <w:p>
      <w:pPr>
        <w:pStyle w:val="Heading7"/>
        <w:spacing w:line="386" w:lineRule="auto" w:before="46"/>
        <w:ind w:left="532" w:right="1120"/>
        <w:jc w:val="left"/>
      </w:pPr>
      <w:r>
        <w:rPr>
          <w:rFonts w:ascii="Times New Roman" w:hAnsi="Times New Roman" w:cs="Times New Roman" w:eastAsia="Times New Roman" w:hint="default"/>
        </w:rPr>
        <w:t>4.</w:t>
      </w:r>
      <w:r>
        <w:rPr/>
        <w:t>机构独立</w:t>
      </w:r>
      <w:r>
        <w:rPr>
          <w:w w:val="99"/>
        </w:rPr>
        <w:t> </w:t>
      </w:r>
      <w:r>
        <w:rPr>
          <w:w w:val="95"/>
        </w:rPr>
        <w:t>公司通过股东大会、董事会、监事会以及独立董事制度，强化了公司的分权制衡和相互监督，形成了</w:t>
      </w:r>
      <w:r>
        <w:rPr/>
      </w:r>
    </w:p>
    <w:p>
      <w:pPr>
        <w:pStyle w:val="Heading7"/>
        <w:spacing w:line="408" w:lineRule="auto" w:before="65"/>
        <w:ind w:right="1025"/>
        <w:jc w:val="left"/>
      </w:pPr>
      <w:r>
        <w:rPr>
          <w:spacing w:val="-3"/>
        </w:rPr>
        <w:t>有效的法人治理结构。在内部机构设置上，公司建立了适应自身发展需要的组织机构，明确了各机构职能，</w:t>
      </w:r>
      <w:r>
        <w:rPr>
          <w:w w:val="99"/>
        </w:rPr>
        <w:t> </w:t>
      </w:r>
      <w:r>
        <w:rPr/>
        <w:t>定员定岗，并制定了相应的内部管理与控制制度，独立开展生产经营活动。公司与控股股东、实际控制人</w:t>
      </w:r>
      <w:r>
        <w:rPr>
          <w:w w:val="99"/>
        </w:rPr>
        <w:t> </w:t>
      </w:r>
      <w:r>
        <w:rPr/>
        <w:t>及其控制的其他企业间不存在机构混同的情形。自公司设立以来，未发生股东干预本公司正常生产经营活</w:t>
      </w:r>
      <w:r>
        <w:rPr>
          <w:w w:val="99"/>
        </w:rPr>
        <w:t> </w:t>
      </w:r>
      <w:r>
        <w:rPr/>
        <w:t>动的情况。</w:t>
      </w:r>
    </w:p>
    <w:p>
      <w:pPr>
        <w:pStyle w:val="Heading7"/>
        <w:spacing w:line="386" w:lineRule="auto" w:before="46"/>
        <w:ind w:left="532" w:right="1120"/>
        <w:jc w:val="left"/>
      </w:pPr>
      <w:r>
        <w:rPr>
          <w:rFonts w:ascii="Times New Roman" w:hAnsi="Times New Roman" w:cs="Times New Roman" w:eastAsia="Times New Roman" w:hint="default"/>
        </w:rPr>
        <w:t>5.</w:t>
      </w:r>
      <w:r>
        <w:rPr/>
        <w:t>财务独立</w:t>
      </w:r>
      <w:r>
        <w:rPr>
          <w:w w:val="99"/>
        </w:rPr>
        <w:t> </w:t>
      </w:r>
      <w:r>
        <w:rPr>
          <w:w w:val="95"/>
        </w:rPr>
        <w:t>公司在财务上规范运作、独立运行，设立了独立的财务部门，配备了独立的财务人员，建立了独立的</w:t>
      </w:r>
      <w:r>
        <w:rPr/>
      </w:r>
    </w:p>
    <w:p>
      <w:pPr>
        <w:pStyle w:val="Heading7"/>
        <w:spacing w:line="408" w:lineRule="auto" w:before="65"/>
        <w:ind w:right="1112"/>
        <w:jc w:val="both"/>
      </w:pPr>
      <w:r>
        <w:rPr>
          <w:spacing w:val="-13"/>
          <w:w w:val="99"/>
        </w:rPr>
        <w:t>会计核算体系，制定了《财务管理制度》、《关联交易决策制度》、《投资决策管理制度》、《对外担保制度》</w:t>
      </w:r>
      <w:r>
        <w:rPr>
          <w:spacing w:val="-71"/>
          <w:w w:val="99"/>
        </w:rPr>
        <w:t> </w:t>
      </w:r>
      <w:r>
        <w:rPr>
          <w:spacing w:val="-71"/>
          <w:w w:val="99"/>
        </w:rPr>
      </w:r>
      <w:r>
        <w:rPr>
          <w:w w:val="95"/>
        </w:rPr>
        <w:t>等多项内控制度且严格执行，独立进行财务决策，享有充分独立的资金调配权，财务会计制度和财务管理</w:t>
      </w:r>
      <w:r>
        <w:rPr>
          <w:spacing w:val="40"/>
          <w:w w:val="95"/>
        </w:rPr>
        <w:t> </w:t>
      </w:r>
      <w:r>
        <w:rPr>
          <w:spacing w:val="40"/>
          <w:w w:val="95"/>
        </w:rPr>
      </w:r>
      <w:r>
        <w:rPr>
          <w:w w:val="95"/>
        </w:rPr>
        <w:t>制度符合上市公司的要求。公司开设独立的银行账户，作为独立的纳税人，依法独立进行纳税申报和履行</w:t>
      </w:r>
      <w:r>
        <w:rPr>
          <w:spacing w:val="40"/>
          <w:w w:val="95"/>
        </w:rPr>
        <w:t> </w:t>
      </w:r>
      <w:r>
        <w:rPr>
          <w:spacing w:val="40"/>
          <w:w w:val="95"/>
        </w:rPr>
      </w:r>
      <w:r>
        <w:rPr>
          <w:w w:val="95"/>
        </w:rPr>
        <w:t>纳税义务。公司根据企业发展规划，自主决定投资计划和资金安排，不存在公司股东干预公司财务决策、</w:t>
      </w:r>
      <w:r>
        <w:rPr>
          <w:spacing w:val="61"/>
          <w:w w:val="95"/>
        </w:rPr>
        <w:t> </w:t>
      </w:r>
      <w:r>
        <w:rPr>
          <w:spacing w:val="61"/>
          <w:w w:val="95"/>
        </w:rPr>
      </w:r>
      <w:r>
        <w:rPr>
          <w:w w:val="95"/>
        </w:rPr>
        <w:t>资金使用的情况；不存在以资产、权益或信誉为股东单位或任何个人债务提供担保，或以本公司名义的借</w:t>
      </w:r>
      <w:r>
        <w:rPr>
          <w:spacing w:val="40"/>
          <w:w w:val="95"/>
        </w:rPr>
        <w:t> </w:t>
      </w:r>
      <w:r>
        <w:rPr>
          <w:spacing w:val="40"/>
          <w:w w:val="95"/>
        </w:rPr>
      </w:r>
      <w:r>
        <w:rPr/>
        <w:t>款、授信额度转借给前述法人或个人使用的情形。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三、同业竞争情况" w:id="138"/>
      <w:bookmarkEnd w:id="138"/>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0"/>
        <w:gridCol w:w="1380"/>
        <w:gridCol w:w="1230"/>
        <w:gridCol w:w="1500"/>
        <w:gridCol w:w="1500"/>
        <w:gridCol w:w="2536"/>
      </w:tblGrid>
      <w:tr>
        <w:trPr>
          <w:trHeight w:val="63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29" w:right="158"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36.66%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2"/>
              <w:ind w:left="103" w:right="138"/>
              <w:jc w:val="both"/>
              <w:rPr>
                <w:rFonts w:ascii="Times New Roman" w:hAnsi="Times New Roman" w:cs="Times New Roman" w:eastAsia="Times New Roman" w:hint="default"/>
                <w:sz w:val="18"/>
                <w:szCs w:val="18"/>
              </w:rPr>
            </w:pPr>
            <w:hyperlink r:id="rId34">
              <w:r>
                <w:rPr>
                  <w:rFonts w:ascii="Times New Roman"/>
                  <w:spacing w:val="-1"/>
                  <w:sz w:val="18"/>
                </w:rPr>
                <w:t>http://www.cninfo.com.cn/new/</w:t>
              </w:r>
            </w:hyperlink>
            <w:r>
              <w:rPr>
                <w:rFonts w:ascii="Times New Roman"/>
                <w:spacing w:val="-40"/>
                <w:sz w:val="18"/>
              </w:rPr>
              <w:t> </w:t>
            </w:r>
            <w:r>
              <w:rPr>
                <w:rFonts w:ascii="Times New Roman"/>
                <w:spacing w:val="-40"/>
                <w:sz w:val="18"/>
              </w:rPr>
            </w:r>
            <w:r>
              <w:rPr>
                <w:rFonts w:ascii="Times New Roman"/>
                <w:sz w:val="18"/>
              </w:rPr>
              <w:t>disclosure/stock?orgId=990000</w:t>
            </w:r>
            <w:r>
              <w:rPr>
                <w:rFonts w:ascii="Times New Roman"/>
                <w:sz w:val="18"/>
              </w:rPr>
              <w:t> 7107&amp;stockCode=002276</w:t>
            </w:r>
          </w:p>
        </w:tc>
      </w:tr>
      <w:tr>
        <w:trPr>
          <w:trHeight w:val="94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30.67%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3" w:right="138"/>
              <w:jc w:val="both"/>
              <w:rPr>
                <w:rFonts w:ascii="Times New Roman" w:hAnsi="Times New Roman" w:cs="Times New Roman" w:eastAsia="Times New Roman" w:hint="default"/>
                <w:sz w:val="18"/>
                <w:szCs w:val="18"/>
              </w:rPr>
            </w:pPr>
            <w:hyperlink r:id="rId34">
              <w:r>
                <w:rPr>
                  <w:rFonts w:ascii="Times New Roman"/>
                  <w:spacing w:val="-1"/>
                  <w:sz w:val="18"/>
                </w:rPr>
                <w:t>http://www.cninfo.com.cn/new/</w:t>
              </w:r>
            </w:hyperlink>
            <w:r>
              <w:rPr>
                <w:rFonts w:ascii="Times New Roman"/>
                <w:spacing w:val="-40"/>
                <w:sz w:val="18"/>
              </w:rPr>
              <w:t> </w:t>
            </w:r>
            <w:r>
              <w:rPr>
                <w:rFonts w:ascii="Times New Roman"/>
                <w:spacing w:val="-40"/>
                <w:sz w:val="18"/>
              </w:rPr>
            </w:r>
            <w:r>
              <w:rPr>
                <w:rFonts w:ascii="Times New Roman"/>
                <w:sz w:val="18"/>
              </w:rPr>
              <w:t>disclosure/stock?orgId=990000</w:t>
            </w:r>
            <w:r>
              <w:rPr>
                <w:rFonts w:ascii="Times New Roman"/>
                <w:sz w:val="18"/>
              </w:rPr>
              <w:t> 7107&amp;stockCode=002276</w:t>
            </w:r>
          </w:p>
        </w:tc>
      </w:tr>
    </w:tbl>
    <w:p>
      <w:pPr>
        <w:spacing w:after="0" w:line="362" w:lineRule="auto"/>
        <w:jc w:val="both"/>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6"/>
        <w:rPr>
          <w:rFonts w:ascii="宋体" w:hAnsi="宋体" w:cs="宋体" w:eastAsia="宋体" w:hint="default"/>
          <w:b/>
          <w:bCs/>
          <w:sz w:val="18"/>
          <w:szCs w:val="18"/>
        </w:rPr>
      </w:pPr>
    </w:p>
    <w:p>
      <w:pPr>
        <w:pStyle w:val="BodyText"/>
        <w:spacing w:line="240" w:lineRule="auto" w:before="44"/>
        <w:ind w:right="0"/>
        <w:jc w:val="left"/>
      </w:pPr>
      <w:bookmarkStart w:name="2、表决权恢复的优先股股东请求召开临时股东大会" w:id="141"/>
      <w:bookmarkEnd w:id="141"/>
      <w:r>
        <w:rPr/>
      </w: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425"/>
        <w:gridCol w:w="901"/>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6" w:right="167"/>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6" w:right="173"/>
              <w:jc w:val="both"/>
              <w:rPr>
                <w:rFonts w:ascii="宋体" w:hAnsi="宋体" w:cs="宋体" w:eastAsia="宋体" w:hint="default"/>
                <w:sz w:val="18"/>
                <w:szCs w:val="18"/>
              </w:rPr>
            </w:pPr>
            <w:r>
              <w:rPr>
                <w:rFonts w:ascii="宋体" w:hAnsi="宋体" w:cs="宋体" w:eastAsia="宋体" w:hint="default"/>
                <w:sz w:val="18"/>
                <w:szCs w:val="18"/>
              </w:rPr>
              <w:t>出席股 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0"/>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right="6974"/>
        <w:jc w:val="left"/>
      </w:pPr>
      <w:r>
        <w:rPr/>
        <w:t>□ 是 √ 否 报告期内独立董事对公司有关事项未提出异议。</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5"/>
        <w:ind w:right="6794"/>
        <w:jc w:val="left"/>
      </w:pPr>
      <w:r>
        <w:rPr/>
        <w:t>√ 是 □ 否 独立董事对公司有关建议被采纳或未被采纳的说明</w:t>
      </w:r>
    </w:p>
    <w:tbl>
      <w:tblPr>
        <w:tblW w:w="0" w:type="auto"/>
        <w:jc w:val="left"/>
        <w:tblInd w:w="111" w:type="dxa"/>
        <w:tblLayout w:type="fixed"/>
        <w:tblCellMar>
          <w:top w:w="0" w:type="dxa"/>
          <w:left w:w="0" w:type="dxa"/>
          <w:bottom w:w="0" w:type="dxa"/>
          <w:right w:w="0" w:type="dxa"/>
        </w:tblCellMar>
        <w:tblLook w:val="01E0"/>
      </w:tblPr>
      <w:tblGrid>
        <w:gridCol w:w="1725"/>
        <w:gridCol w:w="5629"/>
        <w:gridCol w:w="771"/>
        <w:gridCol w:w="771"/>
        <w:gridCol w:w="772"/>
      </w:tblGrid>
      <w:tr>
        <w:trPr>
          <w:trHeight w:val="347" w:hRule="exact"/>
        </w:trPr>
        <w:tc>
          <w:tcPr>
            <w:tcW w:w="1725"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562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发表意见</w:t>
            </w:r>
          </w:p>
        </w:tc>
      </w:tr>
      <w:tr>
        <w:trPr>
          <w:trHeight w:val="347" w:hRule="exact"/>
        </w:trPr>
        <w:tc>
          <w:tcPr>
            <w:tcW w:w="1725" w:type="dxa"/>
            <w:vMerge/>
            <w:tcBorders>
              <w:left w:val="single" w:sz="6" w:space="0" w:color="000000"/>
              <w:bottom w:val="single" w:sz="6" w:space="0" w:color="000000"/>
              <w:right w:val="single" w:sz="6" w:space="0" w:color="000000"/>
            </w:tcBorders>
          </w:tcPr>
          <w:p>
            <w:pPr/>
          </w:p>
        </w:tc>
        <w:tc>
          <w:tcPr>
            <w:tcW w:w="5629" w:type="dxa"/>
            <w:vMerge/>
            <w:tcBorders>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杜烈康</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阎孟昆</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邹峻</w:t>
            </w:r>
          </w:p>
        </w:tc>
      </w:tr>
      <w:tr>
        <w:trPr>
          <w:trHeight w:val="347" w:hRule="exact"/>
        </w:trPr>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2018年4月9日</w:t>
            </w:r>
          </w:p>
        </w:tc>
        <w:tc>
          <w:tcPr>
            <w:tcW w:w="5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《独立董事事前认可意见》</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同意</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98"/>
              <w:jc w:val="righ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2018年4月21日</w:t>
            </w:r>
          </w:p>
        </w:tc>
        <w:tc>
          <w:tcPr>
            <w:tcW w:w="5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《独立董事对相关事项发表的独立意见》</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同意</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2018年6月28日</w:t>
            </w:r>
          </w:p>
        </w:tc>
        <w:tc>
          <w:tcPr>
            <w:tcW w:w="5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《独立董事就第四届董事会第二十三次会议相关事项发表的独立意见》</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同意</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98"/>
              <w:jc w:val="righ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2017年8月23日</w:t>
            </w:r>
          </w:p>
        </w:tc>
        <w:tc>
          <w:tcPr>
            <w:tcW w:w="5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《独立董事就第四届董事会第二十四次会议相关事项发表的独立意见》</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同意</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同意</w:t>
            </w:r>
          </w:p>
        </w:tc>
      </w:tr>
    </w:tbl>
    <w:p>
      <w:pPr>
        <w:pStyle w:val="BodyText"/>
        <w:spacing w:line="316" w:lineRule="auto" w:before="26"/>
        <w:ind w:left="472" w:right="1124"/>
        <w:jc w:val="left"/>
      </w:pPr>
      <w:r>
        <w:rPr/>
        <w:t>报告期内，公司三名独立董事严格按照中国证监会、深交所及《公司章程》的相关规定，开展工作： 1、在董事会审议决策重大事项时，独立董事对事先提供的资料进行审核，必要时对相关部门和人员进行询问，并利用</w:t>
      </w:r>
    </w:p>
    <w:p>
      <w:pPr>
        <w:pStyle w:val="BodyText"/>
        <w:spacing w:line="316" w:lineRule="auto" w:before="19"/>
        <w:ind w:right="0"/>
        <w:jc w:val="left"/>
      </w:pPr>
      <w:r>
        <w:rPr>
          <w:spacing w:val="-2"/>
        </w:rPr>
        <w:t>自身专业知识，独立、客观、审慎地行使表决权，有效履行独立董事的职责，促进董事会决策科学、合理，切实维护公司及</w:t>
      </w:r>
      <w:r>
        <w:rPr>
          <w:spacing w:val="-64"/>
        </w:rPr>
        <w:t> </w:t>
      </w:r>
      <w:r>
        <w:rPr>
          <w:spacing w:val="-64"/>
        </w:rPr>
      </w:r>
      <w:r>
        <w:rPr/>
        <w:t>全体股东的利益。</w:t>
      </w:r>
    </w:p>
    <w:p>
      <w:pPr>
        <w:pStyle w:val="BodyText"/>
        <w:spacing w:line="316" w:lineRule="auto" w:before="19"/>
        <w:ind w:right="0" w:firstLine="271"/>
        <w:jc w:val="left"/>
      </w:pPr>
      <w:r>
        <w:rPr>
          <w:spacing w:val="-2"/>
        </w:rPr>
        <w:t>2、及时、深入了解公司经营状况、管理情况及董事会、股东大会决议执行情况，并对公司经营策略、关联交易、募集资</w:t>
      </w:r>
      <w:r>
        <w:rPr/>
        <w:t> 金使用情况等事项发表独立意见。</w:t>
      </w:r>
    </w:p>
    <w:p>
      <w:pPr>
        <w:spacing w:after="0" w:line="316" w:lineRule="auto"/>
        <w:jc w:val="left"/>
        <w:sectPr>
          <w:headerReference w:type="default" r:id="rId35"/>
          <w:pgSz w:w="11910" w:h="16840"/>
          <w:pgMar w:header="890" w:footer="1012" w:top="1820" w:bottom="1200" w:left="1020" w:right="0"/>
        </w:sectPr>
      </w:pPr>
    </w:p>
    <w:p>
      <w:pPr>
        <w:spacing w:line="240" w:lineRule="auto" w:before="1"/>
        <w:rPr>
          <w:rFonts w:ascii="宋体" w:hAnsi="宋体" w:cs="宋体" w:eastAsia="宋体" w:hint="default"/>
          <w:sz w:val="23"/>
          <w:szCs w:val="23"/>
        </w:rPr>
      </w:pPr>
    </w:p>
    <w:p>
      <w:pPr>
        <w:pStyle w:val="BodyText"/>
        <w:spacing w:line="360" w:lineRule="auto" w:before="44"/>
        <w:ind w:left="532" w:right="1026" w:firstLine="2"/>
        <w:jc w:val="left"/>
      </w:pPr>
      <w:bookmarkStart w:name="六、董事会下设专门委员会在报告期内履行职责情况" w:id="146"/>
      <w:bookmarkEnd w:id="146"/>
      <w:r>
        <w:rPr/>
      </w:r>
      <w:r>
        <w:rPr/>
        <w:t>1.审计委员会履职情况 </w:t>
      </w:r>
      <w:r>
        <w:rPr>
          <w:spacing w:val="-1"/>
        </w:rPr>
        <w:t>审计委员会定期审核公司的财务信息，听取审计工作总结，在向董事会提交季度、中期及年度财务报表和财务报告前，</w:t>
      </w:r>
    </w:p>
    <w:p>
      <w:pPr>
        <w:pStyle w:val="BodyText"/>
        <w:spacing w:line="222" w:lineRule="exact"/>
        <w:ind w:right="0"/>
        <w:jc w:val="left"/>
      </w:pPr>
      <w:r>
        <w:rPr/>
        <w:t>审计委员会均进行了先行审阅。</w:t>
      </w:r>
    </w:p>
    <w:p>
      <w:pPr>
        <w:pStyle w:val="BodyText"/>
        <w:spacing w:line="316" w:lineRule="auto" w:before="115"/>
        <w:ind w:right="1130" w:firstLine="420"/>
        <w:jc w:val="both"/>
      </w:pPr>
      <w:r>
        <w:rPr/>
        <w:t>报告期末，审计委员会审议、讨论2018年度财务审计计划，并对2018年度财务报告审计重点提出了建议，听取了公司 管理层对2018年度经营情况汇报及2019年公司经营思路。</w:t>
      </w:r>
    </w:p>
    <w:p>
      <w:pPr>
        <w:pStyle w:val="BodyText"/>
        <w:spacing w:line="316" w:lineRule="auto" w:before="59"/>
        <w:ind w:right="1132" w:firstLine="420"/>
        <w:jc w:val="both"/>
      </w:pPr>
      <w:r>
        <w:rPr/>
        <w:t>2019年初，审计委员会审议了公司2018年度财务报告、2018年度公司内部控制自我评价报告、信永中和会计师事务所 从事2018年度公司审计工作的总结、续聘会计师事务所等事项，会后向董事会做了工作汇报。</w:t>
      </w:r>
    </w:p>
    <w:p>
      <w:pPr>
        <w:pStyle w:val="BodyText"/>
        <w:spacing w:line="240" w:lineRule="auto" w:before="59"/>
        <w:ind w:left="532" w:right="0"/>
        <w:jc w:val="left"/>
      </w:pPr>
      <w:r>
        <w:rPr/>
        <w:t>2.战略委员会履职情况</w:t>
      </w:r>
    </w:p>
    <w:p>
      <w:pPr>
        <w:pStyle w:val="BodyText"/>
        <w:spacing w:line="316" w:lineRule="auto" w:before="115"/>
        <w:ind w:right="1130" w:firstLine="420"/>
        <w:jc w:val="both"/>
      </w:pPr>
      <w:r>
        <w:rPr>
          <w:spacing w:val="1"/>
        </w:rPr>
        <w:t>2</w:t>
      </w:r>
      <w:r>
        <w:rPr>
          <w:spacing w:val="-2"/>
        </w:rPr>
        <w:t>0</w:t>
      </w:r>
      <w:r>
        <w:rPr>
          <w:spacing w:val="1"/>
        </w:rPr>
        <w:t>1</w:t>
      </w:r>
      <w:r>
        <w:rPr>
          <w:spacing w:val="-2"/>
        </w:rPr>
        <w:t>8</w:t>
      </w:r>
      <w:r>
        <w:rPr/>
        <w:t>年</w:t>
      </w:r>
      <w:r>
        <w:rPr>
          <w:spacing w:val="1"/>
        </w:rPr>
        <w:t>6</w:t>
      </w:r>
      <w:r>
        <w:rPr/>
        <w:t>月</w:t>
      </w:r>
      <w:r>
        <w:rPr>
          <w:spacing w:val="-20"/>
        </w:rPr>
        <w:t>，</w:t>
      </w:r>
      <w:r>
        <w:rPr/>
        <w:t>战略委员会审议并通过</w:t>
      </w:r>
      <w:r>
        <w:rPr>
          <w:spacing w:val="-15"/>
        </w:rPr>
        <w:t>了</w:t>
      </w:r>
      <w:r>
        <w:rPr/>
        <w:t>《关于</w:t>
      </w:r>
      <w:r>
        <w:rPr>
          <w:spacing w:val="1"/>
        </w:rPr>
        <w:t>2</w:t>
      </w:r>
      <w:r>
        <w:rPr>
          <w:spacing w:val="-2"/>
        </w:rPr>
        <w:t>0</w:t>
      </w:r>
      <w:r>
        <w:rPr>
          <w:spacing w:val="1"/>
        </w:rPr>
        <w:t>1</w:t>
      </w:r>
      <w:r>
        <w:rPr>
          <w:spacing w:val="-2"/>
        </w:rPr>
        <w:t>8</w:t>
      </w:r>
      <w:r>
        <w:rPr/>
        <w:t>年度开展远期外汇交易业务的议案</w:t>
      </w:r>
      <w:r>
        <w:rPr>
          <w:spacing w:val="-92"/>
        </w:rPr>
        <w:t>》</w:t>
      </w:r>
      <w:r>
        <w:rPr>
          <w:spacing w:val="-106"/>
        </w:rPr>
        <w:t>、</w:t>
      </w:r>
      <w:r>
        <w:rPr/>
        <w:t>《关于</w:t>
      </w:r>
      <w:r>
        <w:rPr>
          <w:spacing w:val="1"/>
        </w:rPr>
        <w:t>2</w:t>
      </w:r>
      <w:r>
        <w:rPr>
          <w:spacing w:val="-2"/>
        </w:rPr>
        <w:t>0</w:t>
      </w:r>
      <w:r>
        <w:rPr>
          <w:spacing w:val="1"/>
        </w:rPr>
        <w:t>1</w:t>
      </w:r>
      <w:r>
        <w:rPr>
          <w:spacing w:val="-2"/>
        </w:rPr>
        <w:t>8</w:t>
      </w:r>
      <w:r>
        <w:rPr/>
        <w:t>年度开展商品期货套</w:t>
      </w:r>
      <w:r>
        <w:rPr/>
        <w:t> 期保值业务的议案</w:t>
      </w:r>
      <w:r>
        <w:rPr>
          <w:spacing w:val="-89"/>
        </w:rPr>
        <w:t>》</w:t>
      </w:r>
      <w:r>
        <w:rPr/>
        <w:t>。</w:t>
      </w:r>
    </w:p>
    <w:p>
      <w:pPr>
        <w:pStyle w:val="BodyText"/>
        <w:spacing w:line="240" w:lineRule="auto" w:before="59"/>
        <w:ind w:left="532" w:right="0"/>
        <w:jc w:val="left"/>
      </w:pPr>
      <w:r>
        <w:rPr/>
        <w:t>3.提名委员会履职情况</w:t>
      </w:r>
    </w:p>
    <w:p>
      <w:pPr>
        <w:pStyle w:val="BodyText"/>
        <w:spacing w:line="240" w:lineRule="auto" w:before="117"/>
        <w:ind w:left="532" w:right="0"/>
        <w:jc w:val="left"/>
      </w:pPr>
      <w:r>
        <w:rPr/>
        <w:t>2018年6月，提名委员会对董事会选举董事候选人、高管候选人进行了审核。</w:t>
      </w:r>
    </w:p>
    <w:p>
      <w:pPr>
        <w:pStyle w:val="BodyText"/>
        <w:spacing w:line="240" w:lineRule="auto" w:before="115"/>
        <w:ind w:left="532" w:right="0"/>
        <w:jc w:val="left"/>
      </w:pPr>
      <w:r>
        <w:rPr/>
        <w:t>4.薪酬与考核委员会履职情况</w:t>
      </w:r>
    </w:p>
    <w:p>
      <w:pPr>
        <w:pStyle w:val="BodyText"/>
        <w:spacing w:line="240" w:lineRule="auto" w:before="117"/>
        <w:ind w:left="532" w:right="0"/>
        <w:jc w:val="left"/>
      </w:pPr>
      <w:r>
        <w:rPr/>
        <w:t>2019年初，薪酬与考核委员会审议了2018年度董事、经营层年薪方案及新一年的考核、薪酬方案。</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7"/>
        <w:ind w:right="7694"/>
        <w:jc w:val="left"/>
      </w:pPr>
      <w:r>
        <w:rPr/>
        <w:t>□ 是 √ 否 监事会对报告期内的监督事项无异议。</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t>为保证公司业绩持续、稳定的增长，有效激励公司高级管理人员更好地履行工作职责，明确各自权利义务，</w:t>
      </w:r>
      <w:r>
        <w:rPr>
          <w:spacing w:val="1"/>
        </w:rPr>
        <w:t> </w:t>
      </w:r>
      <w:r>
        <w:rPr/>
        <w:t>公司每年</w:t>
      </w:r>
      <w:r>
        <w:rPr/>
        <w:t> </w:t>
      </w:r>
      <w:r>
        <w:rPr>
          <w:spacing w:val="-2"/>
        </w:rPr>
        <w:t>会根据全年经营管理目标和绩效管理制度制定各业务版块总经理、副总经理等各级管理人员的考核责任状，将薪酬回报与绩</w:t>
      </w:r>
      <w:r>
        <w:rPr>
          <w:spacing w:val="-64"/>
        </w:rPr>
        <w:t> </w:t>
      </w:r>
      <w:r>
        <w:rPr>
          <w:spacing w:val="-64"/>
        </w:rPr>
      </w:r>
      <w:r>
        <w:rPr>
          <w:spacing w:val="-2"/>
        </w:rPr>
        <w:t>效目标的完成情况挂钩。在与各位高管充分沟通后落实并签订责任状，做到职责明确、目标明确、并利用完善的机制进行考</w:t>
      </w:r>
      <w:r>
        <w:rPr>
          <w:spacing w:val="-66"/>
        </w:rPr>
        <w:t> </w:t>
      </w:r>
      <w:r>
        <w:rPr>
          <w:spacing w:val="-66"/>
        </w:rPr>
      </w:r>
      <w:r>
        <w:rPr/>
        <w:t>核。同时也通过各种激励措施激发员工潜能，具体措施如下：</w:t>
      </w:r>
    </w:p>
    <w:p>
      <w:pPr>
        <w:pStyle w:val="BodyText"/>
        <w:spacing w:line="316" w:lineRule="auto" w:before="59"/>
        <w:ind w:right="1141" w:firstLine="360"/>
        <w:jc w:val="both"/>
      </w:pPr>
      <w:r>
        <w:rPr/>
        <w:t>（1）事业合伙人机制：子公司重点骨干以参股的形式参与到公司管理经营，将员工利益与企业发展捆绑，有效调动员 工工作积极性。</w:t>
      </w:r>
    </w:p>
    <w:p>
      <w:pPr>
        <w:pStyle w:val="BodyText"/>
        <w:spacing w:line="316" w:lineRule="auto" w:before="57"/>
        <w:ind w:right="1132" w:firstLine="360"/>
        <w:jc w:val="both"/>
      </w:pPr>
      <w:r>
        <w:rPr/>
        <w:t>（2）股权激励机制：进一步建立健全公司长效激励、约束机制，吸引和留住优秀人才，充分调动公司中高层管理人员 </w:t>
      </w:r>
      <w:r>
        <w:rPr>
          <w:spacing w:val="-2"/>
        </w:rPr>
        <w:t>及核心技术、业务人员的积极性，有效地将股东利益、公司利益和经营者个人利益结合在一起，提高管理效率和经营管理者</w:t>
      </w:r>
      <w:r>
        <w:rPr>
          <w:spacing w:val="-66"/>
        </w:rPr>
        <w:t> </w:t>
      </w:r>
      <w:r>
        <w:rPr>
          <w:spacing w:val="-66"/>
        </w:rPr>
      </w:r>
      <w:r>
        <w:rPr/>
        <w:t>的积极性、创造性与责任心，提高公司可持续发展能力。</w:t>
      </w:r>
    </w:p>
    <w:p>
      <w:pPr>
        <w:pStyle w:val="BodyText"/>
        <w:spacing w:line="316" w:lineRule="auto" w:before="59"/>
        <w:ind w:right="1141" w:firstLine="360"/>
        <w:jc w:val="both"/>
      </w:pPr>
      <w:r>
        <w:rPr/>
        <w:t>（3）多样性的激励措施：本着风险共担，利益共享，多维度激励优秀人才的原则，公司相继出台多项项目类奖励管理 办法、购房激励管理办法等有效措施，不断激发员工的创造力，增加员工归属感。</w:t>
      </w:r>
    </w:p>
    <w:p>
      <w:pPr>
        <w:pStyle w:val="BodyText"/>
        <w:spacing w:line="316" w:lineRule="auto" w:before="59"/>
        <w:ind w:right="1141" w:firstLine="360"/>
        <w:jc w:val="both"/>
      </w:pPr>
      <w:r>
        <w:rPr/>
        <w:t>（4）强调干部能上能下、人才招聘采取内外结合的方式，使优秀人才在竞争中不断提升业务水平，同时，公司非常注 重高管团队综合能力的提升，通过内训、外出考察参观、对标学习等多种方式使高管团队经营管理水平不断提升。</w:t>
      </w:r>
    </w:p>
    <w:p>
      <w:pPr>
        <w:spacing w:after="0" w:line="316" w:lineRule="auto"/>
        <w:jc w:val="both"/>
        <w:sectPr>
          <w:headerReference w:type="default" r:id="rId36"/>
          <w:pgSz w:w="11910" w:h="16840"/>
          <w:pgMar w:header="890" w:footer="1012" w:top="1760" w:bottom="1200" w:left="1020" w:right="0"/>
        </w:sectPr>
      </w:pPr>
    </w:p>
    <w:p>
      <w:pPr>
        <w:pStyle w:val="Heading2"/>
        <w:spacing w:line="240" w:lineRule="auto" w:before="20"/>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79"/>
        <w:gridCol w:w="2600"/>
        <w:gridCol w:w="860"/>
        <w:gridCol w:w="3429"/>
      </w:tblGrid>
      <w:tr>
        <w:trPr>
          <w:trHeight w:val="402" w:hRule="exact"/>
        </w:trPr>
        <w:tc>
          <w:tcPr>
            <w:tcW w:w="5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5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63"/>
              <w:jc w:val="left"/>
              <w:rPr>
                <w:rFonts w:ascii="Times New Roman" w:hAnsi="Times New Roman" w:cs="Times New Roman" w:eastAsia="Times New Roman" w:hint="default"/>
                <w:sz w:val="18"/>
                <w:szCs w:val="18"/>
              </w:rPr>
            </w:pPr>
            <w:hyperlink r:id="rId38">
              <w:r>
                <w:rPr>
                  <w:rFonts w:ascii="Times New Roman"/>
                  <w:spacing w:val="-1"/>
                  <w:sz w:val="18"/>
                </w:rPr>
                <w:t>http://www.cninfo.com.cn/new/disclosure/stock?orgId=</w:t>
              </w:r>
            </w:hyperlink>
            <w:r>
              <w:rPr>
                <w:rFonts w:ascii="Times New Roman"/>
                <w:spacing w:val="-32"/>
                <w:sz w:val="18"/>
              </w:rPr>
              <w:t> </w:t>
            </w:r>
            <w:r>
              <w:rPr>
                <w:rFonts w:ascii="Times New Roman"/>
                <w:spacing w:val="-32"/>
                <w:sz w:val="18"/>
              </w:rPr>
            </w:r>
            <w:r>
              <w:rPr>
                <w:rFonts w:ascii="Times New Roman"/>
                <w:sz w:val="18"/>
              </w:rPr>
              <w:t>9900007107&amp;stockCode=002276</w:t>
            </w:r>
          </w:p>
        </w:tc>
      </w:tr>
      <w:tr>
        <w:trPr>
          <w:trHeight w:val="402" w:hRule="exact"/>
        </w:trPr>
        <w:tc>
          <w:tcPr>
            <w:tcW w:w="5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90.86%</w:t>
            </w:r>
          </w:p>
        </w:tc>
      </w:tr>
      <w:tr>
        <w:trPr>
          <w:trHeight w:val="402" w:hRule="exact"/>
        </w:trPr>
        <w:tc>
          <w:tcPr>
            <w:tcW w:w="5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85.73%</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一般缺陷、重要缺陷、重大缺陷</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一般缺陷、重要缺陷、重大缺陷</w:t>
            </w:r>
          </w:p>
        </w:tc>
      </w:tr>
      <w:tr>
        <w:trPr>
          <w:trHeight w:val="1338"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2"/>
              <w:jc w:val="both"/>
              <w:rPr>
                <w:rFonts w:ascii="宋体" w:hAnsi="宋体" w:cs="宋体" w:eastAsia="宋体" w:hint="default"/>
                <w:sz w:val="18"/>
                <w:szCs w:val="18"/>
              </w:rPr>
            </w:pPr>
            <w:r>
              <w:rPr>
                <w:rFonts w:ascii="宋体" w:hAnsi="宋体" w:cs="宋体" w:eastAsia="宋体" w:hint="default"/>
                <w:spacing w:val="-8"/>
                <w:sz w:val="18"/>
                <w:szCs w:val="18"/>
              </w:rPr>
              <w:t>一般缺陷（潜在错报＜利润总额</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要缺陷（利润总额</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≤潜在错报＜利润 </w:t>
            </w:r>
            <w:r>
              <w:rPr>
                <w:rFonts w:ascii="宋体" w:hAnsi="宋体" w:cs="宋体" w:eastAsia="宋体" w:hint="default"/>
                <w:spacing w:val="-8"/>
                <w:sz w:val="18"/>
                <w:szCs w:val="18"/>
              </w:rPr>
              <w:t>总额</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）、重大缺陷（潜在错报≥利润总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一般缺陷（直接财产损失金额＜利润总额</w:t>
            </w:r>
          </w:p>
          <w:p>
            <w:pPr>
              <w:pStyle w:val="TableParagraph"/>
              <w:spacing w:line="300" w:lineRule="auto" w:before="76"/>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、重要缺陷（利润总额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≤直接 财产损失金额＜利润总额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89"/>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重大缺陷</w:t>
            </w:r>
          </w:p>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（直接财产损失金额≥利润总额</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8"/>
        <w:gridCol w:w="6770"/>
      </w:tblGrid>
      <w:tr>
        <w:trPr>
          <w:trHeight w:val="32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63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1" w:right="183"/>
              <w:jc w:val="left"/>
              <w:rPr>
                <w:rFonts w:ascii="宋体" w:hAnsi="宋体" w:cs="宋体" w:eastAsia="宋体" w:hint="default"/>
                <w:sz w:val="18"/>
                <w:szCs w:val="18"/>
              </w:rPr>
            </w:pPr>
            <w:r>
              <w:rPr>
                <w:rFonts w:ascii="宋体" w:hAnsi="宋体" w:cs="宋体" w:eastAsia="宋体" w:hint="default"/>
                <w:sz w:val="18"/>
                <w:szCs w:val="18"/>
              </w:rPr>
              <w:t>万马股份公司按照《企业内部控制基本规范》及相关规定于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日在所有重大方面保持了与财务报告相关 的有效的内部控制。</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hyperlink r:id="rId39">
              <w:r>
                <w:rPr>
                  <w:rFonts w:ascii="Times New Roman"/>
                  <w:sz w:val="18"/>
                </w:rPr>
                <w:t>http://www.cninfo.com.cn/new/disclosure/stock?orgId=9900007107&amp;stockCode=002276</w:t>
              </w:r>
            </w:hyperlink>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0"/>
        <w:jc w:val="left"/>
      </w:pPr>
      <w:r>
        <w:rPr/>
        <w:t>会计师事务所是否出具非标准意见的内部控制鉴证报告</w:t>
      </w:r>
    </w:p>
    <w:p>
      <w:pPr>
        <w:pStyle w:val="BodyText"/>
        <w:spacing w:line="360" w:lineRule="auto" w:before="117"/>
        <w:ind w:right="4634"/>
        <w:jc w:val="left"/>
      </w:pPr>
      <w:r>
        <w:rPr/>
        <w:t>□ 是 √ 否 会计师事务所出具的内部控制鉴证报告与董事会的自我评价报告意见是否一致</w:t>
      </w:r>
    </w:p>
    <w:p>
      <w:pPr>
        <w:pStyle w:val="BodyText"/>
        <w:spacing w:line="240" w:lineRule="auto" w:before="25"/>
        <w:ind w:right="0"/>
        <w:jc w:val="left"/>
      </w:pPr>
      <w:r>
        <w:rPr/>
        <w:t>√ 是 □ 否</w:t>
      </w:r>
    </w:p>
    <w:p>
      <w:pPr>
        <w:spacing w:after="0" w:line="240" w:lineRule="auto"/>
        <w:jc w:val="left"/>
        <w:sectPr>
          <w:headerReference w:type="default" r:id="rId37"/>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086" w:right="0"/>
        <w:jc w:val="left"/>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是</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5"/>
      <w:bookmarkEnd w:id="155"/>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1"/>
        <w:gridCol w:w="1107"/>
        <w:gridCol w:w="780"/>
        <w:gridCol w:w="1070"/>
        <w:gridCol w:w="1060"/>
        <w:gridCol w:w="1010"/>
        <w:gridCol w:w="730"/>
        <w:gridCol w:w="2450"/>
      </w:tblGrid>
      <w:tr>
        <w:trPr>
          <w:trHeight w:val="714"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债券简称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95" w:right="112" w:hanging="180"/>
              <w:jc w:val="left"/>
              <w:rPr>
                <w:rFonts w:ascii="宋体" w:hAnsi="宋体" w:cs="宋体" w:eastAsia="宋体" w:hint="default"/>
                <w:sz w:val="18"/>
                <w:szCs w:val="18"/>
              </w:rPr>
            </w:pPr>
            <w:r>
              <w:rPr>
                <w:rFonts w:ascii="宋体" w:hAnsi="宋体" w:cs="宋体" w:eastAsia="宋体" w:hint="default"/>
                <w:sz w:val="18"/>
                <w:szCs w:val="18"/>
              </w:rPr>
              <w:t>债券代 码</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5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101" w:right="120"/>
              <w:jc w:val="both"/>
              <w:rPr>
                <w:rFonts w:ascii="宋体" w:hAnsi="宋体" w:cs="宋体" w:eastAsia="宋体" w:hint="default"/>
                <w:sz w:val="18"/>
                <w:szCs w:val="18"/>
              </w:rPr>
            </w:pPr>
            <w:r>
              <w:rPr>
                <w:rFonts w:ascii="宋体" w:hAnsi="宋体" w:cs="宋体" w:eastAsia="宋体" w:hint="default"/>
                <w:sz w:val="18"/>
                <w:szCs w:val="18"/>
              </w:rPr>
              <w:t>浙江万马股份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年公司债券</w:t>
            </w:r>
          </w:p>
          <w:p>
            <w:pPr>
              <w:pStyle w:val="TableParagraph"/>
              <w:spacing w:line="240" w:lineRule="auto" w:before="24"/>
              <w:ind w:left="101"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万马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112215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2014-07-23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2019-07-23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z w:val="18"/>
              </w:rPr>
              <w:t>30,000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7.20%</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76"/>
              <w:jc w:val="left"/>
              <w:rPr>
                <w:rFonts w:ascii="宋体" w:hAnsi="宋体" w:cs="宋体" w:eastAsia="宋体" w:hint="default"/>
                <w:sz w:val="18"/>
                <w:szCs w:val="18"/>
              </w:rPr>
            </w:pPr>
            <w:r>
              <w:rPr>
                <w:rFonts w:ascii="宋体" w:hAnsi="宋体" w:cs="宋体" w:eastAsia="宋体" w:hint="default"/>
                <w:sz w:val="18"/>
                <w:szCs w:val="18"/>
              </w:rPr>
              <w:t>本期债券采用单利按年计 息，不计复利，逾期不另计 利息。每年付息一次，到期 一次还本，最后一期利息随 本金的兑付一起支付。</w:t>
            </w:r>
          </w:p>
        </w:tc>
      </w:tr>
      <w:tr>
        <w:trPr>
          <w:trHeight w:val="402" w:hRule="exact"/>
        </w:trPr>
        <w:tc>
          <w:tcPr>
            <w:tcW w:w="53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53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53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日期间的利息。</w:t>
            </w:r>
          </w:p>
        </w:tc>
      </w:tr>
      <w:tr>
        <w:trPr>
          <w:trHeight w:val="714" w:hRule="exact"/>
        </w:trPr>
        <w:tc>
          <w:tcPr>
            <w:tcW w:w="53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24"/>
              <w:jc w:val="left"/>
              <w:rPr>
                <w:rFonts w:ascii="宋体" w:hAnsi="宋体" w:cs="宋体" w:eastAsia="宋体" w:hint="default"/>
                <w:sz w:val="18"/>
                <w:szCs w:val="18"/>
              </w:rPr>
            </w:pPr>
            <w:r>
              <w:rPr>
                <w:rFonts w:ascii="宋体" w:hAnsi="宋体" w:cs="宋体" w:eastAsia="宋体" w:hint="default"/>
                <w:sz w:val="18"/>
                <w:szCs w:val="18"/>
              </w:rPr>
              <w:t>公司债券附发行人或投资者选择权条款、可交换条款等特殊条款 </w:t>
            </w:r>
            <w:r>
              <w:rPr>
                <w:rFonts w:ascii="宋体" w:hAnsi="宋体" w:cs="宋体" w:eastAsia="宋体" w:hint="default"/>
                <w:spacing w:val="-5"/>
                <w:sz w:val="18"/>
                <w:szCs w:val="18"/>
              </w:rPr>
              <w:t>的，报告期内相关条款的执行情况（如适用）。</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债券受托管理人和资信评级机构信息" w:id="156"/>
      <w:bookmarkEnd w:id="156"/>
      <w:r>
        <w:rPr>
          <w:b w:val="0"/>
          <w:bCs w:val="0"/>
        </w:rPr>
      </w: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903"/>
        <w:gridCol w:w="1495"/>
        <w:gridCol w:w="1005"/>
        <w:gridCol w:w="2086"/>
        <w:gridCol w:w="844"/>
        <w:gridCol w:w="780"/>
        <w:gridCol w:w="1140"/>
        <w:gridCol w:w="1325"/>
      </w:tblGrid>
      <w:tr>
        <w:trPr>
          <w:trHeight w:val="322" w:hRule="exact"/>
        </w:trPr>
        <w:tc>
          <w:tcPr>
            <w:tcW w:w="957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946" w:hRule="exact"/>
        </w:trPr>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华林证券股份有 限公司</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p>
          <w:p>
            <w:pPr>
              <w:pStyle w:val="TableParagraph"/>
              <w:spacing w:line="240" w:lineRule="auto" w:before="7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号国际企业大厦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刘沛</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2" w:right="0"/>
              <w:jc w:val="left"/>
              <w:rPr>
                <w:rFonts w:ascii="Times New Roman" w:hAnsi="Times New Roman" w:cs="Times New Roman" w:eastAsia="Times New Roman" w:hint="default"/>
                <w:sz w:val="18"/>
                <w:szCs w:val="18"/>
              </w:rPr>
            </w:pPr>
            <w:r>
              <w:rPr>
                <w:rFonts w:ascii="Times New Roman"/>
                <w:sz w:val="18"/>
              </w:rPr>
              <w:t>010-88091047</w:t>
            </w:r>
          </w:p>
        </w:tc>
      </w:tr>
      <w:tr>
        <w:trPr>
          <w:trHeight w:val="322" w:hRule="exact"/>
        </w:trPr>
        <w:tc>
          <w:tcPr>
            <w:tcW w:w="957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634" w:hRule="exact"/>
        </w:trPr>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PICC </w:t>
            </w:r>
            <w:r>
              <w:rPr>
                <w:rFonts w:ascii="宋体" w:hAnsi="宋体" w:cs="宋体" w:eastAsia="宋体" w:hint="default"/>
                <w:sz w:val="18"/>
                <w:szCs w:val="18"/>
              </w:rPr>
              <w:t>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100022</w:t>
            </w:r>
            <w:r>
              <w:rPr>
                <w:rFonts w:ascii="宋体" w:hAnsi="宋体" w:cs="宋体" w:eastAsia="宋体" w:hint="default"/>
                <w:sz w:val="18"/>
                <w:szCs w:val="18"/>
              </w:rPr>
              <w:t>）</w:t>
            </w:r>
          </w:p>
        </w:tc>
      </w:tr>
      <w:tr>
        <w:trPr>
          <w:trHeight w:val="634" w:hRule="exact"/>
        </w:trPr>
        <w:tc>
          <w:tcPr>
            <w:tcW w:w="54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55"/>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报告期内公司聘请的债券受托管理人、资信评级机构发生变更的， 变更的原因、履行的程序、对投资者利益的影响等（如适用）</w:t>
            </w:r>
          </w:p>
        </w:tc>
        <w:tc>
          <w:tcPr>
            <w:tcW w:w="4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公司债券募集资金使用情况" w:id="157"/>
      <w:bookmarkEnd w:id="157"/>
      <w:r>
        <w:rPr>
          <w:b w:val="0"/>
          <w:bCs w:val="0"/>
        </w:rPr>
      </w:r>
      <w:r>
        <w:rPr/>
        <w:t>三、公司债券募集资金使用情况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3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年第五次临时股东大会批准，本次发</w:t>
            </w:r>
          </w:p>
        </w:tc>
      </w:tr>
      <w:tr>
        <w:trPr>
          <w:trHeight w:val="307"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行债券募集资金部分用于偿还银行贷款，优化公司债务结构；并用剩余部分资</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程序</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金补充公司流动资金，改善公司资金状况。</w:t>
            </w:r>
          </w:p>
        </w:tc>
      </w:tr>
      <w:tr>
        <w:trPr>
          <w:trHeight w:val="33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实际本次募集资金使用情况：公司于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月发行了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亿公司债，其中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w:t>
            </w:r>
          </w:p>
        </w:tc>
      </w:tr>
    </w:tbl>
    <w:p>
      <w:pPr>
        <w:spacing w:after="0" w:line="240" w:lineRule="auto"/>
        <w:jc w:val="left"/>
        <w:rPr>
          <w:rFonts w:ascii="宋体" w:hAnsi="宋体" w:cs="宋体" w:eastAsia="宋体"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2"/>
              <w:ind w:left="103" w:right="188"/>
              <w:jc w:val="left"/>
              <w:rPr>
                <w:rFonts w:ascii="宋体" w:hAnsi="宋体" w:cs="宋体" w:eastAsia="宋体" w:hint="default"/>
                <w:sz w:val="18"/>
                <w:szCs w:val="18"/>
              </w:rPr>
            </w:pPr>
            <w:r>
              <w:rPr>
                <w:rFonts w:ascii="宋体" w:hAnsi="宋体" w:cs="宋体" w:eastAsia="宋体" w:hint="default"/>
                <w:sz w:val="18"/>
                <w:szCs w:val="18"/>
              </w:rPr>
              <w:t>元偿还银行贷款、</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亿元用于补充流动资金，已累计使用募集资金人民币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元。与第一期公司债券募集资金使用计划一致。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募集资金专项账户严格按照募集说明书相关约定运作。</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58"/>
      <w:bookmarkEnd w:id="158"/>
      <w:r>
        <w:rPr>
          <w:b w:val="0"/>
          <w:bCs w:val="0"/>
        </w:rPr>
      </w:r>
      <w:r>
        <w:rPr/>
        <w:t>四、公司债券信息评级情况</w:t>
      </w:r>
      <w:r>
        <w:rPr>
          <w:b w:val="0"/>
          <w:bCs w:val="0"/>
        </w:rPr>
      </w:r>
    </w:p>
    <w:p>
      <w:pPr>
        <w:spacing w:line="240" w:lineRule="auto" w:before="8"/>
        <w:rPr>
          <w:rFonts w:ascii="宋体" w:hAnsi="宋体" w:cs="宋体" w:eastAsia="宋体" w:hint="default"/>
          <w:b/>
          <w:bCs/>
          <w:sz w:val="30"/>
          <w:szCs w:val="30"/>
        </w:rPr>
      </w:pPr>
    </w:p>
    <w:p>
      <w:pPr>
        <w:pStyle w:val="Heading7"/>
        <w:spacing w:line="408" w:lineRule="auto"/>
        <w:ind w:right="0" w:firstLine="360"/>
        <w:jc w:val="left"/>
      </w:pPr>
      <w:r>
        <w:rPr/>
        <w:t>报告期内，联合评级有限公司于2018年6月15日在巨潮资讯网公告《浙江万马股份有限公司公司债券</w:t>
      </w:r>
      <w:r>
        <w:rPr>
          <w:w w:val="99"/>
        </w:rPr>
        <w:t> </w:t>
      </w:r>
      <w:r>
        <w:rPr>
          <w:spacing w:val="-2"/>
          <w:w w:val="99"/>
        </w:rPr>
        <w:t>2018年跟踪评级报告》，债券信用等级维持为AA，发行主体长期信用等级维持为AA，评级展望维持为稳定。</w:t>
      </w:r>
      <w:r>
        <w:rPr>
          <w:spacing w:val="-2"/>
        </w:rPr>
      </w:r>
    </w:p>
    <w:p>
      <w:pPr>
        <w:pStyle w:val="Heading7"/>
        <w:spacing w:line="408" w:lineRule="auto" w:before="87"/>
        <w:ind w:right="0" w:firstLine="360"/>
        <w:jc w:val="left"/>
      </w:pPr>
      <w:r>
        <w:rPr>
          <w:w w:val="95"/>
        </w:rPr>
        <w:t>联合评级有限公司将于公司2018年年度报告公布后两个月内完成该年度的定期跟踪评级，并在巨潮资</w:t>
      </w:r>
      <w:r>
        <w:rPr>
          <w:spacing w:val="-22"/>
          <w:w w:val="95"/>
        </w:rPr>
        <w:t> </w:t>
      </w:r>
      <w:r>
        <w:rPr>
          <w:spacing w:val="-22"/>
          <w:w w:val="95"/>
        </w:rPr>
      </w:r>
      <w:r>
        <w:rPr/>
        <w:t>讯网及评级公司网站上发布定期跟踪评级结果及报告，请投资者关注。</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五、 公司债券增信机制、偿债计划及其他偿债保障措施" w:id="159"/>
      <w:bookmarkEnd w:id="159"/>
      <w:r>
        <w:rPr>
          <w:b w:val="0"/>
          <w:bCs w:val="0"/>
        </w:rPr>
      </w:r>
      <w:r>
        <w:rPr/>
        <w:t>五、</w:t>
      </w:r>
      <w:r>
        <w:rPr>
          <w:spacing w:val="-6"/>
        </w:rPr>
        <w:t> </w:t>
      </w:r>
      <w:r>
        <w:rPr/>
        <w:t>公司债券增信机制、偿债计划及其他偿债保障措施</w:t>
      </w:r>
      <w:r>
        <w:rPr>
          <w:b w:val="0"/>
          <w:bCs w:val="0"/>
        </w:rPr>
      </w:r>
    </w:p>
    <w:p>
      <w:pPr>
        <w:spacing w:line="240" w:lineRule="auto" w:before="8"/>
        <w:rPr>
          <w:rFonts w:ascii="宋体" w:hAnsi="宋体" w:cs="宋体" w:eastAsia="宋体" w:hint="default"/>
          <w:b/>
          <w:bCs/>
          <w:sz w:val="30"/>
          <w:szCs w:val="30"/>
        </w:rPr>
      </w:pPr>
    </w:p>
    <w:p>
      <w:pPr>
        <w:pStyle w:val="Heading7"/>
        <w:spacing w:line="408" w:lineRule="auto"/>
        <w:ind w:right="1120" w:firstLine="465"/>
        <w:jc w:val="left"/>
      </w:pPr>
      <w:r>
        <w:rPr>
          <w:spacing w:val="-2"/>
        </w:rPr>
        <w:t>报告期内，公司债券增信机制、偿债计划其他偿债保障措施未发生变更，与募集说明书的相关承诺一</w:t>
      </w:r>
      <w:r>
        <w:rPr>
          <w:w w:val="99"/>
        </w:rPr>
        <w:t> </w:t>
      </w:r>
      <w:r>
        <w:rPr/>
        <w:t>致。详见公司于2014年7月21日在巨潮资讯网披露的《公开发行2014年公司债券（第一期）募集说明书》</w:t>
      </w:r>
      <w:r>
        <w:rPr>
          <w:w w:val="99"/>
        </w:rPr>
        <w:t> </w:t>
      </w:r>
      <w:r>
        <w:rPr/>
        <w:t>相关章节。</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报告期内债券持有人会议的召开情况" w:id="160"/>
      <w:bookmarkEnd w:id="160"/>
      <w:r>
        <w:rPr>
          <w:b w:val="0"/>
          <w:bCs w:val="0"/>
        </w:rPr>
      </w:r>
      <w:r>
        <w:rPr/>
        <w:t>六、报告期内债券持有人会议的召开情况</w:t>
      </w:r>
      <w:r>
        <w:rPr>
          <w:b w:val="0"/>
          <w:bCs w:val="0"/>
        </w:rPr>
      </w:r>
    </w:p>
    <w:p>
      <w:pPr>
        <w:spacing w:line="240" w:lineRule="auto" w:before="8"/>
        <w:rPr>
          <w:rFonts w:ascii="宋体" w:hAnsi="宋体" w:cs="宋体" w:eastAsia="宋体" w:hint="default"/>
          <w:b/>
          <w:bCs/>
          <w:sz w:val="30"/>
          <w:szCs w:val="30"/>
        </w:rPr>
      </w:pPr>
    </w:p>
    <w:p>
      <w:pPr>
        <w:pStyle w:val="Heading7"/>
        <w:spacing w:line="240" w:lineRule="auto"/>
        <w:ind w:left="472" w:right="0"/>
        <w:jc w:val="left"/>
      </w:pPr>
      <w:r>
        <w:rPr/>
        <w:t>报告期内，公司未召开债券持有人会议。</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七、报告期内债券受托管理人履行职责的情况" w:id="161"/>
      <w:bookmarkEnd w:id="161"/>
      <w:r>
        <w:rPr>
          <w:b w:val="0"/>
          <w:bCs w:val="0"/>
        </w:rPr>
      </w:r>
      <w:r>
        <w:rPr/>
        <w:t>七、报告期内债券受托管理人履行职责的情况</w:t>
      </w:r>
      <w:r>
        <w:rPr>
          <w:b w:val="0"/>
          <w:bCs w:val="0"/>
        </w:rPr>
      </w:r>
    </w:p>
    <w:p>
      <w:pPr>
        <w:spacing w:line="240" w:lineRule="auto" w:before="8"/>
        <w:rPr>
          <w:rFonts w:ascii="宋体" w:hAnsi="宋体" w:cs="宋体" w:eastAsia="宋体" w:hint="default"/>
          <w:b/>
          <w:bCs/>
          <w:sz w:val="30"/>
          <w:szCs w:val="30"/>
        </w:rPr>
      </w:pPr>
    </w:p>
    <w:p>
      <w:pPr>
        <w:pStyle w:val="Heading7"/>
        <w:spacing w:line="408" w:lineRule="auto"/>
        <w:ind w:right="1019" w:firstLine="420"/>
        <w:jc w:val="left"/>
      </w:pPr>
      <w:r>
        <w:rPr>
          <w:spacing w:val="-3"/>
        </w:rPr>
        <w:t>报告期内，公司债券受托管理人华林证券股份有限公司严格按照《债券受托管理协议》认真履行职责。</w:t>
      </w:r>
      <w:r>
        <w:rPr>
          <w:w w:val="99"/>
        </w:rPr>
        <w:t> </w:t>
      </w:r>
      <w:r>
        <w:rPr/>
        <w:t>公司《2018年公司债券受托管理事务报告》将于2019年6月30日前在巨潮资讯网（</w:t>
      </w:r>
      <w:hyperlink r:id="rId15">
        <w:r>
          <w:rPr/>
          <w:t>www.cninfo.com.cn</w:t>
        </w:r>
      </w:hyperlink>
      <w:r>
        <w:rPr/>
        <w:t>）上</w:t>
      </w:r>
      <w:r>
        <w:rPr>
          <w:w w:val="99"/>
        </w:rPr>
        <w:t> </w:t>
      </w:r>
      <w:r>
        <w:rPr/>
        <w:t>刊登，敬请广大投资者关注。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八、截至报告期末公司近2年的主要会计数据和财务指标" w:id="162"/>
      <w:bookmarkEnd w:id="162"/>
      <w:r>
        <w:rPr>
          <w:b w:val="0"/>
          <w:bCs w:val="0"/>
        </w:rPr>
      </w:r>
      <w:r>
        <w:rPr/>
        <w:t>八、截至报告期末公司近</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32,801.24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27,341.84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19.97%</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220.26%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-47.70%</w:t>
            </w:r>
          </w:p>
        </w:tc>
      </w:tr>
      <w:tr>
        <w:trPr>
          <w:trHeight w:val="32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1.68%</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1012" w:header="890" w:top="1420" w:bottom="1200" w:left="1020" w:right="0"/>
          <w:pgNumType w:start="7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176.86%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-38.09%</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0.96%</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-20.60%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163.83%</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-18.20%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7"/>
        <w:spacing w:line="240" w:lineRule="auto"/>
        <w:ind w:right="0"/>
        <w:jc w:val="left"/>
      </w:pPr>
      <w:r>
        <w:rPr/>
        <w:t>上述会计数据和财务指标同比变动超过30%的主要原因</w:t>
      </w:r>
    </w:p>
    <w:p>
      <w:pPr>
        <w:spacing w:line="240" w:lineRule="auto" w:before="10"/>
        <w:rPr>
          <w:rFonts w:ascii="宋体" w:hAnsi="宋体" w:cs="宋体" w:eastAsia="宋体" w:hint="default"/>
          <w:sz w:val="14"/>
          <w:szCs w:val="14"/>
        </w:rPr>
      </w:pPr>
    </w:p>
    <w:p>
      <w:pPr>
        <w:pStyle w:val="Heading7"/>
        <w:spacing w:line="408" w:lineRule="auto"/>
        <w:ind w:right="0"/>
        <w:jc w:val="left"/>
      </w:pPr>
      <w:r>
        <w:rPr/>
        <w:t>√ 适用 □</w:t>
      </w:r>
      <w:r>
        <w:rPr>
          <w:spacing w:val="3"/>
        </w:rPr>
        <w:t> </w:t>
      </w:r>
      <w:r>
        <w:rPr/>
        <w:t>不适用</w:t>
      </w:r>
      <w:r>
        <w:rPr>
          <w:w w:val="99"/>
        </w:rPr>
        <w:t> </w:t>
      </w:r>
      <w:r>
        <w:rPr>
          <w:w w:val="95"/>
        </w:rPr>
        <w:t>1.流动比率同比下降47.70%，主要系本期应付债券重分类至一年内到期的非流动负债以及应付账款及应付</w:t>
      </w:r>
      <w:r>
        <w:rPr>
          <w:spacing w:val="39"/>
          <w:w w:val="95"/>
        </w:rPr>
        <w:t> </w:t>
      </w:r>
      <w:r>
        <w:rPr>
          <w:spacing w:val="39"/>
          <w:w w:val="95"/>
        </w:rPr>
      </w:r>
      <w:r>
        <w:rPr/>
        <w:t>票据增加导致流动负债增加所致；</w:t>
      </w:r>
      <w:r>
        <w:rPr>
          <w:w w:val="99"/>
        </w:rPr>
        <w:t> </w:t>
      </w:r>
      <w:r>
        <w:rPr>
          <w:w w:val="95"/>
        </w:rPr>
        <w:t>2.速动比率同比下降38.09%，主要系本期应付债券重分类至一年内到期的非流动负债以及应付账款、应付</w:t>
      </w:r>
      <w:r>
        <w:rPr>
          <w:spacing w:val="37"/>
          <w:w w:val="95"/>
        </w:rPr>
        <w:t> </w:t>
      </w:r>
      <w:r>
        <w:rPr>
          <w:spacing w:val="37"/>
          <w:w w:val="95"/>
        </w:rPr>
      </w:r>
      <w:r>
        <w:rPr/>
        <w:t>票据增加导致流动负债同比增加；存货同比增加；</w:t>
      </w:r>
      <w:r>
        <w:rPr>
          <w:w w:val="99"/>
        </w:rPr>
        <w:t> </w:t>
      </w:r>
      <w:r>
        <w:rPr/>
        <w:t>3.现金利息保障倍数同比上升163.83%，主要系本期经营活动产生的现金流量净额同比增加，利息支出同</w:t>
      </w:r>
      <w:r>
        <w:rPr>
          <w:w w:val="99"/>
        </w:rPr>
        <w:t> </w:t>
      </w:r>
      <w:r>
        <w:rPr/>
        <w:t>比增加所致。</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九、报告期内对其他债券和债务融资工具的付息兑付情况" w:id="163"/>
      <w:bookmarkEnd w:id="163"/>
      <w:r>
        <w:rPr>
          <w:b w:val="0"/>
          <w:bCs w:val="0"/>
        </w:rPr>
      </w:r>
      <w:r>
        <w:rPr/>
        <w:t>九、报告期内对其他债券和债务融资工具的付息兑付情况</w:t>
      </w:r>
      <w:r>
        <w:rPr>
          <w:b w:val="0"/>
          <w:bCs w:val="0"/>
        </w:rPr>
      </w:r>
    </w:p>
    <w:p>
      <w:pPr>
        <w:spacing w:line="240" w:lineRule="auto" w:before="8"/>
        <w:rPr>
          <w:rFonts w:ascii="宋体" w:hAnsi="宋体" w:cs="宋体" w:eastAsia="宋体" w:hint="default"/>
          <w:b/>
          <w:bCs/>
          <w:sz w:val="30"/>
          <w:szCs w:val="30"/>
        </w:rPr>
      </w:pPr>
    </w:p>
    <w:p>
      <w:pPr>
        <w:pStyle w:val="Heading7"/>
        <w:spacing w:line="240" w:lineRule="auto"/>
        <w:ind w:right="0"/>
        <w:jc w:val="left"/>
      </w:pPr>
      <w:r>
        <w:rPr/>
        <w:t>无。</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报告期内获得的银行授信情况、使用情况以及偿还银行贷款的情况" w:id="164"/>
      <w:bookmarkEnd w:id="164"/>
      <w:r>
        <w:rPr>
          <w:b w:val="0"/>
          <w:bCs w:val="0"/>
        </w:rPr>
      </w:r>
      <w:r>
        <w:rPr/>
        <w:t>十、报告期内获得的银行授信情况、使用情况以及偿还银行贷款的情况</w:t>
      </w:r>
      <w:r>
        <w:rPr>
          <w:b w:val="0"/>
          <w:bCs w:val="0"/>
        </w:rPr>
      </w:r>
    </w:p>
    <w:p>
      <w:pPr>
        <w:spacing w:line="240" w:lineRule="auto" w:before="8"/>
        <w:rPr>
          <w:rFonts w:ascii="宋体" w:hAnsi="宋体" w:cs="宋体" w:eastAsia="宋体" w:hint="default"/>
          <w:b/>
          <w:bCs/>
          <w:sz w:val="30"/>
          <w:szCs w:val="30"/>
        </w:rPr>
      </w:pPr>
    </w:p>
    <w:p>
      <w:pPr>
        <w:pStyle w:val="Heading7"/>
        <w:spacing w:line="408" w:lineRule="auto"/>
        <w:ind w:right="0" w:firstLine="420"/>
        <w:jc w:val="left"/>
      </w:pPr>
      <w:r>
        <w:rPr>
          <w:w w:val="95"/>
        </w:rPr>
        <w:t>截止2018年12月31日，公司获得银行授信36.55亿元，其中尚未使用的短期银行借款额度为人民币</w:t>
      </w:r>
      <w:r>
        <w:rPr>
          <w:spacing w:val="-97"/>
          <w:w w:val="95"/>
        </w:rPr>
        <w:t> </w:t>
      </w:r>
      <w:r>
        <w:rPr>
          <w:spacing w:val="-97"/>
          <w:w w:val="95"/>
        </w:rPr>
      </w:r>
      <w:r>
        <w:rPr/>
        <w:t>18.12亿元，报告期内所借款项到期均已按时归还。</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一、报告期内执行公司债券募集说明书相关约定或承诺的情况" w:id="165"/>
      <w:bookmarkEnd w:id="165"/>
      <w:r>
        <w:rPr>
          <w:b w:val="0"/>
          <w:bCs w:val="0"/>
        </w:rPr>
      </w:r>
      <w:r>
        <w:rPr/>
        <w:t>十一、报告期内执行公司债券募集说明书相关约定或承诺的情况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532" w:right="0"/>
        <w:jc w:val="left"/>
      </w:pPr>
      <w:r>
        <w:rPr/>
        <w:t>严格按募集说明书履行相关约定及承诺。</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报告期内发生的重大事项" w:id="166"/>
      <w:bookmarkEnd w:id="166"/>
      <w:r>
        <w:rPr>
          <w:b w:val="0"/>
          <w:bCs w:val="0"/>
        </w:rPr>
      </w:r>
      <w:r>
        <w:rPr/>
        <w:t>十二、报告期内发生的重大事项</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left="532" w:right="0"/>
        <w:jc w:val="left"/>
      </w:pPr>
      <w:r>
        <w:rPr/>
        <w:t>公司未发生《公司债券发行与交易管理办法》第四十五条列示的重大事项。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三、公司债券是否存在保证人" w:id="167"/>
      <w:bookmarkEnd w:id="167"/>
      <w:r>
        <w:rPr>
          <w:b w:val="0"/>
          <w:bCs w:val="0"/>
        </w:rPr>
      </w:r>
      <w:r>
        <w:rPr/>
        <w:t>十三、公司债券是否存在保证人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after="0" w:line="240" w:lineRule="auto"/>
        <w:jc w:val="left"/>
        <w:sectPr>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68" w:right="0"/>
        <w:jc w:val="left"/>
        <w:rPr>
          <w:b w:val="0"/>
          <w:bCs w:val="0"/>
        </w:rPr>
      </w:pPr>
      <w:bookmarkStart w:name="第十一节 财务报告" w:id="168"/>
      <w:bookmarkEnd w:id="168"/>
      <w:r>
        <w:rPr>
          <w:b w:val="0"/>
          <w:bCs w:val="0"/>
        </w:rPr>
      </w:r>
      <w:bookmarkStart w:name="_bookmark10" w:id="169"/>
      <w:bookmarkEnd w:id="169"/>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0"/>
      <w:bookmarkEnd w:id="170"/>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XYZH/2019SHA10119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罗玉成、刘向荣</w:t>
            </w:r>
          </w:p>
        </w:tc>
      </w:tr>
    </w:tbl>
    <w:p>
      <w:pPr>
        <w:spacing w:line="240" w:lineRule="auto" w:before="7"/>
        <w:rPr>
          <w:rFonts w:ascii="宋体" w:hAnsi="宋体" w:cs="宋体" w:eastAsia="宋体" w:hint="default"/>
          <w:b/>
          <w:bCs/>
          <w:sz w:val="8"/>
          <w:szCs w:val="8"/>
        </w:rPr>
      </w:pPr>
    </w:p>
    <w:p>
      <w:pPr>
        <w:spacing w:before="14"/>
        <w:ind w:left="0" w:right="1058" w:firstLine="0"/>
        <w:jc w:val="center"/>
        <w:rPr>
          <w:rFonts w:ascii="黑体" w:hAnsi="黑体" w:cs="黑体" w:eastAsia="黑体" w:hint="default"/>
          <w:sz w:val="28"/>
          <w:szCs w:val="28"/>
        </w:rPr>
      </w:pPr>
      <w:r>
        <w:rPr>
          <w:rFonts w:ascii="黑体" w:hAnsi="黑体" w:cs="黑体" w:eastAsia="黑体" w:hint="default"/>
          <w:b/>
          <w:bCs/>
          <w:sz w:val="28"/>
          <w:szCs w:val="28"/>
        </w:rPr>
        <w:t>审</w:t>
      </w:r>
      <w:r>
        <w:rPr>
          <w:rFonts w:ascii="黑体" w:hAnsi="黑体" w:cs="黑体" w:eastAsia="黑体" w:hint="default"/>
          <w:b/>
          <w:bCs/>
          <w:spacing w:val="-102"/>
          <w:sz w:val="28"/>
          <w:szCs w:val="28"/>
        </w:rPr>
        <w:t> </w:t>
      </w:r>
      <w:r>
        <w:rPr>
          <w:rFonts w:ascii="黑体" w:hAnsi="黑体" w:cs="黑体" w:eastAsia="黑体" w:hint="default"/>
          <w:b/>
          <w:bCs/>
          <w:sz w:val="28"/>
          <w:szCs w:val="28"/>
        </w:rPr>
        <w:t>计</w:t>
      </w:r>
      <w:r>
        <w:rPr>
          <w:rFonts w:ascii="黑体" w:hAnsi="黑体" w:cs="黑体" w:eastAsia="黑体" w:hint="default"/>
          <w:b/>
          <w:bCs/>
          <w:spacing w:val="-102"/>
          <w:sz w:val="28"/>
          <w:szCs w:val="28"/>
        </w:rPr>
        <w:t> </w:t>
      </w:r>
      <w:r>
        <w:rPr>
          <w:rFonts w:ascii="黑体" w:hAnsi="黑体" w:cs="黑体" w:eastAsia="黑体" w:hint="default"/>
          <w:b/>
          <w:bCs/>
          <w:sz w:val="28"/>
          <w:szCs w:val="28"/>
        </w:rPr>
        <w:t>报</w:t>
      </w:r>
      <w:r>
        <w:rPr>
          <w:rFonts w:ascii="黑体" w:hAnsi="黑体" w:cs="黑体" w:eastAsia="黑体" w:hint="default"/>
          <w:b/>
          <w:bCs/>
          <w:spacing w:val="-104"/>
          <w:sz w:val="28"/>
          <w:szCs w:val="28"/>
        </w:rPr>
        <w:t> </w:t>
      </w:r>
      <w:r>
        <w:rPr>
          <w:rFonts w:ascii="黑体" w:hAnsi="黑体" w:cs="黑体" w:eastAsia="黑体" w:hint="default"/>
          <w:b/>
          <w:bCs/>
          <w:sz w:val="28"/>
          <w:szCs w:val="28"/>
        </w:rPr>
        <w:t>告</w:t>
      </w:r>
      <w:r>
        <w:rPr>
          <w:rFonts w:ascii="黑体" w:hAnsi="黑体" w:cs="黑体" w:eastAsia="黑体" w:hint="default"/>
          <w:sz w:val="28"/>
          <w:szCs w:val="28"/>
        </w:rPr>
      </w:r>
    </w:p>
    <w:p>
      <w:pPr>
        <w:spacing w:line="240" w:lineRule="auto" w:before="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90" w:footer="1012" w:top="1420" w:bottom="1200" w:left="1020" w:right="0"/>
        </w:sectPr>
      </w:pPr>
    </w:p>
    <w:p>
      <w:pPr>
        <w:spacing w:line="240" w:lineRule="auto" w:before="13"/>
        <w:rPr>
          <w:rFonts w:ascii="黑体" w:hAnsi="黑体" w:cs="黑体" w:eastAsia="黑体" w:hint="default"/>
          <w:b/>
          <w:bCs/>
          <w:sz w:val="32"/>
          <w:szCs w:val="32"/>
        </w:rPr>
      </w:pPr>
    </w:p>
    <w:p>
      <w:pPr>
        <w:pStyle w:val="Heading4"/>
        <w:spacing w:line="355" w:lineRule="auto"/>
        <w:ind w:left="693" w:right="-5" w:hanging="581"/>
        <w:jc w:val="left"/>
        <w:rPr>
          <w:b w:val="0"/>
          <w:bCs w:val="0"/>
        </w:rPr>
      </w:pPr>
      <w:r>
        <w:rPr>
          <w:spacing w:val="-1"/>
        </w:rPr>
        <w:t>浙江万马股份有限公司全体股东：</w:t>
      </w:r>
      <w:r>
        <w:rPr>
          <w:spacing w:val="-108"/>
        </w:rPr>
        <w:t> </w:t>
      </w:r>
      <w:r>
        <w:rPr>
          <w:spacing w:val="-108"/>
        </w:rPr>
      </w:r>
      <w:r>
        <w:rPr/>
        <w:t>一、审计意见</w:t>
      </w:r>
      <w:r>
        <w:rPr>
          <w:b w:val="0"/>
          <w:bCs w:val="0"/>
        </w:rPr>
      </w:r>
    </w:p>
    <w:p>
      <w:pPr>
        <w:pStyle w:val="Heading4"/>
        <w:spacing w:line="240" w:lineRule="auto" w:before="33"/>
        <w:ind w:right="0"/>
        <w:jc w:val="left"/>
        <w:rPr>
          <w:b w:val="0"/>
          <w:bCs w:val="0"/>
        </w:rPr>
      </w:pPr>
      <w:r>
        <w:rPr>
          <w:b w:val="0"/>
        </w:rPr>
        <w:br w:type="column"/>
      </w:r>
      <w:r>
        <w:rPr/>
        <w:t>XYZH/2019SHA10119</w:t>
      </w:r>
      <w:r>
        <w:rPr>
          <w:b w:val="0"/>
        </w:rPr>
      </w:r>
    </w:p>
    <w:p>
      <w:pPr>
        <w:spacing w:after="0" w:line="240" w:lineRule="auto"/>
        <w:jc w:val="left"/>
        <w:sectPr>
          <w:type w:val="continuous"/>
          <w:pgSz w:w="11910" w:h="16840"/>
          <w:pgMar w:top="660" w:bottom="700" w:left="1020" w:right="0"/>
          <w:cols w:num="2" w:equalWidth="0">
            <w:col w:w="3425" w:space="4343"/>
            <w:col w:w="3122"/>
          </w:cols>
        </w:sectPr>
      </w:pPr>
    </w:p>
    <w:p>
      <w:pPr>
        <w:pStyle w:val="Heading5"/>
        <w:spacing w:line="391" w:lineRule="auto" w:before="115"/>
        <w:ind w:right="1130"/>
        <w:jc w:val="both"/>
      </w:pPr>
      <w:r>
        <w:rPr/>
        <w:t>我们审计了浙江万马股份有限公司（以下简称万马股份公司）财务报表，包括</w:t>
      </w:r>
      <w:r>
        <w:rPr>
          <w:spacing w:val="-37"/>
        </w:rPr>
        <w:t> </w:t>
      </w:r>
      <w:r>
        <w:rPr/>
        <w:t>2018</w:t>
      </w:r>
      <w:r>
        <w:rPr>
          <w:spacing w:val="-35"/>
        </w:rPr>
        <w:t> </w:t>
      </w:r>
      <w:r>
        <w:rPr/>
        <w:t>年</w:t>
      </w:r>
      <w:r>
        <w:rPr>
          <w:spacing w:val="-35"/>
        </w:rPr>
        <w:t> </w:t>
      </w:r>
      <w:r>
        <w:rPr/>
        <w:t>12</w:t>
      </w:r>
      <w:r>
        <w:rPr>
          <w:spacing w:val="-37"/>
        </w:rPr>
        <w:t> </w:t>
      </w:r>
      <w:r>
        <w:rPr/>
        <w:t>月</w:t>
      </w:r>
      <w:r>
        <w:rPr>
          <w:spacing w:val="-32"/>
        </w:rPr>
        <w:t> </w:t>
      </w:r>
      <w:r>
        <w:rPr/>
        <w:t>31</w:t>
      </w:r>
      <w:r>
        <w:rPr>
          <w:w w:val="100"/>
        </w:rPr>
        <w:t> </w:t>
      </w:r>
      <w:r>
        <w:rPr>
          <w:spacing w:val="-4"/>
        </w:rPr>
        <w:t>日的合并及母公司资产负债表，2018 年度的合并及母公司利润表、合并及母公司现金流量表、合并及</w:t>
      </w:r>
      <w:r>
        <w:rPr>
          <w:spacing w:val="-100"/>
        </w:rPr>
        <w:t> </w:t>
      </w:r>
      <w:r>
        <w:rPr>
          <w:spacing w:val="-100"/>
        </w:rPr>
      </w:r>
      <w:r>
        <w:rPr/>
        <w:t>母公司股东权益变动表，以及相关财务报表附注。</w:t>
      </w:r>
    </w:p>
    <w:p>
      <w:pPr>
        <w:pStyle w:val="Heading5"/>
        <w:spacing w:line="391" w:lineRule="auto" w:before="82"/>
        <w:ind w:right="998"/>
        <w:jc w:val="left"/>
      </w:pPr>
      <w:r>
        <w:rPr>
          <w:spacing w:val="-3"/>
        </w:rPr>
        <w:t>我们认为，后附的财务报表在所有重大方面按照企业会计准则的规定编制，公允反映了万马股份</w:t>
      </w:r>
      <w:r>
        <w:rPr>
          <w:w w:val="100"/>
        </w:rPr>
        <w:t> </w:t>
      </w:r>
      <w:r>
        <w:rPr/>
        <w:t>公司</w:t>
      </w:r>
      <w:r>
        <w:rPr>
          <w:spacing w:val="-78"/>
        </w:rPr>
        <w:t> </w:t>
      </w:r>
      <w:r>
        <w:rPr/>
        <w:t>2018</w:t>
      </w:r>
      <w:r>
        <w:rPr>
          <w:spacing w:val="-78"/>
        </w:rPr>
        <w:t> </w:t>
      </w:r>
      <w:r>
        <w:rPr/>
        <w:t>年</w:t>
      </w:r>
      <w:r>
        <w:rPr>
          <w:spacing w:val="-78"/>
        </w:rPr>
        <w:t> </w:t>
      </w:r>
      <w:r>
        <w:rPr/>
        <w:t>12</w:t>
      </w:r>
      <w:r>
        <w:rPr>
          <w:spacing w:val="-80"/>
        </w:rPr>
        <w:t> </w:t>
      </w:r>
      <w:r>
        <w:rPr/>
        <w:t>月</w:t>
      </w:r>
      <w:r>
        <w:rPr>
          <w:spacing w:val="-78"/>
        </w:rPr>
        <w:t> </w:t>
      </w:r>
      <w:r>
        <w:rPr/>
        <w:t>31</w:t>
      </w:r>
      <w:r>
        <w:rPr>
          <w:spacing w:val="-78"/>
        </w:rPr>
        <w:t> </w:t>
      </w:r>
      <w:r>
        <w:rPr/>
        <w:t>日的合并及母公司财务状况以及</w:t>
      </w:r>
      <w:r>
        <w:rPr>
          <w:spacing w:val="-78"/>
        </w:rPr>
        <w:t> </w:t>
      </w:r>
      <w:r>
        <w:rPr/>
        <w:t>2018</w:t>
      </w:r>
      <w:r>
        <w:rPr>
          <w:spacing w:val="-80"/>
        </w:rPr>
        <w:t> </w:t>
      </w:r>
      <w:r>
        <w:rPr/>
        <w:t>年度的合并及母公司经营成果和现金流量。</w:t>
      </w:r>
    </w:p>
    <w:p>
      <w:pPr>
        <w:spacing w:line="424" w:lineRule="auto" w:before="80"/>
        <w:ind w:left="554" w:right="0" w:firstLine="139"/>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100"/>
          <w:sz w:val="22"/>
          <w:szCs w:val="22"/>
        </w:rPr>
        <w:t> </w:t>
      </w:r>
      <w:r>
        <w:rPr>
          <w:rFonts w:ascii="宋体" w:hAnsi="宋体" w:cs="宋体" w:eastAsia="宋体" w:hint="default"/>
          <w:spacing w:val="-3"/>
          <w:sz w:val="22"/>
          <w:szCs w:val="22"/>
        </w:rPr>
        <w:t>我们按照中国注册会计师审计准则的规定执行了审计工作。审计报告的“注册会计师对财务报表</w:t>
      </w:r>
    </w:p>
    <w:p>
      <w:pPr>
        <w:pStyle w:val="Heading5"/>
        <w:spacing w:line="391" w:lineRule="auto" w:before="10"/>
        <w:ind w:right="1089" w:firstLine="0"/>
        <w:jc w:val="both"/>
      </w:pPr>
      <w:r>
        <w:rPr>
          <w:spacing w:val="-3"/>
        </w:rPr>
        <w:t>审计的责任”部分进一步阐述了我们在这些准则下的责任。按照中国注册会计师职业道德守则，我们</w:t>
      </w:r>
      <w:r>
        <w:rPr>
          <w:spacing w:val="-45"/>
        </w:rPr>
        <w:t> </w:t>
      </w:r>
      <w:r>
        <w:rPr>
          <w:spacing w:val="-45"/>
        </w:rPr>
      </w:r>
      <w:r>
        <w:rPr>
          <w:spacing w:val="-2"/>
        </w:rPr>
        <w:t>独立于万马股份公司，并履行了职业道德方面的其他责任。我们相信，我们获取的审计证据是充分、</w:t>
      </w:r>
      <w:r>
        <w:rPr>
          <w:spacing w:val="-48"/>
        </w:rPr>
        <w:t> </w:t>
      </w:r>
      <w:r>
        <w:rPr>
          <w:spacing w:val="-48"/>
        </w:rPr>
      </w:r>
      <w:r>
        <w:rPr/>
        <w:t>适当的，为发表审计意见提供了基础。</w:t>
      </w:r>
    </w:p>
    <w:p>
      <w:pPr>
        <w:pStyle w:val="Heading5"/>
        <w:spacing w:line="422" w:lineRule="auto" w:before="82"/>
        <w:ind w:left="554" w:right="0" w:firstLine="139"/>
        <w:jc w:val="left"/>
      </w:pPr>
      <w:r>
        <w:rPr>
          <w:rFonts w:ascii="宋体" w:hAnsi="宋体" w:cs="宋体" w:eastAsia="宋体" w:hint="default"/>
          <w:b/>
          <w:bCs/>
        </w:rPr>
        <w:t>三、关键审计事项</w:t>
      </w:r>
      <w:r>
        <w:rPr>
          <w:rFonts w:ascii="宋体" w:hAnsi="宋体" w:cs="宋体" w:eastAsia="宋体" w:hint="default"/>
          <w:b/>
          <w:bCs/>
          <w:w w:val="100"/>
        </w:rPr>
        <w:t> </w:t>
      </w:r>
      <w:r>
        <w:rPr>
          <w:spacing w:val="-3"/>
        </w:rPr>
        <w:t>关键审计事项是我们根据职业判断，认为对本期财务报表审计最为重要的事项。这些事项的应对</w:t>
      </w:r>
    </w:p>
    <w:p>
      <w:pPr>
        <w:pStyle w:val="Heading5"/>
        <w:spacing w:line="240" w:lineRule="auto" w:before="13"/>
        <w:ind w:right="0" w:firstLine="0"/>
        <w:jc w:val="both"/>
      </w:pPr>
      <w:r>
        <w:rPr/>
        <w:t>以对财务报表整体进行审计并形成审计意见为背景，我们不对这些事项单独发表意见。</w:t>
      </w:r>
    </w:p>
    <w:p>
      <w:pPr>
        <w:spacing w:line="240" w:lineRule="auto" w:before="8"/>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699"/>
        <w:gridCol w:w="4701"/>
      </w:tblGrid>
      <w:tr>
        <w:trPr>
          <w:trHeight w:val="329" w:hRule="exact"/>
        </w:trPr>
        <w:tc>
          <w:tcPr>
            <w:tcW w:w="9400" w:type="dxa"/>
            <w:gridSpan w:val="2"/>
            <w:tcBorders>
              <w:top w:val="single" w:sz="4" w:space="0" w:color="000000"/>
              <w:left w:val="single" w:sz="4" w:space="0" w:color="000000"/>
              <w:bottom w:val="single" w:sz="4" w:space="0" w:color="000000"/>
              <w:right w:val="single" w:sz="4" w:space="0" w:color="000000"/>
            </w:tcBorders>
          </w:tcPr>
          <w:p>
            <w:pPr>
              <w:pStyle w:val="TableParagraph"/>
              <w:tabs>
                <w:tab w:pos="1361" w:val="left" w:leader="none"/>
              </w:tabs>
              <w:spacing w:line="240" w:lineRule="auto" w:before="13"/>
              <w:ind w:left="88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tab/>
            </w:r>
            <w:r>
              <w:rPr>
                <w:rFonts w:ascii="宋体" w:hAnsi="宋体" w:cs="宋体" w:eastAsia="宋体" w:hint="default"/>
                <w:b/>
                <w:bCs/>
                <w:sz w:val="18"/>
                <w:szCs w:val="18"/>
              </w:rPr>
              <w:t>应收账款坏账准备的计提</w:t>
            </w:r>
            <w:r>
              <w:rPr>
                <w:rFonts w:ascii="宋体" w:hAnsi="宋体" w:cs="宋体" w:eastAsia="宋体" w:hint="default"/>
                <w:sz w:val="18"/>
                <w:szCs w:val="18"/>
              </w:rPr>
            </w:r>
          </w:p>
        </w:tc>
      </w:tr>
      <w:tr>
        <w:trPr>
          <w:trHeight w:val="327"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3"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660" w:bottom="700" w:left="1020" w:right="0"/>
        </w:sectPr>
      </w:pPr>
    </w:p>
    <w:tbl>
      <w:tblPr>
        <w:tblW w:w="0" w:type="auto"/>
        <w:jc w:val="left"/>
        <w:tblInd w:w="109" w:type="dxa"/>
        <w:tblLayout w:type="fixed"/>
        <w:tblCellMar>
          <w:top w:w="0" w:type="dxa"/>
          <w:left w:w="0" w:type="dxa"/>
          <w:bottom w:w="0" w:type="dxa"/>
          <w:right w:w="0" w:type="dxa"/>
        </w:tblCellMar>
        <w:tblLook w:val="01E0"/>
      </w:tblPr>
      <w:tblGrid>
        <w:gridCol w:w="4699"/>
        <w:gridCol w:w="4701"/>
      </w:tblGrid>
      <w:tr>
        <w:trPr>
          <w:trHeight w:val="318" w:hRule="exact"/>
        </w:trPr>
        <w:tc>
          <w:tcPr>
            <w:tcW w:w="4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日，万马股份公司的应收</w:t>
            </w:r>
          </w:p>
        </w:tc>
        <w:tc>
          <w:tcPr>
            <w:tcW w:w="4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0"/>
                <w:sz w:val="18"/>
                <w:szCs w:val="18"/>
              </w:rPr>
              <w:t> </w:t>
            </w:r>
            <w:r>
              <w:rPr>
                <w:rFonts w:ascii="宋体" w:hAnsi="宋体" w:cs="宋体" w:eastAsia="宋体" w:hint="default"/>
                <w:sz w:val="18"/>
                <w:szCs w:val="18"/>
              </w:rPr>
              <w:t>款</w:t>
            </w:r>
            <w:r>
              <w:rPr>
                <w:rFonts w:ascii="宋体" w:hAnsi="宋体" w:cs="宋体" w:eastAsia="宋体" w:hint="default"/>
                <w:spacing w:val="-60"/>
                <w:sz w:val="18"/>
                <w:szCs w:val="18"/>
              </w:rPr>
              <w:t> </w:t>
            </w:r>
            <w:r>
              <w:rPr>
                <w:rFonts w:ascii="宋体" w:hAnsi="宋体" w:cs="宋体" w:eastAsia="宋体" w:hint="default"/>
                <w:sz w:val="18"/>
                <w:szCs w:val="18"/>
              </w:rPr>
              <w:t>余</w:t>
            </w:r>
            <w:r>
              <w:rPr>
                <w:rFonts w:ascii="宋体" w:hAnsi="宋体" w:cs="宋体" w:eastAsia="宋体" w:hint="default"/>
                <w:spacing w:val="-60"/>
                <w:sz w:val="18"/>
                <w:szCs w:val="18"/>
              </w:rPr>
              <w:t> </w:t>
            </w:r>
            <w:r>
              <w:rPr>
                <w:rFonts w:ascii="宋体" w:hAnsi="宋体" w:cs="宋体" w:eastAsia="宋体" w:hint="default"/>
                <w:sz w:val="18"/>
                <w:szCs w:val="18"/>
              </w:rPr>
              <w:t>额</w:t>
            </w:r>
            <w:r>
              <w:rPr>
                <w:rFonts w:ascii="宋体" w:hAnsi="宋体" w:cs="宋体" w:eastAsia="宋体" w:hint="default"/>
                <w:spacing w:val="-60"/>
                <w:sz w:val="18"/>
                <w:szCs w:val="18"/>
              </w:rPr>
              <w:t> </w:t>
            </w:r>
            <w:r>
              <w:rPr>
                <w:rFonts w:ascii="宋体" w:hAnsi="宋体" w:cs="宋体" w:eastAsia="宋体" w:hint="default"/>
                <w:sz w:val="18"/>
                <w:szCs w:val="18"/>
              </w:rPr>
              <w:t>为</w:t>
            </w:r>
            <w:r>
              <w:rPr>
                <w:rFonts w:ascii="宋体" w:hAnsi="宋体" w:cs="宋体" w:eastAsia="宋体" w:hint="default"/>
                <w:spacing w:val="-17"/>
                <w:sz w:val="18"/>
                <w:szCs w:val="18"/>
              </w:rPr>
              <w:t> </w:t>
            </w:r>
            <w:r>
              <w:rPr>
                <w:rFonts w:ascii="宋体" w:hAnsi="宋体" w:cs="宋体" w:eastAsia="宋体" w:hint="default"/>
                <w:sz w:val="18"/>
                <w:szCs w:val="18"/>
              </w:rPr>
              <w:t>2,960,232,117.73</w:t>
            </w:r>
            <w:r>
              <w:rPr>
                <w:rFonts w:ascii="宋体" w:hAnsi="宋体" w:cs="宋体" w:eastAsia="宋体" w:hint="default"/>
                <w:spacing w:val="-16"/>
                <w:sz w:val="18"/>
                <w:szCs w:val="18"/>
              </w:rPr>
              <w:t> </w:t>
            </w:r>
            <w:r>
              <w:rPr>
                <w:rFonts w:ascii="宋体" w:hAnsi="宋体" w:cs="宋体" w:eastAsia="宋体" w:hint="default"/>
                <w:sz w:val="18"/>
                <w:szCs w:val="18"/>
              </w:rPr>
              <w:t>元</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坏</w:t>
            </w:r>
            <w:r>
              <w:rPr>
                <w:rFonts w:ascii="宋体" w:hAnsi="宋体" w:cs="宋体" w:eastAsia="宋体" w:hint="default"/>
                <w:spacing w:val="-60"/>
                <w:sz w:val="18"/>
                <w:szCs w:val="18"/>
              </w:rPr>
              <w:t> </w:t>
            </w:r>
            <w:r>
              <w:rPr>
                <w:rFonts w:ascii="宋体" w:hAnsi="宋体" w:cs="宋体" w:eastAsia="宋体" w:hint="default"/>
                <w:sz w:val="18"/>
                <w:szCs w:val="18"/>
              </w:rPr>
              <w:t>账</w:t>
            </w:r>
            <w:r>
              <w:rPr>
                <w:rFonts w:ascii="宋体" w:hAnsi="宋体" w:cs="宋体" w:eastAsia="宋体" w:hint="default"/>
                <w:spacing w:val="-60"/>
                <w:sz w:val="18"/>
                <w:szCs w:val="18"/>
              </w:rPr>
              <w:t> </w:t>
            </w:r>
            <w:r>
              <w:rPr>
                <w:rFonts w:ascii="宋体" w:hAnsi="宋体" w:cs="宋体" w:eastAsia="宋体" w:hint="default"/>
                <w:sz w:val="18"/>
                <w:szCs w:val="18"/>
              </w:rPr>
              <w:t>准</w:t>
            </w:r>
            <w:r>
              <w:rPr>
                <w:rFonts w:ascii="宋体" w:hAnsi="宋体" w:cs="宋体" w:eastAsia="宋体" w:hint="default"/>
                <w:spacing w:val="-63"/>
                <w:sz w:val="18"/>
                <w:szCs w:val="18"/>
              </w:rPr>
              <w:t> </w:t>
            </w:r>
            <w:r>
              <w:rPr>
                <w:rFonts w:ascii="宋体" w:hAnsi="宋体" w:cs="宋体" w:eastAsia="宋体" w:hint="default"/>
                <w:sz w:val="18"/>
                <w:szCs w:val="18"/>
              </w:rPr>
              <w:t>备</w:t>
            </w:r>
            <w:r>
              <w:rPr>
                <w:rFonts w:ascii="宋体" w:hAnsi="宋体" w:cs="宋体" w:eastAsia="宋体" w:hint="default"/>
                <w:spacing w:val="-60"/>
                <w:sz w:val="18"/>
                <w:szCs w:val="18"/>
              </w:rPr>
              <w:t> </w:t>
            </w:r>
            <w:r>
              <w:rPr>
                <w:rFonts w:ascii="宋体" w:hAnsi="宋体" w:cs="宋体" w:eastAsia="宋体" w:hint="default"/>
                <w:sz w:val="18"/>
                <w:szCs w:val="18"/>
              </w:rPr>
              <w:t>余</w:t>
            </w:r>
            <w:r>
              <w:rPr>
                <w:rFonts w:ascii="宋体" w:hAnsi="宋体" w:cs="宋体" w:eastAsia="宋体" w:hint="default"/>
                <w:spacing w:val="-60"/>
                <w:sz w:val="18"/>
                <w:szCs w:val="18"/>
              </w:rPr>
              <w:t> </w:t>
            </w:r>
            <w:r>
              <w:rPr>
                <w:rFonts w:ascii="宋体" w:hAnsi="宋体" w:cs="宋体" w:eastAsia="宋体" w:hint="default"/>
                <w:sz w:val="18"/>
                <w:szCs w:val="18"/>
              </w:rPr>
              <w:t>额</w:t>
            </w:r>
            <w:r>
              <w:rPr>
                <w:rFonts w:ascii="宋体" w:hAnsi="宋体" w:cs="宋体" w:eastAsia="宋体" w:hint="default"/>
                <w:spacing w:val="-60"/>
                <w:sz w:val="18"/>
                <w:szCs w:val="18"/>
              </w:rPr>
              <w:t> </w:t>
            </w:r>
            <w:r>
              <w:rPr>
                <w:rFonts w:ascii="宋体" w:hAnsi="宋体" w:cs="宋体" w:eastAsia="宋体" w:hint="default"/>
                <w:sz w:val="18"/>
                <w:szCs w:val="18"/>
              </w:rPr>
              <w:t>为</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7"/>
              <w:jc w:val="right"/>
              <w:rPr>
                <w:rFonts w:ascii="宋体" w:hAnsi="宋体" w:cs="宋体" w:eastAsia="宋体" w:hint="default"/>
                <w:sz w:val="18"/>
                <w:szCs w:val="18"/>
              </w:rPr>
            </w:pPr>
            <w:r>
              <w:rPr>
                <w:rFonts w:ascii="宋体" w:hAnsi="宋体" w:cs="宋体" w:eastAsia="宋体" w:hint="default"/>
                <w:spacing w:val="-1"/>
                <w:sz w:val="18"/>
                <w:szCs w:val="18"/>
              </w:rPr>
              <w:t>--我们审阅万马股份公司应收账款计提的内控流程，</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148,596,103.90</w:t>
            </w:r>
            <w:r>
              <w:rPr>
                <w:rFonts w:ascii="宋体" w:hAnsi="宋体" w:cs="宋体" w:eastAsia="宋体" w:hint="default"/>
                <w:spacing w:val="-43"/>
                <w:sz w:val="18"/>
                <w:szCs w:val="18"/>
              </w:rPr>
              <w:t> </w:t>
            </w:r>
            <w:r>
              <w:rPr>
                <w:rFonts w:ascii="宋体" w:hAnsi="宋体" w:cs="宋体" w:eastAsia="宋体" w:hint="default"/>
                <w:spacing w:val="-4"/>
                <w:sz w:val="18"/>
                <w:szCs w:val="18"/>
              </w:rPr>
              <w:t>元，账面价值较高。若应收账款不能按期</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评估关键假设及数据的合理性。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hAnsi="宋体" w:cs="宋体" w:eastAsia="宋体" w:hint="default"/>
                <w:sz w:val="18"/>
                <w:szCs w:val="18"/>
              </w:rPr>
              <w:t>收回或无法收回而发生坏账，对财务报表影响较为重大，</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--我们审阅万马股份公司应收账款的坏账准备计提</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pacing w:val="-1"/>
                <w:sz w:val="18"/>
                <w:szCs w:val="18"/>
              </w:rPr>
              <w:t>且坏账准备的计提涉及管理层的判断和估计，故列为关键</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过程，评估所采用坏账准备计提会计政策的合理性。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审计事项。</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--我们分析及比较万马股份公司本年度及过去应收</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账款的坏账准备的合理及一致性。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6"/>
                <w:sz w:val="18"/>
                <w:szCs w:val="18"/>
              </w:rPr>
              <w:t>--我们与管理层讨论应收账款回收情况及可能存在</w:t>
            </w:r>
          </w:p>
        </w:tc>
      </w:tr>
      <w:tr>
        <w:trPr>
          <w:trHeight w:val="609" w:hRule="exact"/>
        </w:trPr>
        <w:tc>
          <w:tcPr>
            <w:tcW w:w="4699" w:type="dxa"/>
            <w:tcBorders>
              <w:top w:val="nil" w:sz="6" w:space="0" w:color="auto"/>
              <w:left w:val="single" w:sz="4" w:space="0" w:color="000000"/>
              <w:bottom w:val="single" w:sz="4" w:space="0" w:color="000000"/>
              <w:right w:val="single" w:sz="4" w:space="0" w:color="000000"/>
            </w:tcBorders>
          </w:tcPr>
          <w:p>
            <w:pPr/>
          </w:p>
        </w:tc>
        <w:tc>
          <w:tcPr>
            <w:tcW w:w="4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的回收风险。</w:t>
            </w:r>
          </w:p>
        </w:tc>
      </w:tr>
      <w:tr>
        <w:trPr>
          <w:trHeight w:val="329" w:hRule="exact"/>
        </w:trPr>
        <w:tc>
          <w:tcPr>
            <w:tcW w:w="9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b/>
                <w:bCs/>
                <w:sz w:val="18"/>
                <w:szCs w:val="18"/>
              </w:rPr>
              <w:t>2、套期会计事项</w:t>
            </w:r>
            <w:r>
              <w:rPr>
                <w:rFonts w:ascii="宋体" w:hAnsi="宋体" w:cs="宋体" w:eastAsia="宋体" w:hint="default"/>
                <w:sz w:val="18"/>
                <w:szCs w:val="18"/>
              </w:rPr>
            </w:r>
          </w:p>
        </w:tc>
      </w:tr>
      <w:tr>
        <w:trPr>
          <w:trHeight w:val="329"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3"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17" w:hRule="exact"/>
        </w:trPr>
        <w:tc>
          <w:tcPr>
            <w:tcW w:w="4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pacing w:val="-1"/>
                <w:sz w:val="18"/>
                <w:szCs w:val="18"/>
              </w:rPr>
              <w:t>万马股份公司将期铜合约作为套期工具、将很可能发</w:t>
            </w:r>
          </w:p>
        </w:tc>
        <w:tc>
          <w:tcPr>
            <w:tcW w:w="4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pacing w:val="-1"/>
                <w:sz w:val="18"/>
                <w:szCs w:val="18"/>
              </w:rPr>
              <w:t>生的预期交易（铜的采购）作为被套期项目开展套期保值</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6"/>
                <w:sz w:val="18"/>
                <w:szCs w:val="18"/>
              </w:rPr>
              <w:t>--我们审阅万马股份公司套期会计相关的内部控制</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业务，会计核算采用</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月财政部印发的《商品期</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的设计与执行情况。</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pacing w:val="2"/>
                <w:sz w:val="18"/>
                <w:szCs w:val="18"/>
              </w:rPr>
              <w:t>货</w:t>
            </w:r>
            <w:r>
              <w:rPr>
                <w:rFonts w:ascii="宋体" w:hAnsi="宋体" w:cs="宋体" w:eastAsia="宋体" w:hint="default"/>
                <w:spacing w:val="4"/>
                <w:sz w:val="18"/>
                <w:szCs w:val="18"/>
              </w:rPr>
              <w:t>套</w:t>
            </w:r>
            <w:r>
              <w:rPr>
                <w:rFonts w:ascii="宋体" w:hAnsi="宋体" w:cs="宋体" w:eastAsia="宋体" w:hint="default"/>
                <w:spacing w:val="2"/>
                <w:sz w:val="18"/>
                <w:szCs w:val="18"/>
              </w:rPr>
              <w:t>期业务</w:t>
            </w:r>
            <w:r>
              <w:rPr>
                <w:rFonts w:ascii="宋体" w:hAnsi="宋体" w:cs="宋体" w:eastAsia="宋体" w:hint="default"/>
                <w:spacing w:val="4"/>
                <w:sz w:val="18"/>
                <w:szCs w:val="18"/>
              </w:rPr>
              <w:t>会</w:t>
            </w:r>
            <w:r>
              <w:rPr>
                <w:rFonts w:ascii="宋体" w:hAnsi="宋体" w:cs="宋体" w:eastAsia="宋体" w:hint="default"/>
                <w:spacing w:val="2"/>
                <w:sz w:val="18"/>
                <w:szCs w:val="18"/>
              </w:rPr>
              <w:t>计处理</w:t>
            </w:r>
            <w:r>
              <w:rPr>
                <w:rFonts w:ascii="宋体" w:hAnsi="宋体" w:cs="宋体" w:eastAsia="宋体" w:hint="default"/>
                <w:spacing w:val="4"/>
                <w:sz w:val="18"/>
                <w:szCs w:val="18"/>
              </w:rPr>
              <w:t>暂</w:t>
            </w:r>
            <w:r>
              <w:rPr>
                <w:rFonts w:ascii="宋体" w:hAnsi="宋体" w:cs="宋体" w:eastAsia="宋体" w:hint="default"/>
                <w:spacing w:val="2"/>
                <w:sz w:val="18"/>
                <w:szCs w:val="18"/>
              </w:rPr>
              <w:t>行规</w:t>
            </w:r>
            <w:r>
              <w:rPr>
                <w:rFonts w:ascii="宋体" w:hAnsi="宋体" w:cs="宋体" w:eastAsia="宋体" w:hint="default"/>
                <w:spacing w:val="4"/>
                <w:sz w:val="18"/>
                <w:szCs w:val="18"/>
              </w:rPr>
              <w:t>定</w:t>
            </w:r>
            <w:r>
              <w:rPr>
                <w:rFonts w:ascii="宋体" w:hAnsi="宋体" w:cs="宋体" w:eastAsia="宋体" w:hint="default"/>
                <w:spacing w:val="-89"/>
                <w:sz w:val="18"/>
                <w:szCs w:val="18"/>
              </w:rPr>
              <w:t>》</w:t>
            </w:r>
            <w:r>
              <w:rPr>
                <w:rFonts w:ascii="宋体" w:hAnsi="宋体" w:cs="宋体" w:eastAsia="宋体" w:hint="default"/>
                <w:spacing w:val="4"/>
                <w:sz w:val="18"/>
                <w:szCs w:val="18"/>
              </w:rPr>
              <w:t>。</w:t>
            </w:r>
            <w:r>
              <w:rPr>
                <w:rFonts w:ascii="宋体" w:hAnsi="宋体" w:cs="宋体" w:eastAsia="宋体" w:hint="default"/>
                <w:spacing w:val="2"/>
                <w:sz w:val="18"/>
                <w:szCs w:val="18"/>
              </w:rPr>
              <w:t>如</w:t>
            </w:r>
            <w:r>
              <w:rPr>
                <w:rFonts w:ascii="宋体" w:hAnsi="宋体" w:cs="宋体" w:eastAsia="宋体" w:hint="default"/>
                <w:spacing w:val="4"/>
                <w:sz w:val="18"/>
                <w:szCs w:val="18"/>
              </w:rPr>
              <w:t>万</w:t>
            </w:r>
            <w:r>
              <w:rPr>
                <w:rFonts w:ascii="宋体" w:hAnsi="宋体" w:cs="宋体" w:eastAsia="宋体" w:hint="default"/>
                <w:spacing w:val="2"/>
                <w:sz w:val="18"/>
                <w:szCs w:val="18"/>
              </w:rPr>
              <w:t>马股份</w:t>
            </w:r>
            <w:r>
              <w:rPr>
                <w:rFonts w:ascii="宋体" w:hAnsi="宋体" w:cs="宋体" w:eastAsia="宋体" w:hint="default"/>
                <w:spacing w:val="4"/>
                <w:sz w:val="18"/>
                <w:szCs w:val="18"/>
              </w:rPr>
              <w:t>公</w:t>
            </w:r>
            <w:r>
              <w:rPr>
                <w:rFonts w:ascii="宋体" w:hAnsi="宋体" w:cs="宋体" w:eastAsia="宋体" w:hint="default"/>
                <w:spacing w:val="2"/>
                <w:sz w:val="18"/>
                <w:szCs w:val="18"/>
              </w:rPr>
              <w:t>司合并</w:t>
            </w:r>
            <w:r>
              <w:rPr>
                <w:rFonts w:ascii="宋体" w:hAnsi="宋体" w:cs="宋体" w:eastAsia="宋体" w:hint="default"/>
                <w:sz w:val="18"/>
                <w:szCs w:val="18"/>
              </w:rPr>
              <w:t>财</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--我们审阅万马股份公司套期会计的核算程序，评估</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z w:val="18"/>
                <w:szCs w:val="18"/>
              </w:rPr>
              <w:t>务报表附注七、56</w:t>
            </w:r>
            <w:r>
              <w:rPr>
                <w:rFonts w:ascii="宋体" w:hAnsi="宋体" w:cs="宋体" w:eastAsia="宋体" w:hint="default"/>
                <w:spacing w:val="-44"/>
                <w:sz w:val="18"/>
                <w:szCs w:val="18"/>
              </w:rPr>
              <w:t> </w:t>
            </w:r>
            <w:r>
              <w:rPr>
                <w:rFonts w:ascii="宋体" w:hAnsi="宋体" w:cs="宋体" w:eastAsia="宋体" w:hint="default"/>
                <w:sz w:val="18"/>
                <w:szCs w:val="18"/>
              </w:rPr>
              <w:t>所述，截止</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日，万马</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所采用套期会计政策的合理性。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股份公司套期工具累计利得或损失-58,636,705.11</w:t>
            </w:r>
            <w:r>
              <w:rPr>
                <w:rFonts w:ascii="宋体" w:hAnsi="宋体" w:cs="宋体" w:eastAsia="宋体" w:hint="default"/>
                <w:spacing w:val="-51"/>
                <w:sz w:val="18"/>
                <w:szCs w:val="18"/>
              </w:rPr>
              <w:t> </w:t>
            </w:r>
            <w:r>
              <w:rPr>
                <w:rFonts w:ascii="宋体" w:hAnsi="宋体" w:cs="宋体" w:eastAsia="宋体" w:hint="default"/>
                <w:spacing w:val="-21"/>
                <w:sz w:val="18"/>
                <w:szCs w:val="18"/>
              </w:rPr>
              <w:t>元，套</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6"/>
                <w:sz w:val="18"/>
                <w:szCs w:val="18"/>
              </w:rPr>
              <w:t>--我们取得万马股份公司套期会计业务台账核对至</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期储备余额-41,994,489.00</w:t>
            </w:r>
            <w:r>
              <w:rPr>
                <w:rFonts w:ascii="宋体" w:hAnsi="宋体" w:cs="宋体" w:eastAsia="宋体" w:hint="default"/>
                <w:spacing w:val="-49"/>
                <w:sz w:val="18"/>
                <w:szCs w:val="18"/>
              </w:rPr>
              <w:t> </w:t>
            </w:r>
            <w:r>
              <w:rPr>
                <w:rFonts w:ascii="宋体" w:hAnsi="宋体" w:cs="宋体" w:eastAsia="宋体" w:hint="default"/>
                <w:spacing w:val="-5"/>
                <w:sz w:val="18"/>
                <w:szCs w:val="18"/>
              </w:rPr>
              <w:t>元，涉及的金额比较大且套期</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期铜保证金账户对账单，检查分析套期损益的合理性。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会计处理较为复杂，故列为关键审计事项。</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--我们采用抽样方式，对被套期项目铜的采购核对至</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采购合同等支持性文件；通过与管理层讨论及审阅相关支</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持性文件，评估套期有效性的合理性。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--我们执行期铜保证金账户的函证程序，检查套期会</w:t>
            </w:r>
          </w:p>
        </w:tc>
      </w:tr>
      <w:tr>
        <w:trPr>
          <w:trHeight w:val="601" w:hRule="exact"/>
        </w:trPr>
        <w:tc>
          <w:tcPr>
            <w:tcW w:w="4699" w:type="dxa"/>
            <w:tcBorders>
              <w:top w:val="nil" w:sz="6" w:space="0" w:color="auto"/>
              <w:left w:val="single" w:sz="4" w:space="0" w:color="000000"/>
              <w:bottom w:val="single" w:sz="4" w:space="0" w:color="000000"/>
              <w:right w:val="single" w:sz="4" w:space="0" w:color="000000"/>
            </w:tcBorders>
          </w:tcPr>
          <w:p>
            <w:pPr/>
          </w:p>
        </w:tc>
        <w:tc>
          <w:tcPr>
            <w:tcW w:w="4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计相关科目期末余额的准确性。</w:t>
            </w:r>
          </w:p>
        </w:tc>
      </w:tr>
      <w:tr>
        <w:trPr>
          <w:trHeight w:val="329" w:hRule="exact"/>
        </w:trPr>
        <w:tc>
          <w:tcPr>
            <w:tcW w:w="9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b/>
                <w:bCs/>
                <w:sz w:val="18"/>
                <w:szCs w:val="18"/>
              </w:rPr>
              <w:t>3、商誉减值事项</w:t>
            </w:r>
            <w:r>
              <w:rPr>
                <w:rFonts w:ascii="宋体" w:hAnsi="宋体" w:cs="宋体" w:eastAsia="宋体" w:hint="default"/>
                <w:sz w:val="18"/>
                <w:szCs w:val="18"/>
              </w:rPr>
            </w:r>
          </w:p>
        </w:tc>
      </w:tr>
      <w:tr>
        <w:trPr>
          <w:trHeight w:val="329"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60"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63"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18" w:hRule="exact"/>
        </w:trPr>
        <w:tc>
          <w:tcPr>
            <w:tcW w:w="4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9"/>
                <w:sz w:val="18"/>
                <w:szCs w:val="18"/>
              </w:rPr>
              <w:t> </w:t>
            </w: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2"/>
                <w:sz w:val="18"/>
                <w:szCs w:val="18"/>
              </w:rPr>
              <w:t>日，万马股份公司非同一控制</w:t>
            </w:r>
          </w:p>
        </w:tc>
        <w:tc>
          <w:tcPr>
            <w:tcW w:w="4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pacing w:val="14"/>
                <w:sz w:val="18"/>
                <w:szCs w:val="18"/>
              </w:rPr>
              <w:t>下并购浙江万马集团特种电子电缆有限公司形成商誉</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--了解商誉减值评估管理的流程和控制；</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295,460,125.84</w:t>
            </w:r>
            <w:r>
              <w:rPr>
                <w:rFonts w:ascii="宋体" w:hAnsi="宋体" w:cs="宋体" w:eastAsia="宋体" w:hint="default"/>
                <w:spacing w:val="-43"/>
                <w:sz w:val="18"/>
                <w:szCs w:val="18"/>
              </w:rPr>
              <w:t> </w:t>
            </w:r>
            <w:r>
              <w:rPr>
                <w:rFonts w:ascii="宋体" w:hAnsi="宋体" w:cs="宋体" w:eastAsia="宋体" w:hint="default"/>
                <w:spacing w:val="-4"/>
                <w:sz w:val="18"/>
                <w:szCs w:val="18"/>
              </w:rPr>
              <w:t>元，因商誉金额重大，且商誉减值准备的</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6"/>
                <w:sz w:val="18"/>
                <w:szCs w:val="18"/>
              </w:rPr>
              <w:t>--评价管理层向外聘专家提供的数据的准确性及相</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计提涉及管理层的判断和估计，故为关键审计事项。</w:t>
            </w: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--评价商誉减值测试的估值方法、资产组划分的合理</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6"/>
                <w:sz w:val="18"/>
                <w:szCs w:val="18"/>
              </w:rPr>
              <w:t>--评价管理层采用的估值模型中采用的关键假设的</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适当性及所引用参数的合理性；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6"/>
                <w:sz w:val="18"/>
                <w:szCs w:val="18"/>
              </w:rPr>
              <w:t>--将预计未来现金流量现值时的基础数据与历史数</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据及其他支持性证据进行核对，并考虑合理性；</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--基于我们对事实和情况的了解，评价管理层在减值</w:t>
            </w:r>
          </w:p>
        </w:tc>
      </w:tr>
      <w:tr>
        <w:trPr>
          <w:trHeight w:val="312" w:hRule="exact"/>
        </w:trPr>
        <w:tc>
          <w:tcPr>
            <w:tcW w:w="4699" w:type="dxa"/>
            <w:tcBorders>
              <w:top w:val="nil" w:sz="6" w:space="0" w:color="auto"/>
              <w:left w:val="single" w:sz="4" w:space="0" w:color="000000"/>
              <w:bottom w:val="nil" w:sz="6" w:space="0" w:color="auto"/>
              <w:right w:val="single" w:sz="4" w:space="0" w:color="000000"/>
            </w:tcBorders>
          </w:tcPr>
          <w:p>
            <w:pPr/>
          </w:p>
        </w:tc>
        <w:tc>
          <w:tcPr>
            <w:tcW w:w="4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测试中预计未来现金流量现值时运用的重大估计和判断</w:t>
            </w:r>
          </w:p>
        </w:tc>
      </w:tr>
      <w:tr>
        <w:trPr>
          <w:trHeight w:val="316" w:hRule="exact"/>
        </w:trPr>
        <w:tc>
          <w:tcPr>
            <w:tcW w:w="4699" w:type="dxa"/>
            <w:tcBorders>
              <w:top w:val="nil" w:sz="6" w:space="0" w:color="auto"/>
              <w:left w:val="single" w:sz="4" w:space="0" w:color="000000"/>
              <w:bottom w:val="single" w:sz="4" w:space="0" w:color="000000"/>
              <w:right w:val="single" w:sz="4" w:space="0" w:color="000000"/>
            </w:tcBorders>
          </w:tcPr>
          <w:p>
            <w:pPr/>
          </w:p>
        </w:tc>
        <w:tc>
          <w:tcPr>
            <w:tcW w:w="4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的合理性。</w:t>
            </w:r>
          </w:p>
        </w:tc>
      </w:tr>
    </w:tbl>
    <w:p>
      <w:pPr>
        <w:pStyle w:val="Heading5"/>
        <w:spacing w:line="422" w:lineRule="auto" w:before="58"/>
        <w:ind w:left="554" w:right="1120" w:firstLine="139"/>
        <w:jc w:val="left"/>
      </w:pPr>
      <w:r>
        <w:rPr>
          <w:rFonts w:ascii="宋体" w:hAnsi="宋体" w:cs="宋体" w:eastAsia="宋体" w:hint="default"/>
          <w:b/>
          <w:bCs/>
        </w:rPr>
        <w:t>四、其他信息</w:t>
      </w:r>
      <w:r>
        <w:rPr>
          <w:rFonts w:ascii="宋体" w:hAnsi="宋体" w:cs="宋体" w:eastAsia="宋体" w:hint="default"/>
          <w:b/>
          <w:bCs/>
          <w:w w:val="100"/>
        </w:rPr>
        <w:t> </w:t>
      </w:r>
      <w:r>
        <w:rPr/>
        <w:t>万马股份公司管理层(以下简称管理层)对其他信息负责。其他信息包括万马股份公司</w:t>
      </w:r>
      <w:r>
        <w:rPr>
          <w:spacing w:val="-70"/>
        </w:rPr>
        <w:t> </w:t>
      </w:r>
      <w:r>
        <w:rPr/>
        <w:t>2018</w:t>
      </w:r>
      <w:r>
        <w:rPr>
          <w:spacing w:val="-68"/>
        </w:rPr>
        <w:t> </w:t>
      </w:r>
      <w:r>
        <w:rPr/>
        <w:t>年年</w:t>
      </w:r>
    </w:p>
    <w:p>
      <w:pPr>
        <w:pStyle w:val="Heading5"/>
        <w:spacing w:line="240" w:lineRule="auto" w:before="13"/>
        <w:ind w:right="0" w:firstLine="0"/>
        <w:jc w:val="left"/>
      </w:pPr>
      <w:r>
        <w:rPr/>
        <w:t>度报告中涵盖的信息，但不包括财务报表和我们的审计报告。</w:t>
      </w:r>
    </w:p>
    <w:p>
      <w:pPr>
        <w:spacing w:after="0" w:line="240" w:lineRule="auto"/>
        <w:jc w:val="left"/>
        <w:sectPr>
          <w:pgSz w:w="11910" w:h="16840"/>
          <w:pgMar w:header="890" w:footer="1012" w:top="1480" w:bottom="1200" w:left="1020" w:right="0"/>
        </w:sectPr>
      </w:pPr>
    </w:p>
    <w:p>
      <w:pPr>
        <w:pStyle w:val="Heading5"/>
        <w:spacing w:line="391" w:lineRule="auto" w:before="113"/>
        <w:ind w:right="1120"/>
        <w:jc w:val="left"/>
      </w:pPr>
      <w:r>
        <w:rPr>
          <w:spacing w:val="-2"/>
        </w:rPr>
        <w:t>我们对财务报表发表的审计意见不涵盖其他信息，我们也不对其他信息发表任何形式的鉴证结</w:t>
      </w:r>
      <w:r>
        <w:rPr>
          <w:w w:val="100"/>
        </w:rPr>
        <w:t> </w:t>
      </w:r>
      <w:r>
        <w:rPr/>
        <w:t>论。</w:t>
      </w:r>
    </w:p>
    <w:p>
      <w:pPr>
        <w:pStyle w:val="Heading5"/>
        <w:spacing w:line="391" w:lineRule="auto" w:before="82"/>
        <w:ind w:right="1130"/>
        <w:jc w:val="both"/>
      </w:pPr>
      <w:r>
        <w:rPr>
          <w:spacing w:val="-3"/>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pStyle w:val="Heading5"/>
        <w:spacing w:line="391" w:lineRule="auto" w:before="82"/>
        <w:ind w:right="0"/>
        <w:jc w:val="left"/>
      </w:pPr>
      <w:r>
        <w:rPr>
          <w:spacing w:val="-6"/>
        </w:rPr>
        <w:t>基于我们已执行的工作，如果我们确定其他信息存在重大错报，我们应当报告该事实。在这方面，</w:t>
      </w:r>
      <w:r>
        <w:rPr>
          <w:w w:val="100"/>
        </w:rPr>
        <w:t> </w:t>
      </w:r>
      <w:r>
        <w:rPr/>
        <w:t>我们无任何事项需要报告。</w:t>
      </w:r>
    </w:p>
    <w:p>
      <w:pPr>
        <w:spacing w:line="424" w:lineRule="auto" w:before="80"/>
        <w:ind w:left="554" w:right="0" w:firstLine="139"/>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100"/>
          <w:sz w:val="22"/>
          <w:szCs w:val="22"/>
        </w:rPr>
        <w:t> </w:t>
      </w:r>
      <w:r>
        <w:rPr>
          <w:rFonts w:ascii="宋体" w:hAnsi="宋体" w:cs="宋体" w:eastAsia="宋体" w:hint="default"/>
          <w:spacing w:val="-3"/>
          <w:sz w:val="22"/>
          <w:szCs w:val="22"/>
        </w:rPr>
        <w:t>管理层负责按照企业会计准则的规定编制财务报表，使其实现公允反映，并设计、执行和维护必</w:t>
      </w:r>
    </w:p>
    <w:p>
      <w:pPr>
        <w:pStyle w:val="Heading5"/>
        <w:spacing w:line="424" w:lineRule="auto" w:before="10"/>
        <w:ind w:left="554" w:right="0" w:hanging="442"/>
        <w:jc w:val="left"/>
      </w:pPr>
      <w:r>
        <w:rPr/>
        <w:t>要的内部控制，以使财务报表不存在由于舞弊或错误导致的重大错报。</w:t>
      </w:r>
      <w:r>
        <w:rPr>
          <w:w w:val="100"/>
        </w:rPr>
        <w:t> </w:t>
      </w:r>
      <w:r>
        <w:rPr>
          <w:spacing w:val="-3"/>
        </w:rPr>
        <w:t>在编制财务报表时，管理层负责评估万马股份公司的持续经营能力，披露与持续经营相关的事项</w:t>
      </w:r>
    </w:p>
    <w:p>
      <w:pPr>
        <w:pStyle w:val="Heading5"/>
        <w:spacing w:line="391" w:lineRule="auto" w:before="10"/>
        <w:ind w:right="1120" w:firstLine="0"/>
        <w:jc w:val="left"/>
      </w:pPr>
      <w:r>
        <w:rPr>
          <w:spacing w:val="-3"/>
          <w:w w:val="100"/>
        </w:rPr>
        <w:t>（如适用），并运用持续经营假设，除非管理层计划清算万马股份公司、终止运营或别无其他现实的</w:t>
      </w:r>
      <w:r>
        <w:rPr>
          <w:spacing w:val="-90"/>
          <w:w w:val="100"/>
        </w:rPr>
        <w:t> </w:t>
      </w:r>
      <w:r>
        <w:rPr>
          <w:spacing w:val="-90"/>
          <w:w w:val="100"/>
        </w:rPr>
      </w:r>
      <w:r>
        <w:rPr/>
        <w:t>选择。</w:t>
      </w:r>
    </w:p>
    <w:p>
      <w:pPr>
        <w:spacing w:line="424" w:lineRule="auto" w:before="80"/>
        <w:ind w:left="693" w:right="5714" w:hanging="140"/>
        <w:jc w:val="left"/>
        <w:rPr>
          <w:rFonts w:ascii="宋体" w:hAnsi="宋体" w:cs="宋体" w:eastAsia="宋体" w:hint="default"/>
          <w:sz w:val="22"/>
          <w:szCs w:val="22"/>
        </w:rPr>
      </w:pPr>
      <w:r>
        <w:rPr>
          <w:rFonts w:ascii="宋体" w:hAnsi="宋体" w:cs="宋体" w:eastAsia="宋体" w:hint="default"/>
          <w:spacing w:val="-2"/>
          <w:sz w:val="22"/>
          <w:szCs w:val="22"/>
        </w:rPr>
        <w:t>治理层负责监督万马股份公司的财务报告过程。</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Heading5"/>
        <w:spacing w:line="391" w:lineRule="auto" w:before="51"/>
        <w:ind w:right="1130"/>
        <w:jc w:val="both"/>
      </w:pPr>
      <w:r>
        <w:rPr>
          <w:spacing w:val="-3"/>
        </w:rPr>
        <w:t>我们的目标是对财务报表整体是否不存在由于舞弊或错误导致的重大错报获取合理保证，并出具</w:t>
      </w:r>
      <w:r>
        <w:rPr>
          <w:w w:val="100"/>
        </w:rPr>
        <w:t> </w:t>
      </w:r>
      <w:r>
        <w:rPr>
          <w:spacing w:val="-3"/>
        </w:rPr>
        <w:t>包含审计意见的审计报告。合理保证是高水平的保证，但并不能保证按照审计准则执行的审计在某一</w:t>
      </w:r>
      <w:r>
        <w:rPr>
          <w:spacing w:val="-45"/>
        </w:rPr>
        <w:t> </w:t>
      </w:r>
      <w:r>
        <w:rPr>
          <w:spacing w:val="-45"/>
        </w:rPr>
      </w:r>
      <w:r>
        <w:rPr>
          <w:spacing w:val="-3"/>
        </w:rPr>
        <w:t>重大错报存在时总能发现。错报可能由于舞弊或错误导致，如果合理预期错报单独或汇总起来可能影</w:t>
      </w:r>
      <w:r>
        <w:rPr>
          <w:spacing w:val="-47"/>
        </w:rPr>
        <w:t> </w:t>
      </w:r>
      <w:r>
        <w:rPr>
          <w:spacing w:val="-47"/>
        </w:rPr>
      </w:r>
      <w:r>
        <w:rPr/>
        <w:t>响财务报表使用者依据财务报表作出的经济决策，则通常认为错报是重大的。</w:t>
      </w:r>
    </w:p>
    <w:p>
      <w:pPr>
        <w:pStyle w:val="Heading5"/>
        <w:spacing w:line="391" w:lineRule="auto" w:before="80"/>
        <w:ind w:right="1130"/>
        <w:jc w:val="both"/>
      </w:pPr>
      <w:r>
        <w:rPr>
          <w:spacing w:val="-3"/>
        </w:rPr>
        <w:t>在按照审计准则执行审计工作的过程中，我们运用职业判断，并保持职业怀疑。同时，我们也执</w:t>
      </w:r>
      <w:r>
        <w:rPr>
          <w:w w:val="100"/>
        </w:rPr>
        <w:t> </w:t>
      </w:r>
      <w:r>
        <w:rPr/>
        <w:t>行以下工作：</w:t>
      </w:r>
    </w:p>
    <w:p>
      <w:pPr>
        <w:pStyle w:val="Heading5"/>
        <w:spacing w:line="391" w:lineRule="auto" w:before="82"/>
        <w:ind w:right="1089"/>
        <w:jc w:val="both"/>
      </w:pPr>
      <w:r>
        <w:rPr/>
        <w:t>（1）识别和评估由于舞弊或错误导致的财务报表重大错报风险，设计和实施审计程序以应对这</w:t>
      </w:r>
      <w:r>
        <w:rPr>
          <w:w w:val="100"/>
        </w:rPr>
        <w:t> </w:t>
      </w:r>
      <w:r>
        <w:rPr>
          <w:spacing w:val="-2"/>
        </w:rPr>
        <w:t>些风险，并获取充分、适当的审计证据，作为发表审计意见的基础。由于舞弊可能涉及串通、伪造、</w:t>
      </w:r>
      <w:r>
        <w:rPr>
          <w:spacing w:val="-48"/>
        </w:rPr>
        <w:t> </w:t>
      </w:r>
      <w:r>
        <w:rPr>
          <w:spacing w:val="-48"/>
        </w:rPr>
      </w:r>
      <w:r>
        <w:rPr>
          <w:spacing w:val="-3"/>
        </w:rPr>
        <w:t>故意遗漏、虚假陈述或凌驾于内部控制之上，未能发现由于舞弊导致的重大错报的风险高于未能发现</w:t>
      </w:r>
      <w:r>
        <w:rPr>
          <w:spacing w:val="-47"/>
        </w:rPr>
        <w:t> </w:t>
      </w:r>
      <w:r>
        <w:rPr>
          <w:spacing w:val="-47"/>
        </w:rPr>
      </w:r>
      <w:r>
        <w:rPr/>
        <w:t>由于错误导致的重大错报的风险。</w:t>
      </w:r>
    </w:p>
    <w:p>
      <w:pPr>
        <w:pStyle w:val="Heading5"/>
        <w:spacing w:line="391" w:lineRule="auto" w:before="82"/>
        <w:ind w:right="1120"/>
        <w:jc w:val="left"/>
      </w:pPr>
      <w:r>
        <w:rPr>
          <w:spacing w:val="-2"/>
        </w:rPr>
        <w:t>（2）了解与审计相关的内部控制，以设计恰当的审计程序，但目的并非对内部控制的有效性发</w:t>
      </w:r>
      <w:r>
        <w:rPr>
          <w:w w:val="100"/>
        </w:rPr>
        <w:t> </w:t>
      </w:r>
      <w:r>
        <w:rPr/>
        <w:t>表意见。</w:t>
      </w:r>
    </w:p>
    <w:p>
      <w:pPr>
        <w:spacing w:after="0" w:line="391" w:lineRule="auto"/>
        <w:jc w:val="left"/>
        <w:sectPr>
          <w:pgSz w:w="11910" w:h="16840"/>
          <w:pgMar w:header="890" w:footer="1012" w:top="14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3"/>
        <w:ind w:left="554" w:right="0" w:firstLine="0"/>
        <w:jc w:val="left"/>
      </w:pPr>
      <w:r>
        <w:rPr/>
        <w:t>（3）评价管理层选用会计政策的恰当性和作出会计估计及相关披露的合理性。</w:t>
      </w:r>
    </w:p>
    <w:p>
      <w:pPr>
        <w:spacing w:line="240" w:lineRule="auto" w:before="5"/>
        <w:rPr>
          <w:rFonts w:ascii="宋体" w:hAnsi="宋体" w:cs="宋体" w:eastAsia="宋体" w:hint="default"/>
          <w:sz w:val="29"/>
          <w:szCs w:val="29"/>
        </w:rPr>
      </w:pPr>
    </w:p>
    <w:p>
      <w:pPr>
        <w:pStyle w:val="Heading5"/>
        <w:spacing w:line="300" w:lineRule="auto"/>
        <w:ind w:right="1130"/>
        <w:jc w:val="both"/>
      </w:pPr>
      <w:r>
        <w:rPr/>
        <w:t>（4）对管理层使用持续经营假设的恰当性得出结论。同时，根据获取的审计证据，就可能导致</w:t>
      </w:r>
      <w:r>
        <w:rPr>
          <w:w w:val="100"/>
        </w:rPr>
        <w:t> </w:t>
      </w:r>
      <w:r>
        <w:rPr>
          <w:spacing w:val="-3"/>
        </w:rPr>
        <w:t>对万马股份公司持续经营能力产生重大疑虑的事项或情况是否存在重大不确定性得出结论。如果我们</w:t>
      </w:r>
      <w:r>
        <w:rPr>
          <w:spacing w:val="-44"/>
        </w:rPr>
        <w:t> </w:t>
      </w:r>
      <w:r>
        <w:rPr>
          <w:spacing w:val="-44"/>
        </w:rPr>
      </w:r>
      <w:r>
        <w:rPr>
          <w:spacing w:val="-3"/>
        </w:rPr>
        <w:t>得出结论认为存在重大不确定性，审计准则要求我们在审计报告中提请报表使用者注意财务报表中的</w:t>
      </w:r>
      <w:r>
        <w:rPr>
          <w:spacing w:val="-46"/>
        </w:rPr>
        <w:t> </w:t>
      </w:r>
      <w:r>
        <w:rPr>
          <w:spacing w:val="-46"/>
        </w:rPr>
      </w:r>
      <w:r>
        <w:rPr>
          <w:spacing w:val="-3"/>
        </w:rPr>
        <w:t>相关披露；如果披露不充分，我们应当发表非无保留意见。我们的结论基于截至审计报告日可获得的</w:t>
      </w:r>
      <w:r>
        <w:rPr>
          <w:spacing w:val="-47"/>
        </w:rPr>
        <w:t> </w:t>
      </w:r>
      <w:r>
        <w:rPr>
          <w:spacing w:val="-47"/>
        </w:rPr>
      </w:r>
      <w:r>
        <w:rPr/>
        <w:t>信息。然而，未来的事项或情况可能导致万马股份公司不能持续经营。</w:t>
      </w:r>
    </w:p>
    <w:p>
      <w:pPr>
        <w:spacing w:line="240" w:lineRule="auto" w:before="2"/>
        <w:rPr>
          <w:rFonts w:ascii="宋体" w:hAnsi="宋体" w:cs="宋体" w:eastAsia="宋体" w:hint="default"/>
          <w:sz w:val="25"/>
          <w:szCs w:val="25"/>
        </w:rPr>
      </w:pPr>
    </w:p>
    <w:p>
      <w:pPr>
        <w:pStyle w:val="Heading5"/>
        <w:spacing w:line="300" w:lineRule="auto"/>
        <w:ind w:right="1120"/>
        <w:jc w:val="left"/>
      </w:pPr>
      <w:r>
        <w:rPr>
          <w:spacing w:val="-6"/>
          <w:w w:val="100"/>
        </w:rPr>
        <w:t>（5）评价财务报表的总体列报、结构和内容（包括披露），并评价财务报表是否公允反映相关交</w:t>
      </w:r>
      <w:r>
        <w:rPr>
          <w:w w:val="100"/>
        </w:rPr>
        <w:t> </w:t>
      </w:r>
      <w:r>
        <w:rPr/>
        <w:t>易和事项。</w:t>
      </w:r>
    </w:p>
    <w:p>
      <w:pPr>
        <w:spacing w:line="240" w:lineRule="auto" w:before="2"/>
        <w:rPr>
          <w:rFonts w:ascii="宋体" w:hAnsi="宋体" w:cs="宋体" w:eastAsia="宋体" w:hint="default"/>
          <w:sz w:val="25"/>
          <w:szCs w:val="25"/>
        </w:rPr>
      </w:pPr>
    </w:p>
    <w:p>
      <w:pPr>
        <w:pStyle w:val="Heading5"/>
        <w:spacing w:line="300" w:lineRule="auto"/>
        <w:ind w:right="0"/>
        <w:jc w:val="left"/>
      </w:pPr>
      <w:r>
        <w:rPr>
          <w:spacing w:val="-3"/>
        </w:rPr>
        <w:t>（6)就万马股份公司中实体或业务活动的财务信息获取充分、适当的审计证据，以对财务报表发</w:t>
      </w:r>
      <w:r>
        <w:rPr>
          <w:w w:val="100"/>
        </w:rPr>
        <w:t> </w:t>
      </w:r>
      <w:r>
        <w:rPr/>
        <w:t>表审计意见。我们负责指导、监督和执行集团审计，并对审计意见承担全部责任。</w:t>
      </w:r>
    </w:p>
    <w:p>
      <w:pPr>
        <w:spacing w:line="240" w:lineRule="auto" w:before="2"/>
        <w:rPr>
          <w:rFonts w:ascii="宋体" w:hAnsi="宋体" w:cs="宋体" w:eastAsia="宋体" w:hint="default"/>
          <w:sz w:val="25"/>
          <w:szCs w:val="25"/>
        </w:rPr>
      </w:pPr>
    </w:p>
    <w:p>
      <w:pPr>
        <w:pStyle w:val="Heading5"/>
        <w:spacing w:line="300" w:lineRule="auto"/>
        <w:ind w:right="0"/>
        <w:jc w:val="left"/>
      </w:pPr>
      <w:r>
        <w:rPr>
          <w:spacing w:val="-3"/>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2"/>
        <w:rPr>
          <w:rFonts w:ascii="宋体" w:hAnsi="宋体" w:cs="宋体" w:eastAsia="宋体" w:hint="default"/>
          <w:sz w:val="25"/>
          <w:szCs w:val="25"/>
        </w:rPr>
      </w:pPr>
    </w:p>
    <w:p>
      <w:pPr>
        <w:pStyle w:val="Heading5"/>
        <w:spacing w:line="300" w:lineRule="auto"/>
        <w:ind w:right="0"/>
        <w:jc w:val="left"/>
      </w:pPr>
      <w:r>
        <w:rPr>
          <w:spacing w:val="-3"/>
        </w:rPr>
        <w:t>我们还就已遵守与独立性相关的职业道德要求向治理层提供声明，并与治理层沟通可能被合理认</w:t>
      </w:r>
      <w:r>
        <w:rPr>
          <w:w w:val="100"/>
        </w:rPr>
        <w:t> </w:t>
      </w:r>
      <w:r>
        <w:rPr>
          <w:spacing w:val="-5"/>
          <w:w w:val="100"/>
        </w:rPr>
        <w:t>为影响我们独立性的所有关系和其他事项，以及相关的防范措施（如适用）。</w:t>
      </w:r>
    </w:p>
    <w:p>
      <w:pPr>
        <w:spacing w:line="240" w:lineRule="auto" w:before="2"/>
        <w:rPr>
          <w:rFonts w:ascii="宋体" w:hAnsi="宋体" w:cs="宋体" w:eastAsia="宋体" w:hint="default"/>
          <w:sz w:val="25"/>
          <w:szCs w:val="25"/>
        </w:rPr>
      </w:pPr>
    </w:p>
    <w:p>
      <w:pPr>
        <w:pStyle w:val="Heading5"/>
        <w:spacing w:line="300" w:lineRule="auto"/>
        <w:ind w:right="0"/>
        <w:jc w:val="left"/>
      </w:pPr>
      <w:r>
        <w:rPr>
          <w:spacing w:val="-3"/>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62"/>
        </w:rPr>
        <w:t> </w:t>
      </w:r>
      <w:r>
        <w:rPr>
          <w:spacing w:val="-62"/>
        </w:rPr>
      </w:r>
      <w:r>
        <w:rPr>
          <w:spacing w:val="-3"/>
        </w:rPr>
        <w:t>如果合理预期在审计报告中沟通某事项造成的负面后果超过在公众利益方面产生的益处，我们确定不</w:t>
      </w:r>
      <w:r>
        <w:rPr>
          <w:spacing w:val="-45"/>
        </w:rPr>
        <w:t> </w:t>
      </w:r>
      <w:r>
        <w:rPr>
          <w:spacing w:val="-45"/>
        </w:rPr>
      </w:r>
      <w:r>
        <w:rPr/>
        <w:t>应在审计报告中沟通该事项。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5"/>
        <w:tabs>
          <w:tab w:pos="4941" w:val="left" w:leader="none"/>
        </w:tabs>
        <w:spacing w:line="240" w:lineRule="auto"/>
        <w:ind w:right="0" w:firstLine="0"/>
        <w:jc w:val="left"/>
      </w:pPr>
      <w:r>
        <w:rPr>
          <w:spacing w:val="-2"/>
        </w:rPr>
        <w:t>信永中和会计师事务所(特殊普通合伙)</w:t>
        <w:tab/>
        <w:t>中国注册会计师：</w:t>
      </w:r>
    </w:p>
    <w:p>
      <w:pPr>
        <w:spacing w:line="240" w:lineRule="auto" w:before="9"/>
        <w:rPr>
          <w:rFonts w:ascii="宋体" w:hAnsi="宋体" w:cs="宋体" w:eastAsia="宋体" w:hint="default"/>
          <w:sz w:val="25"/>
          <w:szCs w:val="25"/>
        </w:rPr>
      </w:pPr>
    </w:p>
    <w:p>
      <w:pPr>
        <w:pStyle w:val="Heading5"/>
        <w:spacing w:line="240" w:lineRule="auto"/>
        <w:ind w:left="1778" w:right="1020" w:firstLine="0"/>
        <w:jc w:val="center"/>
      </w:pPr>
      <w:r>
        <w:rPr/>
        <w:t>（项目合伙人）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pStyle w:val="Heading5"/>
        <w:spacing w:line="240" w:lineRule="auto"/>
        <w:ind w:left="1778" w:right="1020" w:firstLine="0"/>
        <w:jc w:val="center"/>
      </w:pPr>
      <w:r>
        <w:rPr/>
        <w:t>中国注册会计师：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3"/>
          <w:szCs w:val="23"/>
        </w:rPr>
      </w:pPr>
    </w:p>
    <w:p>
      <w:pPr>
        <w:pStyle w:val="Heading5"/>
        <w:tabs>
          <w:tab w:pos="839" w:val="left" w:leader="none"/>
          <w:tab w:pos="3422" w:val="left" w:leader="none"/>
        </w:tabs>
        <w:spacing w:line="240" w:lineRule="auto"/>
        <w:ind w:left="0" w:right="2003" w:firstLine="0"/>
        <w:jc w:val="center"/>
      </w:pPr>
      <w:r>
        <w:rPr>
          <w:spacing w:val="-1"/>
        </w:rPr>
        <w:t>中国</w:t>
        <w:tab/>
        <w:t>北京</w:t>
        <w:tab/>
      </w:r>
      <w:r>
        <w:rPr>
          <w:spacing w:val="-2"/>
        </w:rPr>
        <w:t>二○一九年四月二十五日</w:t>
      </w:r>
    </w:p>
    <w:p>
      <w:pPr>
        <w:spacing w:after="0" w:line="240" w:lineRule="auto"/>
        <w:jc w:val="center"/>
        <w:sectPr>
          <w:pgSz w:w="11910" w:h="16840"/>
          <w:pgMar w:header="890" w:footer="1012" w:top="1420" w:bottom="1200" w:left="1020" w:right="0"/>
        </w:sectPr>
      </w:pPr>
    </w:p>
    <w:p>
      <w:pPr>
        <w:pStyle w:val="Heading3"/>
        <w:spacing w:line="240" w:lineRule="auto" w:before="20"/>
        <w:ind w:right="-20"/>
        <w:jc w:val="left"/>
      </w:pPr>
      <w:r>
        <w:rPr/>
        <w:t>二、财务报表</w:t>
      </w:r>
    </w:p>
    <w:p>
      <w:pPr>
        <w:pStyle w:val="BodyText"/>
        <w:spacing w:line="240" w:lineRule="auto" w:before="85"/>
        <w:ind w:right="-20"/>
        <w:jc w:val="left"/>
      </w:pPr>
      <w:r>
        <w:rPr/>
        <w:t>财务附注中报表的单位为：人民币元</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6"/>
        <w:spacing w:line="240" w:lineRule="auto" w:before="171"/>
        <w:ind w:left="141" w:right="0"/>
        <w:jc w:val="left"/>
        <w:rPr>
          <w:b w:val="0"/>
          <w:bCs w:val="0"/>
        </w:rPr>
      </w:pPr>
      <w:bookmarkStart w:name="1、合并资产负债表" w:id="171"/>
      <w:bookmarkEnd w:id="171"/>
      <w:r>
        <w:rPr>
          <w:b w:val="0"/>
          <w:bCs w:val="0"/>
        </w:rPr>
      </w:r>
      <w:r>
        <w:rPr>
          <w:rFonts w:ascii="Times New Roman" w:hAnsi="Times New Roman" w:cs="Times New Roman" w:eastAsia="Times New Roman" w:hint="default"/>
        </w:rPr>
        <w:t>1</w:t>
      </w:r>
      <w:r>
        <w:rPr/>
        <w:t>、合并资产负债表</w:t>
      </w:r>
      <w:r>
        <w:rPr>
          <w:b w:val="0"/>
          <w:bCs w:val="0"/>
        </w:rPr>
      </w:r>
    </w:p>
    <w:p>
      <w:pPr>
        <w:pStyle w:val="BodyText"/>
        <w:spacing w:line="240" w:lineRule="auto" w:before="46"/>
        <w:ind w:right="0"/>
        <w:jc w:val="left"/>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40" w:lineRule="auto"/>
        <w:jc w:val="left"/>
        <w:sectPr>
          <w:pgSz w:w="11910" w:h="16840"/>
          <w:pgMar w:header="890" w:footer="1012" w:top="1420" w:bottom="1200" w:left="1020" w:right="0"/>
          <w:cols w:num="2" w:equalWidth="0">
            <w:col w:w="2993" w:space="904"/>
            <w:col w:w="6993"/>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8752" w:val="left" w:leader="none"/>
        </w:tabs>
        <w:spacing w:line="240" w:lineRule="auto"/>
        <w:ind w:right="0"/>
        <w:jc w:val="left"/>
      </w:pPr>
      <w:r>
        <w:rPr/>
        <w:t>编制单位：浙江万马股份有限公司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40"/>
        <w:gridCol w:w="2560"/>
        <w:gridCol w:w="2368"/>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911,828,018.69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961,549,476.45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84,793,811.08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69,276,454.50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3,312,588,942.28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3,201,931,157.28</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500,952,928.45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626,149,328.98</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2,811,636,013.83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2,575,781,828.30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80,960,788.12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98,260,433.35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157,160,615.86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157,986,915.31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822,027.24</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872,933,627.56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834,818,671.54</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234,515,371.16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266,710,495.36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5,654,781,174.75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5,590,533,603.79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27,039,765.00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26,539,765.00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24,813,537.21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24,750,493.69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15,934,545.27</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953,397,942.10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753,786,257.05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155,191,685.63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130,303,554.55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160,835,259.61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169,178,157.87</w:t>
            </w:r>
          </w:p>
        </w:tc>
      </w:tr>
      <w:tr>
        <w:trPr>
          <w:trHeight w:val="320"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15,629,549.65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8,336,575.64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700" w:left="1020" w:right="0"/>
        </w:sectPr>
      </w:pPr>
    </w:p>
    <w:tbl>
      <w:tblPr>
        <w:tblW w:w="0" w:type="auto"/>
        <w:jc w:val="left"/>
        <w:tblInd w:w="109" w:type="dxa"/>
        <w:tblLayout w:type="fixed"/>
        <w:tblCellMar>
          <w:top w:w="0" w:type="dxa"/>
          <w:left w:w="0" w:type="dxa"/>
          <w:bottom w:w="0" w:type="dxa"/>
          <w:right w:w="0" w:type="dxa"/>
        </w:tblCellMar>
        <w:tblLook w:val="01E0"/>
      </w:tblPr>
      <w:tblGrid>
        <w:gridCol w:w="4640"/>
        <w:gridCol w:w="2560"/>
        <w:gridCol w:w="2368"/>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274,546,423.46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295,460,125.84</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13,300,132.44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16,027,115.51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48,307,401.99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28,308,508.64</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1,688,996,242.36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1,452,690,553.79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7,343,777,417.11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7,043,224,157.58</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1,195,332,476.13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1,254,528,828.04</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855,651.36</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1,335,366,397.45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866,854,997.65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199,852,640.37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168,296,604.18</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70,393,279.10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68,132,428.90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19,955,176.92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31,328,598.11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130,872,014.85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123,034,064.51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11,934,866.34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9,586,849.36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299,853,758.13</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24,510,982.45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25,932,117.42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3,276,992,376.76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2,538,107,638.81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299,502,699.82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31,074,961.98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10,714,050.65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2,322,773.87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8,092,841.67</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33,397,735.85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518,309,592.14</w:t>
            </w:r>
          </w:p>
        </w:tc>
      </w:tr>
      <w:tr>
        <w:trPr>
          <w:trHeight w:val="320"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3,310,390,112.61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3,056,417,230.95</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640"/>
        <w:gridCol w:w="2560"/>
        <w:gridCol w:w="2368"/>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1,035,489,098.00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1,035,489,098.00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1,555,197,713.12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1,554,415,357.19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-35,709,017.16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35,616,950.40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222,369,887.21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200,447,160.55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0"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1,238,073,456.06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1,148,281,471.50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4,015,421,137.23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3,974,250,037.64</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17,966,167.27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12,556,888.99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4,033,387,304.50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3,986,806,926.63</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7,343,777,417.11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7,043,224,157.58</w:t>
            </w:r>
          </w:p>
        </w:tc>
      </w:tr>
    </w:tbl>
    <w:p>
      <w:pPr>
        <w:spacing w:line="240" w:lineRule="auto" w:before="4"/>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1118"/>
        <w:jc w:val="center"/>
      </w:pPr>
      <w:r>
        <w:rPr/>
        <w:t>法定代表人：何若虚</w:t>
        <w:tab/>
        <w:t>主管会计工作负责人：许刚</w:t>
        <w:tab/>
        <w:t>会计机构负责人：丁大雷</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6"/>
        <w:spacing w:line="240" w:lineRule="auto"/>
        <w:ind w:left="0" w:right="1012"/>
        <w:jc w:val="center"/>
        <w:rPr>
          <w:b w:val="0"/>
          <w:bCs w:val="0"/>
        </w:rPr>
      </w:pPr>
      <w:r>
        <w:rPr>
          <w:rFonts w:ascii="Times New Roman" w:hAnsi="Times New Roman" w:cs="Times New Roman" w:eastAsia="Times New Roman" w:hint="default"/>
        </w:rPr>
        <w:t>2</w:t>
      </w:r>
      <w:r>
        <w:rPr/>
        <w:t>、</w:t>
      </w:r>
      <w:bookmarkStart w:name="2、母公司资产负债表" w:id="172"/>
      <w:bookmarkEnd w:id="172"/>
      <w:r>
        <w:rPr/>
        <w:t>母</w:t>
      </w:r>
      <w:r>
        <w:rPr/>
        <w:t>公司资产负债表</w:t>
      </w:r>
      <w:r>
        <w:rPr>
          <w:b w:val="0"/>
          <w:bCs w:val="0"/>
        </w:rPr>
      </w:r>
    </w:p>
    <w:p>
      <w:pPr>
        <w:pStyle w:val="BodyText"/>
        <w:spacing w:line="240" w:lineRule="auto" w:before="87"/>
        <w:ind w:left="0" w:right="1017"/>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tabs>
          <w:tab w:pos="8731" w:val="left" w:leader="none"/>
        </w:tabs>
        <w:spacing w:line="240" w:lineRule="auto" w:before="103"/>
        <w:ind w:left="0" w:right="1207"/>
        <w:jc w:val="center"/>
      </w:pPr>
      <w:r>
        <w:rPr/>
        <w:t>编制单位：浙江万马股份有限公司</w:t>
        <w:tab/>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40"/>
        <w:gridCol w:w="2600"/>
        <w:gridCol w:w="2328"/>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403,596,290.59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285,441,342.22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83,077,426.00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69,276,454.50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2,043,759,456.96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1,888,370,851.81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164,690,589.86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227,663,551.42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1,879,068,867.10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1,660,707,300.39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38,124,995.76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45,630,207.01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373,895,357.92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809,161,217.66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581,641.79</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663,853,974.28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626,863,971.20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7,996,437.00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127,411,661.45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3,614,303,938.51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3,852,155,705.85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4640"/>
        <w:gridCol w:w="2600"/>
        <w:gridCol w:w="2328"/>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1,825,747,212.77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1,197,383,637.91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332,470,314.15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312,417,285.55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13,146,225.16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26,462,379.63</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73,505,520.73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76,106,679.78</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5,015,289.91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5,179,636.42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27,521,761.00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16,895,884.87</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2,277,906,323.72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1,634,445,504.16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5,892,210,262.23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5,486,601,210.01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1,018,802,024.73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1,144,528,828.04</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814,549,494.41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318,643,760.87</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165,390,236.58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134,758,494.60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17,236,484.71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17,284,451.39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7,629,974.75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6,384,072.41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63,326,020.43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59,977,577.56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11,677,888.54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9,586,849.36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299,853,758.13</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11,634,144.43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16,910,095.86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2,398,422,138.17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1,698,487,280.73</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299,502,699.82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1,050,000.00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1,770,000.00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6,295,955.51</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1,050,000.00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307,568,655.33</w:t>
            </w:r>
          </w:p>
        </w:tc>
      </w:tr>
      <w:tr>
        <w:trPr>
          <w:trHeight w:val="320"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2,399,472,138.17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2,006,055,936.06</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640"/>
        <w:gridCol w:w="2600"/>
        <w:gridCol w:w="2328"/>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1,035,489,098.00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1,035,489,098.00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1,717,724,514.22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1,716,942,158.29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-35,695,315.65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35,677,081.23</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120,541,565.87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112,263,276.76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654,678,261.62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580,173,659.67</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3,492,738,124.06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3,480,545,273.95</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5,892,210,262.23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5,486,601,210.01</w:t>
            </w:r>
          </w:p>
        </w:tc>
      </w:tr>
    </w:tbl>
    <w:p>
      <w:pPr>
        <w:spacing w:line="240" w:lineRule="auto" w:before="5"/>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1118"/>
        <w:jc w:val="center"/>
      </w:pPr>
      <w:r>
        <w:rPr/>
        <w:t>法定代表人：何若虚</w:t>
        <w:tab/>
        <w:t>主管会计工作负责人：许刚</w:t>
        <w:tab/>
        <w:t>会计机构负责人：丁大雷</w:t>
      </w:r>
    </w:p>
    <w:p>
      <w:pPr>
        <w:spacing w:line="240" w:lineRule="auto" w:before="11"/>
        <w:rPr>
          <w:rFonts w:ascii="宋体" w:hAnsi="宋体" w:cs="宋体" w:eastAsia="宋体" w:hint="default"/>
          <w:sz w:val="26"/>
          <w:szCs w:val="26"/>
        </w:rPr>
      </w:pPr>
    </w:p>
    <w:p>
      <w:pPr>
        <w:pStyle w:val="Heading6"/>
        <w:spacing w:line="240" w:lineRule="auto"/>
        <w:ind w:left="0" w:right="1015"/>
        <w:jc w:val="center"/>
        <w:rPr>
          <w:b w:val="0"/>
          <w:bCs w:val="0"/>
        </w:rPr>
      </w:pPr>
      <w:bookmarkStart w:name="3、合并利润表" w:id="173"/>
      <w:bookmarkEnd w:id="173"/>
      <w:r>
        <w:rPr>
          <w:b w:val="0"/>
          <w:bCs w:val="0"/>
        </w:rPr>
      </w:r>
      <w:r>
        <w:rPr>
          <w:rFonts w:ascii="Times New Roman" w:hAnsi="Times New Roman" w:cs="Times New Roman" w:eastAsia="Times New Roman" w:hint="default"/>
        </w:rPr>
        <w:t>3</w:t>
      </w:r>
      <w:r>
        <w:rPr/>
        <w:t>、合并利润表</w:t>
      </w:r>
      <w:r>
        <w:rPr>
          <w:b w:val="0"/>
          <w:bCs w:val="0"/>
        </w:rPr>
      </w:r>
    </w:p>
    <w:p>
      <w:pPr>
        <w:pStyle w:val="BodyText"/>
        <w:spacing w:line="240" w:lineRule="auto" w:before="85"/>
        <w:ind w:left="0" w:right="1017"/>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p>
    <w:p>
      <w:pPr>
        <w:pStyle w:val="BodyText"/>
        <w:tabs>
          <w:tab w:pos="8731" w:val="left" w:leader="none"/>
        </w:tabs>
        <w:spacing w:line="240" w:lineRule="auto" w:before="103"/>
        <w:ind w:left="0" w:right="1207"/>
        <w:jc w:val="center"/>
      </w:pPr>
      <w:r>
        <w:rPr/>
        <w:t>编制单位：浙江万马股份有限公司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26"/>
        <w:gridCol w:w="2720"/>
        <w:gridCol w:w="2222"/>
      </w:tblGrid>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8,739,834,605.92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7,408,734,019.51</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8,739,834,605.92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7,408,734,019.51</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8,701,971,062.26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7,391,600,409.90</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7,445,148,860.19</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6,390,098,494.31</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28,187,785.96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27,790,585.78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528,920,564.78</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441,499,509.24</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206,101,586.22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175,317,509.94</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312,085,272.64</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269,702,559.84</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97,653,271.45</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62,942,437.37</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82,397,613.76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57,220,675.62</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45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4,793,546.47</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3,082,305.26</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83,873,721.02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24,249,313.42</w:t>
            </w:r>
          </w:p>
        </w:tc>
      </w:tr>
      <w:tr>
        <w:trPr>
          <w:trHeight w:val="320"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90,774,968.13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68,774,115.08</w:t>
            </w:r>
          </w:p>
        </w:tc>
      </w:tr>
    </w:tbl>
    <w:p>
      <w:pPr>
        <w:spacing w:after="0" w:line="240" w:lineRule="auto"/>
        <w:jc w:val="right"/>
        <w:rPr>
          <w:rFonts w:ascii="Times New Roman" w:hAnsi="Times New Roman" w:cs="Times New Roman" w:eastAsia="Times New Roman" w:hint="default"/>
          <w:sz w:val="18"/>
          <w:szCs w:val="18"/>
        </w:rPr>
        <w:sectPr>
          <w:footerReference w:type="default" r:id="rId41"/>
          <w:pgSz w:w="11910" w:h="16840"/>
          <w:pgMar w:footer="1012" w:header="890" w:top="1420" w:bottom="1200" w:left="1020" w:right="0"/>
          <w:pgNumType w:start="80"/>
        </w:sectPr>
      </w:pPr>
    </w:p>
    <w:tbl>
      <w:tblPr>
        <w:tblW w:w="0" w:type="auto"/>
        <w:jc w:val="left"/>
        <w:tblInd w:w="109" w:type="dxa"/>
        <w:tblLayout w:type="fixed"/>
        <w:tblCellMar>
          <w:top w:w="0" w:type="dxa"/>
          <w:left w:w="0" w:type="dxa"/>
          <w:bottom w:w="0" w:type="dxa"/>
          <w:right w:w="0" w:type="dxa"/>
        </w:tblCellMar>
        <w:tblLook w:val="01E0"/>
      </w:tblPr>
      <w:tblGrid>
        <w:gridCol w:w="4626"/>
        <w:gridCol w:w="2720"/>
        <w:gridCol w:w="2222"/>
      </w:tblGrid>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-2,194,266.72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3,966,703.49</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-4,436,956.48</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-3,828,805.39</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-7,723,632.34</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4,710,516.06</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-1,042,270.13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-227,841.42</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117,678,342.60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94,357,102.82</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4,688,510.41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24,175,293.60</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4,750,020.99</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3,610,085.38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117,616,832.02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114,922,311.04</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2,418,592.52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5,703,454.35</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115,198,239.50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109,218,856.69</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92"/>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115,198,239.50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109,218,856.69</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92"/>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111,714,711.22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114,951,714.07</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3,483,528.28</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-5,732,857.38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-71,325,967.56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35,601,394.00</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-71,325,967.56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35,601,394.00</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-71,325,967.56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35,601,394.00</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-71,372,396.88</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35,677,081.23</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46,429.32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-75,687.23</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72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43,872,271.94</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144,820,250.69</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40,388,743.66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150,553,108.07</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3,483,528.28</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-5,732,857.38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0.12</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4"/>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1118"/>
        <w:jc w:val="center"/>
      </w:pPr>
      <w:r>
        <w:rPr/>
        <w:t>法定代表人：何若虚</w:t>
        <w:tab/>
        <w:t>主管会计工作负责人：许刚</w:t>
        <w:tab/>
        <w:t>会计机构负责人：丁大雷</w:t>
      </w:r>
    </w:p>
    <w:p>
      <w:pPr>
        <w:spacing w:line="240" w:lineRule="auto" w:before="11"/>
        <w:rPr>
          <w:rFonts w:ascii="宋体" w:hAnsi="宋体" w:cs="宋体" w:eastAsia="宋体" w:hint="default"/>
          <w:sz w:val="26"/>
          <w:szCs w:val="26"/>
        </w:rPr>
      </w:pPr>
    </w:p>
    <w:p>
      <w:pPr>
        <w:pStyle w:val="Heading6"/>
        <w:spacing w:line="240" w:lineRule="auto"/>
        <w:ind w:left="0" w:right="1015"/>
        <w:jc w:val="center"/>
        <w:rPr>
          <w:b w:val="0"/>
          <w:bCs w:val="0"/>
        </w:rPr>
      </w:pPr>
      <w:bookmarkStart w:name="4、母公司利润表" w:id="174"/>
      <w:bookmarkEnd w:id="174"/>
      <w:r>
        <w:rPr>
          <w:b w:val="0"/>
          <w:bCs w:val="0"/>
        </w:rPr>
      </w:r>
      <w:r>
        <w:rPr>
          <w:rFonts w:ascii="Times New Roman" w:hAnsi="Times New Roman" w:cs="Times New Roman" w:eastAsia="Times New Roman" w:hint="default"/>
        </w:rPr>
        <w:t>4</w:t>
      </w:r>
      <w:r>
        <w:rPr/>
        <w:t>、母公司利润表</w:t>
      </w:r>
      <w:r>
        <w:rPr>
          <w:b w:val="0"/>
          <w:bCs w:val="0"/>
        </w:rPr>
      </w:r>
    </w:p>
    <w:p>
      <w:pPr>
        <w:pStyle w:val="BodyText"/>
        <w:spacing w:line="240" w:lineRule="auto" w:before="87"/>
        <w:ind w:left="0" w:right="1017"/>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p>
    <w:p>
      <w:pPr>
        <w:pStyle w:val="BodyText"/>
        <w:tabs>
          <w:tab w:pos="8731" w:val="left" w:leader="none"/>
        </w:tabs>
        <w:spacing w:line="240" w:lineRule="auto" w:before="103"/>
        <w:ind w:left="0" w:right="1207"/>
        <w:jc w:val="center"/>
      </w:pPr>
      <w:r>
        <w:rPr/>
        <w:t>编制单位：浙江万马股份有限公司</w:t>
        <w:tab/>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49"/>
        <w:gridCol w:w="2700"/>
        <w:gridCol w:w="2219"/>
      </w:tblGrid>
      <w:tr>
        <w:trPr>
          <w:trHeight w:val="400"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90" w:footer="1012" w:top="148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4649"/>
        <w:gridCol w:w="2700"/>
        <w:gridCol w:w="2219"/>
      </w:tblGrid>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5,264,609,372.86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4,243,110,626.38</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4,576,992,462.22</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3,705,469,020.50</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13,548,145.78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11,950,261.96</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264,387,380.53</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210,370,934.12</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54,831,275.88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57,082,786.91</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172,961,661.49</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154,563,788.74</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80,983,927.67</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50,388,760.39</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73,555,122.71</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54,857,211.21</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10,878,663.79</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5,455,157.82</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43,019,397.84</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10,682,782.17</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38,133,492.00</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35,383,048.10</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-7,009,818.35</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4,563,832.71</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945,762.86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4,789,745.13</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-6,838,141.06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4,710,516.06</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-12,645.45</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-31,634.74</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82,158,008.59</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87,228,053.72</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1,946,963.76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17,932,486.44</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1,718,656.59</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926,327.00</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82,386,315.76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104,234,213.16</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-396,575.30</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-692,944.68</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82,782,891.06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104,927,157.84</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5"/>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82,782,891.06</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104,927,157.84</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5"/>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-71,372,396.88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35,677,081.23</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-71,372,396.88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35,677,081.23</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-71,372,396.88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35,677,081.23</w:t>
            </w:r>
          </w:p>
        </w:tc>
      </w:tr>
      <w:tr>
        <w:trPr>
          <w:trHeight w:val="400"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649"/>
        <w:gridCol w:w="2700"/>
        <w:gridCol w:w="2219"/>
      </w:tblGrid>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8" w:right="0"/>
              <w:jc w:val="left"/>
              <w:rPr>
                <w:rFonts w:ascii="Times New Roman" w:hAnsi="Times New Roman" w:cs="Times New Roman" w:eastAsia="Times New Roman" w:hint="default"/>
                <w:sz w:val="18"/>
                <w:szCs w:val="18"/>
              </w:rPr>
            </w:pPr>
            <w:r>
              <w:rPr>
                <w:rFonts w:ascii="Times New Roman"/>
                <w:sz w:val="18"/>
              </w:rPr>
              <w:t>11,410,494.18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140,604,239.07</w:t>
            </w: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55"/>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55"/>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1118"/>
        <w:jc w:val="center"/>
      </w:pPr>
      <w:r>
        <w:rPr/>
        <w:t>法定代表人：何若虚</w:t>
        <w:tab/>
        <w:t>主管会计工作负责人：许刚</w:t>
        <w:tab/>
        <w:t>会计机构负责人：丁大雷</w:t>
      </w:r>
    </w:p>
    <w:p>
      <w:pPr>
        <w:spacing w:line="240" w:lineRule="auto" w:before="11"/>
        <w:rPr>
          <w:rFonts w:ascii="宋体" w:hAnsi="宋体" w:cs="宋体" w:eastAsia="宋体" w:hint="default"/>
          <w:sz w:val="26"/>
          <w:szCs w:val="26"/>
        </w:rPr>
      </w:pPr>
    </w:p>
    <w:p>
      <w:pPr>
        <w:pStyle w:val="Heading6"/>
        <w:spacing w:line="240" w:lineRule="auto"/>
        <w:ind w:left="0" w:right="1015"/>
        <w:jc w:val="center"/>
        <w:rPr>
          <w:b w:val="0"/>
          <w:bCs w:val="0"/>
        </w:rPr>
      </w:pPr>
      <w:bookmarkStart w:name="5、合并现金流量表" w:id="175"/>
      <w:bookmarkEnd w:id="175"/>
      <w:r>
        <w:rPr>
          <w:b w:val="0"/>
          <w:bCs w:val="0"/>
        </w:rPr>
      </w:r>
      <w:r>
        <w:rPr>
          <w:rFonts w:ascii="Times New Roman" w:hAnsi="Times New Roman" w:cs="Times New Roman" w:eastAsia="Times New Roman" w:hint="default"/>
        </w:rPr>
        <w:t>5</w:t>
      </w:r>
      <w:r>
        <w:rPr/>
        <w:t>、合并现金流量表</w:t>
      </w:r>
      <w:r>
        <w:rPr>
          <w:b w:val="0"/>
          <w:bCs w:val="0"/>
        </w:rPr>
      </w:r>
    </w:p>
    <w:p>
      <w:pPr>
        <w:pStyle w:val="BodyText"/>
        <w:spacing w:line="240" w:lineRule="auto" w:before="87"/>
        <w:ind w:left="0" w:right="1017"/>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p>
    <w:p>
      <w:pPr>
        <w:pStyle w:val="BodyText"/>
        <w:tabs>
          <w:tab w:pos="8731" w:val="left" w:leader="none"/>
        </w:tabs>
        <w:spacing w:line="240" w:lineRule="auto" w:before="101"/>
        <w:ind w:left="0" w:right="1207"/>
        <w:jc w:val="center"/>
      </w:pPr>
      <w:r>
        <w:rPr/>
        <w:t>编制单位：浙江万马股份有限公司</w:t>
        <w:tab/>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63"/>
        <w:gridCol w:w="2427"/>
        <w:gridCol w:w="1978"/>
      </w:tblGrid>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7,362,131,040.01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5,965,940,062.29</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89"/>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89"/>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153,143,278.39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122,077,355.17</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235,056,814.88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51,993,008.26</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7,750,331,133.28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6,140,010,425.72</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5,824,615,655.89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6,031,700,760.67</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9"/>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9"/>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395,431,848.57</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354,053,784.05</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5163"/>
        <w:gridCol w:w="2427"/>
        <w:gridCol w:w="1978"/>
      </w:tblGrid>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205,126,860.65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199,750,183.25</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686,585,481.24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494,909,973.10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7,111,759,846.35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7,080,414,701.07</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638,571,286.93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-940,404,275.35</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12,534,945.63</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13,857,475.96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11,010,945.11</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1,573,481.14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9,461,445.40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1,501,542,153.10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1,653,182,586.57</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1,529,508,055.83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1,673,654,977.08</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278,795,236.69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248,604,568.69</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19,628,602.32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24,618,785.00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1,581,163,661.20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1,739,890,924.50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1,879,587,500.21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2,013,114,278.19</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-350,079,444.38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-339,459,301.11</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862,778,357.46</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1,820,953,722.25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1,803,011,577.79</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5,288,822.85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2,885,438.85</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1,828,242,545.10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2,668,675,374.10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2,081,659,234.96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851,356,768.97</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80,473,379.69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163,077,591.20</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183,369,941.88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37,269,283.01</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2,345,502,556.53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1,051,703,643.18</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-517,260,011.43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1,616,971,730.92</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1,614,243.35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-1,994,504.67</w:t>
            </w:r>
          </w:p>
        </w:tc>
      </w:tr>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-227,153,925.53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335,113,649.79</w:t>
            </w:r>
          </w:p>
        </w:tc>
      </w:tr>
      <w:tr>
        <w:trPr>
          <w:trHeight w:val="400"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897,951,779.11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562,838,129.32</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163"/>
        <w:gridCol w:w="2427"/>
        <w:gridCol w:w="1978"/>
      </w:tblGrid>
      <w:tr>
        <w:trPr>
          <w:trHeight w:val="402" w:hRule="exact"/>
        </w:trPr>
        <w:tc>
          <w:tcPr>
            <w:tcW w:w="5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8" w:right="0"/>
              <w:jc w:val="left"/>
              <w:rPr>
                <w:rFonts w:ascii="Times New Roman" w:hAnsi="Times New Roman" w:cs="Times New Roman" w:eastAsia="Times New Roman" w:hint="default"/>
                <w:sz w:val="18"/>
                <w:szCs w:val="18"/>
              </w:rPr>
            </w:pPr>
            <w:r>
              <w:rPr>
                <w:rFonts w:ascii="Times New Roman"/>
                <w:sz w:val="18"/>
              </w:rPr>
              <w:t>670,797,853.58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6" w:right="0"/>
              <w:jc w:val="left"/>
              <w:rPr>
                <w:rFonts w:ascii="Times New Roman" w:hAnsi="Times New Roman" w:cs="Times New Roman" w:eastAsia="Times New Roman" w:hint="default"/>
                <w:sz w:val="18"/>
                <w:szCs w:val="18"/>
              </w:rPr>
            </w:pPr>
            <w:r>
              <w:rPr>
                <w:rFonts w:ascii="Times New Roman"/>
                <w:sz w:val="18"/>
              </w:rPr>
              <w:t>897,951,779.11</w:t>
            </w:r>
          </w:p>
        </w:tc>
      </w:tr>
    </w:tbl>
    <w:p>
      <w:pPr>
        <w:pStyle w:val="BodyText"/>
        <w:tabs>
          <w:tab w:pos="3511" w:val="left" w:leader="none"/>
          <w:tab w:pos="7559" w:val="left" w:leader="none"/>
        </w:tabs>
        <w:spacing w:line="240" w:lineRule="auto" w:before="51"/>
        <w:ind w:left="0" w:right="921"/>
        <w:jc w:val="center"/>
      </w:pPr>
      <w:r>
        <w:rPr/>
        <w:t>法定代表人：何若虚</w:t>
        <w:tab/>
        <w:t>主管会计工作负责人：许刚</w:t>
        <w:tab/>
        <w:t>会计机构负责人：丁大雷</w:t>
      </w:r>
    </w:p>
    <w:p>
      <w:pPr>
        <w:spacing w:line="240" w:lineRule="auto" w:before="11"/>
        <w:rPr>
          <w:rFonts w:ascii="宋体" w:hAnsi="宋体" w:cs="宋体" w:eastAsia="宋体" w:hint="default"/>
          <w:sz w:val="26"/>
          <w:szCs w:val="26"/>
        </w:rPr>
      </w:pPr>
    </w:p>
    <w:p>
      <w:pPr>
        <w:pStyle w:val="Heading6"/>
        <w:spacing w:line="240" w:lineRule="auto"/>
        <w:ind w:left="0" w:right="1012"/>
        <w:jc w:val="center"/>
        <w:rPr>
          <w:b w:val="0"/>
          <w:bCs w:val="0"/>
        </w:rPr>
      </w:pPr>
      <w:bookmarkStart w:name="6、母公司现金流量表" w:id="176"/>
      <w:bookmarkEnd w:id="176"/>
      <w:r>
        <w:rPr>
          <w:b w:val="0"/>
          <w:bCs w:val="0"/>
        </w:rPr>
      </w:r>
      <w:r>
        <w:rPr>
          <w:rFonts w:ascii="Times New Roman" w:hAnsi="Times New Roman" w:cs="Times New Roman" w:eastAsia="Times New Roman" w:hint="default"/>
        </w:rPr>
        <w:t>6</w:t>
      </w:r>
      <w:r>
        <w:rPr/>
        <w:t>、母公司现金流量表</w:t>
      </w:r>
      <w:r>
        <w:rPr>
          <w:b w:val="0"/>
          <w:bCs w:val="0"/>
        </w:rPr>
      </w:r>
    </w:p>
    <w:p>
      <w:pPr>
        <w:pStyle w:val="BodyText"/>
        <w:spacing w:line="240" w:lineRule="auto" w:before="85"/>
        <w:ind w:left="0" w:right="1017"/>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p>
    <w:p>
      <w:pPr>
        <w:pStyle w:val="BodyText"/>
        <w:tabs>
          <w:tab w:pos="8731" w:val="left" w:leader="none"/>
        </w:tabs>
        <w:spacing w:line="240" w:lineRule="auto" w:before="103"/>
        <w:ind w:left="0" w:right="1207"/>
        <w:jc w:val="center"/>
      </w:pPr>
      <w:r>
        <w:rPr/>
        <w:t>编制单位：浙江万马股份有限公司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77"/>
        <w:gridCol w:w="2440"/>
        <w:gridCol w:w="1951"/>
      </w:tblGrid>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5,162,321,489.37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3,818,277,332.53</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34,476,596.42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64,668,044.48</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333,641,266.66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9,822,428.21</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5,530,439,352.45</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3,892,767,805.22</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4,197,291,540.41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4,114,751,870.83</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120,714,675.91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126,495,981.87</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82,522,139.96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102,891,212.79</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603,385,142.29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230,107,646.34</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5,003,913,498.57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4,574,246,711.83</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526,525,853.88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-681,478,906.61</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113,656,771.00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46,500,000.00</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3,887,782.81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2,989,523.81</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865.00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205,673.57</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40"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795,526,541.99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489,468,678.71</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913,071,960.80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539,163,876.09</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25,655,938.17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30,495,440.89</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341,264,984.00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19,318,695.00</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40"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655,164,186.20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1,213,612,938.35</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1,022,085,108.37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1,263,427,074.24</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-109,013,147.57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-724,263,198.15</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40"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860,978,357.46</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1,605,932,431.65</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1,627,011,577.79</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40"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230,000,000.00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176,600,543.45</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1,835,932,431.65</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2,664,590,478.70</w:t>
            </w:r>
          </w:p>
        </w:tc>
      </w:tr>
      <w:tr>
        <w:trPr>
          <w:trHeight w:val="360"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1,731,659,234.96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740,356,768.97</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177"/>
        <w:gridCol w:w="2440"/>
        <w:gridCol w:w="1951"/>
      </w:tblGrid>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72,621,894.83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157,488,861.61</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476,026,140.93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202,157,258.33</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2,280,307,270.72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1,100,002,888.91</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-444,374,839.07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1,564,587,589.79</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-122,393.13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-72,375.87</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-26,984,525.89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158,773,109.16</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237,806,236.00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79,033,126.84</w:t>
            </w:r>
          </w:p>
        </w:tc>
      </w:tr>
      <w:tr>
        <w:trPr>
          <w:trHeight w:val="362" w:hRule="exact"/>
        </w:trPr>
        <w:tc>
          <w:tcPr>
            <w:tcW w:w="5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8"/>
                <w:szCs w:val="18"/>
              </w:rPr>
            </w:pPr>
            <w:r>
              <w:rPr>
                <w:rFonts w:ascii="Times New Roman"/>
                <w:spacing w:val="-1"/>
                <w:sz w:val="18"/>
              </w:rPr>
              <w:t>210,821,710.11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237,806,236.00</w:t>
            </w:r>
          </w:p>
        </w:tc>
      </w:tr>
    </w:tbl>
    <w:p>
      <w:pPr>
        <w:spacing w:line="240" w:lineRule="auto" w:before="4"/>
        <w:rPr>
          <w:rFonts w:ascii="宋体" w:hAnsi="宋体" w:cs="宋体" w:eastAsia="宋体" w:hint="default"/>
          <w:sz w:val="20"/>
          <w:szCs w:val="20"/>
        </w:rPr>
      </w:pPr>
    </w:p>
    <w:p>
      <w:pPr>
        <w:pStyle w:val="BodyText"/>
        <w:tabs>
          <w:tab w:pos="3623" w:val="left" w:leader="none"/>
          <w:tab w:pos="7672" w:val="left" w:leader="none"/>
        </w:tabs>
        <w:spacing w:line="240" w:lineRule="auto" w:before="44"/>
        <w:ind w:right="0"/>
        <w:jc w:val="left"/>
      </w:pPr>
      <w:r>
        <w:rPr/>
        <w:t>法定代表人：何若虚</w:t>
        <w:tab/>
        <w:t>主管会计工作负责人：许刚</w:t>
        <w:tab/>
        <w:t>会计机构负责人：丁大雷</w:t>
      </w: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90" w:footer="1012" w:top="1420" w:bottom="1200" w:left="102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right="-20"/>
        <w:jc w:val="left"/>
      </w:pPr>
      <w:r>
        <w:rPr/>
        <w:t>本期金额</w:t>
      </w:r>
    </w:p>
    <w:p>
      <w:pPr>
        <w:pStyle w:val="Heading6"/>
        <w:spacing w:line="240" w:lineRule="auto" w:before="34"/>
        <w:ind w:left="151" w:right="39"/>
        <w:jc w:val="center"/>
        <w:rPr>
          <w:b w:val="0"/>
          <w:bCs w:val="0"/>
        </w:rPr>
      </w:pPr>
      <w:r>
        <w:rPr>
          <w:b w:val="0"/>
          <w:bCs w:val="0"/>
          <w:w w:val="95"/>
        </w:rPr>
        <w:br w:type="column"/>
      </w:r>
      <w:r>
        <w:rPr>
          <w:rFonts w:ascii="Times New Roman" w:hAnsi="Times New Roman" w:cs="Times New Roman" w:eastAsia="Times New Roman" w:hint="default"/>
          <w:w w:val="95"/>
        </w:rPr>
        <w:t>7</w:t>
      </w:r>
      <w:r>
        <w:rPr>
          <w:w w:val="95"/>
        </w:rPr>
        <w:t>、</w:t>
      </w:r>
      <w:bookmarkStart w:name="7、合并所有者权益变动表" w:id="177"/>
      <w:bookmarkEnd w:id="177"/>
      <w:r>
        <w:rPr>
          <w:w w:val="95"/>
        </w:rPr>
        <w:t>合</w:t>
      </w:r>
      <w:r>
        <w:rPr>
          <w:w w:val="95"/>
        </w:rPr>
        <w:t>并所有者权益变动表</w:t>
      </w:r>
      <w:r>
        <w:rPr>
          <w:b w:val="0"/>
          <w:bCs w:val="0"/>
        </w:rPr>
      </w:r>
    </w:p>
    <w:p>
      <w:pPr>
        <w:pStyle w:val="BodyText"/>
        <w:spacing w:line="240" w:lineRule="auto" w:before="87"/>
        <w:ind w:left="146" w:right="39"/>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660" w:bottom="700" w:left="1020" w:right="0"/>
          <w:cols w:num="3" w:equalWidth="0">
            <w:col w:w="833" w:space="2779"/>
            <w:col w:w="2535" w:space="2771"/>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1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5,48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1,554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,415,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357.1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35,61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200,4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47,16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471.5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6,888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3,986</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,806,</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926.6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4"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5,48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1,554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,415,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357.1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35,61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200,4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47,16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471.5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6,888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3,986</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,806,</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926.6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1" w:right="100"/>
              <w:jc w:val="left"/>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782,3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9" w:right="0"/>
              <w:jc w:val="left"/>
              <w:rPr>
                <w:rFonts w:ascii="Times New Roman" w:hAnsi="Times New Roman" w:cs="Times New Roman" w:eastAsia="Times New Roman" w:hint="default"/>
                <w:sz w:val="18"/>
                <w:szCs w:val="18"/>
              </w:rPr>
            </w:pPr>
            <w:r>
              <w:rPr>
                <w:rFonts w:ascii="Times New Roman"/>
                <w:sz w:val="18"/>
              </w:rPr>
              <w:t>-71,3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5" w:right="0"/>
              <w:jc w:val="left"/>
              <w:rPr>
                <w:rFonts w:ascii="Times New Roman" w:hAnsi="Times New Roman" w:cs="Times New Roman" w:eastAsia="Times New Roman" w:hint="default"/>
                <w:sz w:val="18"/>
                <w:szCs w:val="18"/>
              </w:rPr>
            </w:pPr>
            <w:r>
              <w:rPr>
                <w:rFonts w:ascii="Times New Roman"/>
                <w:sz w:val="18"/>
              </w:rPr>
              <w:t>21,92</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2,726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8"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7" w:right="0"/>
              <w:jc w:val="left"/>
              <w:rPr>
                <w:rFonts w:ascii="Times New Roman" w:hAnsi="Times New Roman" w:cs="Times New Roman" w:eastAsia="Times New Roman" w:hint="default"/>
                <w:sz w:val="18"/>
                <w:szCs w:val="18"/>
              </w:rPr>
            </w:pPr>
            <w:r>
              <w:rPr>
                <w:rFonts w:ascii="Times New Roman"/>
                <w:sz w:val="18"/>
              </w:rPr>
              <w:t>5,409</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0" w:right="0"/>
              <w:jc w:val="left"/>
              <w:rPr>
                <w:rFonts w:ascii="Times New Roman" w:hAnsi="Times New Roman" w:cs="Times New Roman" w:eastAsia="Times New Roman" w:hint="default"/>
                <w:sz w:val="18"/>
                <w:szCs w:val="18"/>
              </w:rPr>
            </w:pPr>
            <w:r>
              <w:rPr>
                <w:rFonts w:ascii="Times New Roman"/>
                <w:sz w:val="18"/>
              </w:rPr>
              <w:t>46,58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0,377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660" w:bottom="700" w:left="1020" w:right="0"/>
        </w:sect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7.56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Times New Roman" w:hAnsi="Times New Roman" w:cs="Times New Roman" w:eastAsia="Times New Roman" w:hint="default"/>
                <w:sz w:val="18"/>
                <w:szCs w:val="18"/>
              </w:rPr>
            </w:pPr>
            <w:r>
              <w:rPr>
                <w:rFonts w:ascii="Times New Roman"/>
                <w:sz w:val="18"/>
              </w:rPr>
              <w:t>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0" w:right="0"/>
              <w:jc w:val="lef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9" w:right="0"/>
              <w:jc w:val="left"/>
              <w:rPr>
                <w:rFonts w:ascii="Times New Roman" w:hAnsi="Times New Roman" w:cs="Times New Roman" w:eastAsia="Times New Roman" w:hint="default"/>
                <w:sz w:val="18"/>
                <w:szCs w:val="18"/>
              </w:rPr>
            </w:pPr>
            <w:r>
              <w:rPr>
                <w:rFonts w:ascii="Times New Roman"/>
                <w:sz w:val="18"/>
              </w:rPr>
              <w:t>-71,3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25,96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0" w:right="0"/>
              <w:jc w:val="left"/>
              <w:rPr>
                <w:rFonts w:ascii="Times New Roman" w:hAnsi="Times New Roman" w:cs="Times New Roman" w:eastAsia="Times New Roman" w:hint="default"/>
                <w:sz w:val="18"/>
                <w:szCs w:val="18"/>
              </w:rPr>
            </w:pPr>
            <w:r>
              <w:rPr>
                <w:rFonts w:ascii="Times New Roman"/>
                <w:spacing w:val="-3"/>
                <w:sz w:val="18"/>
              </w:rPr>
              <w:t>111,7</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14,71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1.22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left"/>
              <w:rPr>
                <w:rFonts w:ascii="Times New Roman" w:hAnsi="Times New Roman" w:cs="Times New Roman" w:eastAsia="Times New Roman" w:hint="default"/>
                <w:sz w:val="18"/>
                <w:szCs w:val="18"/>
              </w:rPr>
            </w:pPr>
            <w:r>
              <w:rPr>
                <w:rFonts w:ascii="Times New Roman"/>
                <w:sz w:val="18"/>
              </w:rPr>
              <w:t>3,483</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43,87</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2,271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782,3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1,925</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2,708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782,3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708,1</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05.93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21,92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2,726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 w:right="0"/>
              <w:jc w:val="left"/>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22,72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21,92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2,726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22,72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5,48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,197,</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713.1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09,01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222,3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69,88</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1,238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17,96</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6,167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4,033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,387,</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304.5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上期金额</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5"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791,0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60,17</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181,2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73,92</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6.83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051,9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16,57</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7,911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3,084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791,0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60,17</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181,2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73,92</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6.83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051,9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16,57</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7,911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3,084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98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Times New Roman" w:hAnsi="Times New Roman" w:cs="Times New Roman" w:eastAsia="Times New Roman" w:hint="default"/>
                <w:sz w:val="18"/>
                <w:szCs w:val="18"/>
              </w:rPr>
            </w:pPr>
            <w:r>
              <w:rPr>
                <w:rFonts w:ascii="Times New Roman"/>
                <w:sz w:val="18"/>
              </w:rPr>
              <w:t>96,3</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763,3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19,17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3,233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-4,02</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1,022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902,6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81,96</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sz w:val="18"/>
              </w:rPr>
              <w:t>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Times New Roman" w:hAnsi="Times New Roman" w:cs="Times New Roman" w:eastAsia="Times New Roman" w:hint="default"/>
                <w:sz w:val="18"/>
                <w:szCs w:val="18"/>
              </w:rPr>
            </w:pPr>
            <w:r>
              <w:rPr>
                <w:rFonts w:ascii="Times New Roman"/>
                <w:sz w:val="18"/>
              </w:rPr>
              <w:t>.38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left"/>
              <w:rPr>
                <w:rFonts w:ascii="Times New Roman" w:hAnsi="Times New Roman" w:cs="Times New Roman" w:eastAsia="Times New Roman" w:hint="default"/>
                <w:sz w:val="18"/>
                <w:szCs w:val="18"/>
              </w:rPr>
            </w:pPr>
            <w:r>
              <w:rPr>
                <w:rFonts w:ascii="Times New Roman"/>
                <w:sz w:val="18"/>
              </w:rPr>
              <w:t>3.90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35,60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Times New Roman" w:hAnsi="Times New Roman" w:cs="Times New Roman" w:eastAsia="Times New Roman" w:hint="default"/>
                <w:sz w:val="18"/>
                <w:szCs w:val="18"/>
              </w:rPr>
            </w:pPr>
            <w:r>
              <w:rPr>
                <w:rFonts w:ascii="Times New Roman"/>
                <w:sz w:val="18"/>
              </w:rPr>
              <w:t>114,9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51,71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-5,73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2,857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144,8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20,25</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0.69</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96,3</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763,3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861,4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10,62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3.01</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7"/>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Times New Roman" w:hAnsi="Times New Roman" w:cs="Times New Roman" w:eastAsia="Times New Roman" w:hint="default"/>
                <w:sz w:val="18"/>
                <w:szCs w:val="18"/>
              </w:rPr>
            </w:pPr>
            <w:r>
              <w:rPr>
                <w:rFonts w:ascii="Times New Roman"/>
                <w:sz w:val="18"/>
              </w:rPr>
              <w:t>96,3</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763,3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861,4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10,62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3.01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19,17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3,233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lef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722,1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43.52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548,9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09.80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19,17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3,233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73,23</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548,9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09.80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548,9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09.80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5,48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1,554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,415,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357.1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35,61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47,16</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281,4</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71.50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6,888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3,986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,806,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5"/>
        <w:rPr>
          <w:rFonts w:ascii="宋体" w:hAnsi="宋体" w:cs="宋体" w:eastAsia="宋体" w:hint="default"/>
          <w:sz w:val="20"/>
          <w:szCs w:val="20"/>
        </w:rPr>
      </w:pPr>
    </w:p>
    <w:p>
      <w:pPr>
        <w:pStyle w:val="BodyText"/>
        <w:tabs>
          <w:tab w:pos="3623" w:val="left" w:leader="none"/>
          <w:tab w:pos="7672" w:val="left" w:leader="none"/>
        </w:tabs>
        <w:spacing w:line="240" w:lineRule="auto" w:before="44"/>
        <w:ind w:right="0"/>
        <w:jc w:val="left"/>
      </w:pPr>
      <w:r>
        <w:rPr/>
        <w:t>法定代表人：何若虚</w:t>
        <w:tab/>
        <w:t>主管会计工作负责人：许刚</w:t>
        <w:tab/>
        <w:t>会计机构负责人：丁大雷</w:t>
      </w: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2"/>
          <w:pgSz w:w="11910" w:h="16840"/>
          <w:pgMar w:footer="1012" w:header="890" w:top="1420" w:bottom="1200" w:left="1020" w:right="0"/>
          <w:pgNumType w:start="9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right="-20"/>
        <w:jc w:val="left"/>
      </w:pPr>
      <w:r>
        <w:rPr/>
        <w:t>本期金额</w:t>
      </w:r>
    </w:p>
    <w:p>
      <w:pPr>
        <w:pStyle w:val="Heading6"/>
        <w:spacing w:line="240" w:lineRule="auto" w:before="34"/>
        <w:ind w:left="157" w:right="45"/>
        <w:jc w:val="center"/>
        <w:rPr>
          <w:b w:val="0"/>
          <w:bCs w:val="0"/>
        </w:rPr>
      </w:pPr>
      <w:r>
        <w:rPr>
          <w:b w:val="0"/>
          <w:bCs w:val="0"/>
          <w:w w:val="95"/>
        </w:rPr>
        <w:br w:type="column"/>
      </w:r>
      <w:bookmarkStart w:name="8、母公司所有者权益变动表" w:id="178"/>
      <w:bookmarkEnd w:id="178"/>
      <w:r>
        <w:rPr>
          <w:b w:val="0"/>
          <w:bCs w:val="0"/>
          <w:w w:val="95"/>
        </w:rPr>
      </w:r>
      <w:r>
        <w:rPr>
          <w:rFonts w:ascii="Times New Roman" w:hAnsi="Times New Roman" w:cs="Times New Roman" w:eastAsia="Times New Roman" w:hint="default"/>
          <w:w w:val="95"/>
        </w:rPr>
        <w:t>8</w:t>
      </w:r>
      <w:r>
        <w:rPr>
          <w:w w:val="95"/>
        </w:rPr>
        <w:t>、母公司所有者权益变动表</w:t>
      </w:r>
      <w:r>
        <w:rPr>
          <w:b w:val="0"/>
          <w:bCs w:val="0"/>
        </w:rPr>
      </w:r>
    </w:p>
    <w:p>
      <w:pPr>
        <w:pStyle w:val="BodyText"/>
        <w:spacing w:line="240" w:lineRule="auto" w:before="87"/>
        <w:ind w:left="152" w:right="45"/>
        <w:jc w:val="center"/>
      </w:pP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660" w:bottom="700" w:left="1020" w:right="0"/>
          <w:cols w:num="3" w:equalWidth="0">
            <w:col w:w="833" w:space="2673"/>
            <w:col w:w="2746" w:space="2666"/>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489,0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1,716,9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42,158.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35,677,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081.23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112,263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,276.76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580,1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3,480,5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45,273.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489,0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1,716,9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42,158.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35,677,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081.23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112,263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,276.76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580,1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3,480,5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45,273.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782,35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-71,372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,396.88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8,278,2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89.11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4,601.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12,192,</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850.11</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pacing w:val="-5"/>
                <w:sz w:val="18"/>
                <w:szCs w:val="18"/>
              </w:rPr>
              <w:t>（一）综合收益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0" w:right="0"/>
              <w:jc w:val="left"/>
              <w:rPr>
                <w:rFonts w:ascii="Times New Roman" w:hAnsi="Times New Roman" w:cs="Times New Roman" w:eastAsia="Times New Roman" w:hint="default"/>
                <w:sz w:val="18"/>
                <w:szCs w:val="18"/>
              </w:rPr>
            </w:pPr>
            <w:r>
              <w:rPr>
                <w:rFonts w:ascii="Times New Roman"/>
                <w:sz w:val="18"/>
              </w:rPr>
              <w:t>-71,372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7" w:right="0"/>
              <w:jc w:val="left"/>
              <w:rPr>
                <w:rFonts w:ascii="Times New Roman" w:hAnsi="Times New Roman" w:cs="Times New Roman" w:eastAsia="Times New Roman" w:hint="default"/>
                <w:sz w:val="18"/>
                <w:szCs w:val="18"/>
              </w:rPr>
            </w:pPr>
            <w:r>
              <w:rPr>
                <w:rFonts w:ascii="Times New Roman"/>
                <w:sz w:val="18"/>
              </w:rPr>
              <w:t>82,78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4" w:right="0"/>
              <w:jc w:val="left"/>
              <w:rPr>
                <w:rFonts w:ascii="Times New Roman" w:hAnsi="Times New Roman" w:cs="Times New Roman" w:eastAsia="Times New Roman" w:hint="default"/>
                <w:sz w:val="18"/>
                <w:szCs w:val="18"/>
              </w:rPr>
            </w:pPr>
            <w:r>
              <w:rPr>
                <w:rFonts w:ascii="Times New Roman"/>
                <w:sz w:val="18"/>
              </w:rPr>
              <w:t>11,410,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660" w:bottom="700" w:left="1020" w:right="0"/>
        </w:sect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Times New Roman"/>
                <w:sz w:val="18"/>
              </w:rPr>
              <w:t>,396.88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Times New Roman"/>
                <w:sz w:val="18"/>
              </w:rPr>
              <w:t>2,891.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18"/>
                <w:szCs w:val="18"/>
              </w:rPr>
            </w:pPr>
            <w:r>
              <w:rPr>
                <w:rFonts w:ascii="Times New Roman"/>
                <w:sz w:val="18"/>
              </w:rPr>
              <w:t>494.18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782,35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782,35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5.93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782,35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782,35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5.93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8,278,2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89.11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8,289.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8,278,2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89.11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8,289.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489,0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1,717,7</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24,514.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-35,695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,315.65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1,565.8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654,6</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78,26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3,492,7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38,124.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06</w:t>
            </w:r>
          </w:p>
        </w:tc>
      </w:tr>
    </w:tbl>
    <w:p>
      <w:pPr>
        <w:pStyle w:val="BodyText"/>
        <w:spacing w:line="240" w:lineRule="auto" w:before="51"/>
        <w:ind w:right="0"/>
        <w:jc w:val="left"/>
      </w:pPr>
      <w:r>
        <w:rPr/>
        <w:t>上期金额</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939,1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45,48</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953,58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6,980.2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0,560.9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589,2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88,12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2,583,7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91,156.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939,1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45,48</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953,58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6,980.2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0,560.9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589,2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88,12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2,583,7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91,156.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96,34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5,178.0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35,677,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081.23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10,492,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715.78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2"/>
                <w:sz w:val="18"/>
              </w:rPr>
              <w:t>-9,114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,467.7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896,75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2"/>
                <w:sz w:val="18"/>
              </w:rPr>
              <w:t>4,117.2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35,677,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081.23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27,15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4,239.0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96,34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5,178.0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8,788.0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96,34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763,35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5,178.0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8,788.0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10,492,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715.78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41,62</w:t>
            </w:r>
          </w:p>
          <w:p>
            <w:pPr>
              <w:pStyle w:val="TableParagraph"/>
              <w:spacing w:line="240" w:lineRule="auto" w:before="105"/>
              <w:ind w:left="146" w:right="0"/>
              <w:jc w:val="center"/>
              <w:rPr>
                <w:rFonts w:ascii="Times New Roman" w:hAnsi="Times New Roman" w:cs="Times New Roman" w:eastAsia="Times New Roman" w:hint="default"/>
                <w:sz w:val="18"/>
                <w:szCs w:val="18"/>
              </w:rPr>
            </w:pPr>
            <w:r>
              <w:rPr>
                <w:rFonts w:ascii="Times New Roman"/>
                <w:sz w:val="18"/>
              </w:rPr>
              <w:t>5.58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8,909.8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10,492,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715.78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92,71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5.78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548,9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09.80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8,909.8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489,0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1,716,9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42,158.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35,677,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081.23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112,263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,276.76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580,1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3,480,5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45,273.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r>
    </w:tbl>
    <w:p>
      <w:pPr>
        <w:spacing w:line="240" w:lineRule="auto" w:before="4"/>
        <w:rPr>
          <w:rFonts w:ascii="宋体" w:hAnsi="宋体" w:cs="宋体" w:eastAsia="宋体" w:hint="default"/>
          <w:sz w:val="20"/>
          <w:szCs w:val="20"/>
        </w:rPr>
      </w:pPr>
    </w:p>
    <w:p>
      <w:pPr>
        <w:pStyle w:val="BodyText"/>
        <w:tabs>
          <w:tab w:pos="3623" w:val="left" w:leader="none"/>
          <w:tab w:pos="7672" w:val="left" w:leader="none"/>
        </w:tabs>
        <w:spacing w:line="240" w:lineRule="auto" w:before="44"/>
        <w:ind w:right="0"/>
        <w:jc w:val="left"/>
      </w:pPr>
      <w:r>
        <w:rPr/>
        <w:t>法定代表人：何若虚</w:t>
        <w:tab/>
        <w:t>主管会计工作负责人：许刚</w:t>
        <w:tab/>
        <w:t>会计机构负责人：丁大雷</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三、公司基本情况" w:id="179"/>
      <w:bookmarkEnd w:id="17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54" w:right="0"/>
        <w:jc w:val="left"/>
      </w:pPr>
      <w:r>
        <w:rPr/>
        <w:t>浙江万</w:t>
      </w:r>
      <w:r>
        <w:rPr>
          <w:spacing w:val="2"/>
        </w:rPr>
        <w:t>马</w:t>
      </w:r>
      <w:r>
        <w:rPr/>
        <w:t>股份有限公司</w:t>
      </w:r>
      <w:r>
        <w:rPr>
          <w:spacing w:val="2"/>
        </w:rPr>
        <w:t>（</w:t>
      </w:r>
      <w:r>
        <w:rPr/>
        <w:t>以下简称“本公司</w:t>
      </w:r>
      <w:r>
        <w:rPr>
          <w:spacing w:val="-89"/>
        </w:rPr>
        <w:t>”</w:t>
      </w:r>
      <w:r>
        <w:rPr/>
        <w:t>，在包</w:t>
      </w:r>
      <w:r>
        <w:rPr>
          <w:spacing w:val="2"/>
        </w:rPr>
        <w:t>含</w:t>
      </w:r>
      <w:r>
        <w:rPr/>
        <w:t>子公司时统称“本集</w:t>
      </w:r>
      <w:r>
        <w:rPr>
          <w:spacing w:val="2"/>
        </w:rPr>
        <w:t>团</w:t>
      </w:r>
      <w:r>
        <w:rPr>
          <w:spacing w:val="-89"/>
        </w:rPr>
        <w:t>”</w:t>
      </w:r>
      <w:r>
        <w:rPr/>
        <w:t>）是以</w:t>
      </w:r>
      <w:r>
        <w:rPr>
          <w:spacing w:val="2"/>
        </w:rPr>
        <w:t>浙</w:t>
      </w:r>
      <w:r>
        <w:rPr/>
        <w:t>江万马电气电</w:t>
      </w:r>
      <w:r>
        <w:rPr>
          <w:spacing w:val="2"/>
        </w:rPr>
        <w:t>缆</w:t>
      </w:r>
      <w:r>
        <w:rPr/>
        <w:t>集团有限公司</w:t>
      </w:r>
    </w:p>
    <w:p>
      <w:pPr>
        <w:pStyle w:val="BodyText"/>
        <w:spacing w:line="240" w:lineRule="auto" w:before="76"/>
        <w:ind w:right="0"/>
        <w:jc w:val="left"/>
      </w:pPr>
      <w:r>
        <w:rPr/>
        <w:t>（以下简</w:t>
      </w:r>
      <w:r>
        <w:rPr>
          <w:spacing w:val="-32"/>
        </w:rPr>
        <w:t>称</w:t>
      </w:r>
      <w:r>
        <w:rPr>
          <w:spacing w:val="-3"/>
        </w:rPr>
        <w:t>“</w:t>
      </w:r>
      <w:r>
        <w:rPr/>
        <w:t>电气电缆集团</w:t>
      </w:r>
      <w:r>
        <w:rPr>
          <w:spacing w:val="-89"/>
        </w:rPr>
        <w:t>”</w:t>
      </w:r>
      <w:r>
        <w:rPr>
          <w:spacing w:val="-36"/>
        </w:rPr>
        <w:t>）</w:t>
      </w:r>
      <w:r>
        <w:rPr/>
        <w:t>和张珊珊</w:t>
      </w:r>
      <w:r>
        <w:rPr>
          <w:spacing w:val="2"/>
        </w:rPr>
        <w:t>等</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t>位自然人为发起人</w:t>
      </w:r>
      <w:r>
        <w:rPr>
          <w:spacing w:val="-36"/>
        </w:rPr>
        <w:t>，</w:t>
      </w:r>
      <w:r>
        <w:rPr/>
        <w:t>由浙江万马集团电缆有限公</w:t>
      </w:r>
      <w:r>
        <w:rPr>
          <w:spacing w:val="-32"/>
        </w:rPr>
        <w:t>司</w:t>
      </w:r>
      <w:r>
        <w:rPr>
          <w:spacing w:val="-3"/>
        </w:rPr>
        <w:t>（</w:t>
      </w:r>
      <w:r>
        <w:rPr/>
        <w:t>以下简</w:t>
      </w:r>
      <w:r>
        <w:rPr>
          <w:spacing w:val="-32"/>
        </w:rPr>
        <w:t>称</w:t>
      </w:r>
      <w:r>
        <w:rPr>
          <w:spacing w:val="-3"/>
        </w:rPr>
        <w:t>“</w:t>
      </w:r>
      <w:r>
        <w:rPr/>
        <w:t>电缆有限公司</w:t>
      </w:r>
      <w:r>
        <w:rPr>
          <w:spacing w:val="-89"/>
        </w:rPr>
        <w:t>”</w:t>
      </w:r>
      <w:r>
        <w:rPr/>
        <w:t>）</w:t>
      </w:r>
    </w:p>
    <w:p>
      <w:pPr>
        <w:spacing w:after="0" w:line="240" w:lineRule="auto"/>
        <w:jc w:val="left"/>
        <w:sectPr>
          <w:pgSz w:w="11910" w:h="16840"/>
          <w:pgMar w:header="890" w:footer="1012" w:top="1480" w:bottom="1200" w:left="1020" w:right="0"/>
        </w:sectPr>
      </w:pPr>
    </w:p>
    <w:p>
      <w:pPr>
        <w:pStyle w:val="BodyText"/>
        <w:spacing w:line="300" w:lineRule="auto" w:before="66"/>
        <w:ind w:right="1132"/>
        <w:jc w:val="both"/>
      </w:pPr>
      <w:r>
        <w:rPr>
          <w:spacing w:val="-2"/>
        </w:rPr>
        <w:t>整体变更方式设立的股份有限公司，并于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日在浙江省工商行政管理局办理股份公司工商登记手续。本公司企业法</w:t>
      </w:r>
      <w:r>
        <w:rPr>
          <w:spacing w:val="-61"/>
        </w:rPr>
        <w:t> </w:t>
      </w:r>
      <w:r>
        <w:rPr>
          <w:spacing w:val="-61"/>
        </w:rPr>
      </w:r>
      <w:r>
        <w:rPr/>
        <w:t>人统一社会信用代码为</w:t>
      </w:r>
      <w:r>
        <w:rPr>
          <w:rFonts w:ascii="Times New Roman" w:hAnsi="Times New Roman" w:cs="Times New Roman" w:eastAsia="Times New Roman" w:hint="default"/>
        </w:rPr>
        <w:t>913300007043088475</w:t>
      </w:r>
      <w:r>
        <w:rPr/>
        <w:t>，公司住所：浙江省杭州市临安区鹤亭街</w:t>
      </w:r>
      <w:r>
        <w:rPr>
          <w:rFonts w:ascii="Times New Roman" w:hAnsi="Times New Roman" w:cs="Times New Roman" w:eastAsia="Times New Roman" w:hint="default"/>
        </w:rPr>
        <w:t>896</w:t>
      </w:r>
      <w:r>
        <w:rPr/>
        <w:t>号；法定代表人：何若虚；注册资 本：人民币</w:t>
      </w:r>
      <w:r>
        <w:rPr>
          <w:rFonts w:ascii="Times New Roman" w:hAnsi="Times New Roman" w:cs="Times New Roman" w:eastAsia="Times New Roman" w:hint="default"/>
        </w:rPr>
        <w:t>1,035,489,098.00</w:t>
      </w:r>
      <w:r>
        <w:rPr/>
        <w:t>元。</w:t>
      </w:r>
    </w:p>
    <w:p>
      <w:pPr>
        <w:pStyle w:val="BodyText"/>
        <w:spacing w:line="309" w:lineRule="auto" w:before="133"/>
        <w:ind w:right="1129" w:firstLine="441"/>
        <w:jc w:val="both"/>
      </w:pPr>
      <w:r>
        <w:rPr/>
        <w:t>本集团从事电线电缆、高分子材料、汽车充电设备等产品的研发、生产和销售，以及汽车充电设备、光伏发电的投资 </w:t>
      </w:r>
      <w:r>
        <w:rPr>
          <w:spacing w:val="-1"/>
        </w:rPr>
        <w:t>与运营服务。产品类别主要包括</w:t>
      </w:r>
      <w:r>
        <w:rPr>
          <w:rFonts w:ascii="Times New Roman" w:hAnsi="Times New Roman" w:cs="Times New Roman" w:eastAsia="Times New Roman" w:hint="default"/>
          <w:spacing w:val="-1"/>
        </w:rPr>
        <w:t>500kV</w:t>
      </w:r>
      <w:r>
        <w:rPr>
          <w:spacing w:val="-1"/>
        </w:rPr>
        <w:t>及以下电力电缆，光缆、同轴与连接线等通信线缆，硅烷、交联、低烟无卤、弹性体</w:t>
      </w:r>
      <w:r>
        <w:rPr>
          <w:spacing w:val="-66"/>
        </w:rPr>
        <w:t> </w:t>
      </w:r>
      <w:r>
        <w:rPr>
          <w:spacing w:val="-66"/>
        </w:rPr>
      </w:r>
      <w:r>
        <w:rPr/>
        <w:t>等高分子材料以及交流与直流充电设备。</w:t>
      </w:r>
    </w:p>
    <w:p>
      <w:pPr>
        <w:pStyle w:val="BodyText"/>
        <w:spacing w:line="316" w:lineRule="auto" w:before="144"/>
        <w:ind w:right="0" w:firstLine="441"/>
        <w:jc w:val="left"/>
      </w:pPr>
      <w:r>
        <w:rPr>
          <w:spacing w:val="-2"/>
        </w:rPr>
        <w:t>本集团合并财务报表范围包括浙江万马股份有限公司、浙江万马高分子材料有限公司、四川万马高分子材料有限公司、</w:t>
      </w:r>
      <w:r>
        <w:rPr/>
        <w:t> </w:t>
      </w:r>
      <w:r>
        <w:rPr>
          <w:spacing w:val="-2"/>
        </w:rPr>
        <w:t>浙江万马聚力新材料科技有限公司、清远万马新材料有限公司、浙江万马天屹通信线缆有限公司、浙江万马集团特种电子电</w:t>
      </w:r>
      <w:r>
        <w:rPr>
          <w:spacing w:val="-63"/>
        </w:rPr>
        <w:t> </w:t>
      </w:r>
      <w:r>
        <w:rPr>
          <w:spacing w:val="-63"/>
        </w:rPr>
      </w:r>
      <w:r>
        <w:rPr>
          <w:spacing w:val="-2"/>
        </w:rPr>
        <w:t>缆有限公司、浙江万马奔腾新能源产业有限公司、浙江万马新能源有限公司、浙江万马光伏有限公司、浙江爱充网络科技有</w:t>
      </w:r>
      <w:r>
        <w:rPr>
          <w:spacing w:val="-64"/>
        </w:rPr>
        <w:t> </w:t>
      </w:r>
      <w:r>
        <w:rPr>
          <w:spacing w:val="-64"/>
        </w:rPr>
      </w:r>
      <w:r>
        <w:rPr>
          <w:spacing w:val="-2"/>
        </w:rPr>
        <w:t>限公司、上海万马乾驭电动汽车服务有限公司、香港骐骥国际发展有限公司、浙江万马专用线缆科技有限公司、浙江万马电</w:t>
      </w:r>
      <w:r>
        <w:rPr>
          <w:spacing w:val="-64"/>
        </w:rPr>
        <w:t> </w:t>
      </w:r>
      <w:r>
        <w:rPr>
          <w:spacing w:val="-64"/>
        </w:rPr>
      </w:r>
      <w:r>
        <w:rPr>
          <w:spacing w:val="-2"/>
        </w:rPr>
        <w:t>缆有限公司、万马联合新能源投资有限公司、江苏万充新能源科技有限公司、苏州万充新能源科技有限公司、无锡万充新能</w:t>
      </w:r>
      <w:r>
        <w:rPr>
          <w:spacing w:val="-64"/>
        </w:rPr>
        <w:t> </w:t>
      </w:r>
      <w:r>
        <w:rPr>
          <w:spacing w:val="-64"/>
        </w:rPr>
      </w:r>
      <w:r>
        <w:rPr>
          <w:spacing w:val="-2"/>
        </w:rPr>
        <w:t>源科技有限公司、武汉万爱新能源科技有限公司、北京万京新能源科技有限公司、宁波万爱新能源科技有限公司、上海万遥</w:t>
      </w:r>
      <w:r>
        <w:rPr>
          <w:spacing w:val="-64"/>
        </w:rPr>
        <w:t> </w:t>
      </w:r>
      <w:r>
        <w:rPr>
          <w:spacing w:val="-64"/>
        </w:rPr>
      </w:r>
      <w:r>
        <w:rPr>
          <w:spacing w:val="-2"/>
        </w:rPr>
        <w:t>新能源科技有限公司、福州万充新能源科技有限公司、深圳万充新能源科技有限公司、陕西万充新能源科技有限公司、杭州</w:t>
      </w:r>
      <w:r>
        <w:rPr>
          <w:spacing w:val="-64"/>
        </w:rPr>
        <w:t> </w:t>
      </w:r>
      <w:r>
        <w:rPr>
          <w:spacing w:val="-64"/>
        </w:rPr>
      </w:r>
      <w:r>
        <w:rPr>
          <w:spacing w:val="-2"/>
        </w:rPr>
        <w:t>万充电力工程有限公司、重庆万充新能源科技有限公司、四川万充新能源科技有限公司、广州万充新能源科技有限公司、海</w:t>
      </w:r>
      <w:r>
        <w:rPr>
          <w:spacing w:val="-64"/>
        </w:rPr>
        <w:t> </w:t>
      </w:r>
      <w:r>
        <w:rPr>
          <w:spacing w:val="-64"/>
        </w:rPr>
      </w:r>
      <w:r>
        <w:rPr/>
        <w:t>南万充新能源科技有限公司、山西万马新能源科技有限公司、佛山万爱新能源科技有限公司、</w:t>
      </w:r>
      <w:r>
        <w:rPr>
          <w:rFonts w:ascii="Times New Roman" w:hAnsi="Times New Roman" w:cs="Times New Roman" w:eastAsia="Times New Roman" w:hint="default"/>
        </w:rPr>
        <w:t>Optrum Technology LLC</w:t>
      </w:r>
      <w:r>
        <w:rPr/>
        <w:t>、浙</w:t>
      </w:r>
      <w:r>
        <w:rPr>
          <w:spacing w:val="-54"/>
        </w:rPr>
        <w:t> </w:t>
      </w:r>
      <w:r>
        <w:rPr>
          <w:spacing w:val="-54"/>
        </w:rPr>
      </w:r>
      <w:r>
        <w:rPr/>
        <w:t>江万马家装有限公司、杭州以田科技有限公司</w:t>
      </w:r>
      <w:r>
        <w:rPr>
          <w:rFonts w:ascii="Times New Roman" w:hAnsi="Times New Roman" w:cs="Times New Roman" w:eastAsia="Times New Roman" w:hint="default"/>
        </w:rPr>
        <w:t>36</w:t>
      </w:r>
      <w:r>
        <w:rPr/>
        <w:t>家公司。</w:t>
      </w:r>
    </w:p>
    <w:p>
      <w:pPr>
        <w:pStyle w:val="BodyText"/>
        <w:spacing w:line="316" w:lineRule="auto" w:before="119"/>
        <w:ind w:right="1132" w:firstLine="441"/>
        <w:jc w:val="both"/>
      </w:pPr>
      <w:r>
        <w:rPr/>
        <w:t>与上年相比，本年因新设山西万马新能源科技有限公司、佛山万爱新能源科技有限公司、杭州以田科技有限公司、清 远万马新材料有限公司增加</w:t>
      </w:r>
      <w:r>
        <w:rPr>
          <w:rFonts w:ascii="Times New Roman" w:hAnsi="Times New Roman" w:cs="Times New Roman" w:eastAsia="Times New Roman" w:hint="default"/>
        </w:rPr>
        <w:t>4</w:t>
      </w:r>
      <w:r>
        <w:rPr/>
        <w:t>家公司。</w:t>
      </w:r>
    </w:p>
    <w:p>
      <w:pPr>
        <w:pStyle w:val="BodyText"/>
        <w:spacing w:line="240" w:lineRule="auto" w:before="119"/>
        <w:ind w:left="554" w:right="0"/>
        <w:jc w:val="left"/>
      </w:pPr>
      <w:r>
        <w:rPr/>
        <w:t>详见本附注“八、合并范围的变更</w:t>
      </w:r>
      <w:r>
        <w:rPr>
          <w:rFonts w:ascii="Times New Roman" w:hAnsi="Times New Roman" w:cs="Times New Roman" w:eastAsia="Times New Roman" w:hint="default"/>
        </w:rPr>
        <w:t>”</w:t>
      </w:r>
      <w:r>
        <w:rPr/>
        <w:t>及本附注“九、在其他主体中的权益”相关内容。</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80"/>
      <w:bookmarkEnd w:id="180"/>
      <w:r>
        <w:rPr>
          <w:b w:val="0"/>
          <w:bCs w:val="0"/>
        </w:rPr>
      </w: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1、编制基础" w:id="181"/>
      <w:bookmarkEnd w:id="18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41"/>
        <w:jc w:val="both"/>
      </w:pPr>
      <w:r>
        <w:rPr/>
        <w:t>本集团财务报表以持续经营为基础，根据实际发生的交易和事项，按照财政部颁布的《企业会计准则》及相关规定， 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1"/>
        <w:rPr>
          <w:rFonts w:ascii="宋体" w:hAnsi="宋体" w:cs="宋体" w:eastAsia="宋体" w:hint="default"/>
          <w:sz w:val="21"/>
          <w:szCs w:val="21"/>
        </w:rPr>
      </w:pPr>
    </w:p>
    <w:p>
      <w:pPr>
        <w:pStyle w:val="Heading6"/>
        <w:spacing w:line="240" w:lineRule="auto"/>
        <w:ind w:right="0"/>
        <w:jc w:val="both"/>
        <w:rPr>
          <w:b w:val="0"/>
          <w:bCs w:val="0"/>
        </w:rPr>
      </w:pPr>
      <w:bookmarkStart w:name="2、持续经营" w:id="182"/>
      <w:bookmarkEnd w:id="18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本集团自本报告期末至少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83"/>
      <w:bookmarkEnd w:id="183"/>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240" w:lineRule="auto" w:before="29"/>
        <w:ind w:right="0"/>
        <w:jc w:val="both"/>
      </w:pPr>
      <w:r>
        <w:rPr/>
        <w:t>具体会计政策和会计估计提示：</w:t>
      </w:r>
    </w:p>
    <w:p>
      <w:pPr>
        <w:spacing w:line="240" w:lineRule="auto" w:before="0"/>
        <w:rPr>
          <w:rFonts w:ascii="宋体" w:hAnsi="宋体" w:cs="宋体" w:eastAsia="宋体" w:hint="default"/>
          <w:sz w:val="15"/>
          <w:szCs w:val="15"/>
        </w:rPr>
      </w:pPr>
    </w:p>
    <w:p>
      <w:pPr>
        <w:pStyle w:val="BodyText"/>
        <w:spacing w:line="316" w:lineRule="auto"/>
        <w:ind w:right="1130" w:firstLine="441"/>
        <w:jc w:val="both"/>
      </w:pPr>
      <w:r>
        <w:rPr/>
        <w:t>具体会计政策和会计估计提示：本集团根据实际生产经营特点制定的具体会计政策和会计估计包括外币业务、应收款 </w:t>
      </w:r>
      <w:r>
        <w:rPr>
          <w:spacing w:val="-2"/>
        </w:rPr>
        <w:t>项坏账准备的确认和计量、发出存货计量、固定资产分类及折旧方法、无形资产摊销、研发费用资本化条件、收入确认和计</w:t>
      </w:r>
      <w:r>
        <w:rPr>
          <w:spacing w:val="-63"/>
        </w:rPr>
        <w:t> </w:t>
      </w:r>
      <w:r>
        <w:rPr>
          <w:spacing w:val="-63"/>
        </w:rPr>
      </w:r>
      <w:r>
        <w:rPr/>
        <w:t>量等。</w:t>
      </w:r>
    </w:p>
    <w:p>
      <w:pPr>
        <w:spacing w:after="0" w:line="316" w:lineRule="auto"/>
        <w:jc w:val="both"/>
        <w:sectPr>
          <w:pgSz w:w="11910" w:h="16840"/>
          <w:pgMar w:header="890" w:footer="1012" w:top="1420" w:bottom="1200" w:left="1020" w:right="0"/>
        </w:sectPr>
      </w:pPr>
    </w:p>
    <w:p>
      <w:pPr>
        <w:pStyle w:val="Heading6"/>
        <w:spacing w:line="240" w:lineRule="auto" w:before="43"/>
        <w:ind w:right="0"/>
        <w:jc w:val="left"/>
        <w:rPr>
          <w:b w:val="0"/>
          <w:bCs w:val="0"/>
        </w:rPr>
      </w:pPr>
      <w:bookmarkStart w:name="1、遵循企业会计准则的声明" w:id="184"/>
      <w:bookmarkEnd w:id="18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41"/>
        <w:jc w:val="both"/>
      </w:pPr>
      <w:r>
        <w:rPr/>
        <w:t>本公司编制的财务报表符合企业会计准则的要求，真实、完整地反映了本公司及本集团的财务状况、经营成果和现金 流量等有关信息。</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2、会计期间" w:id="185"/>
      <w:bookmarkEnd w:id="18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54"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3、营业周期" w:id="186"/>
      <w:bookmarkEnd w:id="18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本集团的营业周期为</w:t>
      </w:r>
      <w:r>
        <w:rPr>
          <w:rFonts w:ascii="Times New Roman" w:hAnsi="Times New Roman" w:cs="Times New Roman" w:eastAsia="Times New Roman" w:hint="default"/>
        </w:rPr>
        <w:t>12</w:t>
      </w:r>
      <w:r>
        <w:rPr/>
        <w:t>个月。</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记账本位币" w:id="187"/>
      <w:bookmarkEnd w:id="18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54" w:right="0"/>
        <w:jc w:val="left"/>
      </w:pPr>
      <w:r>
        <w:rPr/>
        <w:t>本集团以人民币为记账本位币。</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同一控制下和非同一控制下企业合并的会计处理方法" w:id="188"/>
      <w:bookmarkEnd w:id="18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41"/>
        <w:jc w:val="both"/>
      </w:pPr>
      <w:r>
        <w:rPr/>
        <w:t>本集团作为合并方，在同一控制下企业合并中取得的资产和负债，在合并日按被合并方在最终控制方合并报表中的账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4"/>
        </w:rPr>
        <w:t> </w:t>
      </w:r>
      <w:r>
        <w:rPr>
          <w:spacing w:val="-64"/>
        </w:rPr>
      </w:r>
      <w:r>
        <w:rPr/>
        <w:t>益。</w:t>
      </w:r>
    </w:p>
    <w:p>
      <w:pPr>
        <w:pStyle w:val="BodyText"/>
        <w:spacing w:line="316" w:lineRule="auto" w:before="139"/>
        <w:ind w:right="1130" w:firstLine="441"/>
        <w:jc w:val="both"/>
      </w:pPr>
      <w:r>
        <w:rPr/>
        <w:t>在非同一控制下企业合并中取得的被购买方可辨认资产、负债及或有负债在收购日以公允价值计量。合并成本为本集 </w:t>
      </w:r>
      <w:r>
        <w:rPr>
          <w:spacing w:val="-2"/>
        </w:rPr>
        <w:t>团在购买日为取得对被购买方的控制权而支付的现金或非现金资产、发行或承担的负债、发行的权益性证券等的公允价值以</w:t>
      </w:r>
      <w:r>
        <w:rPr>
          <w:spacing w:val="-64"/>
        </w:rPr>
        <w:t> </w:t>
      </w:r>
      <w:r>
        <w:rPr>
          <w:spacing w:val="-64"/>
        </w:rPr>
      </w:r>
      <w:r>
        <w:rPr/>
        <w:t>及在企业合并中发生的各项直接相关费用之和（通过多次交易分步实现的企业合并，其合并成本为每一单项交易的成本之</w:t>
      </w:r>
      <w:r>
        <w:rPr>
          <w:spacing w:val="-9"/>
        </w:rPr>
        <w:t> </w:t>
      </w:r>
      <w:r>
        <w:rPr>
          <w:spacing w:val="-9"/>
        </w:rPr>
      </w:r>
      <w:r>
        <w:rPr>
          <w:spacing w:val="-2"/>
        </w:rPr>
        <w:t>和）。合并成本大于合并中取得的被购买方可辨认净资产公允价值份额的差额，确认为商誉；合并成本小于合并中取得的被</w:t>
      </w:r>
      <w:r>
        <w:rPr>
          <w:spacing w:val="-65"/>
        </w:rPr>
        <w:t> </w:t>
      </w:r>
      <w:r>
        <w:rPr>
          <w:spacing w:val="-65"/>
        </w:rPr>
      </w:r>
      <w:r>
        <w:rPr>
          <w:spacing w:val="-2"/>
        </w:rPr>
        <w:t>购买方可辨认净资产公允价值份额的，首先对合并中取得的各项可辨认资产、负债及或有负债的公允价值、以及合并对价的</w:t>
      </w:r>
      <w:r>
        <w:rPr>
          <w:spacing w:val="-63"/>
        </w:rPr>
        <w:t> </w:t>
      </w:r>
      <w:r>
        <w:rPr>
          <w:spacing w:val="-63"/>
        </w:rPr>
      </w:r>
      <w:r>
        <w:rPr>
          <w:spacing w:val="-2"/>
        </w:rPr>
        <w:t>非现金资产或发行的权益性证券等的公允价值进行复核，经复核后，合并成本仍小于合并中取得的被购买方可辨认净资产公</w:t>
      </w:r>
      <w:r>
        <w:rPr>
          <w:spacing w:val="-64"/>
        </w:rPr>
        <w:t> </w:t>
      </w:r>
      <w:r>
        <w:rPr>
          <w:spacing w:val="-64"/>
        </w:rPr>
      </w:r>
      <w:r>
        <w:rPr/>
        <w:t>允价值份额的，将其差额计入合并当期营业外收入。</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6、合并财务报表的编制方法" w:id="189"/>
      <w:bookmarkEnd w:id="189"/>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30" w:lineRule="atLeast" w:before="150"/>
        <w:ind w:left="554" w:right="1132"/>
        <w:jc w:val="left"/>
      </w:pPr>
      <w:r>
        <w:rPr/>
        <w:t>本集团将所有控制的子公司纳入合并财务报表范围。 在编制合并财务报表时，子公司与本公司采用的会计政策或会计期间不一致的，按照本公司的会计政策或会计期间对</w:t>
      </w:r>
    </w:p>
    <w:p>
      <w:pPr>
        <w:pStyle w:val="BodyText"/>
        <w:spacing w:line="240" w:lineRule="auto" w:before="76"/>
        <w:ind w:right="0"/>
        <w:jc w:val="left"/>
      </w:pPr>
      <w:r>
        <w:rPr/>
        <w:t>子公司财务报表进行必要的调整。</w:t>
      </w:r>
    </w:p>
    <w:p>
      <w:pPr>
        <w:spacing w:line="240" w:lineRule="auto" w:before="0"/>
        <w:rPr>
          <w:rFonts w:ascii="宋体" w:hAnsi="宋体" w:cs="宋体" w:eastAsia="宋体" w:hint="default"/>
          <w:sz w:val="15"/>
          <w:szCs w:val="15"/>
        </w:rPr>
      </w:pPr>
    </w:p>
    <w:p>
      <w:pPr>
        <w:pStyle w:val="BodyText"/>
        <w:spacing w:line="309" w:lineRule="auto"/>
        <w:ind w:right="1132" w:firstLine="441"/>
        <w:jc w:val="both"/>
      </w:pPr>
      <w:r>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w:t>
      </w:r>
      <w:r>
        <w:rPr>
          <w:spacing w:val="-76"/>
        </w:rPr>
        <w:t> </w:t>
      </w:r>
      <w:r>
        <w:rPr/>
        <w:t>权益、少数股东损益、归属于少数股东的其他综合收益及归属于少数股东的综合收益总额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pStyle w:val="BodyText"/>
        <w:spacing w:line="316" w:lineRule="auto" w:before="125"/>
        <w:ind w:right="1132" w:firstLine="441"/>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BodyText"/>
        <w:spacing w:line="316" w:lineRule="auto" w:before="139"/>
        <w:ind w:right="1132" w:firstLine="441"/>
        <w:jc w:val="both"/>
      </w:pPr>
      <w:r>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spacing w:after="0" w:line="316" w:lineRule="auto"/>
        <w:jc w:val="both"/>
        <w:sectPr>
          <w:headerReference w:type="default" r:id="rId43"/>
          <w:pgSz w:w="11910" w:h="16840"/>
          <w:pgMar w:header="890" w:footer="1012" w:top="1420" w:bottom="1200" w:left="1020" w:right="0"/>
        </w:sectPr>
      </w:pPr>
    </w:p>
    <w:p>
      <w:pPr>
        <w:pStyle w:val="Heading6"/>
        <w:spacing w:line="240" w:lineRule="auto" w:before="43"/>
        <w:ind w:right="0"/>
        <w:jc w:val="both"/>
        <w:rPr>
          <w:b w:val="0"/>
          <w:bCs w:val="0"/>
        </w:rPr>
      </w:pPr>
      <w:bookmarkStart w:name="7、合营安排分类及共同经营会计处理方法" w:id="190"/>
      <w:bookmarkEnd w:id="19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8、现金及现金等价物的确定标准" w:id="191"/>
      <w:bookmarkEnd w:id="19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2" w:firstLine="441"/>
        <w:jc w:val="both"/>
      </w:pPr>
      <w:r>
        <w:rPr/>
        <w:t>本集团现金流量表之现金指库存现金以及可以随时用于支付的存款。现金流量表之现金等价物指持有期限不超过</w:t>
      </w:r>
      <w:r>
        <w:rPr>
          <w:rFonts w:ascii="Times New Roman" w:hAnsi="Times New Roman" w:cs="Times New Roman" w:eastAsia="Times New Roman" w:hint="default"/>
        </w:rPr>
        <w:t>3</w:t>
      </w:r>
      <w:r>
        <w:rPr/>
        <w:t>个 月、流动性强、易于转换为已知金额现金且价值变动风险很小的投资。</w:t>
      </w:r>
    </w:p>
    <w:p>
      <w:pPr>
        <w:spacing w:line="240" w:lineRule="auto" w:before="7"/>
        <w:rPr>
          <w:rFonts w:ascii="宋体" w:hAnsi="宋体" w:cs="宋体" w:eastAsia="宋体" w:hint="default"/>
          <w:sz w:val="23"/>
          <w:szCs w:val="23"/>
        </w:rPr>
      </w:pPr>
    </w:p>
    <w:p>
      <w:pPr>
        <w:pStyle w:val="Heading6"/>
        <w:spacing w:line="240" w:lineRule="auto"/>
        <w:ind w:right="0"/>
        <w:jc w:val="both"/>
        <w:rPr>
          <w:b w:val="0"/>
          <w:bCs w:val="0"/>
        </w:rPr>
      </w:pPr>
      <w:bookmarkStart w:name="9、外币业务和外币报表折算" w:id="192"/>
      <w:bookmarkEnd w:id="192"/>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554" w:right="1132"/>
        <w:jc w:val="left"/>
      </w:pPr>
      <w:r>
        <w:rPr>
          <w:rFonts w:ascii="Times New Roman" w:hAnsi="Times New Roman" w:cs="Times New Roman" w:eastAsia="Times New Roman" w:hint="default"/>
        </w:rPr>
        <w:t>1.</w:t>
      </w:r>
      <w:r>
        <w:rPr/>
        <w:t>外币交易 本集团外币交易按交易发生日的即期汇率将外币金额折算为人民币金额。于资产负债表日，外币货币性项目采用资产</w:t>
      </w:r>
    </w:p>
    <w:p>
      <w:pPr>
        <w:pStyle w:val="BodyText"/>
        <w:spacing w:line="316" w:lineRule="auto" w:before="76"/>
        <w:ind w:right="0"/>
        <w:jc w:val="left"/>
      </w:pPr>
      <w:r>
        <w:rPr>
          <w:spacing w:val="-2"/>
        </w:rPr>
        <w:t>负债表日的即期汇率折算为人民币，所产生的折算差额除了为购建或生产符合资本化条件的资产而借入的外币专门借款产生</w:t>
      </w:r>
      <w:r>
        <w:rPr>
          <w:spacing w:val="-64"/>
        </w:rPr>
        <w:t> </w:t>
      </w:r>
      <w:r>
        <w:rPr>
          <w:spacing w:val="-64"/>
        </w:rPr>
      </w:r>
      <w:r>
        <w:rPr/>
        <w:t>的汇兑差额按资本化的原则处理外，直接计入当期损益。</w:t>
      </w:r>
    </w:p>
    <w:p>
      <w:pPr>
        <w:pStyle w:val="BodyText"/>
        <w:spacing w:line="432" w:lineRule="exact" w:before="3"/>
        <w:ind w:left="472" w:right="0" w:firstLine="81"/>
        <w:jc w:val="left"/>
      </w:pPr>
      <w:r>
        <w:rPr>
          <w:rFonts w:ascii="Times New Roman" w:hAnsi="Times New Roman" w:cs="Times New Roman" w:eastAsia="Times New Roman" w:hint="default"/>
        </w:rPr>
        <w:t>2.</w:t>
      </w:r>
      <w:r>
        <w:rPr/>
        <w:t>外币财务报表的折算 </w:t>
      </w: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w:t>
      </w:r>
    </w:p>
    <w:p>
      <w:pPr>
        <w:pStyle w:val="BodyText"/>
        <w:spacing w:line="316" w:lineRule="auto" w:before="15"/>
        <w:ind w:right="1130"/>
        <w:jc w:val="both"/>
      </w:pPr>
      <w:r>
        <w:rPr>
          <w:spacing w:val="-2"/>
        </w:rPr>
        <w:t>务发生时的即期汇率折算；利润表中的收入与费用项目，采用交易发生日的即期汇率折算。上述折算产生的外币报表折算差</w:t>
      </w:r>
      <w:r>
        <w:rPr>
          <w:spacing w:val="-63"/>
        </w:rPr>
        <w:t> </w:t>
      </w:r>
      <w:r>
        <w:rPr>
          <w:spacing w:val="-63"/>
        </w:rPr>
      </w:r>
      <w:r>
        <w:rPr>
          <w:spacing w:val="-2"/>
        </w:rPr>
        <w:t>额，在其他综合收益项目中列示。外币现金流量采用现金流量发生日的即期汇率折算。汇率变动对现金的影响额，在现金流</w:t>
      </w:r>
      <w:r>
        <w:rPr>
          <w:spacing w:val="-64"/>
        </w:rPr>
        <w:t> </w:t>
      </w:r>
      <w:r>
        <w:rPr>
          <w:spacing w:val="-64"/>
        </w:rPr>
      </w:r>
      <w:r>
        <w:rPr/>
        <w:t>量表中单独列示。</w:t>
      </w:r>
    </w:p>
    <w:p>
      <w:pPr>
        <w:spacing w:line="240" w:lineRule="auto" w:before="6"/>
        <w:rPr>
          <w:rFonts w:ascii="宋体" w:hAnsi="宋体" w:cs="宋体" w:eastAsia="宋体" w:hint="default"/>
          <w:sz w:val="22"/>
          <w:szCs w:val="22"/>
        </w:rPr>
      </w:pPr>
    </w:p>
    <w:p>
      <w:pPr>
        <w:pStyle w:val="Heading6"/>
        <w:spacing w:line="240" w:lineRule="auto"/>
        <w:ind w:right="0"/>
        <w:jc w:val="both"/>
        <w:rPr>
          <w:b w:val="0"/>
          <w:bCs w:val="0"/>
        </w:rPr>
      </w:pPr>
      <w:bookmarkStart w:name="10、金融工具" w:id="193"/>
      <w:bookmarkEnd w:id="19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0"/>
        <w:jc w:val="left"/>
      </w:pPr>
      <w:r>
        <w:rPr/>
        <w:t>本集团成为金融工具合同的一方时确认一项金融资产或金融负债。</w:t>
      </w:r>
    </w:p>
    <w:p>
      <w:pPr>
        <w:spacing w:line="240" w:lineRule="auto" w:before="0"/>
        <w:rPr>
          <w:rFonts w:ascii="宋体" w:hAnsi="宋体" w:cs="宋体" w:eastAsia="宋体" w:hint="default"/>
          <w:sz w:val="15"/>
          <w:szCs w:val="15"/>
        </w:rPr>
      </w:pPr>
    </w:p>
    <w:p>
      <w:pPr>
        <w:pStyle w:val="BodyText"/>
        <w:spacing w:line="415" w:lineRule="auto"/>
        <w:ind w:left="564" w:right="7212"/>
        <w:jc w:val="left"/>
      </w:pPr>
      <w:r>
        <w:rPr>
          <w:rFonts w:ascii="Times New Roman" w:hAnsi="Times New Roman" w:cs="Times New Roman" w:eastAsia="Times New Roman" w:hint="default"/>
        </w:rPr>
        <w:t>1.</w:t>
      </w:r>
      <w:r>
        <w:rPr/>
        <w:t>金融资产 </w:t>
      </w:r>
      <w:r>
        <w:rPr>
          <w:rFonts w:ascii="Times New Roman" w:hAnsi="Times New Roman" w:cs="Times New Roman" w:eastAsia="Times New Roman" w:hint="default"/>
        </w:rPr>
        <w:t>(1)</w:t>
      </w:r>
      <w:r>
        <w:rPr/>
        <w:t>金融资产分类、确认依据和计量方法</w:t>
      </w:r>
    </w:p>
    <w:p>
      <w:pPr>
        <w:pStyle w:val="BodyText"/>
        <w:spacing w:line="316" w:lineRule="auto" w:before="37"/>
        <w:ind w:right="1132" w:firstLine="360"/>
        <w:jc w:val="both"/>
      </w:pPr>
      <w:r>
        <w:rPr>
          <w:spacing w:val="-2"/>
        </w:rPr>
        <w:t>本集团按投资目的和经济实质对拥有的金融资产分类为以公允价值计量且其变动计入当期损益的金融资产、持有至到期</w:t>
      </w:r>
      <w:r>
        <w:rPr/>
        <w:t> 投资、应收款项及可供出售金融资产。</w:t>
      </w:r>
    </w:p>
    <w:p>
      <w:pPr>
        <w:pStyle w:val="BodyText"/>
        <w:spacing w:line="316" w:lineRule="auto" w:before="139"/>
        <w:ind w:right="1130" w:firstLine="360"/>
        <w:jc w:val="both"/>
      </w:pPr>
      <w:r>
        <w:rPr>
          <w:spacing w:val="-2"/>
        </w:rPr>
        <w:t>以公允价值计量且其变动计入当期损益的金融资产，包括交易性金融资产和在初始确认时指定为以公允价值计量且其变</w:t>
      </w:r>
      <w:r>
        <w:rPr/>
        <w:t> </w:t>
      </w:r>
      <w:r>
        <w:rPr>
          <w:spacing w:val="-2"/>
        </w:rPr>
        <w:t>动计入当期损益的金融资产。本集团将满足下列条件之一的金融资产归类为交易性金融资产：取得该金融资产的目的是为了</w:t>
      </w:r>
      <w:r>
        <w:rPr>
          <w:spacing w:val="-64"/>
        </w:rPr>
        <w:t> </w:t>
      </w:r>
      <w:r>
        <w:rPr>
          <w:spacing w:val="-64"/>
        </w:rPr>
      </w:r>
      <w:r>
        <w:rPr>
          <w:spacing w:val="-2"/>
        </w:rPr>
        <w:t>在短期内出售；属于进行集中管理的可辨认金融工具组合的一部分，且有客观证据表明公司近期采用短期获利方式对该组合</w:t>
      </w:r>
      <w:r>
        <w:rPr>
          <w:spacing w:val="-64"/>
        </w:rPr>
        <w:t> </w:t>
      </w:r>
      <w:r>
        <w:rPr>
          <w:spacing w:val="-64"/>
        </w:rPr>
      </w:r>
      <w:r>
        <w:rPr>
          <w:spacing w:val="-2"/>
        </w:rPr>
        <w:t>进行管理；属于衍生工具，但是，被指定且为有效套期工具的衍生工具、属于财务担保合同的衍生工具、与在活跃市场中没</w:t>
      </w:r>
      <w:r>
        <w:rPr>
          <w:spacing w:val="-63"/>
        </w:rPr>
        <w:t> </w:t>
      </w:r>
      <w:r>
        <w:rPr>
          <w:spacing w:val="-63"/>
        </w:rPr>
      </w:r>
      <w:r>
        <w:rPr>
          <w:spacing w:val="-2"/>
        </w:rPr>
        <w:t>有报价且其公允价值不能可靠计量的权益工具投资挂钩并须通过交付该权益工具结算的衍生工具除外。本集团将只有符合下</w:t>
      </w:r>
      <w:r>
        <w:rPr>
          <w:spacing w:val="-64"/>
        </w:rPr>
        <w:t> </w:t>
      </w:r>
      <w:r>
        <w:rPr>
          <w:spacing w:val="-64"/>
        </w:rPr>
      </w:r>
      <w:r>
        <w:rPr>
          <w:spacing w:val="-2"/>
        </w:rPr>
        <w:t>列条件之一的金融工具，才可在初始确认时指定为以公允价值计量且其变动计入当期损益的金融资产：该指定可以消除或明</w:t>
      </w:r>
      <w:r>
        <w:rPr>
          <w:spacing w:val="-64"/>
        </w:rPr>
        <w:t> </w:t>
      </w:r>
      <w:r>
        <w:rPr>
          <w:spacing w:val="-64"/>
        </w:rPr>
      </w:r>
      <w:r>
        <w:rPr>
          <w:spacing w:val="-2"/>
        </w:rPr>
        <w:t>显减少由于该金融工具的计量基础不同所导致的相关利得或损失在确认或计量方面不一致的情况；公司风险管理或投资策略</w:t>
      </w:r>
      <w:r>
        <w:rPr>
          <w:spacing w:val="-64"/>
        </w:rPr>
        <w:t> </w:t>
      </w:r>
      <w:r>
        <w:rPr>
          <w:spacing w:val="-64"/>
        </w:rPr>
      </w:r>
      <w:r>
        <w:rPr>
          <w:spacing w:val="-2"/>
        </w:rPr>
        <w:t>的正式书面文件已载明，该金融工具组合以公允价值为基础进行管理、评价并向关键管理人员报告；包含一项或多项嵌入衍</w:t>
      </w:r>
      <w:r>
        <w:rPr>
          <w:spacing w:val="-63"/>
        </w:rPr>
        <w:t> </w:t>
      </w:r>
      <w:r>
        <w:rPr>
          <w:spacing w:val="-63"/>
        </w:rPr>
      </w:r>
      <w:r>
        <w:rPr>
          <w:spacing w:val="-2"/>
        </w:rPr>
        <w:t>生工具的混合工具，除非嵌入衍生工具对混合工具的现金流量没有重大改变，或所嵌入的衍生工具明显不应当从相关混合工</w:t>
      </w:r>
      <w:r>
        <w:rPr>
          <w:spacing w:val="-64"/>
        </w:rPr>
        <w:t> </w:t>
      </w:r>
      <w:r>
        <w:rPr>
          <w:spacing w:val="-64"/>
        </w:rPr>
      </w:r>
      <w:r>
        <w:rPr>
          <w:spacing w:val="-2"/>
        </w:rPr>
        <w:t>具中分拆；包含需要分拆但无法在取得时或后续的资产负债表日对其进行单独计量的嵌入衍生工具的混合工具。本集团目前</w:t>
      </w:r>
      <w:r>
        <w:rPr>
          <w:spacing w:val="-64"/>
        </w:rPr>
        <w:t> </w:t>
      </w:r>
      <w:r>
        <w:rPr>
          <w:spacing w:val="-64"/>
        </w:rPr>
      </w:r>
      <w:r>
        <w:rPr>
          <w:spacing w:val="-2"/>
        </w:rPr>
        <w:t>无指定的该类金融资产。对此类金融资产，采用公允价值进行后续计量。公允价值变动计入公允价值变动损益；在资产持有</w:t>
      </w:r>
      <w:r>
        <w:rPr>
          <w:spacing w:val="-64"/>
        </w:rPr>
        <w:t> </w:t>
      </w:r>
      <w:r>
        <w:rPr>
          <w:spacing w:val="-64"/>
        </w:rPr>
      </w:r>
      <w:r>
        <w:rPr>
          <w:spacing w:val="-2"/>
        </w:rPr>
        <w:t>期间所取得的利息或现金股利，确认为投资收益；处置时，其公允价值与初始入账金额之间的差额确认为投资损益，同时调</w:t>
      </w:r>
      <w:r>
        <w:rPr>
          <w:spacing w:val="-64"/>
        </w:rPr>
        <w:t> </w:t>
      </w:r>
      <w:r>
        <w:rPr>
          <w:spacing w:val="-64"/>
        </w:rPr>
      </w:r>
      <w:r>
        <w:rPr/>
        <w:t>整公允价值变动损益。</w:t>
      </w:r>
    </w:p>
    <w:p>
      <w:pPr>
        <w:pStyle w:val="BodyText"/>
        <w:spacing w:line="439" w:lineRule="auto" w:before="139"/>
        <w:ind w:left="472" w:right="0"/>
        <w:jc w:val="left"/>
      </w:pPr>
      <w:r>
        <w:rPr>
          <w:spacing w:val="-4"/>
        </w:rPr>
        <w:t>持有至到期投资，是指到期日固定、回收金额固定或可确定，且本集团有明确意图和能力持有至到期的非衍生金融资产。</w:t>
      </w:r>
      <w:r>
        <w:rPr>
          <w:spacing w:val="-50"/>
        </w:rPr>
        <w:t> </w:t>
      </w:r>
      <w:r>
        <w:rPr>
          <w:spacing w:val="-50"/>
        </w:rPr>
      </w:r>
      <w:r>
        <w:rPr/>
        <w:t>应收款项，是指在活跃市场中没有报价，回收金额固定或可确定的非衍生金融资产。</w:t>
      </w:r>
    </w:p>
    <w:p>
      <w:pPr>
        <w:spacing w:after="0" w:line="439" w:lineRule="auto"/>
        <w:jc w:val="left"/>
        <w:sectPr>
          <w:headerReference w:type="default" r:id="rId44"/>
          <w:pgSz w:w="11910" w:h="16840"/>
          <w:pgMar w:header="890" w:footer="1012" w:top="1420" w:bottom="1200" w:left="1020" w:right="0"/>
        </w:sectPr>
      </w:pPr>
    </w:p>
    <w:p>
      <w:pPr>
        <w:pStyle w:val="BodyText"/>
        <w:spacing w:line="316" w:lineRule="auto" w:before="66"/>
        <w:ind w:right="1130" w:firstLine="360"/>
        <w:jc w:val="both"/>
      </w:pPr>
      <w:r>
        <w:rPr>
          <w:spacing w:val="-2"/>
        </w:rPr>
        <w:t>可供出售金融资产，是指初始确认时即被指定为可供出售的非衍生金融资产，以及未被划分为其他类的金融资产。这类</w:t>
      </w:r>
      <w:r>
        <w:rPr/>
        <w:t> </w:t>
      </w:r>
      <w:r>
        <w:rPr>
          <w:spacing w:val="-2"/>
        </w:rPr>
        <w:t>资产中，在活跃市场中没有报价且其公允价值不能可靠计量的权益工具投资以及与该权益工具挂钩并须通过交付该权益工具</w:t>
      </w:r>
      <w:r>
        <w:rPr>
          <w:spacing w:val="-64"/>
        </w:rPr>
        <w:t> </w:t>
      </w:r>
      <w:r>
        <w:rPr>
          <w:spacing w:val="-64"/>
        </w:rPr>
      </w:r>
      <w:r>
        <w:rPr>
          <w:spacing w:val="-2"/>
        </w:rPr>
        <w:t>结算的衍生金融资产，按成本进行后续计量；其他存在活跃市场报价或虽没有活跃市场报价但公允价值能够可靠计量的，按</w:t>
      </w:r>
      <w:r>
        <w:rPr>
          <w:spacing w:val="-63"/>
        </w:rPr>
        <w:t> </w:t>
      </w:r>
      <w:r>
        <w:rPr>
          <w:spacing w:val="-63"/>
        </w:rPr>
      </w:r>
      <w:r>
        <w:rPr>
          <w:spacing w:val="-2"/>
        </w:rPr>
        <w:t>公允价值计量，公允价值变动计入其他综合收益。对于此类金融资产采用公允价值进行后续计量，除减值损失及外币货币性</w:t>
      </w:r>
      <w:r>
        <w:rPr>
          <w:spacing w:val="-63"/>
        </w:rPr>
        <w:t> </w:t>
      </w:r>
      <w:r>
        <w:rPr>
          <w:spacing w:val="-63"/>
        </w:rPr>
      </w:r>
      <w:r>
        <w:rPr>
          <w:spacing w:val="-2"/>
        </w:rPr>
        <w:t>金融资产形成的汇兑损益外，可供出售金融资产公允价值变动直接计入股东权益，待该金融资产终止确认时，原直接计入权</w:t>
      </w:r>
      <w:r>
        <w:rPr>
          <w:spacing w:val="-63"/>
        </w:rPr>
        <w:t> </w:t>
      </w:r>
      <w:r>
        <w:rPr>
          <w:spacing w:val="-63"/>
        </w:rPr>
      </w:r>
      <w:r>
        <w:rPr>
          <w:spacing w:val="-2"/>
        </w:rPr>
        <w:t>益的公允价值变动累计额转入当期损益。可供出售债务工具投资在持有期间按实际利率法计算的利息，以及被投资单位宣告</w:t>
      </w:r>
      <w:r>
        <w:rPr>
          <w:spacing w:val="-64"/>
        </w:rPr>
        <w:t> </w:t>
      </w:r>
      <w:r>
        <w:rPr>
          <w:spacing w:val="-64"/>
        </w:rPr>
      </w:r>
      <w:r>
        <w:rPr>
          <w:spacing w:val="-2"/>
        </w:rPr>
        <w:t>发放的与可供出售权益工具投资相关的现金股利，作为投资收益计入当期损益。对于在活跃市场中没有报价且其公允价值不</w:t>
      </w:r>
      <w:r>
        <w:rPr>
          <w:spacing w:val="-64"/>
        </w:rPr>
        <w:t> </w:t>
      </w:r>
      <w:r>
        <w:rPr>
          <w:spacing w:val="-64"/>
        </w:rPr>
      </w:r>
      <w:r>
        <w:rPr/>
        <w:t>能可靠计量的权益工具投资，按成本计量。</w:t>
      </w:r>
    </w:p>
    <w:p>
      <w:pPr>
        <w:pStyle w:val="BodyText"/>
        <w:spacing w:line="432" w:lineRule="exact" w:before="3"/>
        <w:ind w:left="472" w:right="0" w:firstLine="91"/>
        <w:jc w:val="left"/>
      </w:pPr>
      <w:r>
        <w:rPr>
          <w:rFonts w:ascii="Times New Roman" w:hAnsi="Times New Roman" w:cs="Times New Roman" w:eastAsia="Times New Roman" w:hint="default"/>
        </w:rPr>
        <w:t>(2)</w:t>
      </w:r>
      <w:r>
        <w:rPr/>
        <w:t>金融资产转移的确认依据和计量方法</w:t>
      </w:r>
      <w:r>
        <w:rPr>
          <w:w w:val="99"/>
        </w:rPr>
        <w:t> </w:t>
      </w:r>
      <w:r>
        <w:rPr>
          <w:spacing w:val="-2"/>
        </w:rPr>
        <w:t>金融资产满足下列条件之一的，予以终止确认：①收取该金融资产现金流量的合同权利终止；②该金融资产已转移，且</w:t>
      </w:r>
    </w:p>
    <w:p>
      <w:pPr>
        <w:pStyle w:val="BodyText"/>
        <w:spacing w:line="316" w:lineRule="auto" w:before="15"/>
        <w:ind w:right="1118"/>
        <w:jc w:val="left"/>
      </w:pPr>
      <w:r>
        <w:rPr/>
        <w:t>本集团将金融资产所有权上几乎所有的风险和报酬转移给转入方；</w:t>
      </w:r>
      <w:r>
        <w:rPr>
          <w:spacing w:val="6"/>
        </w:rPr>
        <w:t> </w:t>
      </w:r>
      <w:r>
        <w:rPr/>
        <w:t>③该金融资产已转移，虽然本集团既没有转移也没有保</w:t>
      </w:r>
      <w:r>
        <w:rPr/>
        <w:t> 留金融资产所有权上几乎所有的风险和报酬，但是放弃了对该金融资产控制。</w:t>
      </w:r>
    </w:p>
    <w:p>
      <w:pPr>
        <w:pStyle w:val="BodyText"/>
        <w:spacing w:line="316" w:lineRule="auto" w:before="139"/>
        <w:ind w:right="1132" w:firstLine="360"/>
        <w:jc w:val="both"/>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pStyle w:val="BodyText"/>
        <w:spacing w:line="316" w:lineRule="auto" w:before="139"/>
        <w:ind w:right="1132" w:firstLine="360"/>
        <w:jc w:val="both"/>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316" w:lineRule="auto" w:before="139"/>
        <w:ind w:right="1034"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spacing w:line="432" w:lineRule="exact" w:before="3"/>
        <w:ind w:left="472" w:right="1034" w:firstLine="91"/>
        <w:jc w:val="left"/>
      </w:pPr>
      <w:r>
        <w:rPr>
          <w:rFonts w:ascii="Times New Roman" w:hAnsi="Times New Roman" w:cs="Times New Roman" w:eastAsia="Times New Roman" w:hint="default"/>
        </w:rPr>
        <w:t>(3)</w:t>
      </w:r>
      <w:r>
        <w:rPr/>
        <w:t>金融资产减值的测试方法及会计处理方法</w:t>
      </w:r>
      <w:r>
        <w:rPr>
          <w:w w:val="99"/>
        </w:rPr>
        <w:t> </w:t>
      </w:r>
      <w:r>
        <w:rPr/>
        <w:t>除以公允价值计量且其变动计入当期损益的金融资产外，本集团于资产负债表日对其他金融资产的账面价值进行检查，</w:t>
      </w:r>
    </w:p>
    <w:p>
      <w:pPr>
        <w:pStyle w:val="BodyText"/>
        <w:spacing w:line="240" w:lineRule="auto" w:before="15"/>
        <w:ind w:right="0"/>
        <w:jc w:val="left"/>
      </w:pPr>
      <w:r>
        <w:rPr/>
        <w:t>如果有客观证据表明某项金融资产发生减值的，计提减值准备。</w:t>
      </w:r>
    </w:p>
    <w:p>
      <w:pPr>
        <w:spacing w:line="240" w:lineRule="auto" w:before="0"/>
        <w:rPr>
          <w:rFonts w:ascii="宋体" w:hAnsi="宋体" w:cs="宋体" w:eastAsia="宋体" w:hint="default"/>
          <w:sz w:val="15"/>
          <w:szCs w:val="15"/>
        </w:rPr>
      </w:pPr>
    </w:p>
    <w:p>
      <w:pPr>
        <w:pStyle w:val="BodyText"/>
        <w:spacing w:line="309" w:lineRule="auto"/>
        <w:ind w:right="1130"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4"/>
        </w:rPr>
        <w:t> </w:t>
      </w:r>
      <w:r>
        <w:rPr>
          <w:spacing w:val="-64"/>
        </w:rPr>
      </w:r>
      <w:r>
        <w:rPr/>
        <w:t>损失予以转回，计入当期损益。</w:t>
      </w:r>
    </w:p>
    <w:p>
      <w:pPr>
        <w:pStyle w:val="BodyText"/>
        <w:spacing w:line="316" w:lineRule="auto" w:before="144"/>
        <w:ind w:right="1051" w:firstLine="360"/>
        <w:jc w:val="both"/>
      </w:pPr>
      <w:r>
        <w:rPr>
          <w:spacing w:val="-2"/>
        </w:rPr>
        <w:t>当可供出售金融资产发生减值，原直接计入所有者权益的因公允价值下降形成的累计损失予以转出并计入减值损失。对</w:t>
      </w:r>
      <w:r>
        <w:rPr/>
        <w:t> </w:t>
      </w:r>
      <w:r>
        <w:rPr>
          <w:spacing w:val="-2"/>
        </w:rPr>
        <w:t>已确认减值损失的可供出售债务工具投资，在期后公允价值上升且客观上与确认原减值损失后发生的事项有关的，原确认的</w:t>
      </w:r>
      <w:r>
        <w:rPr>
          <w:spacing w:val="-64"/>
        </w:rPr>
        <w:t> </w:t>
      </w:r>
      <w:r>
        <w:rPr>
          <w:spacing w:val="-64"/>
        </w:rPr>
      </w:r>
      <w:r>
        <w:rPr/>
        <w:t>减值损失予以转回并计入当期损益。对已确认减值损失的可供出售权益工具投资，期后公允价值上升直接计入所有者权益。</w:t>
      </w:r>
    </w:p>
    <w:p>
      <w:pPr>
        <w:pStyle w:val="BodyText"/>
        <w:spacing w:line="415" w:lineRule="auto" w:before="139"/>
        <w:ind w:left="472" w:right="7304"/>
        <w:jc w:val="left"/>
      </w:pPr>
      <w:r>
        <w:rPr>
          <w:rFonts w:ascii="Times New Roman" w:hAnsi="Times New Roman" w:cs="Times New Roman" w:eastAsia="Times New Roman" w:hint="default"/>
        </w:rPr>
        <w:t>1.</w:t>
      </w:r>
      <w:r>
        <w:rPr/>
        <w:t>金融负债 </w:t>
      </w:r>
      <w:r>
        <w:rPr>
          <w:rFonts w:ascii="Times New Roman" w:hAnsi="Times New Roman" w:cs="Times New Roman" w:eastAsia="Times New Roman" w:hint="default"/>
        </w:rPr>
        <w:t>(1)</w:t>
      </w:r>
      <w:r>
        <w:rPr/>
        <w:t>金融负债分类、确认依据和计量方法</w:t>
      </w:r>
    </w:p>
    <w:p>
      <w:pPr>
        <w:pStyle w:val="BodyText"/>
        <w:spacing w:line="240" w:lineRule="auto" w:before="37"/>
        <w:ind w:left="472" w:right="0"/>
        <w:jc w:val="left"/>
      </w:pPr>
      <w:r>
        <w:rPr/>
        <w:t>本集团的金融负债于初始确认时分类为以公允价值计量且其变动计入当期损益的金融负债和其他金融负债。</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以公允价值计量且其变动计入当期损益的金融负债，包括交易性金融负债和初始确认时指定为以公允价值计量且其变动</w:t>
      </w:r>
      <w:r>
        <w:rPr/>
        <w:t> </w:t>
      </w:r>
      <w:r>
        <w:rPr>
          <w:spacing w:val="-5"/>
        </w:rPr>
        <w:t>计入当期损益的金融负债，（相关分类依据参照金融资产分类依据进行披露）。按照公允价值进行后续计量，公允价值变动形</w:t>
      </w:r>
      <w:r>
        <w:rPr>
          <w:spacing w:val="-77"/>
        </w:rPr>
        <w:t> </w:t>
      </w:r>
      <w:r>
        <w:rPr>
          <w:spacing w:val="-77"/>
        </w:rPr>
      </w:r>
      <w:r>
        <w:rPr/>
        <w:t>成的利得或损失以及与该金融负债相关的股利和利息支出计入当期损益。</w:t>
      </w:r>
    </w:p>
    <w:p>
      <w:pPr>
        <w:pStyle w:val="BodyText"/>
        <w:spacing w:line="240" w:lineRule="auto" w:before="139"/>
        <w:ind w:left="472" w:right="0"/>
        <w:jc w:val="left"/>
      </w:pPr>
      <w:r>
        <w:rPr/>
        <w:t>其他金融负债采用实际利率法，按照摊余成本进行后续计量。</w:t>
      </w:r>
    </w:p>
    <w:p>
      <w:pPr>
        <w:pStyle w:val="BodyText"/>
        <w:spacing w:line="420" w:lineRule="atLeast" w:before="25"/>
        <w:ind w:left="472" w:right="0" w:firstLine="91"/>
        <w:jc w:val="left"/>
      </w:pPr>
      <w:r>
        <w:rPr>
          <w:rFonts w:ascii="Times New Roman" w:hAnsi="Times New Roman" w:cs="Times New Roman" w:eastAsia="Times New Roman" w:hint="default"/>
        </w:rPr>
        <w:t>(2)</w:t>
      </w:r>
      <w:r>
        <w:rPr/>
        <w:t>金融负债终止确认条件</w:t>
      </w:r>
      <w:r>
        <w:rPr>
          <w:w w:val="99"/>
        </w:rPr>
        <w:t> </w:t>
      </w:r>
      <w:r>
        <w:rPr>
          <w:spacing w:val="-4"/>
          <w:w w:val="99"/>
        </w:rPr>
        <w:t>当金融负债的现时义务全部或部分已经解除时，终止确认该金融负债或义务已解除的部分。公司与债权人之间签订协议，</w:t>
      </w:r>
      <w:r>
        <w:rPr>
          <w:spacing w:val="-4"/>
        </w:rPr>
      </w:r>
    </w:p>
    <w:p>
      <w:pPr>
        <w:pStyle w:val="BodyText"/>
        <w:spacing w:line="240" w:lineRule="auto" w:before="76"/>
        <w:ind w:right="0"/>
        <w:jc w:val="left"/>
      </w:pPr>
      <w:r>
        <w:rPr/>
        <w:t>以承担新金融负债方式替换现存金融负债</w:t>
      </w:r>
      <w:r>
        <w:rPr>
          <w:spacing w:val="-84"/>
        </w:rPr>
        <w:t>，</w:t>
      </w:r>
      <w:r>
        <w:rPr/>
        <w:t>且新金融负债与现存金融负债的合同条款实质上不同的</w:t>
      </w:r>
      <w:r>
        <w:rPr>
          <w:spacing w:val="-87"/>
        </w:rPr>
        <w:t>，</w:t>
      </w:r>
      <w:r>
        <w:rPr/>
        <w:t>终止确认现存金融负债，</w:t>
      </w:r>
    </w:p>
    <w:p>
      <w:pPr>
        <w:spacing w:after="0" w:line="240" w:lineRule="auto"/>
        <w:jc w:val="left"/>
        <w:sectPr>
          <w:pgSz w:w="11910" w:h="16840"/>
          <w:pgMar w:header="890" w:footer="1012" w:top="1420" w:bottom="1200" w:left="1020" w:right="0"/>
        </w:sectPr>
      </w:pPr>
    </w:p>
    <w:p>
      <w:pPr>
        <w:pStyle w:val="BodyText"/>
        <w:spacing w:line="316" w:lineRule="auto" w:before="66"/>
        <w:ind w:right="1041"/>
        <w:jc w:val="both"/>
      </w:pPr>
      <w:r>
        <w:rPr>
          <w:spacing w:val="-4"/>
        </w:rPr>
        <w:t>并同时确认新金融负债。公司对现存金融负债全部或部分的合同条款作出实质性修改的，终止确认现存金融负债或其一部分，</w:t>
      </w:r>
      <w:r>
        <w:rPr>
          <w:spacing w:val="-41"/>
        </w:rPr>
        <w:t> </w:t>
      </w:r>
      <w:r>
        <w:rPr>
          <w:spacing w:val="-41"/>
        </w:rPr>
      </w:r>
      <w:r>
        <w:rPr/>
        <w:t>同时将修改条款后的金融负债确认为一项新金融负债。终止确认部分的账面价值与支付的对价之间的差额，计入当期损益。</w:t>
      </w:r>
    </w:p>
    <w:p>
      <w:pPr>
        <w:pStyle w:val="BodyText"/>
        <w:spacing w:line="432" w:lineRule="exact" w:before="3"/>
        <w:ind w:left="472" w:right="0"/>
        <w:jc w:val="left"/>
      </w:pPr>
      <w:r>
        <w:rPr>
          <w:rFonts w:ascii="Times New Roman" w:hAnsi="Times New Roman" w:cs="Times New Roman" w:eastAsia="Times New Roman" w:hint="default"/>
        </w:rPr>
        <w:t>(3)</w:t>
      </w:r>
      <w:r>
        <w:rPr/>
        <w:t>金融资产和金融负债的公允价值确定方法</w:t>
      </w:r>
      <w:r>
        <w:rPr>
          <w:w w:val="99"/>
        </w:rPr>
        <w:t> </w:t>
      </w:r>
      <w:r>
        <w:rPr>
          <w:spacing w:val="-2"/>
        </w:rPr>
        <w:t>本集团以主要市场的价格计量金融资产和金融负债的公允价值，不存在主要市场的，以最有利市场的价格计量金融资产</w:t>
      </w:r>
    </w:p>
    <w:p>
      <w:pPr>
        <w:pStyle w:val="BodyText"/>
        <w:spacing w:line="316" w:lineRule="auto" w:before="15"/>
        <w:ind w:right="1130"/>
        <w:jc w:val="both"/>
      </w:pP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集团优先使用第一层次输入值，最后再使用第三层次输入值。公允价值计量结果所属的层次，由对公允价值计量整体而言具</w:t>
      </w:r>
      <w:r>
        <w:rPr>
          <w:spacing w:val="-63"/>
        </w:rPr>
        <w:t> </w:t>
      </w:r>
      <w:r>
        <w:rPr>
          <w:spacing w:val="-63"/>
        </w:rPr>
      </w:r>
      <w:r>
        <w:rPr/>
        <w:t>有重大意义的输入值所属的最低层次决定。</w:t>
      </w:r>
    </w:p>
    <w:p>
      <w:pPr>
        <w:spacing w:line="240" w:lineRule="auto" w:before="8"/>
        <w:rPr>
          <w:rFonts w:ascii="宋体" w:hAnsi="宋体" w:cs="宋体" w:eastAsia="宋体" w:hint="default"/>
          <w:sz w:val="22"/>
          <w:szCs w:val="22"/>
        </w:rPr>
      </w:pPr>
    </w:p>
    <w:p>
      <w:pPr>
        <w:pStyle w:val="Heading6"/>
        <w:spacing w:line="240" w:lineRule="auto"/>
        <w:ind w:right="0"/>
        <w:jc w:val="both"/>
        <w:rPr>
          <w:b w:val="0"/>
          <w:bCs w:val="0"/>
        </w:rPr>
      </w:pPr>
      <w:bookmarkStart w:name="11、应收票据及应收账款" w:id="194"/>
      <w:bookmarkEnd w:id="194"/>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1）单项金额重大并单独计提坏账准备的应收款项" w:id="195"/>
      <w:bookmarkEnd w:id="19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363"/>
        <w:gridCol w:w="5205"/>
      </w:tblGrid>
      <w:tr>
        <w:trPr>
          <w:trHeight w:val="402"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万元的应收款项视为重大应收款项</w:t>
            </w:r>
          </w:p>
        </w:tc>
      </w:tr>
      <w:tr>
        <w:trPr>
          <w:trHeight w:val="402"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bookmarkStart w:name="（2）按信用风险特征组合计提坏账准备的应收款项" w:id="196"/>
      <w:bookmarkEnd w:id="19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60" w:lineRule="auto" w:before="117"/>
        <w:ind w:right="7514"/>
        <w:jc w:val="left"/>
      </w:pPr>
      <w:r>
        <w:rPr/>
        <w:t>□ 适用 √ 不适用 组合中，采用其他方法计提坏账准备的：</w:t>
      </w:r>
    </w:p>
    <w:p>
      <w:pPr>
        <w:pStyle w:val="BodyText"/>
        <w:spacing w:line="240" w:lineRule="auto" w:before="25"/>
        <w:ind w:right="0"/>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单项金额不重大但单独计提坏账准备的应收款项" w:id="197"/>
      <w:bookmarkEnd w:id="19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89"/>
        <w:gridCol w:w="7179"/>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after="0" w:line="240" w:lineRule="auto"/>
        <w:jc w:val="left"/>
        <w:rPr>
          <w:rFonts w:ascii="宋体" w:hAnsi="宋体" w:cs="宋体" w:eastAsia="宋体" w:hint="default"/>
          <w:sz w:val="18"/>
          <w:szCs w:val="18"/>
        </w:rPr>
        <w:sectPr>
          <w:headerReference w:type="default" r:id="rId45"/>
          <w:pgSz w:w="11910" w:h="16840"/>
          <w:pgMar w:header="890" w:footer="1012" w:top="1420" w:bottom="1200" w:left="1020" w:right="0"/>
        </w:sectPr>
      </w:pPr>
    </w:p>
    <w:p>
      <w:pPr>
        <w:pStyle w:val="Heading6"/>
        <w:spacing w:line="240" w:lineRule="auto" w:before="43"/>
        <w:ind w:right="0"/>
        <w:jc w:val="left"/>
        <w:rPr>
          <w:b w:val="0"/>
          <w:bCs w:val="0"/>
        </w:rPr>
      </w:pPr>
      <w:bookmarkStart w:name="12、存货" w:id="198"/>
      <w:bookmarkEnd w:id="198"/>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439" w:lineRule="auto" w:before="106"/>
        <w:ind w:left="554" w:right="0"/>
        <w:jc w:val="left"/>
      </w:pPr>
      <w:r>
        <w:rPr/>
        <w:t>本集团存货主要包括原材料、周转材料、在产品和库存商品。 存货实行永续盘存制，存货在取得时按实际成本计价；领用或发出存货，采用加权平均法确定其实际成本。 低值易耗品中周转用铁质电缆盘采用分次摊销法，包装物及其他低值易耗品领用时一次摊销入成本。</w:t>
      </w:r>
    </w:p>
    <w:p>
      <w:pPr>
        <w:pStyle w:val="BodyText"/>
        <w:spacing w:line="316" w:lineRule="auto" w:before="47"/>
        <w:ind w:right="0" w:firstLine="441"/>
        <w:jc w:val="left"/>
      </w:pPr>
      <w:r>
        <w:rPr>
          <w:spacing w:val="-2"/>
        </w:rPr>
        <w:t>期末存货按成本与可变现净值孰低原则计价，对于存货因遭受毁损、全部或部分陈旧过时或销售价格低于成本等原因，</w:t>
      </w:r>
      <w:r>
        <w:rPr/>
        <w:t>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pStyle w:val="BodyText"/>
        <w:spacing w:line="316" w:lineRule="auto" w:before="139"/>
        <w:ind w:right="1132" w:firstLine="441"/>
        <w:jc w:val="both"/>
      </w:pPr>
      <w:r>
        <w:rPr/>
        <w:t>库存商品、在产品和用于出售的材料等直接用于出售的商品存货，其可变现净值按该存货的估计售价减去估计的销售 </w:t>
      </w:r>
      <w:r>
        <w:rPr>
          <w:spacing w:val="-2"/>
        </w:rPr>
        <w:t>费用和相关税费后的金额确定；用于生产而持有的材料存货，其可变现净值按所生产的产成品的估计售价减去至完工时估计</w:t>
      </w:r>
      <w:r>
        <w:rPr>
          <w:spacing w:val="-64"/>
        </w:rPr>
        <w:t> </w:t>
      </w:r>
      <w:r>
        <w:rPr>
          <w:spacing w:val="-64"/>
        </w:rPr>
      </w:r>
      <w:r>
        <w:rPr/>
        <w:t>将要发生的成本、估计的销售费用和相关税费后的金额确定。</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13、持有待售资产" w:id="199"/>
      <w:bookmarkEnd w:id="19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4、长期股权投资" w:id="200"/>
      <w:bookmarkEnd w:id="200"/>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430" w:lineRule="atLeast" w:before="150"/>
        <w:ind w:left="554" w:right="1132"/>
        <w:jc w:val="left"/>
      </w:pPr>
      <w:r>
        <w:rPr/>
        <w:t>本集团长期股权投资主要是对子公司的投资、对联营企业的投资和对合营企业的投资。 本集团对共同控制的判断依据是所有参与方或参与方组合集体控制该安排，并且该安排相关活动的政策必须经过这些</w:t>
      </w:r>
    </w:p>
    <w:p>
      <w:pPr>
        <w:pStyle w:val="BodyText"/>
        <w:spacing w:line="240" w:lineRule="auto" w:before="76"/>
        <w:ind w:right="0"/>
        <w:jc w:val="left"/>
      </w:pPr>
      <w:r>
        <w:rPr/>
        <w:t>集体控制该安排的参与方一致同意。</w:t>
      </w:r>
    </w:p>
    <w:p>
      <w:pPr>
        <w:spacing w:line="240" w:lineRule="auto" w:before="0"/>
        <w:rPr>
          <w:rFonts w:ascii="宋体" w:hAnsi="宋体" w:cs="宋体" w:eastAsia="宋体" w:hint="default"/>
          <w:sz w:val="15"/>
          <w:szCs w:val="15"/>
        </w:rPr>
      </w:pPr>
    </w:p>
    <w:p>
      <w:pPr>
        <w:pStyle w:val="BodyText"/>
        <w:spacing w:line="316" w:lineRule="auto"/>
        <w:ind w:right="1130" w:firstLine="441"/>
        <w:jc w:val="both"/>
      </w:pPr>
      <w:r>
        <w:rPr/>
        <w:t>本集团直接或通过子公司间接拥有被投资单位20％（含）以上但低于50％的表决权时，通常认为对被投资单位具有重 大影响。持有被投资单位20%以下表决权的，还需要综合考虑在被投资单位的董事会或类似权力机构中派有代表、或参与被</w:t>
      </w:r>
      <w:r>
        <w:rPr>
          <w:spacing w:val="-85"/>
        </w:rPr>
        <w:t> </w:t>
      </w:r>
      <w:r>
        <w:rPr>
          <w:spacing w:val="-85"/>
        </w:rPr>
      </w:r>
      <w:r>
        <w:rPr>
          <w:spacing w:val="-2"/>
        </w:rPr>
        <w:t>投资单位财务和经营政策制定过程、或与被投资单位之间发生重要交易、或向被投资单位派出管理人员、或向被投资单位提</w:t>
      </w:r>
      <w:r>
        <w:rPr>
          <w:spacing w:val="-63"/>
        </w:rPr>
        <w:t> </w:t>
      </w:r>
      <w:r>
        <w:rPr>
          <w:spacing w:val="-63"/>
        </w:rPr>
      </w:r>
      <w:r>
        <w:rPr/>
        <w:t>供关键技术资料等事实和情况判断对被投资单位具有重大影响。</w:t>
      </w:r>
    </w:p>
    <w:p>
      <w:pPr>
        <w:pStyle w:val="BodyText"/>
        <w:spacing w:line="316" w:lineRule="auto" w:before="139"/>
        <w:ind w:right="1132" w:firstLine="441"/>
        <w:jc w:val="both"/>
      </w:pPr>
      <w:r>
        <w:rPr/>
        <w:t>对被投资单位形成控制的，为本集团的子公司。通过同一控制下的企业合并取得的长期股权投资，在合并日按照取得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39"/>
        <w:ind w:right="1034" w:firstLine="441"/>
        <w:jc w:val="left"/>
      </w:pPr>
      <w:r>
        <w:rPr/>
        <w:t>通过同一控制下的企业合并取得的长期股权投资，在合并日按照取得被合并方所有者权益账面价值的份额作为长期股 权投资的初始投资成本。通过非同一控制下的企业合并取得的长期股权投资，以在合并（购买）日为取得对被合并（购买） 方的控制权而付出的资产、发生或承担的负债以及发行的权益性证券的公允价值作为合并成本。</w:t>
      </w:r>
    </w:p>
    <w:p>
      <w:pPr>
        <w:pStyle w:val="BodyText"/>
        <w:spacing w:line="316" w:lineRule="auto" w:before="139"/>
        <w:ind w:right="1034" w:firstLine="441"/>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w:t>
      </w:r>
      <w:r>
        <w:rPr>
          <w:spacing w:val="-2"/>
        </w:rPr>
        <w:t>按照投资合同或协议约定的价值作为投资成本；以债务重组、非货币性资产交换等方式取得的长期股权投资，按相关会计准</w:t>
      </w:r>
      <w:r>
        <w:rPr>
          <w:spacing w:val="-65"/>
        </w:rPr>
        <w:t> </w:t>
      </w:r>
      <w:r>
        <w:rPr>
          <w:spacing w:val="-65"/>
        </w:rPr>
      </w:r>
      <w:r>
        <w:rPr/>
        <w:t>则的规定确定投资成本。</w:t>
      </w:r>
    </w:p>
    <w:p>
      <w:pPr>
        <w:pStyle w:val="BodyText"/>
        <w:spacing w:line="432" w:lineRule="exact" w:before="3"/>
        <w:ind w:left="554" w:right="1132"/>
        <w:jc w:val="left"/>
      </w:pPr>
      <w:r>
        <w:rPr/>
        <w:t>本集团对子公司投资采用成本法核算，对合营企业及联营企业投资采用权益法核算。 后续计量采用成本法核算的长期股权投资，在追加投资时，按照追加投资支付的成本额公允价值及发生的相关交易费</w:t>
      </w:r>
    </w:p>
    <w:p>
      <w:pPr>
        <w:pStyle w:val="BodyText"/>
        <w:spacing w:line="439" w:lineRule="auto" w:before="15"/>
        <w:ind w:left="554" w:right="1132" w:hanging="442"/>
        <w:jc w:val="left"/>
      </w:pPr>
      <w:r>
        <w:rPr/>
        <w:t>用增加长期股权投资成本的账面价值。被投资单位宣告分派的现金股利或利润，按照应享有的金额确认为当期投资收益。 后续计量采用权益法核算的长期股权投资，随着被他投资单位所有者权益的变动相应调整增加或减少长期股权投资的</w:t>
      </w:r>
    </w:p>
    <w:p>
      <w:pPr>
        <w:spacing w:after="0" w:line="439" w:lineRule="auto"/>
        <w:jc w:val="left"/>
        <w:sectPr>
          <w:headerReference w:type="default" r:id="rId46"/>
          <w:pgSz w:w="11910" w:h="16840"/>
          <w:pgMar w:header="890" w:footer="1012" w:top="1420" w:bottom="1200" w:left="1020" w:right="0"/>
        </w:sectPr>
      </w:pPr>
    </w:p>
    <w:p>
      <w:pPr>
        <w:pStyle w:val="BodyText"/>
        <w:spacing w:line="316" w:lineRule="auto" w:before="66"/>
        <w:ind w:right="1034"/>
        <w:jc w:val="left"/>
      </w:pPr>
      <w:r>
        <w:rPr/>
        <w:t>账面价值。其中在确认应享有被投资单位净损益的份额时，以取得投资时被投资单位各项可辨认资产等的公允价值为基础， </w:t>
      </w:r>
      <w:r>
        <w:rPr>
          <w:spacing w:val="-2"/>
        </w:rPr>
        <w:t>按照本集团的会计政策及会计期间，并抵销与联营企业及合营企业之间发生的内部交易损益按照持股比例计算归属于投资企</w:t>
      </w:r>
      <w:r>
        <w:rPr>
          <w:spacing w:val="-64"/>
        </w:rPr>
        <w:t> </w:t>
      </w:r>
      <w:r>
        <w:rPr>
          <w:spacing w:val="-64"/>
        </w:rPr>
      </w:r>
      <w:r>
        <w:rPr/>
        <w:t>业的部分，对被投资单位的净利润进行调整后确认。</w:t>
      </w:r>
    </w:p>
    <w:p>
      <w:pPr>
        <w:pStyle w:val="BodyText"/>
        <w:spacing w:line="316" w:lineRule="auto" w:before="139"/>
        <w:ind w:right="1132" w:firstLine="441"/>
        <w:jc w:val="both"/>
      </w:pPr>
      <w:r>
        <w:rPr/>
        <w:t>处置长期股权投资，其账面价值与实际取得价款的差额，计入当期投资收益。采用权益法核算的长期股权投资，因被 </w:t>
      </w:r>
      <w:r>
        <w:rPr>
          <w:spacing w:val="-2"/>
        </w:rPr>
        <w:t>投资单位除净损益以外所有者权益的其他变动而计入所有者权益的，处置该项投资时将原计入所有者权益的部分按相应比例</w:t>
      </w:r>
      <w:r>
        <w:rPr>
          <w:spacing w:val="-64"/>
        </w:rPr>
        <w:t> </w:t>
      </w:r>
      <w:r>
        <w:rPr>
          <w:spacing w:val="-64"/>
        </w:rPr>
      </w:r>
      <w:r>
        <w:rPr/>
        <w:t>转入当期投资损益。</w:t>
      </w:r>
    </w:p>
    <w:p>
      <w:pPr>
        <w:pStyle w:val="BodyText"/>
        <w:spacing w:line="316" w:lineRule="auto" w:before="139"/>
        <w:ind w:right="1120" w:firstLine="441"/>
        <w:jc w:val="left"/>
      </w:pPr>
      <w:r>
        <w:rPr/>
        <w:t>因处置部分股权投资等原因丧失了对被投资单位的共同控制或重大影响的，处置后的剩余股权改按可供出售金融资产 </w:t>
      </w:r>
      <w:r>
        <w:rPr>
          <w:spacing w:val="-2"/>
        </w:rPr>
        <w:t>核算，剩余股权在丧失共同控制或重大影响之日的公允价值与账面价值之间的差额计入当期损益。原股权投资因采用权益法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理。</w:t>
      </w:r>
    </w:p>
    <w:p>
      <w:pPr>
        <w:pStyle w:val="BodyText"/>
        <w:spacing w:line="316" w:lineRule="auto" w:before="139"/>
        <w:ind w:right="1132" w:firstLine="441"/>
        <w:jc w:val="both"/>
      </w:pPr>
      <w:r>
        <w:rPr/>
        <w:t>因处置部分长期股权投资丧失了对被投资单位控制的，处置后的剩余股权能够对被投资单位实施共同控制或施加重大 </w:t>
      </w:r>
      <w:r>
        <w:rPr>
          <w:spacing w:val="-2"/>
        </w:rPr>
        <w:t>影响的，改按权益法核算，处置股权账面价值和处置对价的差额计入投资收益，并对该剩余股权视同自取得时即采用权益法</w:t>
      </w:r>
      <w:r>
        <w:rPr>
          <w:spacing w:val="-65"/>
        </w:rPr>
        <w:t> </w:t>
      </w:r>
      <w:r>
        <w:rPr>
          <w:spacing w:val="-65"/>
        </w:rPr>
      </w:r>
      <w:r>
        <w:rPr>
          <w:spacing w:val="-2"/>
        </w:rPr>
        <w:t>核算进行调整；处置后的剩余股权不能对被投资单位实施共同控制或施加重大影响的，改按可供出售金融资产的有关规定进</w:t>
      </w:r>
      <w:r>
        <w:rPr>
          <w:spacing w:val="-64"/>
        </w:rPr>
        <w:t> </w:t>
      </w:r>
      <w:r>
        <w:rPr>
          <w:spacing w:val="-64"/>
        </w:rPr>
      </w:r>
      <w:r>
        <w:rPr>
          <w:spacing w:val="-2"/>
        </w:rPr>
        <w:t>行会计处理，处置股权账面价值和处置对价的差额计入投资收益，剩余股权在丧失控制之日的公允价值与账面价值间的差额</w:t>
      </w:r>
      <w:r>
        <w:rPr>
          <w:spacing w:val="-64"/>
        </w:rPr>
        <w:t> </w:t>
      </w:r>
      <w:r>
        <w:rPr>
          <w:spacing w:val="-64"/>
        </w:rPr>
      </w:r>
      <w:r>
        <w:rPr/>
        <w:t>计入当期投资损益。</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15、投资性房地产" w:id="201"/>
      <w:bookmarkEnd w:id="20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89"/>
        <w:ind w:right="1131" w:firstLine="441"/>
        <w:jc w:val="both"/>
      </w:pPr>
      <w:r>
        <w:rPr>
          <w:spacing w:val="-4"/>
        </w:rPr>
        <w:t>本集团投资性房地产采用平均年限方法计提折旧或摊销。各类投资性房地产的预计使用寿命、净残值率及年折旧(摊销)</w:t>
      </w:r>
      <w:r>
        <w:rPr/>
        <w:t> 率如下：</w:t>
      </w:r>
    </w:p>
    <w:p>
      <w:pPr>
        <w:spacing w:line="240" w:lineRule="auto" w:before="10"/>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743"/>
        <w:gridCol w:w="2220"/>
        <w:gridCol w:w="2482"/>
        <w:gridCol w:w="1955"/>
      </w:tblGrid>
      <w:tr>
        <w:trPr>
          <w:trHeight w:val="368" w:hRule="exact"/>
        </w:trPr>
        <w:tc>
          <w:tcPr>
            <w:tcW w:w="274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48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955"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60" w:hRule="exact"/>
        </w:trPr>
        <w:tc>
          <w:tcPr>
            <w:tcW w:w="274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855"/>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0</w:t>
            </w:r>
          </w:p>
        </w:tc>
        <w:tc>
          <w:tcPr>
            <w:tcW w:w="195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2.00</w:t>
            </w:r>
          </w:p>
        </w:tc>
      </w:tr>
      <w:tr>
        <w:trPr>
          <w:trHeight w:val="377" w:hRule="exact"/>
        </w:trPr>
        <w:tc>
          <w:tcPr>
            <w:tcW w:w="274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0"/>
              <w:ind w:right="855"/>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222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w:t>
            </w:r>
          </w:p>
        </w:tc>
        <w:tc>
          <w:tcPr>
            <w:tcW w:w="248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5</w:t>
            </w:r>
          </w:p>
        </w:tc>
        <w:tc>
          <w:tcPr>
            <w:tcW w:w="195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4.97</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6、固定资产" w:id="202"/>
      <w:bookmarkEnd w:id="20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确认条件" w:id="203"/>
      <w:bookmarkEnd w:id="20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0" w:firstLine="360"/>
        <w:jc w:val="left"/>
      </w:pPr>
      <w:r>
        <w:rPr>
          <w:spacing w:val="-2"/>
        </w:rPr>
        <w:t>本集团固定资产是指同时具有以下特征，即为生产商品、提供劳务、出租或经营管理而持有的，使用年限超过一年的有</w:t>
      </w:r>
      <w:r>
        <w:rPr/>
        <w:t> 形资产。</w:t>
      </w:r>
    </w:p>
    <w:p>
      <w:pPr>
        <w:pStyle w:val="BodyText"/>
        <w:spacing w:line="316" w:lineRule="auto" w:before="59"/>
        <w:ind w:right="0" w:firstLine="360"/>
        <w:jc w:val="left"/>
      </w:pPr>
      <w:r>
        <w:rPr>
          <w:spacing w:val="-2"/>
        </w:rPr>
        <w:t>固定资产在与其有关的经济利益很可能流入本集团、且其成本能够可靠计量时予以确认。本集团固定资产包括房屋建筑</w:t>
      </w:r>
      <w:r>
        <w:rPr/>
        <w:t> 物、机器设备、运输设备、办公及其他设备。</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折旧方法" w:id="204"/>
      <w:bookmarkEnd w:id="20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4.75</w:t>
            </w:r>
            <w:r>
              <w:rPr>
                <w:rFonts w:ascii="宋体" w:hAnsi="宋体" w:cs="宋体" w:eastAsia="宋体" w:hint="default"/>
                <w:sz w:val="18"/>
                <w:szCs w:val="18"/>
              </w:rPr>
              <w:t>－</w:t>
            </w:r>
            <w:r>
              <w:rPr>
                <w:rFonts w:ascii="Times New Roman" w:hAnsi="Times New Roman" w:cs="Times New Roman" w:eastAsia="Times New Roman" w:hint="default"/>
                <w:sz w:val="18"/>
                <w:szCs w:val="18"/>
              </w:rPr>
              <w:t>11.875</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9.50-19.40</w:t>
            </w:r>
          </w:p>
        </w:tc>
      </w:tr>
    </w:tbl>
    <w:p>
      <w:pPr>
        <w:spacing w:after="0" w:line="240" w:lineRule="auto"/>
        <w:jc w:val="left"/>
        <w:rPr>
          <w:rFonts w:ascii="Times New Roman" w:hAnsi="Times New Roman" w:cs="Times New Roman" w:eastAsia="Times New Roman" w:hint="default"/>
          <w:sz w:val="18"/>
          <w:szCs w:val="18"/>
        </w:rPr>
        <w:sectPr>
          <w:headerReference w:type="default" r:id="rId47"/>
          <w:footerReference w:type="default" r:id="rId48"/>
          <w:pgSz w:w="11910" w:h="16840"/>
          <w:pgMar w:header="890" w:footer="1012" w:top="1420" w:bottom="1200" w:left="1020" w:right="0"/>
          <w:pgNumType w:start="100"/>
        </w:sectPr>
      </w:pPr>
    </w:p>
    <w:p>
      <w:pPr>
        <w:spacing w:line="240" w:lineRule="auto" w:before="5"/>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19.00-19.40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19.00-19.40</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3）融资租入固定资产的认定依据、计价和折旧方法" w:id="205"/>
      <w:bookmarkEnd w:id="20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7、在建工程" w:id="206"/>
      <w:bookmarkEnd w:id="20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106"/>
        <w:ind w:right="1132" w:firstLine="441"/>
        <w:jc w:val="both"/>
      </w:pPr>
      <w:r>
        <w:rPr/>
        <w:t>在建工程在达到预定可使用状态之日起，根据工程预算、造价或工程实际成本等，按估计的价值结转固定资产，次月 起开始计提折旧，待办理了竣工决算手续后再对固定资产原值差异进行调整。</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18、借款费用" w:id="207"/>
      <w:bookmarkEnd w:id="20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441"/>
        <w:jc w:val="left"/>
      </w:pPr>
      <w:r>
        <w:rPr>
          <w:spacing w:val="-2"/>
        </w:rPr>
        <w:t>发生的可直接归属于需要经过1年以上的购建或者生产活动才能达到预定可使用或者可销售状态的固定资产、投资性房</w:t>
      </w:r>
      <w:r>
        <w:rPr/>
        <w:t> </w:t>
      </w:r>
      <w:r>
        <w:rPr>
          <w:spacing w:val="-2"/>
        </w:rPr>
        <w:t>地产和存货等的借款费用，在资产支出已经发生、借款费用已经发生、为使资产达到预定可使用或可销售状态所必要的购建</w:t>
      </w:r>
      <w:r>
        <w:rPr>
          <w:spacing w:val="-63"/>
        </w:rPr>
        <w:t> </w:t>
      </w:r>
      <w:r>
        <w:rPr>
          <w:spacing w:val="-63"/>
        </w:rPr>
      </w:r>
      <w:r>
        <w:rPr/>
        <w:t>或生产活动已经开始时，开始资本化；当购建或生产符合资本化条件的资产达到预定可使用或可销售状态时，停止资本化， </w:t>
      </w:r>
      <w:r>
        <w:rPr>
          <w:spacing w:val="-2"/>
        </w:rPr>
        <w:t>其后发生的借款费用计入当期损益。如果符合资本化条件的资产在购建或者生产过程中发生非正常中断、且中断时间连续超</w:t>
      </w:r>
      <w:r>
        <w:rPr>
          <w:spacing w:val="-64"/>
        </w:rPr>
        <w:t> </w:t>
      </w:r>
      <w:r>
        <w:rPr>
          <w:spacing w:val="-64"/>
        </w:rPr>
      </w:r>
      <w:r>
        <w:rPr/>
        <w:t>过3个月，暂停借款费用的资本化，直至资产的购建或生产活动重新开始。</w:t>
      </w:r>
    </w:p>
    <w:p>
      <w:pPr>
        <w:pStyle w:val="BodyText"/>
        <w:spacing w:line="316" w:lineRule="auto" w:before="139"/>
        <w:ind w:right="1132" w:firstLine="441"/>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19、生物资产" w:id="208"/>
      <w:bookmarkEnd w:id="20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20、油气资产" w:id="209"/>
      <w:bookmarkEnd w:id="20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1、无形资产" w:id="210"/>
      <w:bookmarkEnd w:id="21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计价方法、使用寿命、减值测试" w:id="211"/>
      <w:bookmarkEnd w:id="21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41"/>
        <w:jc w:val="both"/>
      </w:pPr>
      <w:r>
        <w:rPr/>
        <w:t>本集团无形资产包括土地使用权、专利技术、办公软件等，按取得时的实际成本计量，其中，购入的无形资产，按实 </w:t>
      </w:r>
      <w:r>
        <w:rPr>
          <w:spacing w:val="-2"/>
        </w:rPr>
        <w:t>际支付的价款和相关的其他支出作为实际成本；投资者投入的无形资产，按投资合同或协议约定的价值确定实际成本，但合</w:t>
      </w:r>
      <w:r>
        <w:rPr>
          <w:spacing w:val="-63"/>
        </w:rPr>
        <w:t> </w:t>
      </w:r>
      <w:r>
        <w:rPr>
          <w:spacing w:val="-63"/>
        </w:rPr>
      </w:r>
      <w:r>
        <w:rPr/>
        <w:t>同或协议约定价值不公允的，按公允价值确定实际成本。</w:t>
      </w:r>
    </w:p>
    <w:p>
      <w:pPr>
        <w:pStyle w:val="BodyText"/>
        <w:spacing w:line="316" w:lineRule="auto" w:before="139"/>
        <w:ind w:right="1132" w:firstLine="441"/>
        <w:jc w:val="both"/>
      </w:pPr>
      <w:r>
        <w:rPr/>
        <w:t>土地使用权从出让起始日起，按其出让年限平均摊销；专利技术和其他无形资产按预计使用年限、合同规定的受益年 </w:t>
      </w:r>
      <w:r>
        <w:rPr>
          <w:spacing w:val="-2"/>
        </w:rPr>
        <w:t>限和法律规定的有效年限三者中最短者分期平均摊销；摊销金额按其受益对象计入相关资产成本和当期损益。对使用寿命有</w:t>
      </w:r>
      <w:r>
        <w:rPr>
          <w:spacing w:val="-64"/>
        </w:rPr>
        <w:t> </w:t>
      </w:r>
      <w:r>
        <w:rPr>
          <w:spacing w:val="-64"/>
        </w:rPr>
      </w:r>
      <w:r>
        <w:rPr/>
        <w:t>限的无形资产的预计使用寿命及摊销方法于每年年度终了进行复核，如发生改变，则作为会计估计变更处理。</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内部研究开发支出会计政策" w:id="212"/>
      <w:bookmarkEnd w:id="21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41"/>
        <w:jc w:val="both"/>
      </w:pPr>
      <w:r>
        <w:rPr/>
        <w:t>本集团的研究开发支出根据其性质以及研发活动最终形成无形资产是否具有较大不确定性，分为研究阶段支出和开发 阶段支出。研究阶段的支出，于发生时计入当期损益；开发阶段的支出，同时满足下列条件的，确认为无形资产：</w:t>
      </w:r>
    </w:p>
    <w:p>
      <w:pPr>
        <w:spacing w:after="0" w:line="316" w:lineRule="auto"/>
        <w:jc w:val="both"/>
        <w:sectPr>
          <w:pgSz w:w="11910" w:h="16840"/>
          <w:pgMar w:header="890" w:footer="1012" w:top="1420" w:bottom="1200" w:left="1020" w:right="0"/>
        </w:sectPr>
      </w:pPr>
    </w:p>
    <w:p>
      <w:pPr>
        <w:pStyle w:val="BodyText"/>
        <w:spacing w:line="240" w:lineRule="auto" w:before="66"/>
        <w:ind w:left="554" w:right="0"/>
        <w:jc w:val="left"/>
      </w:pPr>
      <w:r>
        <w:rPr/>
        <w:t>（1）完成该无形资产以使其能够使用或出售在技术上具有可行性；</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（2）具有完成该无形资产并使用或出售的意图；</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（3）运用该无形资产生产的产品存在市场或无形资产自身存在市场；</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（4）有足够的技术、财务资源和其他资源支持，以完成该无形资产的开发，并有能力使用或出售该无形资产；</w:t>
      </w:r>
    </w:p>
    <w:p>
      <w:pPr>
        <w:pStyle w:val="BodyText"/>
        <w:spacing w:line="430" w:lineRule="atLeast" w:before="2"/>
        <w:ind w:left="554" w:right="0"/>
        <w:jc w:val="left"/>
      </w:pPr>
      <w:r>
        <w:rPr/>
        <w:t>（5）归属于该无形资产开发阶段的支出能够可靠地计量。 </w:t>
      </w:r>
      <w:r>
        <w:rPr>
          <w:spacing w:val="-2"/>
        </w:rPr>
        <w:t>不满足上述条件的开发阶段的支出，于发生时计入当期损益。前期已计入损益的开发支出在以后期间不再确认为资产。</w:t>
      </w:r>
    </w:p>
    <w:p>
      <w:pPr>
        <w:pStyle w:val="BodyText"/>
        <w:spacing w:line="240" w:lineRule="auto" w:before="76"/>
        <w:ind w:right="0"/>
        <w:jc w:val="left"/>
      </w:pPr>
      <w:r>
        <w:rPr/>
        <w:t>已资本化的开发阶段的支出在资产负债表上列示为开发支出，自该项目达到预定可使用状态之日起转为无形资产列报。</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2、长期资产减值" w:id="213"/>
      <w:bookmarkEnd w:id="21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41"/>
        <w:jc w:val="both"/>
      </w:pPr>
      <w:r>
        <w:rPr/>
        <w:t>本集团于每一资产负债表日对长期股权投资、固定资产、在建工程、使用寿命有限的无形资产等项目进行检查，当存 </w:t>
      </w:r>
      <w:r>
        <w:rPr>
          <w:spacing w:val="-2"/>
        </w:rPr>
        <w:t>在减值迹象时，本集团进行减值测试。对商誉和使用寿命不确定的无形资产，无论是否存在减值迹象，每年末均进行减值测</w:t>
      </w:r>
      <w:r>
        <w:rPr>
          <w:spacing w:val="-64"/>
        </w:rPr>
        <w:t> </w:t>
      </w:r>
      <w:r>
        <w:rPr>
          <w:spacing w:val="-64"/>
        </w:rPr>
      </w:r>
      <w:r>
        <w:rPr/>
        <w:t>试。难以对单项资产的可收回金额进行测试的，以该资产所属的资产组或资产组组合为基础测试。</w:t>
      </w:r>
    </w:p>
    <w:p>
      <w:pPr>
        <w:pStyle w:val="BodyText"/>
        <w:spacing w:line="439" w:lineRule="auto" w:before="139"/>
        <w:ind w:left="554" w:right="1312"/>
        <w:jc w:val="left"/>
      </w:pPr>
      <w:r>
        <w:rPr/>
        <w:t>资产的可收回金额是指资产的公允价值减去处置费用后的净额与资产预计未来现金流量的现值两者之间的较高者。 出现减值的迹象如下：</w:t>
      </w:r>
    </w:p>
    <w:p>
      <w:pPr>
        <w:pStyle w:val="BodyText"/>
        <w:spacing w:line="240" w:lineRule="auto" w:before="47"/>
        <w:ind w:left="554" w:right="0"/>
        <w:jc w:val="left"/>
      </w:pPr>
      <w:r>
        <w:rPr/>
        <w:t>（1）资产的市价当期大幅度下跌，其跌幅明显高于因时间的推移或者正常使用而预计的下跌；</w:t>
      </w:r>
    </w:p>
    <w:p>
      <w:pPr>
        <w:spacing w:line="240" w:lineRule="auto" w:before="0"/>
        <w:rPr>
          <w:rFonts w:ascii="宋体" w:hAnsi="宋体" w:cs="宋体" w:eastAsia="宋体" w:hint="default"/>
          <w:sz w:val="15"/>
          <w:szCs w:val="15"/>
        </w:rPr>
      </w:pPr>
    </w:p>
    <w:p>
      <w:pPr>
        <w:pStyle w:val="BodyText"/>
        <w:spacing w:line="316" w:lineRule="auto"/>
        <w:ind w:right="0" w:firstLine="441"/>
        <w:jc w:val="left"/>
      </w:pPr>
      <w:r>
        <w:rPr>
          <w:spacing w:val="-2"/>
        </w:rPr>
        <w:t>（2）企业经营所处的经济、技术或者法律等环境以及资产所处的市场在当期或者将在近期发生重大变化，从而对企业</w:t>
      </w:r>
      <w:r>
        <w:rPr/>
        <w:t> 产生不利影响；</w:t>
      </w:r>
    </w:p>
    <w:p>
      <w:pPr>
        <w:pStyle w:val="BodyText"/>
        <w:spacing w:line="316" w:lineRule="auto" w:before="139"/>
        <w:ind w:right="0" w:firstLine="441"/>
        <w:jc w:val="left"/>
      </w:pPr>
      <w:r>
        <w:rPr>
          <w:spacing w:val="-2"/>
        </w:rPr>
        <w:t>（3）市场利率或者其他市场投资报酬率在当期已经提高，从而影响企业计算资产预计未来现金流量现值的折现率，导</w:t>
      </w:r>
      <w:r>
        <w:rPr/>
        <w:t> 致资产可收回金额大幅度降低；</w:t>
      </w:r>
    </w:p>
    <w:p>
      <w:pPr>
        <w:pStyle w:val="BodyText"/>
        <w:spacing w:line="240" w:lineRule="auto" w:before="139"/>
        <w:ind w:left="554" w:right="0"/>
        <w:jc w:val="left"/>
      </w:pPr>
      <w:r>
        <w:rPr/>
        <w:t>（4）有证据表明资产已经陈旧过时或者其实体已经损坏；</w:t>
      </w:r>
    </w:p>
    <w:p>
      <w:pPr>
        <w:spacing w:line="240" w:lineRule="auto" w:before="0"/>
        <w:rPr>
          <w:rFonts w:ascii="宋体" w:hAnsi="宋体" w:cs="宋体" w:eastAsia="宋体" w:hint="default"/>
          <w:sz w:val="15"/>
          <w:szCs w:val="15"/>
        </w:rPr>
      </w:pPr>
    </w:p>
    <w:p>
      <w:pPr>
        <w:pStyle w:val="BodyText"/>
        <w:spacing w:line="240" w:lineRule="auto"/>
        <w:ind w:left="554" w:right="0"/>
        <w:jc w:val="left"/>
      </w:pPr>
      <w:r>
        <w:rPr/>
        <w:t>（5）资产已经或者将被闲置、终止使用或者计划提前处置；</w:t>
      </w:r>
    </w:p>
    <w:p>
      <w:pPr>
        <w:spacing w:line="240" w:lineRule="auto" w:before="0"/>
        <w:rPr>
          <w:rFonts w:ascii="宋体" w:hAnsi="宋体" w:cs="宋体" w:eastAsia="宋体" w:hint="default"/>
          <w:sz w:val="15"/>
          <w:szCs w:val="15"/>
        </w:rPr>
      </w:pPr>
    </w:p>
    <w:p>
      <w:pPr>
        <w:pStyle w:val="BodyText"/>
        <w:spacing w:line="316" w:lineRule="auto"/>
        <w:ind w:right="0" w:firstLine="441"/>
        <w:jc w:val="left"/>
      </w:pPr>
      <w:r>
        <w:rPr>
          <w:spacing w:val="-2"/>
        </w:rPr>
        <w:t>（6）企业内部报告的证据表明资产的经济绩效已经低于或者将低于预期，如资产所创造的净现金流量或者实现的营业</w:t>
      </w:r>
      <w:r>
        <w:rPr/>
        <w:t> 利润（或者亏损）远远低于（或者高于）预计金额等；</w:t>
      </w:r>
    </w:p>
    <w:p>
      <w:pPr>
        <w:pStyle w:val="BodyText"/>
        <w:spacing w:line="432" w:lineRule="exact" w:before="3"/>
        <w:ind w:left="554" w:right="1132"/>
        <w:jc w:val="left"/>
      </w:pPr>
      <w:r>
        <w:rPr/>
        <w:t>（7）其他表明资产可能已经发生减值的迹象。 减值测试后，若该资产的账面价值超过其可收回金额，其差额确认为减值损失，上述资产的减值损失一经确认，在以</w:t>
      </w:r>
    </w:p>
    <w:p>
      <w:pPr>
        <w:pStyle w:val="BodyText"/>
        <w:spacing w:line="240" w:lineRule="auto" w:before="15"/>
        <w:ind w:right="0"/>
        <w:jc w:val="left"/>
      </w:pPr>
      <w:r>
        <w:rPr/>
        <w:t>后会计期间不予转回。</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3、长期待摊费用" w:id="214"/>
      <w:bookmarkEnd w:id="21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441"/>
        <w:jc w:val="left"/>
      </w:pPr>
      <w:r>
        <w:rPr/>
        <w:t>本集团的长期待摊费用在受益期内平均摊销，如果长期待摊费用项目不能使以后会计期间受益，则将尚未摊销的该项 目的摊余价值全部转入当期损益。</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4、职工薪酬" w:id="215"/>
      <w:bookmarkEnd w:id="21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短期薪酬的会计处理方法" w:id="216"/>
      <w:bookmarkEnd w:id="21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74" w:firstLine="400"/>
        <w:jc w:val="left"/>
      </w:pPr>
      <w:r>
        <w:rPr/>
        <w:t>短期薪酬主要包括工资、奖金、津贴和补贴、职工福利费、社会保险费及住房公积金、工会经费和职工教育经费等， 在职工提供服务的会计期间，将实际发生的短期薪酬确认为负债，并按照受益对象计入当期损益或相关资产成本。</w:t>
      </w:r>
    </w:p>
    <w:p>
      <w:pPr>
        <w:spacing w:after="0" w:line="316" w:lineRule="auto"/>
        <w:jc w:val="left"/>
        <w:sectPr>
          <w:pgSz w:w="11910" w:h="16840"/>
          <w:pgMar w:header="890" w:footer="1012" w:top="1420" w:bottom="1200" w:left="1020" w:right="0"/>
        </w:sectPr>
      </w:pPr>
    </w:p>
    <w:p>
      <w:pPr>
        <w:pStyle w:val="Heading6"/>
        <w:spacing w:line="240" w:lineRule="auto" w:before="43"/>
        <w:ind w:right="0"/>
        <w:jc w:val="left"/>
        <w:rPr>
          <w:b w:val="0"/>
          <w:bCs w:val="0"/>
        </w:rPr>
      </w:pPr>
      <w:bookmarkStart w:name="（2）离职后福利的会计处理方法" w:id="217"/>
      <w:bookmarkEnd w:id="21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441"/>
        <w:jc w:val="left"/>
      </w:pPr>
      <w:r>
        <w:rPr/>
        <w:t>离职后福利主要包括基本养老保险费、失业保险费等，按照公司承担的风险和义务，分类为设定提存计划、设定受益 计划。对于设定提存计划在根据在资产负债表日为换取职工在会计期间提供的服务而向单独主体缴存的提存金确认为负债， 并按照受益对象计入当期损益或相关资产成本。目前公司不存在设定受益计划。</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3）辞退福利的会计处理方法" w:id="218"/>
      <w:bookmarkEnd w:id="21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其他长期职工福利的会计处理方法" w:id="219"/>
      <w:bookmarkEnd w:id="21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5、预计负债" w:id="220"/>
      <w:bookmarkEnd w:id="22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0" w:firstLine="441"/>
        <w:jc w:val="both"/>
      </w:pPr>
      <w:r>
        <w:rPr/>
        <w:t>当与对外担保、商业承兑汇票贴现、未决诉讼或仲裁、产品质量保证等或有事项相关的业务同时符合以下条件时，本 </w:t>
      </w:r>
      <w:r>
        <w:rPr>
          <w:spacing w:val="-2"/>
        </w:rPr>
        <w:t>集团将其确认为负债：该义务是本集团承担的现时义务；该义务的履行很可能导致经济利益流出企业；该义务的金额能够可</w:t>
      </w:r>
      <w:r>
        <w:rPr>
          <w:spacing w:val="-63"/>
        </w:rPr>
        <w:t> </w:t>
      </w:r>
      <w:r>
        <w:rPr>
          <w:spacing w:val="-63"/>
        </w:rPr>
      </w:r>
      <w:r>
        <w:rPr/>
        <w:t>靠地计量。</w:t>
      </w:r>
    </w:p>
    <w:p>
      <w:pPr>
        <w:pStyle w:val="BodyText"/>
        <w:spacing w:line="316" w:lineRule="auto" w:before="139"/>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r>
        <w:rPr>
          <w:spacing w:val="-65"/>
        </w:rPr>
        <w:t> </w:t>
      </w:r>
      <w:r>
        <w:rPr>
          <w:spacing w:val="-65"/>
        </w:rPr>
      </w:r>
      <w:r>
        <w:rPr/>
        <w:t>对预计负债的账面价值进行复核，如有改变则对账面价值进行调整以反映当前最佳估计数。</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26、股份支付" w:id="221"/>
      <w:bookmarkEnd w:id="22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41"/>
        <w:jc w:val="both"/>
      </w:pPr>
      <w:r>
        <w:rPr>
          <w:spacing w:val="-2"/>
        </w:rPr>
        <w:t>根据《企业会计准则第11号－股份支付》和《股权激励有关事项备忘录1-3号》的规定，公司将按照下列方法对公司股</w:t>
      </w:r>
      <w:r>
        <w:rPr/>
        <w:t> 权激励计划进行会计处理：</w:t>
      </w:r>
    </w:p>
    <w:p>
      <w:pPr>
        <w:pStyle w:val="BodyText"/>
        <w:spacing w:line="240" w:lineRule="auto" w:before="139"/>
        <w:ind w:left="554" w:right="0"/>
        <w:jc w:val="left"/>
      </w:pPr>
      <w:r>
        <w:rPr/>
        <w:t>（1）授予日会计处理：根据授予数量和授予价格，确认股本和资本公积。</w:t>
      </w:r>
    </w:p>
    <w:p>
      <w:pPr>
        <w:spacing w:line="240" w:lineRule="auto" w:before="0"/>
        <w:rPr>
          <w:rFonts w:ascii="宋体" w:hAnsi="宋体" w:cs="宋体" w:eastAsia="宋体" w:hint="default"/>
          <w:sz w:val="15"/>
          <w:szCs w:val="15"/>
        </w:rPr>
      </w:pPr>
    </w:p>
    <w:p>
      <w:pPr>
        <w:pStyle w:val="BodyText"/>
        <w:spacing w:line="316" w:lineRule="auto"/>
        <w:ind w:right="0" w:firstLine="441"/>
        <w:jc w:val="left"/>
      </w:pPr>
      <w:r>
        <w:rPr>
          <w:spacing w:val="-4"/>
        </w:rPr>
        <w:t>（2）限制性股票全部解锁前的每个资产负债表日：根据会计准则规定，在全部限制性股票解锁前的每个资产负债表日，</w:t>
      </w:r>
      <w:r>
        <w:rPr/>
        <w:t> </w:t>
      </w:r>
      <w:r>
        <w:rPr>
          <w:spacing w:val="-2"/>
        </w:rPr>
        <w:t>按照授予日限制性股票的公允价值、限制性股票当期的解锁比例以及预计可解锁的限制性股票数量的最佳估计数将取得职工</w:t>
      </w:r>
      <w:r>
        <w:rPr>
          <w:spacing w:val="-64"/>
        </w:rPr>
        <w:t> </w:t>
      </w:r>
      <w:r>
        <w:rPr>
          <w:spacing w:val="-64"/>
        </w:rPr>
      </w:r>
      <w:r>
        <w:rPr>
          <w:spacing w:val="-2"/>
        </w:rPr>
        <w:t>提供的服务计入成本费用和资本公积（其他资本公积），不确认授予日后限制性股票的公允价值变动。</w:t>
      </w:r>
    </w:p>
    <w:p>
      <w:pPr>
        <w:pStyle w:val="BodyText"/>
        <w:spacing w:line="316" w:lineRule="auto" w:before="139"/>
        <w:ind w:right="1132" w:firstLine="441"/>
        <w:jc w:val="both"/>
      </w:pPr>
      <w:r>
        <w:rPr>
          <w:spacing w:val="-2"/>
        </w:rPr>
        <w:t>（3）解锁日：在解锁日，如果达到解锁条件，可以解锁；如果全部或部分股票未被解锁而失效或作废，则由公司以授</w:t>
      </w:r>
      <w:r>
        <w:rPr/>
        <w:t> 予价格回购后注销，并按照会计准则及相关规定处理。</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7、优先股、永续债等其他金融工具" w:id="222"/>
      <w:bookmarkEnd w:id="22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8、收入" w:id="223"/>
      <w:bookmarkEnd w:id="22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106"/>
        <w:ind w:right="1130" w:firstLine="441"/>
        <w:jc w:val="both"/>
      </w:pPr>
      <w:r>
        <w:rPr/>
        <w:t>本公司的营业收入主要是电缆线、高分子材料销售收入。销售收入的确认原则：本公司已将电缆线、高分子材料所有 </w:t>
      </w:r>
      <w:r>
        <w:rPr>
          <w:spacing w:val="-2"/>
        </w:rPr>
        <w:t>权上的主要风险和报酬转移给购货方；本公司既没有保留通常与所有权相联系的继续管理权，也没有对已售出的电缆线、高</w:t>
      </w:r>
      <w:r>
        <w:rPr>
          <w:spacing w:val="-63"/>
        </w:rPr>
        <w:t> </w:t>
      </w:r>
      <w:r>
        <w:rPr>
          <w:spacing w:val="-63"/>
        </w:rPr>
      </w:r>
      <w:r>
        <w:rPr>
          <w:spacing w:val="-2"/>
        </w:rPr>
        <w:t>分子材料实施有效控制；收入的金额能够可靠地计量；相关的经济利益很可能流入企业；相关的已发生或将发生的成本能够</w:t>
      </w:r>
      <w:r>
        <w:rPr>
          <w:spacing w:val="-63"/>
        </w:rPr>
        <w:t> </w:t>
      </w:r>
      <w:r>
        <w:rPr>
          <w:spacing w:val="-63"/>
        </w:rPr>
      </w:r>
      <w:r>
        <w:rPr/>
        <w:t>可靠的计量。</w:t>
      </w:r>
    </w:p>
    <w:p>
      <w:pPr>
        <w:pStyle w:val="BodyText"/>
        <w:spacing w:line="439" w:lineRule="auto" w:before="139"/>
        <w:ind w:left="472" w:right="5993" w:firstLine="81"/>
        <w:jc w:val="left"/>
      </w:pPr>
      <w:r>
        <w:rPr/>
        <w:t>公司对国内销售和出口销售收入确认的原则分别如下： (1)国内销售收入确认方法</w:t>
      </w:r>
    </w:p>
    <w:p>
      <w:pPr>
        <w:spacing w:after="0" w:line="439" w:lineRule="auto"/>
        <w:jc w:val="left"/>
        <w:sectPr>
          <w:pgSz w:w="11910" w:h="16840"/>
          <w:pgMar w:header="890" w:footer="1012" w:top="1420" w:bottom="1200" w:left="1020" w:right="0"/>
        </w:sectPr>
      </w:pPr>
    </w:p>
    <w:p>
      <w:pPr>
        <w:pStyle w:val="BodyText"/>
        <w:spacing w:line="316" w:lineRule="auto" w:before="66"/>
        <w:ind w:right="1130" w:firstLine="441"/>
        <w:jc w:val="both"/>
      </w:pPr>
      <w:r>
        <w:rPr/>
        <w:t>同时满足下列条件：按购货方要求将电缆线、高分子材料产品交付购货方，同时经与购货方对电缆线、高分子材料产 </w:t>
      </w:r>
      <w:r>
        <w:rPr>
          <w:spacing w:val="-2"/>
        </w:rPr>
        <w:t>品数量及外包装无异议进行确认，并取得销售回执；销售收入金额已确定，并已收讫货款或预计可以收回货款；销售商品的</w:t>
      </w:r>
      <w:r>
        <w:rPr>
          <w:spacing w:val="-64"/>
        </w:rPr>
        <w:t> </w:t>
      </w:r>
      <w:r>
        <w:rPr>
          <w:spacing w:val="-64"/>
        </w:rPr>
      </w:r>
      <w:r>
        <w:rPr/>
        <w:t>成本能够可靠地计量。</w:t>
      </w:r>
    </w:p>
    <w:p>
      <w:pPr>
        <w:pStyle w:val="BodyText"/>
        <w:spacing w:line="432" w:lineRule="exact" w:before="3"/>
        <w:ind w:left="554" w:right="1132" w:hanging="82"/>
        <w:jc w:val="left"/>
      </w:pPr>
      <w:r>
        <w:rPr/>
        <w:t>(2)出口销售收入确认方法 同时满足下列条件：根据与购货方达成出口销售合同规定的要求生产电缆线、高分子材料，经检验合格后货物送达指</w:t>
      </w:r>
    </w:p>
    <w:p>
      <w:pPr>
        <w:pStyle w:val="BodyText"/>
        <w:spacing w:line="316" w:lineRule="auto" w:before="15"/>
        <w:ind w:right="1120"/>
        <w:jc w:val="left"/>
      </w:pPr>
      <w:r>
        <w:rPr>
          <w:spacing w:val="-2"/>
        </w:rPr>
        <w:t>定港口，并办完报关出口手续；销售收入金额已经确定，并已收讫货款或预计可以收回货款；销售商品的成本能够可靠地计</w:t>
      </w:r>
      <w:r>
        <w:rPr>
          <w:spacing w:val="-64"/>
        </w:rPr>
        <w:t> </w:t>
      </w:r>
      <w:r>
        <w:rPr>
          <w:spacing w:val="-64"/>
        </w:rPr>
      </w:r>
      <w:r>
        <w:rPr/>
        <w:t>量。</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9、政府补助" w:id="224"/>
      <w:bookmarkEnd w:id="22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80"/>
        <w:jc w:val="both"/>
      </w:pPr>
      <w:r>
        <w:rPr>
          <w:spacing w:val="-1"/>
        </w:rPr>
        <w:t>本集团的政府补助包括与资产相关的政府补助、与收益相关的政府补助。其中，与资产相关的政府补助，是指本集团</w:t>
      </w:r>
      <w:r>
        <w:rPr/>
        <w:t> </w:t>
      </w:r>
      <w:r>
        <w:rPr>
          <w:spacing w:val="-2"/>
        </w:rPr>
        <w:t>取得的、用于购建或以其他方式形成长期资产的政府补助；与收益相关的政府补助，是指除与资产相关的政府补助之外的政</w:t>
      </w:r>
      <w:r>
        <w:rPr>
          <w:spacing w:val="-63"/>
        </w:rPr>
        <w:t> </w:t>
      </w:r>
      <w:r>
        <w:rPr>
          <w:spacing w:val="-63"/>
        </w:rPr>
      </w:r>
      <w:r>
        <w:rPr>
          <w:spacing w:val="-2"/>
        </w:rPr>
        <w:t>府补助。如果政府文件中未明确规定补助对象，本集团按照上述区分原则进行判断，难以区分的，整体归类为与收益相关的</w:t>
      </w:r>
      <w:r>
        <w:rPr>
          <w:spacing w:val="-64"/>
        </w:rPr>
        <w:t> </w:t>
      </w:r>
      <w:r>
        <w:rPr>
          <w:spacing w:val="-64"/>
        </w:rPr>
      </w:r>
      <w:r>
        <w:rPr/>
        <w:t>政府补助。</w:t>
      </w:r>
    </w:p>
    <w:p>
      <w:pPr>
        <w:pStyle w:val="BodyText"/>
        <w:spacing w:line="316" w:lineRule="auto" w:before="139"/>
        <w:ind w:right="1132" w:firstLine="480"/>
        <w:jc w:val="both"/>
      </w:pPr>
      <w:r>
        <w:rPr>
          <w:spacing w:val="-1"/>
        </w:rPr>
        <w:t>政府补助为货币性资产的，按照实际收到的金额计量，对于按照固定的定额标准拨付的补助，或对年末有确凿证据表</w:t>
      </w:r>
      <w:r>
        <w:rPr/>
        <w:t> </w:t>
      </w:r>
      <w:r>
        <w:rPr>
          <w:spacing w:val="-2"/>
        </w:rPr>
        <w:t>明能够符合财政扶持政策规定的相关条件且预计能够收到财政扶持资金时，按照应收的金额计量；政府补助为非货币性资产</w:t>
      </w:r>
      <w:r>
        <w:rPr>
          <w:spacing w:val="-64"/>
        </w:rPr>
        <w:t> </w:t>
      </w:r>
      <w:r>
        <w:rPr>
          <w:spacing w:val="-64"/>
        </w:rPr>
      </w:r>
      <w:r>
        <w:rPr/>
        <w:t>的，按照公允价值计量，公允价值不能可靠取得的，按照名义金额(1元)计量。</w:t>
      </w:r>
    </w:p>
    <w:p>
      <w:pPr>
        <w:pStyle w:val="BodyText"/>
        <w:spacing w:line="316" w:lineRule="auto" w:before="139"/>
        <w:ind w:right="1132" w:firstLine="441"/>
        <w:jc w:val="both"/>
      </w:pPr>
      <w:r>
        <w:rPr/>
        <w:t>与资产相关的政府补助确认为递延收益，并在相关资产使用寿命内平均分配计入当期损益。相关资产在使用寿命结束 前被出售、转让、报废或发生毁损的，将尚未分配的相关递延收益余额转入资产处置当期的损益。</w:t>
      </w:r>
    </w:p>
    <w:p>
      <w:pPr>
        <w:pStyle w:val="BodyText"/>
        <w:spacing w:line="316" w:lineRule="auto" w:before="139"/>
        <w:ind w:right="1130" w:firstLine="441"/>
        <w:jc w:val="both"/>
      </w:pPr>
      <w:r>
        <w:rPr/>
        <w:t>与收益相关的政府补助，用于补偿以后期间的相关成本费用或损失的，确认为递延收益，并在确认相关成本费用或损 </w:t>
      </w:r>
      <w:r>
        <w:rPr>
          <w:spacing w:val="-2"/>
        </w:rPr>
        <w:t>失的期间计入当期损益。与日常活动相关的政府补助，按照经济业务实质，计入其他收益或冲减相关成本费用。与日常活动</w:t>
      </w:r>
      <w:r>
        <w:rPr>
          <w:spacing w:val="-64"/>
        </w:rPr>
        <w:t> </w:t>
      </w:r>
      <w:r>
        <w:rPr>
          <w:spacing w:val="-64"/>
        </w:rPr>
      </w:r>
      <w:r>
        <w:rPr/>
        <w:t>无关的政府补助，计入营业外收支。</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30、递延所得税资产/递延所得税负债" w:id="225"/>
      <w:bookmarkEnd w:id="22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441"/>
        <w:jc w:val="left"/>
      </w:pPr>
      <w:r>
        <w:rPr/>
        <w:t>本集团递延所得税资产和递延所得税负债根据资产和负债的计税基础与其账面价值的差额(暂时性差异)计算确认。对 </w:t>
      </w:r>
      <w:r>
        <w:rPr>
          <w:spacing w:val="-2"/>
        </w:rPr>
        <w:t>于按照税法规定能够于以后年度抵减应纳税所得额的可抵扣亏损，确认相应的递延所得税资产。对于商誉的初始确认产生的</w:t>
      </w:r>
      <w:r>
        <w:rPr>
          <w:spacing w:val="-64"/>
        </w:rPr>
        <w:t> </w:t>
      </w:r>
      <w:r>
        <w:rPr>
          <w:spacing w:val="-64"/>
        </w:rPr>
      </w:r>
      <w:r>
        <w:rPr>
          <w:spacing w:val="-2"/>
        </w:rPr>
        <w:t>暂时性差异，不确认相应的递延所得税负债。对于既不影响会计利润也不影响应纳税所得额(或可抵扣亏损)的非企业合并的</w:t>
      </w:r>
      <w:r>
        <w:rPr>
          <w:spacing w:val="-63"/>
        </w:rPr>
        <w:t> </w:t>
      </w:r>
      <w:r>
        <w:rPr>
          <w:spacing w:val="-63"/>
        </w:rPr>
      </w:r>
      <w:r>
        <w:rPr>
          <w:spacing w:val="-4"/>
        </w:rPr>
        <w:t>交易中产生的资产或负债的初始确认形成的暂时性差异，不确认相应的递延所得税资产和递延所得税负债。于资产负债表日，</w:t>
      </w:r>
      <w:r>
        <w:rPr>
          <w:spacing w:val="-41"/>
        </w:rPr>
        <w:t> </w:t>
      </w:r>
      <w:r>
        <w:rPr>
          <w:spacing w:val="-41"/>
        </w:rPr>
      </w:r>
      <w:r>
        <w:rPr/>
        <w:t>递延所得税资产和递延所得税负债，按照预期收回该资产或清偿该负债期间的适用税率计量。</w:t>
      </w:r>
    </w:p>
    <w:p>
      <w:pPr>
        <w:pStyle w:val="BodyText"/>
        <w:spacing w:line="316" w:lineRule="auto" w:before="139"/>
        <w:ind w:right="1132" w:firstLine="441"/>
        <w:jc w:val="both"/>
      </w:pPr>
      <w:r>
        <w:rPr/>
        <w:t>本集团以很可能取得用来抵扣可抵扣暂时性差异、可抵扣亏损和税款抵减的未来应纳税所得额为限，确认递延所得税 资产。</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31、租赁" w:id="226"/>
      <w:bookmarkEnd w:id="226"/>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经营租赁的会计处理方法" w:id="227"/>
      <w:bookmarkEnd w:id="22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54" w:right="0"/>
        <w:jc w:val="left"/>
      </w:pPr>
      <w:r>
        <w:rPr/>
        <w:t>本集团作为经营租赁承租方的租金在租赁期内的各个期间按直线法计入相关资产成本或当期损益。</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融资租赁的会计处理方法" w:id="228"/>
      <w:bookmarkEnd w:id="22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本集团作为融资租赁承租方时，在租赁开始日，按租赁开始日租赁资产的公允价值与最低租赁付款额的现值两者中较</w:t>
      </w:r>
    </w:p>
    <w:p>
      <w:pPr>
        <w:spacing w:after="0" w:line="240" w:lineRule="auto"/>
        <w:jc w:val="left"/>
        <w:sectPr>
          <w:pgSz w:w="11910" w:h="16840"/>
          <w:pgMar w:header="890" w:footer="1012" w:top="1420" w:bottom="1200" w:left="1020" w:right="0"/>
        </w:sectPr>
      </w:pPr>
    </w:p>
    <w:p>
      <w:pPr>
        <w:pStyle w:val="BodyText"/>
        <w:spacing w:line="316" w:lineRule="auto" w:before="66"/>
        <w:ind w:right="1120"/>
        <w:jc w:val="left"/>
      </w:pPr>
      <w:r>
        <w:rPr>
          <w:spacing w:val="-2"/>
        </w:rPr>
        <w:t>低者，作为融资租入固定资产的入账价值，将最低租赁付款额作为长期应付款的入账价值，将两者的差额记录为未确认融资</w:t>
      </w:r>
      <w:r>
        <w:rPr>
          <w:spacing w:val="-63"/>
        </w:rPr>
        <w:t> </w:t>
      </w:r>
      <w:r>
        <w:rPr>
          <w:spacing w:val="-63"/>
        </w:rPr>
      </w:r>
      <w:r>
        <w:rPr/>
        <w:t>费用。</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32、其他重要的会计政策和会计估计" w:id="229"/>
      <w:bookmarkEnd w:id="229"/>
      <w:r>
        <w:rPr>
          <w:b w:val="0"/>
          <w:bCs w:val="0"/>
        </w:rPr>
      </w:r>
      <w:r>
        <w:rPr>
          <w:rFonts w:ascii="Times New Roman" w:hAnsi="Times New Roman" w:cs="Times New Roman" w:eastAsia="Times New Roman" w:hint="default"/>
        </w:rPr>
        <w:t>32</w:t>
      </w:r>
      <w:r>
        <w:rPr/>
        <w:t>、其他重要的会计政策和会计估计</w:t>
      </w:r>
      <w:r>
        <w:rPr>
          <w:b w:val="0"/>
          <w:bCs w:val="0"/>
        </w:rPr>
      </w:r>
    </w:p>
    <w:p>
      <w:pPr>
        <w:pStyle w:val="BodyText"/>
        <w:spacing w:line="430" w:lineRule="atLeast" w:before="152"/>
        <w:ind w:left="554" w:right="0"/>
        <w:jc w:val="left"/>
      </w:pPr>
      <w:r>
        <w:rPr/>
        <w:t>采用套期会计的依据、会计处理方法： </w:t>
      </w:r>
      <w:r>
        <w:rPr>
          <w:spacing w:val="-4"/>
        </w:rPr>
        <w:t>本集团商品期货套期业务执行《商品期货套期业务会计处理暂行规定》，其余套期业务执行《企业会计准则第24号——</w:t>
      </w:r>
    </w:p>
    <w:p>
      <w:pPr>
        <w:pStyle w:val="BodyText"/>
        <w:spacing w:line="240" w:lineRule="auto" w:before="76"/>
        <w:ind w:right="0"/>
        <w:jc w:val="left"/>
      </w:pPr>
      <w:r>
        <w:rPr/>
        <w:t>套期保值》以及《企业会计准则第</w:t>
      </w:r>
      <w:r>
        <w:rPr>
          <w:spacing w:val="1"/>
        </w:rPr>
        <w:t>3</w:t>
      </w:r>
      <w:r>
        <w:rPr>
          <w:spacing w:val="-2"/>
        </w:rPr>
        <w:t>7</w:t>
      </w:r>
      <w:r>
        <w:rPr/>
        <w:t>号——金融工具列报</w:t>
      </w:r>
      <w:r>
        <w:rPr>
          <w:spacing w:val="-89"/>
        </w:rPr>
        <w:t>》</w:t>
      </w:r>
      <w:r>
        <w:rPr/>
        <w:t>，并按以下方法进行处理。</w:t>
      </w:r>
    </w:p>
    <w:p>
      <w:pPr>
        <w:spacing w:line="240" w:lineRule="auto" w:before="0"/>
        <w:rPr>
          <w:rFonts w:ascii="宋体" w:hAnsi="宋体" w:cs="宋体" w:eastAsia="宋体" w:hint="default"/>
          <w:sz w:val="15"/>
          <w:szCs w:val="15"/>
        </w:rPr>
      </w:pPr>
    </w:p>
    <w:p>
      <w:pPr>
        <w:pStyle w:val="BodyText"/>
        <w:spacing w:line="316" w:lineRule="auto"/>
        <w:ind w:right="0" w:firstLine="271"/>
        <w:jc w:val="left"/>
      </w:pPr>
      <w:r>
        <w:rPr>
          <w:spacing w:val="-2"/>
        </w:rPr>
        <w:t>(1)本集团商品期货套期为现金流量套期，是指对被套期项目现金流量变动风险进行的套期。以很可能发生的预期交易为</w:t>
      </w:r>
      <w:r>
        <w:rPr/>
        <w:t> 基础的被套期项目，应当指定在现金流量套期关系中。</w:t>
      </w:r>
    </w:p>
    <w:p>
      <w:pPr>
        <w:pStyle w:val="BodyText"/>
        <w:spacing w:line="316" w:lineRule="auto" w:before="139"/>
        <w:ind w:right="1130" w:firstLine="271"/>
        <w:jc w:val="both"/>
      </w:pPr>
      <w:r>
        <w:rPr/>
        <w:t>(2)套期关系的指定及套期有效性的认定：1）在套期开始时，公司对套期关系（即套期工具和被套期项目之间的关系） 有正式指定，并准备关于套期关系、风险管理目标和套期策略的正式书面文件；2）该套期预期高度有效，且符合公司最初</w:t>
      </w:r>
      <w:r>
        <w:rPr>
          <w:spacing w:val="-85"/>
        </w:rPr>
        <w:t> </w:t>
      </w:r>
      <w:r>
        <w:rPr>
          <w:spacing w:val="-85"/>
        </w:rPr>
      </w:r>
      <w:r>
        <w:rPr/>
        <w:t>为该套期关系所确定的风险管理策略；3）对预期交易的现金流量套期，预期交易应当很可能发生，且必须使企业面临最终</w:t>
      </w:r>
      <w:r>
        <w:rPr>
          <w:spacing w:val="-84"/>
        </w:rPr>
        <w:t> </w:t>
      </w:r>
      <w:r>
        <w:rPr>
          <w:spacing w:val="-84"/>
        </w:rPr>
      </w:r>
      <w:r>
        <w:rPr>
          <w:spacing w:val="-2"/>
        </w:rPr>
        <w:t>将影响损益的现金流量变动风险；4）套期有效性能够可靠地计量；5）持续地对套期有效性进行评价，并确保该套期在套期</w:t>
      </w:r>
      <w:r>
        <w:rPr>
          <w:spacing w:val="-63"/>
        </w:rPr>
        <w:t> </w:t>
      </w:r>
      <w:r>
        <w:rPr>
          <w:spacing w:val="-63"/>
        </w:rPr>
      </w:r>
      <w:r>
        <w:rPr/>
        <w:t>关系被指定的会计期间内高度有效。</w:t>
      </w:r>
    </w:p>
    <w:p>
      <w:pPr>
        <w:pStyle w:val="BodyText"/>
        <w:spacing w:line="316" w:lineRule="auto" w:before="139"/>
        <w:ind w:right="0" w:firstLine="271"/>
        <w:jc w:val="left"/>
      </w:pPr>
      <w:r>
        <w:rPr/>
        <w:t>(3)套期有效性要求：1）被套期项目与套期工具之间存在经济关系，使套期工具和被套期项目因被套期风险而产生的公 </w:t>
      </w:r>
      <w:r>
        <w:rPr>
          <w:spacing w:val="-2"/>
        </w:rPr>
        <w:t>允价值或现金流量预期随着相同基础变量或经济上相关的类似基础变量变动发生方向相反的变动；2）套期关系的套期比率，</w:t>
      </w:r>
      <w:r>
        <w:rPr>
          <w:spacing w:val="-61"/>
        </w:rPr>
        <w:t> </w:t>
      </w:r>
      <w:r>
        <w:rPr>
          <w:spacing w:val="-61"/>
        </w:rPr>
      </w:r>
      <w:r>
        <w:rPr>
          <w:spacing w:val="-2"/>
        </w:rPr>
        <w:t>应当等于被套期项目的实际数量与用于对这些数量的被套期项目进行套期的套期工具的实际数量之比，不应当反映被套期项</w:t>
      </w:r>
      <w:r>
        <w:rPr>
          <w:spacing w:val="-64"/>
        </w:rPr>
        <w:t> </w:t>
      </w:r>
      <w:r>
        <w:rPr>
          <w:spacing w:val="-64"/>
        </w:rPr>
      </w:r>
      <w:r>
        <w:rPr>
          <w:spacing w:val="-4"/>
        </w:rPr>
        <w:t>目与套期工具所含风险的失衡，这种失衡会产生套期无效（无论确认与否），并可能产生与套期会计目标不一致的会计结果；</w:t>
      </w:r>
      <w:r>
        <w:rPr>
          <w:spacing w:val="-41"/>
        </w:rPr>
        <w:t> </w:t>
      </w:r>
      <w:r>
        <w:rPr>
          <w:spacing w:val="-41"/>
        </w:rPr>
      </w:r>
      <w:r>
        <w:rPr/>
        <w:t>3）经济关系产生的价值变动中，信用风险的影响不占主导地位。</w:t>
      </w:r>
    </w:p>
    <w:p>
      <w:pPr>
        <w:pStyle w:val="BodyText"/>
        <w:spacing w:line="316" w:lineRule="auto" w:before="139"/>
        <w:ind w:right="0" w:firstLine="271"/>
        <w:jc w:val="left"/>
      </w:pPr>
      <w:r>
        <w:rPr>
          <w:spacing w:val="-2"/>
        </w:rPr>
        <w:t>(4)套期工具：套期工具是指企业为进行套期而指定的、其公允价值或现金流量变动预期可抵销被套期项目的公允价值或</w:t>
      </w:r>
      <w:r>
        <w:rPr/>
        <w:t> 现金流量变动的衍生工具。</w:t>
      </w:r>
    </w:p>
    <w:p>
      <w:pPr>
        <w:pStyle w:val="BodyText"/>
        <w:spacing w:line="432" w:lineRule="exact" w:before="3"/>
        <w:ind w:left="384" w:right="0" w:firstLine="170"/>
        <w:jc w:val="left"/>
      </w:pPr>
      <w:r>
        <w:rPr/>
        <w:t>本集团将购入的期铜合约作为套期工具。 </w:t>
      </w:r>
      <w:r>
        <w:rPr>
          <w:spacing w:val="-2"/>
        </w:rPr>
        <w:t>(5)被套期项目：被套期项目可以是一项或一组存货、尚未确认的确定承诺以及很可能发生的预期交易，也可以是上述项</w:t>
      </w:r>
    </w:p>
    <w:p>
      <w:pPr>
        <w:pStyle w:val="BodyText"/>
        <w:spacing w:line="439" w:lineRule="auto" w:before="15"/>
        <w:ind w:left="554" w:right="5272" w:hanging="442"/>
        <w:jc w:val="left"/>
      </w:pPr>
      <w:r>
        <w:rPr/>
        <w:t>目的组成部分。被套期项目应当能够可靠计量。 本集团将很可能发生的预期交易（铜的采购）作为被套期项目。</w:t>
      </w:r>
    </w:p>
    <w:p>
      <w:pPr>
        <w:pStyle w:val="BodyText"/>
        <w:spacing w:line="240" w:lineRule="auto" w:before="47"/>
        <w:ind w:left="384" w:right="0"/>
        <w:jc w:val="left"/>
      </w:pPr>
      <w:r>
        <w:rPr/>
        <w:t>(6)现金流量套期会计处理原则</w:t>
      </w:r>
    </w:p>
    <w:p>
      <w:pPr>
        <w:spacing w:line="240" w:lineRule="auto" w:before="0"/>
        <w:rPr>
          <w:rFonts w:ascii="宋体" w:hAnsi="宋体" w:cs="宋体" w:eastAsia="宋体" w:hint="default"/>
          <w:sz w:val="15"/>
          <w:szCs w:val="15"/>
        </w:rPr>
      </w:pPr>
    </w:p>
    <w:p>
      <w:pPr>
        <w:pStyle w:val="BodyText"/>
        <w:spacing w:line="316" w:lineRule="auto"/>
        <w:ind w:right="1132" w:firstLine="441"/>
        <w:jc w:val="both"/>
      </w:pPr>
      <w:r>
        <w:rPr/>
        <w:t>对于现金流量套期，在套期关系存续期间，应当将套期工具累计利得或损失中不超过被套期项目累计预计现金流量现 值变动的部分作为有效套期部分（以下称为套期储备）计入其他综合收益，超过部分作为无效套期部分计入当期损益。</w:t>
      </w:r>
    </w:p>
    <w:p>
      <w:pPr>
        <w:pStyle w:val="BodyText"/>
        <w:spacing w:line="316" w:lineRule="auto" w:before="139"/>
        <w:ind w:right="1130" w:firstLine="441"/>
        <w:jc w:val="both"/>
      </w:pPr>
      <w:r>
        <w:rPr/>
        <w:t>被套期项目为预期商品采购的，应当在确认相关存货时，将其套期储备转出并计入存货初始成本；被套期项目为预期 </w:t>
      </w:r>
      <w:r>
        <w:rPr>
          <w:spacing w:val="-2"/>
        </w:rPr>
        <w:t>商品销售的，应当在该销售实现时，将其套期储备转出并计入销售收入；如果预期交易随后成为一项确定承诺，且公司将该</w:t>
      </w:r>
      <w:r>
        <w:rPr>
          <w:spacing w:val="-64"/>
        </w:rPr>
        <w:t> </w:t>
      </w:r>
      <w:r>
        <w:rPr>
          <w:spacing w:val="-64"/>
        </w:rPr>
      </w:r>
      <w:r>
        <w:rPr>
          <w:spacing w:val="-2"/>
        </w:rPr>
        <w:t>确定承诺指定为公允价值套期中的被套期项目，应当在指定时，将其套期储备转出并计入该确定承诺的初始账面价值；预期</w:t>
      </w:r>
      <w:r>
        <w:rPr>
          <w:spacing w:val="-63"/>
        </w:rPr>
        <w:t> </w:t>
      </w:r>
      <w:r>
        <w:rPr>
          <w:spacing w:val="-63"/>
        </w:rPr>
      </w:r>
      <w:r>
        <w:rPr>
          <w:spacing w:val="-2"/>
        </w:rPr>
        <w:t>交易预期不再发生时，应当将其套期储备重分类至当期损益；如果现金流量套期储备累计金额是一项损失且公司预计在未来</w:t>
      </w:r>
      <w:r>
        <w:rPr>
          <w:spacing w:val="-64"/>
        </w:rPr>
        <w:t> </w:t>
      </w:r>
      <w:r>
        <w:rPr>
          <w:spacing w:val="-64"/>
        </w:rPr>
      </w:r>
      <w:r>
        <w:rPr/>
        <w:t>一个或多个会计期间将无法弥补全部或部分损失，则应当立即将预计无法弥补的损失金额重分类计入当期损益。</w:t>
      </w:r>
    </w:p>
    <w:p>
      <w:pPr>
        <w:pStyle w:val="BodyText"/>
        <w:spacing w:line="316" w:lineRule="auto" w:before="139"/>
        <w:ind w:right="1132" w:firstLine="441"/>
        <w:jc w:val="both"/>
      </w:pPr>
      <w:r>
        <w:rPr/>
        <w:t>发生下列情况之一时，套期关系终止：1）因风险管理目标的变化，公司不能再指定既定的套期关系；2）套期工具被 </w:t>
      </w:r>
      <w:r>
        <w:rPr>
          <w:spacing w:val="-2"/>
        </w:rPr>
        <w:t>平仓或到期交割；3）被套期项目风险敞口消失；4）套期关系不再满足商品期货套期业务会计处理暂行规定有关套期会计的</w:t>
      </w:r>
      <w:r>
        <w:rPr>
          <w:spacing w:val="-66"/>
        </w:rPr>
        <w:t> </w:t>
      </w:r>
      <w:r>
        <w:rPr>
          <w:spacing w:val="-66"/>
        </w:rPr>
      </w:r>
      <w:r>
        <w:rPr/>
        <w:t>应用条件。</w:t>
      </w:r>
    </w:p>
    <w:p>
      <w:pPr>
        <w:spacing w:after="0" w:line="316" w:lineRule="auto"/>
        <w:jc w:val="both"/>
        <w:sectPr>
          <w:headerReference w:type="default" r:id="rId49"/>
          <w:pgSz w:w="11910" w:h="16840"/>
          <w:pgMar w:header="890" w:footer="1012" w:top="1420" w:bottom="1200" w:left="1020" w:right="0"/>
        </w:sectPr>
      </w:pPr>
    </w:p>
    <w:p>
      <w:pPr>
        <w:pStyle w:val="Heading6"/>
        <w:spacing w:line="240" w:lineRule="auto" w:before="43"/>
        <w:ind w:right="0"/>
        <w:jc w:val="left"/>
        <w:rPr>
          <w:b w:val="0"/>
          <w:bCs w:val="0"/>
        </w:rPr>
      </w:pPr>
      <w:bookmarkStart w:name="33、重要会计政策和会计估计变更" w:id="230"/>
      <w:bookmarkEnd w:id="23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31"/>
      <w:bookmarkEnd w:id="23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0"/>
        <w:rPr>
          <w:rFonts w:ascii="宋体" w:hAnsi="宋体" w:cs="宋体" w:eastAsia="宋体" w:hint="default"/>
          <w:sz w:val="15"/>
          <w:szCs w:val="15"/>
        </w:rPr>
      </w:pPr>
    </w:p>
    <w:p>
      <w:pPr>
        <w:pStyle w:val="BodyText"/>
        <w:spacing w:line="316" w:lineRule="auto" w:before="44"/>
        <w:ind w:right="1130" w:firstLine="441"/>
        <w:jc w:val="both"/>
      </w:pPr>
      <w:r>
        <w:rPr>
          <w:spacing w:val="-4"/>
        </w:rPr>
        <w:t>根据财政部《关于修订印发2018年度一般企业财务报表格式的通知》（财会〔2018〕15号），对一般企业财务报表格式</w:t>
      </w:r>
      <w:r>
        <w:rPr/>
        <w:t> </w:t>
      </w:r>
      <w:r>
        <w:rPr>
          <w:spacing w:val="-2"/>
        </w:rPr>
        <w:t>进行了修订，本集团根据财会15号文件规定，并经本公司第四届董事会第三十次会议审议通过，已按要求对比较财务报表格</w:t>
      </w:r>
      <w:r>
        <w:rPr>
          <w:spacing w:val="-62"/>
        </w:rPr>
        <w:t> </w:t>
      </w:r>
      <w:r>
        <w:rPr>
          <w:spacing w:val="-62"/>
        </w:rPr>
      </w:r>
      <w:r>
        <w:rPr/>
        <w:t>式进行调整，相关比较财务报表影响说明如下：</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193"/>
        <w:gridCol w:w="2291"/>
        <w:gridCol w:w="2973"/>
        <w:gridCol w:w="2183"/>
      </w:tblGrid>
      <w:tr>
        <w:trPr>
          <w:trHeight w:val="356" w:hRule="exact"/>
        </w:trPr>
        <w:tc>
          <w:tcPr>
            <w:tcW w:w="4484" w:type="dxa"/>
            <w:gridSpan w:val="2"/>
            <w:tcBorders>
              <w:top w:val="single" w:sz="6" w:space="0" w:color="000000"/>
              <w:left w:val="single" w:sz="6" w:space="0" w:color="000000"/>
              <w:bottom w:val="single" w:sz="4" w:space="0" w:color="000000"/>
              <w:right w:val="single" w:sz="4" w:space="0" w:color="000000"/>
            </w:tcBorders>
          </w:tcPr>
          <w:p>
            <w:pPr>
              <w:pStyle w:val="TableParagraph"/>
              <w:spacing w:line="240" w:lineRule="auto" w:before="43"/>
              <w:ind w:left="243" w:right="0"/>
              <w:jc w:val="left"/>
              <w:rPr>
                <w:rFonts w:ascii="宋体" w:hAnsi="宋体" w:cs="宋体" w:eastAsia="宋体" w:hint="default"/>
                <w:sz w:val="15"/>
                <w:szCs w:val="15"/>
              </w:rPr>
            </w:pPr>
            <w:r>
              <w:rPr>
                <w:rFonts w:ascii="宋体" w:hAnsi="宋体" w:cs="宋体" w:eastAsia="宋体" w:hint="default"/>
                <w:b/>
                <w:bCs/>
                <w:sz w:val="15"/>
                <w:szCs w:val="15"/>
              </w:rPr>
              <w:t>原列报报表项目及金额</w:t>
            </w:r>
            <w:r>
              <w:rPr>
                <w:rFonts w:ascii="宋体" w:hAnsi="宋体" w:cs="宋体" w:eastAsia="宋体" w:hint="default"/>
                <w:sz w:val="15"/>
                <w:szCs w:val="15"/>
              </w:rPr>
            </w:r>
          </w:p>
        </w:tc>
        <w:tc>
          <w:tcPr>
            <w:tcW w:w="5156" w:type="dxa"/>
            <w:gridSpan w:val="2"/>
            <w:tcBorders>
              <w:top w:val="single" w:sz="6" w:space="0" w:color="000000"/>
              <w:left w:val="single" w:sz="4" w:space="0" w:color="000000"/>
              <w:bottom w:val="single" w:sz="4" w:space="0" w:color="000000"/>
              <w:right w:val="single" w:sz="6" w:space="0" w:color="000000"/>
            </w:tcBorders>
          </w:tcPr>
          <w:p>
            <w:pPr>
              <w:pStyle w:val="TableParagraph"/>
              <w:spacing w:line="240" w:lineRule="auto" w:before="43"/>
              <w:ind w:left="4" w:right="0"/>
              <w:jc w:val="center"/>
              <w:rPr>
                <w:rFonts w:ascii="宋体" w:hAnsi="宋体" w:cs="宋体" w:eastAsia="宋体" w:hint="default"/>
                <w:sz w:val="15"/>
                <w:szCs w:val="15"/>
              </w:rPr>
            </w:pPr>
            <w:r>
              <w:rPr>
                <w:rFonts w:ascii="宋体" w:hAnsi="宋体" w:cs="宋体" w:eastAsia="宋体" w:hint="default"/>
                <w:b/>
                <w:bCs/>
                <w:sz w:val="15"/>
                <w:szCs w:val="15"/>
              </w:rPr>
              <w:t>新列报报表项目及金额</w:t>
            </w:r>
            <w:r>
              <w:rPr>
                <w:rFonts w:ascii="宋体" w:hAnsi="宋体" w:cs="宋体" w:eastAsia="宋体" w:hint="default"/>
                <w:sz w:val="15"/>
                <w:szCs w:val="15"/>
              </w:rPr>
            </w: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3"/>
              <w:ind w:left="92"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626,149,328.98</w:t>
            </w:r>
          </w:p>
        </w:tc>
        <w:tc>
          <w:tcPr>
            <w:tcW w:w="2973" w:type="dxa"/>
            <w:vMerge w:val="restart"/>
            <w:tcBorders>
              <w:top w:val="single" w:sz="4" w:space="0" w:color="000000"/>
              <w:left w:val="single" w:sz="4" w:space="0" w:color="000000"/>
              <w:right w:val="single" w:sz="4" w:space="0" w:color="000000"/>
            </w:tcBorders>
          </w:tcPr>
          <w:p>
            <w:pPr>
              <w:pStyle w:val="TableParagraph"/>
              <w:spacing w:line="240" w:lineRule="auto" w:before="43"/>
              <w:ind w:left="93" w:right="0"/>
              <w:jc w:val="left"/>
              <w:rPr>
                <w:rFonts w:ascii="宋体" w:hAnsi="宋体" w:cs="宋体" w:eastAsia="宋体" w:hint="default"/>
                <w:sz w:val="15"/>
                <w:szCs w:val="15"/>
              </w:rPr>
            </w:pPr>
            <w:r>
              <w:rPr>
                <w:rFonts w:ascii="宋体" w:hAnsi="宋体" w:cs="宋体" w:eastAsia="宋体" w:hint="default"/>
                <w:sz w:val="15"/>
                <w:szCs w:val="15"/>
              </w:rPr>
              <w:t>应收票据及应收账款</w:t>
            </w:r>
          </w:p>
        </w:tc>
        <w:tc>
          <w:tcPr>
            <w:tcW w:w="2183" w:type="dxa"/>
            <w:vMerge w:val="restart"/>
            <w:tcBorders>
              <w:top w:val="single" w:sz="4" w:space="0" w:color="000000"/>
              <w:left w:val="single" w:sz="4" w:space="0" w:color="000000"/>
              <w:right w:val="single" w:sz="6" w:space="0" w:color="000000"/>
            </w:tcBorders>
          </w:tcPr>
          <w:p>
            <w:pPr>
              <w:pStyle w:val="TableParagraph"/>
              <w:spacing w:line="240" w:lineRule="auto" w:before="43"/>
              <w:ind w:left="876" w:right="0"/>
              <w:jc w:val="left"/>
              <w:rPr>
                <w:rFonts w:ascii="宋体" w:hAnsi="宋体" w:cs="宋体" w:eastAsia="宋体" w:hint="default"/>
                <w:sz w:val="15"/>
                <w:szCs w:val="15"/>
              </w:rPr>
            </w:pPr>
            <w:r>
              <w:rPr>
                <w:rFonts w:ascii="宋体"/>
                <w:sz w:val="15"/>
              </w:rPr>
              <w:t>3,201,931,157.28</w:t>
            </w: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宋体" w:hAnsi="宋体" w:cs="宋体" w:eastAsia="宋体" w:hint="default"/>
                <w:sz w:val="15"/>
                <w:szCs w:val="15"/>
              </w:rPr>
            </w:pPr>
            <w:r>
              <w:rPr>
                <w:rFonts w:ascii="宋体"/>
                <w:spacing w:val="-1"/>
                <w:sz w:val="15"/>
              </w:rPr>
              <w:t>2,575,781,828.30</w:t>
            </w:r>
          </w:p>
        </w:tc>
        <w:tc>
          <w:tcPr>
            <w:tcW w:w="2973" w:type="dxa"/>
            <w:vMerge/>
            <w:tcBorders>
              <w:left w:val="single" w:sz="4" w:space="0" w:color="000000"/>
              <w:bottom w:val="single" w:sz="4" w:space="0" w:color="000000"/>
              <w:right w:val="single" w:sz="4" w:space="0" w:color="000000"/>
            </w:tcBorders>
          </w:tcPr>
          <w:p>
            <w:pPr/>
          </w:p>
        </w:tc>
        <w:tc>
          <w:tcPr>
            <w:tcW w:w="2183" w:type="dxa"/>
            <w:vMerge/>
            <w:tcBorders>
              <w:left w:val="single" w:sz="4" w:space="0" w:color="000000"/>
              <w:bottom w:val="single" w:sz="4" w:space="0" w:color="000000"/>
              <w:right w:val="single" w:sz="6" w:space="0" w:color="000000"/>
            </w:tcBorders>
          </w:tcPr>
          <w:p>
            <w:pP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3"/>
              <w:ind w:left="92"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281,368,884.64</w:t>
            </w:r>
          </w:p>
        </w:tc>
        <w:tc>
          <w:tcPr>
            <w:tcW w:w="2973" w:type="dxa"/>
            <w:vMerge w:val="restart"/>
            <w:tcBorders>
              <w:top w:val="single" w:sz="4" w:space="0" w:color="000000"/>
              <w:left w:val="single" w:sz="4" w:space="0" w:color="000000"/>
              <w:right w:val="single" w:sz="4" w:space="0" w:color="000000"/>
            </w:tcBorders>
          </w:tcPr>
          <w:p>
            <w:pPr>
              <w:pStyle w:val="TableParagraph"/>
              <w:spacing w:line="240" w:lineRule="auto" w:before="43"/>
              <w:ind w:left="93" w:right="0"/>
              <w:jc w:val="left"/>
              <w:rPr>
                <w:rFonts w:ascii="宋体" w:hAnsi="宋体" w:cs="宋体" w:eastAsia="宋体" w:hint="default"/>
                <w:sz w:val="15"/>
                <w:szCs w:val="15"/>
              </w:rPr>
            </w:pPr>
            <w:r>
              <w:rPr>
                <w:rFonts w:ascii="宋体" w:hAnsi="宋体" w:cs="宋体" w:eastAsia="宋体" w:hint="default"/>
                <w:sz w:val="15"/>
                <w:szCs w:val="15"/>
              </w:rPr>
              <w:t>应付票据及应付账款</w:t>
            </w:r>
          </w:p>
        </w:tc>
        <w:tc>
          <w:tcPr>
            <w:tcW w:w="2183" w:type="dxa"/>
            <w:vMerge w:val="restart"/>
            <w:tcBorders>
              <w:top w:val="single" w:sz="4" w:space="0" w:color="000000"/>
              <w:left w:val="single" w:sz="4" w:space="0" w:color="000000"/>
              <w:right w:val="single" w:sz="6" w:space="0" w:color="000000"/>
            </w:tcBorders>
          </w:tcPr>
          <w:p>
            <w:pPr>
              <w:pStyle w:val="TableParagraph"/>
              <w:spacing w:line="240" w:lineRule="auto" w:before="43"/>
              <w:ind w:left="1028" w:right="0"/>
              <w:jc w:val="left"/>
              <w:rPr>
                <w:rFonts w:ascii="宋体" w:hAnsi="宋体" w:cs="宋体" w:eastAsia="宋体" w:hint="default"/>
                <w:sz w:val="15"/>
                <w:szCs w:val="15"/>
              </w:rPr>
            </w:pPr>
            <w:r>
              <w:rPr>
                <w:rFonts w:ascii="宋体"/>
                <w:sz w:val="15"/>
              </w:rPr>
              <w:t>866,854,997.65</w:t>
            </w: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宋体" w:hAnsi="宋体" w:cs="宋体" w:eastAsia="宋体" w:hint="default"/>
                <w:sz w:val="15"/>
                <w:szCs w:val="15"/>
              </w:rPr>
            </w:pPr>
            <w:r>
              <w:rPr>
                <w:rFonts w:ascii="宋体"/>
                <w:spacing w:val="-1"/>
                <w:sz w:val="15"/>
              </w:rPr>
              <w:t>585,486,113.01</w:t>
            </w:r>
          </w:p>
        </w:tc>
        <w:tc>
          <w:tcPr>
            <w:tcW w:w="2973" w:type="dxa"/>
            <w:vMerge/>
            <w:tcBorders>
              <w:left w:val="single" w:sz="4" w:space="0" w:color="000000"/>
              <w:bottom w:val="single" w:sz="4" w:space="0" w:color="000000"/>
              <w:right w:val="single" w:sz="4" w:space="0" w:color="000000"/>
            </w:tcBorders>
          </w:tcPr>
          <w:p>
            <w:pPr/>
          </w:p>
        </w:tc>
        <w:tc>
          <w:tcPr>
            <w:tcW w:w="2183" w:type="dxa"/>
            <w:vMerge/>
            <w:tcBorders>
              <w:left w:val="single" w:sz="4" w:space="0" w:color="000000"/>
              <w:bottom w:val="single" w:sz="4" w:space="0" w:color="000000"/>
              <w:right w:val="single" w:sz="6" w:space="0" w:color="000000"/>
            </w:tcBorders>
          </w:tcPr>
          <w:p>
            <w:pP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3"/>
              <w:ind w:left="92"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55,644,909.89</w:t>
            </w:r>
          </w:p>
        </w:tc>
        <w:tc>
          <w:tcPr>
            <w:tcW w:w="2973" w:type="dxa"/>
            <w:vMerge w:val="restart"/>
            <w:tcBorders>
              <w:top w:val="single" w:sz="4" w:space="0" w:color="000000"/>
              <w:left w:val="single" w:sz="4" w:space="0" w:color="000000"/>
              <w:right w:val="single" w:sz="4" w:space="0" w:color="000000"/>
            </w:tcBorders>
          </w:tcPr>
          <w:p>
            <w:pPr>
              <w:pStyle w:val="TableParagraph"/>
              <w:spacing w:line="240" w:lineRule="auto" w:before="43"/>
              <w:ind w:left="93"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2183" w:type="dxa"/>
            <w:vMerge w:val="restart"/>
            <w:tcBorders>
              <w:top w:val="single" w:sz="4" w:space="0" w:color="000000"/>
              <w:left w:val="single" w:sz="4" w:space="0" w:color="000000"/>
              <w:right w:val="single" w:sz="6" w:space="0" w:color="000000"/>
            </w:tcBorders>
          </w:tcPr>
          <w:p>
            <w:pPr>
              <w:pStyle w:val="TableParagraph"/>
              <w:spacing w:line="240" w:lineRule="auto" w:before="43"/>
              <w:ind w:left="1028" w:right="0"/>
              <w:jc w:val="left"/>
              <w:rPr>
                <w:rFonts w:ascii="宋体" w:hAnsi="宋体" w:cs="宋体" w:eastAsia="宋体" w:hint="default"/>
                <w:sz w:val="15"/>
                <w:szCs w:val="15"/>
              </w:rPr>
            </w:pPr>
            <w:r>
              <w:rPr>
                <w:rFonts w:ascii="宋体"/>
                <w:sz w:val="15"/>
              </w:rPr>
              <w:t>130,303,554.55</w:t>
            </w: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宋体" w:hAnsi="宋体" w:cs="宋体" w:eastAsia="宋体" w:hint="default"/>
                <w:sz w:val="15"/>
                <w:szCs w:val="15"/>
              </w:rPr>
            </w:pPr>
            <w:r>
              <w:rPr>
                <w:rFonts w:ascii="宋体"/>
                <w:spacing w:val="-1"/>
                <w:sz w:val="15"/>
              </w:rPr>
              <w:t>74,658,644.66</w:t>
            </w:r>
          </w:p>
        </w:tc>
        <w:tc>
          <w:tcPr>
            <w:tcW w:w="2973" w:type="dxa"/>
            <w:vMerge/>
            <w:tcBorders>
              <w:left w:val="single" w:sz="4" w:space="0" w:color="000000"/>
              <w:bottom w:val="single" w:sz="4" w:space="0" w:color="000000"/>
              <w:right w:val="single" w:sz="4" w:space="0" w:color="000000"/>
            </w:tcBorders>
          </w:tcPr>
          <w:p>
            <w:pPr/>
          </w:p>
        </w:tc>
        <w:tc>
          <w:tcPr>
            <w:tcW w:w="2183" w:type="dxa"/>
            <w:vMerge/>
            <w:tcBorders>
              <w:left w:val="single" w:sz="4" w:space="0" w:color="000000"/>
              <w:bottom w:val="single" w:sz="4" w:space="0" w:color="000000"/>
              <w:right w:val="single" w:sz="6" w:space="0" w:color="000000"/>
            </w:tcBorders>
          </w:tcPr>
          <w:p>
            <w:pP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3"/>
              <w:ind w:left="9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113,447,215.15</w:t>
            </w:r>
          </w:p>
        </w:tc>
        <w:tc>
          <w:tcPr>
            <w:tcW w:w="2973" w:type="dxa"/>
            <w:vMerge w:val="restart"/>
            <w:tcBorders>
              <w:top w:val="single" w:sz="4" w:space="0" w:color="000000"/>
              <w:left w:val="single" w:sz="4" w:space="0" w:color="000000"/>
              <w:right w:val="single" w:sz="4" w:space="0" w:color="000000"/>
            </w:tcBorders>
          </w:tcPr>
          <w:p>
            <w:pPr>
              <w:pStyle w:val="TableParagraph"/>
              <w:spacing w:line="240" w:lineRule="auto" w:before="43"/>
              <w:ind w:left="9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2183" w:type="dxa"/>
            <w:vMerge w:val="restart"/>
            <w:tcBorders>
              <w:top w:val="single" w:sz="4" w:space="0" w:color="000000"/>
              <w:left w:val="single" w:sz="4" w:space="0" w:color="000000"/>
              <w:right w:val="single" w:sz="6" w:space="0" w:color="000000"/>
            </w:tcBorders>
          </w:tcPr>
          <w:p>
            <w:pPr>
              <w:pStyle w:val="TableParagraph"/>
              <w:spacing w:line="240" w:lineRule="auto" w:before="43"/>
              <w:ind w:left="1028" w:right="0"/>
              <w:jc w:val="left"/>
              <w:rPr>
                <w:rFonts w:ascii="宋体" w:hAnsi="宋体" w:cs="宋体" w:eastAsia="宋体" w:hint="default"/>
                <w:sz w:val="15"/>
                <w:szCs w:val="15"/>
              </w:rPr>
            </w:pPr>
            <w:r>
              <w:rPr>
                <w:rFonts w:ascii="宋体"/>
                <w:sz w:val="15"/>
              </w:rPr>
              <w:t>123,034,064.51</w:t>
            </w:r>
          </w:p>
        </w:tc>
      </w:tr>
      <w:tr>
        <w:trPr>
          <w:trHeight w:val="342" w:hRule="exact"/>
        </w:trPr>
        <w:tc>
          <w:tcPr>
            <w:tcW w:w="219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宋体" w:hAnsi="宋体" w:cs="宋体" w:eastAsia="宋体" w:hint="default"/>
                <w:sz w:val="15"/>
                <w:szCs w:val="15"/>
              </w:rPr>
            </w:pPr>
            <w:r>
              <w:rPr>
                <w:rFonts w:ascii="宋体"/>
                <w:spacing w:val="-1"/>
                <w:sz w:val="15"/>
              </w:rPr>
              <w:t>9,586,849.36</w:t>
            </w:r>
          </w:p>
        </w:tc>
        <w:tc>
          <w:tcPr>
            <w:tcW w:w="2973" w:type="dxa"/>
            <w:vMerge/>
            <w:tcBorders>
              <w:left w:val="single" w:sz="4" w:space="0" w:color="000000"/>
              <w:bottom w:val="single" w:sz="4" w:space="0" w:color="000000"/>
              <w:right w:val="single" w:sz="4" w:space="0" w:color="000000"/>
            </w:tcBorders>
          </w:tcPr>
          <w:p>
            <w:pPr/>
          </w:p>
        </w:tc>
        <w:tc>
          <w:tcPr>
            <w:tcW w:w="2183" w:type="dxa"/>
            <w:vMerge/>
            <w:tcBorders>
              <w:left w:val="single" w:sz="4" w:space="0" w:color="000000"/>
              <w:bottom w:val="single" w:sz="4" w:space="0" w:color="000000"/>
              <w:right w:val="single" w:sz="6" w:space="0" w:color="000000"/>
            </w:tcBorders>
          </w:tcPr>
          <w:p>
            <w:pPr/>
          </w:p>
        </w:tc>
      </w:tr>
      <w:tr>
        <w:trPr>
          <w:trHeight w:val="342" w:hRule="exact"/>
        </w:trPr>
        <w:tc>
          <w:tcPr>
            <w:tcW w:w="2193" w:type="dxa"/>
            <w:vMerge w:val="restart"/>
            <w:tcBorders>
              <w:top w:val="single" w:sz="4" w:space="0" w:color="000000"/>
              <w:left w:val="single" w:sz="6" w:space="0" w:color="000000"/>
              <w:right w:val="single" w:sz="4" w:space="0" w:color="000000"/>
            </w:tcBorders>
          </w:tcPr>
          <w:p>
            <w:pPr>
              <w:pStyle w:val="TableParagraph"/>
              <w:spacing w:line="240" w:lineRule="auto" w:before="43"/>
              <w:ind w:left="92"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2291" w:type="dxa"/>
            <w:vMerge w:val="restart"/>
            <w:tcBorders>
              <w:top w:val="single" w:sz="4" w:space="0" w:color="000000"/>
              <w:left w:val="single" w:sz="4" w:space="0" w:color="000000"/>
              <w:right w:val="single" w:sz="4" w:space="0" w:color="000000"/>
            </w:tcBorders>
          </w:tcPr>
          <w:p>
            <w:pPr>
              <w:pStyle w:val="TableParagraph"/>
              <w:spacing w:line="240" w:lineRule="auto" w:before="43"/>
              <w:ind w:left="1136" w:right="0"/>
              <w:jc w:val="left"/>
              <w:rPr>
                <w:rFonts w:ascii="宋体" w:hAnsi="宋体" w:cs="宋体" w:eastAsia="宋体" w:hint="default"/>
                <w:sz w:val="15"/>
                <w:szCs w:val="15"/>
              </w:rPr>
            </w:pPr>
            <w:r>
              <w:rPr>
                <w:rFonts w:ascii="宋体"/>
                <w:sz w:val="15"/>
              </w:rPr>
              <w:t>445,020,069.78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3"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21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3"/>
              <w:ind w:right="93"/>
              <w:jc w:val="right"/>
              <w:rPr>
                <w:rFonts w:ascii="宋体" w:hAnsi="宋体" w:cs="宋体" w:eastAsia="宋体" w:hint="default"/>
                <w:sz w:val="15"/>
                <w:szCs w:val="15"/>
              </w:rPr>
            </w:pPr>
            <w:r>
              <w:rPr>
                <w:rFonts w:ascii="宋体"/>
                <w:spacing w:val="-1"/>
                <w:sz w:val="15"/>
              </w:rPr>
              <w:t>175,317,509.94</w:t>
            </w:r>
          </w:p>
        </w:tc>
      </w:tr>
      <w:tr>
        <w:trPr>
          <w:trHeight w:val="342" w:hRule="exact"/>
        </w:trPr>
        <w:tc>
          <w:tcPr>
            <w:tcW w:w="2193" w:type="dxa"/>
            <w:vMerge/>
            <w:tcBorders>
              <w:left w:val="single" w:sz="6" w:space="0" w:color="000000"/>
              <w:bottom w:val="single" w:sz="4" w:space="0" w:color="000000"/>
              <w:right w:val="single" w:sz="4" w:space="0" w:color="000000"/>
            </w:tcBorders>
          </w:tcPr>
          <w:p>
            <w:pPr/>
          </w:p>
        </w:tc>
        <w:tc>
          <w:tcPr>
            <w:tcW w:w="2291" w:type="dxa"/>
            <w:vMerge/>
            <w:tcBorders>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3" w:right="0"/>
              <w:jc w:val="left"/>
              <w:rPr>
                <w:rFonts w:ascii="宋体" w:hAnsi="宋体" w:cs="宋体" w:eastAsia="宋体" w:hint="default"/>
                <w:sz w:val="15"/>
                <w:szCs w:val="15"/>
              </w:rPr>
            </w:pPr>
            <w:r>
              <w:rPr>
                <w:rFonts w:ascii="宋体" w:hAnsi="宋体" w:cs="宋体" w:eastAsia="宋体" w:hint="default"/>
                <w:sz w:val="15"/>
                <w:szCs w:val="15"/>
              </w:rPr>
              <w:t>研发费用</w:t>
            </w:r>
          </w:p>
        </w:tc>
        <w:tc>
          <w:tcPr>
            <w:tcW w:w="21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pacing w:val="-1"/>
                <w:sz w:val="15"/>
              </w:rPr>
              <w:t>269,702,559.84</w:t>
            </w:r>
          </w:p>
        </w:tc>
      </w:tr>
      <w:tr>
        <w:trPr>
          <w:trHeight w:val="342" w:hRule="exact"/>
        </w:trPr>
        <w:tc>
          <w:tcPr>
            <w:tcW w:w="2193" w:type="dxa"/>
            <w:vMerge w:val="restart"/>
            <w:tcBorders>
              <w:top w:val="single" w:sz="4" w:space="0" w:color="000000"/>
              <w:left w:val="single" w:sz="6" w:space="0" w:color="000000"/>
              <w:right w:val="single" w:sz="4" w:space="0" w:color="000000"/>
            </w:tcBorders>
          </w:tcPr>
          <w:p>
            <w:pPr>
              <w:pStyle w:val="TableParagraph"/>
              <w:spacing w:line="240" w:lineRule="auto" w:before="43"/>
              <w:ind w:left="92"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2291" w:type="dxa"/>
            <w:vMerge w:val="restart"/>
            <w:tcBorders>
              <w:top w:val="single" w:sz="4" w:space="0" w:color="000000"/>
              <w:left w:val="single" w:sz="4" w:space="0" w:color="000000"/>
              <w:right w:val="single" w:sz="4" w:space="0" w:color="000000"/>
            </w:tcBorders>
          </w:tcPr>
          <w:p>
            <w:pPr>
              <w:pStyle w:val="TableParagraph"/>
              <w:spacing w:line="240" w:lineRule="auto" w:before="43"/>
              <w:ind w:right="93"/>
              <w:jc w:val="righ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3" w:right="0"/>
              <w:jc w:val="left"/>
              <w:rPr>
                <w:rFonts w:ascii="宋体" w:hAnsi="宋体" w:cs="宋体" w:eastAsia="宋体" w:hint="default"/>
                <w:sz w:val="15"/>
                <w:szCs w:val="15"/>
              </w:rPr>
            </w:pPr>
            <w:r>
              <w:rPr>
                <w:rFonts w:ascii="宋体" w:hAnsi="宋体" w:cs="宋体" w:eastAsia="宋体" w:hint="default"/>
                <w:sz w:val="15"/>
                <w:szCs w:val="15"/>
              </w:rPr>
              <w:t>财务费用行项目下增加：</w:t>
            </w:r>
          </w:p>
        </w:tc>
        <w:tc>
          <w:tcPr>
            <w:tcW w:w="2183" w:type="dxa"/>
            <w:tcBorders>
              <w:top w:val="single" w:sz="4" w:space="0" w:color="000000"/>
              <w:left w:val="single" w:sz="4" w:space="0" w:color="000000"/>
              <w:bottom w:val="single" w:sz="4" w:space="0" w:color="000000"/>
              <w:right w:val="single" w:sz="6" w:space="0" w:color="000000"/>
            </w:tcBorders>
          </w:tcPr>
          <w:p>
            <w:pPr/>
          </w:p>
        </w:tc>
      </w:tr>
      <w:tr>
        <w:trPr>
          <w:trHeight w:val="342" w:hRule="exact"/>
        </w:trPr>
        <w:tc>
          <w:tcPr>
            <w:tcW w:w="2193" w:type="dxa"/>
            <w:vMerge/>
            <w:tcBorders>
              <w:left w:val="single" w:sz="6" w:space="0" w:color="000000"/>
              <w:right w:val="single" w:sz="4" w:space="0" w:color="000000"/>
            </w:tcBorders>
          </w:tcPr>
          <w:p>
            <w:pPr/>
          </w:p>
        </w:tc>
        <w:tc>
          <w:tcPr>
            <w:tcW w:w="2291" w:type="dxa"/>
            <w:vMerge/>
            <w:tcBorders>
              <w:left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3" w:right="0"/>
              <w:jc w:val="left"/>
              <w:rPr>
                <w:rFonts w:ascii="宋体" w:hAnsi="宋体" w:cs="宋体" w:eastAsia="宋体" w:hint="default"/>
                <w:sz w:val="15"/>
                <w:szCs w:val="15"/>
              </w:rPr>
            </w:pPr>
            <w:r>
              <w:rPr>
                <w:rFonts w:ascii="宋体" w:hAnsi="宋体" w:cs="宋体" w:eastAsia="宋体" w:hint="default"/>
                <w:sz w:val="15"/>
                <w:szCs w:val="15"/>
              </w:rPr>
              <w:t>其中：利息费用</w:t>
            </w:r>
          </w:p>
        </w:tc>
        <w:tc>
          <w:tcPr>
            <w:tcW w:w="21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4"/>
              <w:ind w:right="91"/>
              <w:jc w:val="right"/>
              <w:rPr>
                <w:rFonts w:ascii="宋体" w:hAnsi="宋体" w:cs="宋体" w:eastAsia="宋体" w:hint="default"/>
                <w:sz w:val="15"/>
                <w:szCs w:val="15"/>
              </w:rPr>
            </w:pPr>
            <w:r>
              <w:rPr>
                <w:rFonts w:ascii="宋体"/>
                <w:spacing w:val="-1"/>
                <w:sz w:val="15"/>
              </w:rPr>
              <w:t>57,220,675.62</w:t>
            </w:r>
          </w:p>
        </w:tc>
      </w:tr>
      <w:tr>
        <w:trPr>
          <w:trHeight w:val="342" w:hRule="exact"/>
        </w:trPr>
        <w:tc>
          <w:tcPr>
            <w:tcW w:w="2193" w:type="dxa"/>
            <w:vMerge/>
            <w:tcBorders>
              <w:left w:val="single" w:sz="6" w:space="0" w:color="000000"/>
              <w:bottom w:val="single" w:sz="4" w:space="0" w:color="000000"/>
              <w:right w:val="single" w:sz="4" w:space="0" w:color="000000"/>
            </w:tcBorders>
          </w:tcPr>
          <w:p>
            <w:pPr/>
          </w:p>
        </w:tc>
        <w:tc>
          <w:tcPr>
            <w:tcW w:w="2291" w:type="dxa"/>
            <w:vMerge/>
            <w:tcBorders>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45"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21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3"/>
              <w:ind w:right="91"/>
              <w:jc w:val="right"/>
              <w:rPr>
                <w:rFonts w:ascii="宋体" w:hAnsi="宋体" w:cs="宋体" w:eastAsia="宋体" w:hint="default"/>
                <w:sz w:val="15"/>
                <w:szCs w:val="15"/>
              </w:rPr>
            </w:pPr>
            <w:r>
              <w:rPr>
                <w:rFonts w:ascii="宋体"/>
                <w:spacing w:val="-1"/>
                <w:sz w:val="15"/>
              </w:rPr>
              <w:t>3,082,305.26</w:t>
            </w:r>
          </w:p>
        </w:tc>
      </w:tr>
      <w:tr>
        <w:trPr>
          <w:trHeight w:val="379" w:hRule="exact"/>
        </w:trPr>
        <w:tc>
          <w:tcPr>
            <w:tcW w:w="219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4"/>
              <w:ind w:left="92"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229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w w:val="95"/>
                <w:sz w:val="15"/>
              </w:rPr>
              <w:t>108,962.67</w:t>
            </w:r>
            <w:r>
              <w:rPr>
                <w:rFonts w:ascii="宋体"/>
                <w:spacing w:val="-1"/>
                <w:sz w:val="15"/>
              </w:rPr>
            </w:r>
          </w:p>
        </w:tc>
        <w:tc>
          <w:tcPr>
            <w:tcW w:w="297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left="93" w:right="0"/>
              <w:jc w:val="left"/>
              <w:rPr>
                <w:rFonts w:ascii="宋体" w:hAnsi="宋体" w:cs="宋体" w:eastAsia="宋体" w:hint="default"/>
                <w:sz w:val="15"/>
                <w:szCs w:val="15"/>
              </w:rPr>
            </w:pPr>
            <w:r>
              <w:rPr>
                <w:rFonts w:ascii="宋体" w:hAnsi="宋体" w:cs="宋体" w:eastAsia="宋体" w:hint="default"/>
                <w:sz w:val="15"/>
                <w:szCs w:val="15"/>
              </w:rPr>
              <w:t>其他收益</w:t>
            </w:r>
          </w:p>
        </w:tc>
        <w:tc>
          <w:tcPr>
            <w:tcW w:w="218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4"/>
              <w:ind w:right="91"/>
              <w:jc w:val="right"/>
              <w:rPr>
                <w:rFonts w:ascii="宋体" w:hAnsi="宋体" w:cs="宋体" w:eastAsia="宋体" w:hint="default"/>
                <w:sz w:val="15"/>
                <w:szCs w:val="15"/>
              </w:rPr>
            </w:pPr>
            <w:r>
              <w:rPr>
                <w:rFonts w:ascii="宋体"/>
                <w:spacing w:val="-1"/>
                <w:sz w:val="15"/>
              </w:rPr>
              <w:t>108,962.67</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重要会计估计变更" w:id="232"/>
      <w:bookmarkEnd w:id="23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4、其他" w:id="233"/>
      <w:bookmarkEnd w:id="233"/>
      <w:r>
        <w:rPr>
          <w:b w:val="0"/>
          <w:bCs w:val="0"/>
        </w:rPr>
      </w:r>
      <w:r>
        <w:rPr>
          <w:rFonts w:ascii="Times New Roman" w:hAnsi="Times New Roman" w:cs="Times New Roman" w:eastAsia="Times New Roman" w:hint="default"/>
        </w:rPr>
        <w:t>34</w:t>
      </w:r>
      <w:r>
        <w:rPr/>
        <w:t>、其他</w:t>
      </w:r>
      <w:r>
        <w:rPr>
          <w:b w:val="0"/>
          <w:bCs w:val="0"/>
        </w:rPr>
      </w:r>
    </w:p>
    <w:p>
      <w:pPr>
        <w:pStyle w:val="BodyText"/>
        <w:spacing w:line="430" w:lineRule="atLeast" w:before="152"/>
        <w:ind w:left="554" w:right="1132"/>
        <w:jc w:val="left"/>
      </w:pPr>
      <w:r>
        <w:rPr/>
        <w:t>商誉 商誉为股权投资成本或非同一控制下企业合并成本超过应享有的或企业合并中取得的被投资单位或被购买方可辨认净</w:t>
      </w:r>
    </w:p>
    <w:p>
      <w:pPr>
        <w:pStyle w:val="BodyText"/>
        <w:spacing w:line="240" w:lineRule="auto" w:before="76"/>
        <w:ind w:right="0"/>
        <w:jc w:val="left"/>
      </w:pPr>
      <w:r>
        <w:rPr/>
        <w:t>资产于取得日或购买日的公允价值份额的差额。</w:t>
      </w:r>
    </w:p>
    <w:p>
      <w:pPr>
        <w:spacing w:line="240" w:lineRule="auto" w:before="0"/>
        <w:rPr>
          <w:rFonts w:ascii="宋体" w:hAnsi="宋体" w:cs="宋体" w:eastAsia="宋体" w:hint="default"/>
          <w:sz w:val="15"/>
          <w:szCs w:val="15"/>
        </w:rPr>
      </w:pPr>
    </w:p>
    <w:p>
      <w:pPr>
        <w:pStyle w:val="BodyText"/>
        <w:spacing w:line="316" w:lineRule="auto"/>
        <w:ind w:right="1120" w:firstLine="441"/>
        <w:jc w:val="left"/>
      </w:pPr>
      <w:r>
        <w:rPr/>
        <w:t>与子公司有关的商誉在合并财务报表上单独列示，与联营企业和合营企业有关的商誉，包含在长期股权投资的账面价 值中。</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5"/>
        <w:spacing w:line="240" w:lineRule="auto"/>
        <w:ind w:left="554" w:right="0" w:firstLine="0"/>
        <w:jc w:val="left"/>
      </w:pPr>
      <w:r>
        <w:rPr/>
        <w:t>2.终止经营</w:t>
      </w:r>
    </w:p>
    <w:p>
      <w:pPr>
        <w:pStyle w:val="BodyText"/>
        <w:spacing w:line="240" w:lineRule="auto" w:before="176"/>
        <w:ind w:left="532" w:right="0"/>
        <w:jc w:val="left"/>
      </w:pPr>
      <w:r>
        <w:rPr/>
        <w:t>终止经营，是指本集团满足下列条件之一的、能够单独区分的组成部分，且该组成部分已经处置或划分为持有待售类</w:t>
      </w:r>
    </w:p>
    <w:p>
      <w:pPr>
        <w:spacing w:after="0" w:line="240" w:lineRule="auto"/>
        <w:jc w:val="left"/>
        <w:sectPr>
          <w:headerReference w:type="default" r:id="rId50"/>
          <w:pgSz w:w="11910" w:h="16840"/>
          <w:pgMar w:header="890" w:footer="1012" w:top="1420" w:bottom="1200" w:left="1020" w:right="0"/>
        </w:sectPr>
      </w:pPr>
    </w:p>
    <w:p>
      <w:pPr>
        <w:pStyle w:val="BodyText"/>
        <w:spacing w:line="316" w:lineRule="auto" w:before="66"/>
        <w:ind w:right="1117"/>
        <w:jc w:val="left"/>
      </w:pPr>
      <w:r>
        <w:rPr/>
        <w:t>别</w:t>
      </w:r>
      <w:r>
        <w:rPr>
          <w:spacing w:val="-108"/>
        </w:rPr>
        <w:t>：</w:t>
      </w:r>
      <w:r>
        <w:rPr>
          <w:spacing w:val="-3"/>
        </w:rPr>
        <w:t>（</w:t>
      </w:r>
      <w:r>
        <w:rPr>
          <w:spacing w:val="1"/>
        </w:rPr>
        <w:t>1</w:t>
      </w:r>
      <w:r>
        <w:rPr>
          <w:spacing w:val="-22"/>
        </w:rPr>
        <w:t>）</w:t>
      </w:r>
      <w:r>
        <w:rPr/>
        <w:t>该组成部分代表一项独立的主要业务或一个单独的主要经营地</w:t>
      </w:r>
      <w:r>
        <w:rPr>
          <w:spacing w:val="2"/>
        </w:rPr>
        <w:t>区</w:t>
      </w:r>
      <w:r>
        <w:rPr>
          <w:spacing w:val="-111"/>
        </w:rPr>
        <w:t>；</w:t>
      </w:r>
      <w:r>
        <w:rPr/>
        <w:t>（</w:t>
      </w:r>
      <w:r>
        <w:rPr>
          <w:spacing w:val="-2"/>
        </w:rPr>
        <w:t>2</w:t>
      </w:r>
      <w:r>
        <w:rPr>
          <w:spacing w:val="-20"/>
        </w:rPr>
        <w:t>）</w:t>
      </w:r>
      <w:r>
        <w:rPr/>
        <w:t>该组成部分是拟对一项独立的主要业务或一</w:t>
      </w:r>
      <w:r>
        <w:rPr/>
        <w:t> 个单独的主要经营地区进行处置的一项相关联计划的一部分</w:t>
      </w:r>
      <w:r>
        <w:rPr>
          <w:spacing w:val="-89"/>
        </w:rPr>
        <w:t>；</w:t>
      </w:r>
      <w:r>
        <w:rPr/>
        <w:t>（</w:t>
      </w:r>
      <w:r>
        <w:rPr>
          <w:spacing w:val="-2"/>
        </w:rPr>
        <w:t>3</w:t>
      </w:r>
      <w:r>
        <w:rPr/>
        <w:t>）该组成部分是专为转售而取得的子公司。</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六、税项" w:id="234"/>
      <w:bookmarkEnd w:id="234"/>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主要税种及税率" w:id="235"/>
      <w:bookmarkEnd w:id="23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bookmarkStart w:name="2、税收优惠" w:id="236"/>
      <w:bookmarkEnd w:id="23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4"/>
          <w:szCs w:val="24"/>
        </w:rPr>
      </w:pPr>
    </w:p>
    <w:p>
      <w:pPr>
        <w:pStyle w:val="Heading5"/>
        <w:spacing w:line="360" w:lineRule="auto"/>
        <w:ind w:left="554" w:right="7694" w:firstLine="0"/>
        <w:jc w:val="left"/>
      </w:pPr>
      <w:r>
        <w:rPr/>
        <w:t>（1）企业所得税</w:t>
      </w:r>
      <w:r>
        <w:rPr>
          <w:w w:val="100"/>
        </w:rPr>
        <w:t> </w:t>
      </w:r>
      <w:r>
        <w:rPr>
          <w:spacing w:val="-2"/>
        </w:rPr>
        <w:t>1）高新技术企业税收优惠</w:t>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135"/>
        <w:gridCol w:w="1109"/>
        <w:gridCol w:w="5196"/>
      </w:tblGrid>
      <w:tr>
        <w:trPr>
          <w:trHeight w:val="508" w:hRule="exact"/>
        </w:trPr>
        <w:tc>
          <w:tcPr>
            <w:tcW w:w="313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1"/>
              <w:ind w:left="1018" w:right="0"/>
              <w:jc w:val="left"/>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11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c>
          <w:tcPr>
            <w:tcW w:w="519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hAnsi="宋体" w:cs="宋体" w:eastAsia="宋体" w:hint="default"/>
                <w:b/>
                <w:bCs/>
                <w:sz w:val="18"/>
                <w:szCs w:val="18"/>
              </w:rPr>
              <w:t>税收优惠情况</w:t>
            </w:r>
            <w:r>
              <w:rPr>
                <w:rFonts w:ascii="宋体" w:hAnsi="宋体" w:cs="宋体" w:eastAsia="宋体" w:hint="default"/>
                <w:sz w:val="18"/>
                <w:szCs w:val="18"/>
              </w:rPr>
            </w:r>
          </w:p>
        </w:tc>
      </w:tr>
      <w:tr>
        <w:trPr>
          <w:trHeight w:val="663" w:hRule="exact"/>
        </w:trPr>
        <w:tc>
          <w:tcPr>
            <w:tcW w:w="313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51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2018年11月30日重新认定再次取得高新技术企业证书，2017年、</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2018年适用15%的企业所得税税率。</w:t>
            </w:r>
          </w:p>
        </w:tc>
      </w:tr>
      <w:tr>
        <w:trPr>
          <w:trHeight w:val="663" w:hRule="exact"/>
        </w:trPr>
        <w:tc>
          <w:tcPr>
            <w:tcW w:w="313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51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2017年11月13日重新认定再次取得高新技术企业证书，2017年、</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2018年适用15%的企业所得税税率。</w:t>
            </w:r>
          </w:p>
        </w:tc>
      </w:tr>
      <w:tr>
        <w:trPr>
          <w:trHeight w:val="663" w:hRule="exact"/>
        </w:trPr>
        <w:tc>
          <w:tcPr>
            <w:tcW w:w="313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51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4"/>
              <w:ind w:left="93" w:right="0"/>
              <w:jc w:val="left"/>
              <w:rPr>
                <w:rFonts w:ascii="宋体" w:hAnsi="宋体" w:cs="宋体" w:eastAsia="宋体" w:hint="default"/>
                <w:sz w:val="18"/>
                <w:szCs w:val="18"/>
              </w:rPr>
            </w:pPr>
            <w:r>
              <w:rPr>
                <w:rFonts w:ascii="宋体" w:hAnsi="宋体" w:cs="宋体" w:eastAsia="宋体" w:hint="default"/>
                <w:sz w:val="18"/>
                <w:szCs w:val="18"/>
              </w:rPr>
              <w:t>2018年11月30日重新认定再次取得高新技术企业证书，2017年、</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2018年适用15%的企业所得税税率。</w:t>
            </w:r>
          </w:p>
        </w:tc>
      </w:tr>
      <w:tr>
        <w:trPr>
          <w:trHeight w:val="663" w:hRule="exact"/>
        </w:trPr>
        <w:tc>
          <w:tcPr>
            <w:tcW w:w="313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51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4"/>
              <w:ind w:left="93" w:right="0"/>
              <w:jc w:val="left"/>
              <w:rPr>
                <w:rFonts w:ascii="宋体" w:hAnsi="宋体" w:cs="宋体" w:eastAsia="宋体" w:hint="default"/>
                <w:sz w:val="18"/>
                <w:szCs w:val="18"/>
              </w:rPr>
            </w:pPr>
            <w:r>
              <w:rPr>
                <w:rFonts w:ascii="宋体" w:hAnsi="宋体" w:cs="宋体" w:eastAsia="宋体" w:hint="default"/>
                <w:sz w:val="18"/>
                <w:szCs w:val="18"/>
              </w:rPr>
              <w:t>2017年11月13日重新认定再次取得高新技术企业证书，2017年、</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2018年适用15%的企业所得税税率。</w:t>
            </w:r>
          </w:p>
        </w:tc>
      </w:tr>
      <w:tr>
        <w:trPr>
          <w:trHeight w:val="680" w:hRule="exact"/>
        </w:trPr>
        <w:tc>
          <w:tcPr>
            <w:tcW w:w="3135"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1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519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3"/>
              <w:ind w:left="93" w:right="0"/>
              <w:jc w:val="left"/>
              <w:rPr>
                <w:rFonts w:ascii="宋体" w:hAnsi="宋体" w:cs="宋体" w:eastAsia="宋体" w:hint="default"/>
                <w:sz w:val="18"/>
                <w:szCs w:val="18"/>
              </w:rPr>
            </w:pPr>
            <w:r>
              <w:rPr>
                <w:rFonts w:ascii="宋体" w:hAnsi="宋体" w:cs="宋体" w:eastAsia="宋体" w:hint="default"/>
                <w:sz w:val="18"/>
                <w:szCs w:val="18"/>
              </w:rPr>
              <w:t>2016年11月21日取得高新技术企业证书，</w:t>
            </w:r>
            <w:r>
              <w:rPr>
                <w:rFonts w:ascii="宋体" w:hAnsi="宋体" w:cs="宋体" w:eastAsia="宋体" w:hint="default"/>
                <w:spacing w:val="34"/>
                <w:sz w:val="18"/>
                <w:szCs w:val="18"/>
              </w:rPr>
              <w:t> </w:t>
            </w:r>
            <w:r>
              <w:rPr>
                <w:rFonts w:ascii="宋体" w:hAnsi="宋体" w:cs="宋体" w:eastAsia="宋体" w:hint="default"/>
                <w:sz w:val="18"/>
                <w:szCs w:val="18"/>
              </w:rPr>
              <w:t>2017年、2018年适用</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15%的企业所得税税率。</w:t>
            </w:r>
          </w:p>
        </w:tc>
      </w:tr>
    </w:tbl>
    <w:p>
      <w:pPr>
        <w:spacing w:line="240" w:lineRule="auto" w:before="7"/>
        <w:rPr>
          <w:rFonts w:ascii="宋体" w:hAnsi="宋体" w:cs="宋体" w:eastAsia="宋体" w:hint="default"/>
          <w:sz w:val="6"/>
          <w:szCs w:val="6"/>
        </w:rPr>
      </w:pPr>
    </w:p>
    <w:p>
      <w:pPr>
        <w:pStyle w:val="BodyText"/>
        <w:spacing w:line="316" w:lineRule="auto" w:before="44"/>
        <w:ind w:right="1130" w:firstLine="441"/>
        <w:jc w:val="both"/>
      </w:pPr>
      <w:r>
        <w:rPr>
          <w:spacing w:val="-2"/>
        </w:rPr>
        <w:t>2）本公司、本公司之子公司浙江万马高分子材料有限公司、本公司之子公司浙江万马天屹通信线缆有限公司为社会福</w:t>
      </w:r>
      <w:r>
        <w:rPr/>
        <w:t> </w:t>
      </w:r>
      <w:r>
        <w:rPr>
          <w:spacing w:val="-6"/>
        </w:rPr>
        <w:t>利企业，参照财政部、国家税务总局《关于调整完善现行福利企业税收优惠政策试点工作的通知》（财税[2006]111号）、《关</w:t>
      </w:r>
      <w:r>
        <w:rPr/>
        <w:t> </w:t>
      </w:r>
      <w:r>
        <w:rPr>
          <w:spacing w:val="-3"/>
        </w:rPr>
        <w:t>于进一步做好调整现行福利企业税收优惠政策试点工作的通知》（财税[2006]135号）的规定，企业所得税实施成本加成加计</w:t>
      </w:r>
      <w:r>
        <w:rPr/>
        <w:t> 扣除办法，即可以按照企业支付给残疾职工实际工资的2倍在税前扣除。</w:t>
      </w:r>
    </w:p>
    <w:p>
      <w:pPr>
        <w:pStyle w:val="BodyText"/>
        <w:spacing w:line="316" w:lineRule="auto" w:before="139"/>
        <w:ind w:right="1130" w:firstLine="441"/>
        <w:jc w:val="both"/>
      </w:pPr>
      <w:r>
        <w:rPr>
          <w:spacing w:val="-2"/>
        </w:rPr>
        <w:t>3）参照财政部、国家税务总局《关于促进残疾人就业税收优惠政策的通知》（财税[2007]92号）的规定，符合规定的</w:t>
      </w:r>
      <w:r>
        <w:rPr/>
        <w:t> 社会福利企业取得的增值税退税免征企业所得税。</w:t>
      </w:r>
    </w:p>
    <w:p>
      <w:pPr>
        <w:pStyle w:val="BodyText"/>
        <w:spacing w:line="432" w:lineRule="exact" w:before="3"/>
        <w:ind w:left="554" w:right="1132"/>
        <w:jc w:val="left"/>
      </w:pPr>
      <w:r>
        <w:rPr/>
        <w:t>（2）增值税 本公司、本公司之子公司浙江万马高分子材料有限公司、本公司之子公司浙江万马天屹通信线缆有限公司为社会福利</w:t>
      </w:r>
    </w:p>
    <w:p>
      <w:pPr>
        <w:pStyle w:val="BodyText"/>
        <w:spacing w:line="316" w:lineRule="auto" w:before="15"/>
        <w:ind w:right="1130"/>
        <w:jc w:val="both"/>
      </w:pPr>
      <w:r>
        <w:rPr>
          <w:spacing w:val="-2"/>
        </w:rPr>
        <w:t>企业，根据财政部、国家税务总局《关于促进残疾人就业增值税优惠政策的通知》（财税[2016]52号）的规定，对安置残疾</w:t>
      </w:r>
      <w:r>
        <w:rPr>
          <w:spacing w:val="-62"/>
        </w:rPr>
        <w:t> </w:t>
      </w:r>
      <w:r>
        <w:rPr>
          <w:spacing w:val="-62"/>
        </w:rPr>
      </w:r>
      <w:r>
        <w:rPr>
          <w:spacing w:val="-2"/>
        </w:rPr>
        <w:t>人的单位和个体工商户，实行由税务机关按纳税人安置残疾人的人数，限额即征即退增值税的办法。安置的每位残疾人每月</w:t>
      </w:r>
      <w:r>
        <w:rPr>
          <w:spacing w:val="-63"/>
        </w:rPr>
        <w:t> </w:t>
      </w:r>
      <w:r>
        <w:rPr>
          <w:spacing w:val="-63"/>
        </w:rPr>
      </w:r>
      <w:r>
        <w:rPr>
          <w:spacing w:val="-2"/>
        </w:rPr>
        <w:t>可退还的增值税具体限额，由县级以上税务机关根据纳税人所在区县（含县级市、旗，下同）适用的经省（含自治区、直辖</w:t>
      </w:r>
      <w:r>
        <w:rPr>
          <w:spacing w:val="-62"/>
        </w:rPr>
        <w:t> </w:t>
      </w:r>
      <w:r>
        <w:rPr>
          <w:spacing w:val="-62"/>
        </w:rPr>
      </w:r>
      <w:r>
        <w:rPr/>
        <w:t>市、计划单列市，下同）人民政府批准的月最低工资标准的4倍确定。</w:t>
      </w:r>
    </w:p>
    <w:p>
      <w:pPr>
        <w:spacing w:after="0" w:line="316" w:lineRule="auto"/>
        <w:jc w:val="both"/>
        <w:sectPr>
          <w:headerReference w:type="default" r:id="rId51"/>
          <w:pgSz w:w="11910" w:h="16840"/>
          <w:pgMar w:header="890" w:footer="1012" w:top="1420" w:bottom="1200" w:left="1020" w:right="0"/>
        </w:sectPr>
      </w:pPr>
    </w:p>
    <w:p>
      <w:pPr>
        <w:spacing w:line="240" w:lineRule="auto" w:before="6"/>
        <w:rPr>
          <w:rFonts w:ascii="宋体" w:hAnsi="宋体" w:cs="宋体" w:eastAsia="宋体" w:hint="default"/>
          <w:sz w:val="23"/>
          <w:szCs w:val="23"/>
        </w:rPr>
      </w:pPr>
    </w:p>
    <w:p>
      <w:pPr>
        <w:pStyle w:val="BodyText"/>
        <w:spacing w:line="439" w:lineRule="auto" w:before="44"/>
        <w:ind w:left="554" w:right="1952"/>
        <w:jc w:val="left"/>
      </w:pPr>
      <w:bookmarkStart w:name="3、其他" w:id="237"/>
      <w:bookmarkEnd w:id="237"/>
      <w:r>
        <w:rPr/>
      </w:r>
      <w:r>
        <w:rPr/>
        <w:t>本公司之子公司香港骐骥国际发展有限公司注册地在香港，其纳税事宜遵循香港当地法律； 本公司之子公司Optrum Technology</w:t>
      </w:r>
      <w:r>
        <w:rPr>
          <w:spacing w:val="-10"/>
        </w:rPr>
        <w:t> </w:t>
      </w:r>
      <w:r>
        <w:rPr/>
        <w:t>LLC注册地在美国德克萨斯州，其纳税事宜遵循德克萨斯州当地法律。</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bookmarkStart w:name="七、合并财务报表项目注释" w:id="238"/>
      <w:bookmarkEnd w:id="238"/>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货币资金" w:id="239"/>
      <w:bookmarkEnd w:id="23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57,351.42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157,599.83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657,758,395.46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842,503,219.65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254,012,271.81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118,888,656.97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911,828,018.69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961,549,476.45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41,287,144.37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40,765,339.97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30" w:firstLine="441"/>
        <w:jc w:val="both"/>
      </w:pPr>
      <w:r>
        <w:rPr/>
        <w:t>注：其他货币资金主要系存入银行的银行承兑汇票保证金、保函保证金以及信用证保证金等；截止2018年12月31日， </w:t>
      </w:r>
      <w:r>
        <w:rPr>
          <w:spacing w:val="-2"/>
        </w:rPr>
        <w:t>本集团使用受限资金共计241,030,165.10元，包括保函保证金、信用证保证金、银行承兑汇票保证金及期货保证金，该等使</w:t>
      </w:r>
      <w:r>
        <w:rPr>
          <w:spacing w:val="-57"/>
        </w:rPr>
        <w:t> </w:t>
      </w:r>
      <w:r>
        <w:rPr>
          <w:spacing w:val="-57"/>
        </w:rPr>
      </w:r>
      <w:r>
        <w:rPr/>
        <w:t>用受限资金在现金流量表中不作为“现金及现金等价物”列示。</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2、以公允价值计量且其变动计入当期损益的金融资产" w:id="240"/>
      <w:bookmarkEnd w:id="24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衍生金融资产" w:id="241"/>
      <w:bookmarkEnd w:id="24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套期工具持仓保证金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115,422,151.00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41,352,004.50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套期工具公允价值变动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-30,660,000.00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27,924,450.00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远期结购汇浮盈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31,660.08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84,793,811.08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69,276,454.50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0" w:firstLine="441"/>
        <w:jc w:val="left"/>
      </w:pPr>
      <w:r>
        <w:rPr/>
        <w:t>注：本公司对预期铜采购交易进行套期保值，按照《商品期货套期业务会计处理暂行规定》之规定，将套期工具在本 报表项目列示。</w:t>
      </w:r>
    </w:p>
    <w:p>
      <w:pPr>
        <w:spacing w:after="0" w:line="316" w:lineRule="auto"/>
        <w:jc w:val="left"/>
        <w:sectPr>
          <w:headerReference w:type="default" r:id="rId52"/>
          <w:pgSz w:w="11910" w:h="16840"/>
          <w:pgMar w:header="890" w:footer="1012" w:top="1760" w:bottom="1200" w:left="1020" w:right="0"/>
        </w:sectPr>
      </w:pPr>
    </w:p>
    <w:p>
      <w:pPr>
        <w:pStyle w:val="Heading6"/>
        <w:spacing w:line="240" w:lineRule="auto" w:before="43"/>
        <w:ind w:right="0"/>
        <w:jc w:val="left"/>
        <w:rPr>
          <w:b w:val="0"/>
          <w:bCs w:val="0"/>
        </w:rPr>
      </w:pPr>
      <w:bookmarkStart w:name="4、应收票据及应收账款" w:id="242"/>
      <w:bookmarkEnd w:id="242"/>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500,952,928.45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626,149,328.98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2,811,636,013.83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2,575,781,828.30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3,312,588,942.28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3,201,931,157.28</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1）应收票据" w:id="243"/>
      <w:bookmarkEnd w:id="24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464,974,465.87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620,497,183.81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35,978,462.58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5,652,145.17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500,952,928.45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626,149,328.98</w:t>
            </w: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174,210,341.15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174,210,341.15</w:t>
            </w:r>
          </w:p>
        </w:tc>
      </w:tr>
    </w:tbl>
    <w:p>
      <w:pPr>
        <w:pStyle w:val="BodyText"/>
        <w:spacing w:line="240" w:lineRule="auto" w:before="50"/>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1,418,589,423.39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1,418,589,423.39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应收账款" w:id="244"/>
      <w:bookmarkEnd w:id="24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98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0"/>
              <w:jc w:val="left"/>
              <w:rPr>
                <w:rFonts w:ascii="宋体" w:hAnsi="宋体" w:cs="宋体" w:eastAsia="宋体" w:hint="default"/>
                <w:sz w:val="18"/>
                <w:szCs w:val="18"/>
              </w:rPr>
            </w:pPr>
            <w:r>
              <w:rPr>
                <w:rFonts w:ascii="宋体" w:hAnsi="宋体" w:cs="宋体" w:eastAsia="宋体" w:hint="default"/>
                <w:sz w:val="18"/>
                <w:szCs w:val="18"/>
              </w:rPr>
              <w:t>按信用风险特征 组合计提坏账准</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2,958,8</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81,824.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99.95</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147,24</w:t>
            </w:r>
          </w:p>
          <w:p>
            <w:pPr>
              <w:pStyle w:val="TableParagraph"/>
              <w:spacing w:line="240" w:lineRule="auto" w:before="105"/>
              <w:ind w:left="108" w:right="0"/>
              <w:jc w:val="left"/>
              <w:rPr>
                <w:rFonts w:ascii="Times New Roman" w:hAnsi="Times New Roman" w:cs="Times New Roman" w:eastAsia="Times New Roman" w:hint="default"/>
                <w:sz w:val="18"/>
                <w:szCs w:val="18"/>
              </w:rPr>
            </w:pPr>
            <w:r>
              <w:rPr>
                <w:rFonts w:ascii="Times New Roman"/>
                <w:sz w:val="18"/>
              </w:rPr>
              <w:t>5,810.8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86" w:right="0"/>
              <w:jc w:val="left"/>
              <w:rPr>
                <w:rFonts w:ascii="Times New Roman" w:hAnsi="Times New Roman" w:cs="Times New Roman" w:eastAsia="Times New Roman" w:hint="default"/>
                <w:sz w:val="18"/>
                <w:szCs w:val="18"/>
              </w:rPr>
            </w:pPr>
            <w:r>
              <w:rPr>
                <w:rFonts w:ascii="Times New Roman"/>
                <w:sz w:val="18"/>
              </w:rPr>
              <w:t>4.98%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2,811,6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36,013.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718.1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101,698</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,889.81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55" w:right="0"/>
              <w:jc w:val="left"/>
              <w:rPr>
                <w:rFonts w:ascii="Times New Roman" w:hAnsi="Times New Roman" w:cs="Times New Roman" w:eastAsia="Times New Roman" w:hint="default"/>
                <w:sz w:val="18"/>
                <w:szCs w:val="18"/>
              </w:rPr>
            </w:pPr>
            <w:r>
              <w:rPr>
                <w:rFonts w:ascii="Times New Roman"/>
                <w:sz w:val="18"/>
              </w:rPr>
              <w:t>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1,828.30</w:t>
            </w:r>
          </w:p>
        </w:tc>
      </w:tr>
    </w:tbl>
    <w:p>
      <w:pPr>
        <w:spacing w:after="0" w:line="240" w:lineRule="auto"/>
        <w:jc w:val="left"/>
        <w:rPr>
          <w:rFonts w:ascii="Times New Roman" w:hAnsi="Times New Roman" w:cs="Times New Roman" w:eastAsia="Times New Roman" w:hint="default"/>
          <w:sz w:val="18"/>
          <w:szCs w:val="18"/>
        </w:rPr>
        <w:sectPr>
          <w:headerReference w:type="default" r:id="rId53"/>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9"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6" w:right="0"/>
              <w:jc w:val="left"/>
              <w:rPr>
                <w:rFonts w:ascii="Times New Roman" w:hAnsi="Times New Roman" w:cs="Times New Roman" w:eastAsia="Times New Roman" w:hint="default"/>
                <w:sz w:val="18"/>
                <w:szCs w:val="18"/>
              </w:rPr>
            </w:pPr>
            <w:r>
              <w:rPr>
                <w:rFonts w:ascii="Times New Roman"/>
                <w:sz w:val="18"/>
              </w:rPr>
              <w:t>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1,350,2</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93.03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1,350,2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93.03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2,960,2</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32,117.</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6,103.9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5.02%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2,811,6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36,013.</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718.1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101,698</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,889.81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1,828.30</w:t>
            </w:r>
          </w:p>
        </w:tc>
      </w:tr>
    </w:tbl>
    <w:p>
      <w:pPr>
        <w:spacing w:after="0" w:line="240" w:lineRule="auto"/>
        <w:jc w:val="left"/>
        <w:rPr>
          <w:rFonts w:ascii="Times New Roman" w:hAnsi="Times New Roman" w:cs="Times New Roman" w:eastAsia="Times New Roman" w:hint="default"/>
          <w:sz w:val="18"/>
          <w:szCs w:val="18"/>
        </w:rPr>
        <w:sectPr>
          <w:footerReference w:type="default" r:id="rId54"/>
          <w:pgSz w:w="11910" w:h="16840"/>
          <w:pgMar w:footer="1012" w:header="890" w:top="1420" w:bottom="1200" w:left="1020" w:right="0"/>
          <w:pgNumType w:start="110"/>
        </w:sectPr>
      </w:pPr>
    </w:p>
    <w:p>
      <w:pPr>
        <w:pStyle w:val="BodyText"/>
        <w:spacing w:line="240" w:lineRule="auto" w:before="50"/>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2,494,144,752.14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24,941,447.53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314,636,972.90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31,463,697.29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84,656,333.73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25,396,900.12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65,443,765.93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65,443,765.93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2,958,881,824.70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147,245,810.87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660" w:bottom="700" w:left="1020" w:right="0"/>
        </w:sectPr>
      </w:pPr>
    </w:p>
    <w:p>
      <w:pPr>
        <w:pStyle w:val="BodyText"/>
        <w:spacing w:line="360" w:lineRule="auto" w:before="50"/>
        <w:ind w:right="2097"/>
        <w:jc w:val="left"/>
      </w:pPr>
      <w:r>
        <w:rPr/>
        <w:t>确定该组合依据的说明： 注：该组合系以应收款项的账龄为信用风险特征划分组合。 组合中，采用余额百分比法计提坏账准备的应收账款：</w:t>
      </w:r>
    </w:p>
    <w:p>
      <w:pPr>
        <w:pStyle w:val="BodyText"/>
        <w:spacing w:line="240" w:lineRule="auto" w:before="25"/>
        <w:ind w:right="2097"/>
        <w:jc w:val="left"/>
      </w:pPr>
      <w:r>
        <w:rPr/>
        <w:t>□ 适用 √ 不适用</w:t>
      </w:r>
    </w:p>
    <w:p>
      <w:pPr>
        <w:pStyle w:val="BodyText"/>
        <w:spacing w:line="240" w:lineRule="auto" w:before="117"/>
        <w:ind w:right="209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8"/>
        <w:jc w:val="left"/>
      </w:pPr>
      <w:r>
        <w:rPr/>
        <w:t>本期计提坏账准备金额</w:t>
      </w:r>
      <w:r>
        <w:rPr>
          <w:spacing w:val="-47"/>
        </w:rPr>
        <w:t> </w:t>
      </w:r>
      <w:r>
        <w:rPr>
          <w:rFonts w:ascii="Times New Roman" w:hAnsi="Times New Roman" w:cs="Times New Roman" w:eastAsia="Times New Roman" w:hint="default"/>
        </w:rPr>
        <w:t>49,577,959.16</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82,321.56</w:t>
      </w:r>
      <w:r>
        <w:rPr>
          <w:rFonts w:ascii="Times New Roman" w:hAnsi="Times New Roman" w:cs="Times New Roman" w:eastAsia="Times New Roman" w:hint="default"/>
          <w:spacing w:val="-3"/>
        </w:rPr>
        <w:t> </w:t>
      </w:r>
      <w:r>
        <w:rPr/>
        <w:t>元。</w:t>
      </w:r>
    </w:p>
    <w:p>
      <w:pPr>
        <w:pStyle w:val="BodyText"/>
        <w:spacing w:line="240" w:lineRule="auto" w:before="101"/>
        <w:ind w:right="2097"/>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6910" w:space="1919"/>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2,598,423.51</w:t>
            </w:r>
          </w:p>
        </w:tc>
      </w:tr>
    </w:tbl>
    <w:p>
      <w:pPr>
        <w:pStyle w:val="BodyText"/>
        <w:spacing w:line="240" w:lineRule="auto" w:before="50"/>
        <w:ind w:right="0"/>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3"/>
        <w:gridCol w:w="1300"/>
        <w:gridCol w:w="1400"/>
        <w:gridCol w:w="2366"/>
        <w:gridCol w:w="1615"/>
        <w:gridCol w:w="1615"/>
      </w:tblGrid>
      <w:tr>
        <w:trPr>
          <w:trHeight w:val="634" w:hRule="exact"/>
        </w:trPr>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322"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1" w:right="0"/>
              <w:jc w:val="left"/>
              <w:rPr>
                <w:rFonts w:ascii="Times New Roman" w:hAnsi="Times New Roman" w:cs="Times New Roman" w:eastAsia="Times New Roman" w:hint="default"/>
                <w:sz w:val="18"/>
                <w:szCs w:val="18"/>
              </w:rPr>
            </w:pPr>
            <w:r>
              <w:rPr>
                <w:rFonts w:ascii="Times New Roman"/>
                <w:sz w:val="18"/>
              </w:rPr>
              <w:t>1,212,542.76</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对方资金困难，年份已久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1" w:right="0"/>
              <w:jc w:val="left"/>
              <w:rPr>
                <w:rFonts w:ascii="Times New Roman" w:hAnsi="Times New Roman" w:cs="Times New Roman" w:eastAsia="Times New Roman" w:hint="default"/>
                <w:sz w:val="18"/>
                <w:szCs w:val="18"/>
              </w:rPr>
            </w:pPr>
            <w:r>
              <w:rPr>
                <w:rFonts w:ascii="Times New Roman"/>
                <w:sz w:val="18"/>
              </w:rPr>
              <w:t>1,212,542.76</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660" w:bottom="700" w:left="1020" w:right="0"/>
        </w:sectPr>
      </w:pPr>
    </w:p>
    <w:p>
      <w:pPr>
        <w:spacing w:line="240" w:lineRule="auto" w:before="9"/>
        <w:rPr>
          <w:rFonts w:ascii="宋体" w:hAnsi="宋体" w:cs="宋体" w:eastAsia="宋体" w:hint="default"/>
          <w:sz w:val="28"/>
          <w:szCs w:val="28"/>
        </w:rPr>
      </w:pPr>
    </w:p>
    <w:p>
      <w:pPr>
        <w:pStyle w:val="BodyText"/>
        <w:tabs>
          <w:tab w:pos="8903" w:val="left" w:leader="none"/>
        </w:tabs>
        <w:spacing w:line="240" w:lineRule="auto" w:before="44"/>
        <w:ind w:right="0"/>
        <w:jc w:val="left"/>
      </w:pPr>
      <w:r>
        <w:rPr>
          <w:rFonts w:ascii="Times New Roman" w:hAnsi="Times New Roman" w:cs="Times New Roman" w:eastAsia="Times New Roman" w:hint="default"/>
        </w:rPr>
        <w:t>4)</w:t>
      </w:r>
      <w:r>
        <w:rPr/>
        <w:t>按欠款方归集的期末余额前五名的应收账款情况</w:t>
        <w:tab/>
        <w:t>单位：元</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347"/>
        <w:gridCol w:w="1918"/>
        <w:gridCol w:w="2204"/>
        <w:gridCol w:w="1948"/>
        <w:gridCol w:w="2043"/>
      </w:tblGrid>
      <w:tr>
        <w:trPr>
          <w:trHeight w:val="657" w:hRule="exact"/>
        </w:trPr>
        <w:tc>
          <w:tcPr>
            <w:tcW w:w="134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1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59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48"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20"/>
              <w:ind w:left="294" w:right="151" w:hanging="135"/>
              <w:jc w:val="left"/>
              <w:rPr>
                <w:rFonts w:ascii="宋体" w:hAnsi="宋体" w:cs="宋体" w:eastAsia="宋体" w:hint="default"/>
                <w:sz w:val="18"/>
                <w:szCs w:val="18"/>
              </w:rPr>
            </w:pPr>
            <w:r>
              <w:rPr>
                <w:rFonts w:ascii="宋体" w:hAnsi="宋体" w:cs="宋体" w:eastAsia="宋体" w:hint="default"/>
                <w:b/>
                <w:bCs/>
                <w:sz w:val="18"/>
                <w:szCs w:val="18"/>
              </w:rPr>
              <w:t>占应收账款年末余额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宋体" w:hAnsi="宋体" w:cs="宋体" w:eastAsia="宋体" w:hint="default"/>
                <w:sz w:val="18"/>
                <w:szCs w:val="18"/>
              </w:rPr>
            </w:r>
          </w:p>
        </w:tc>
        <w:tc>
          <w:tcPr>
            <w:tcW w:w="204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350" w:hRule="exact"/>
        </w:trPr>
        <w:tc>
          <w:tcPr>
            <w:tcW w:w="13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A公司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66,427,841.95</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2.24</w:t>
            </w:r>
          </w:p>
        </w:tc>
        <w:tc>
          <w:tcPr>
            <w:tcW w:w="204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pacing w:val="-1"/>
                <w:sz w:val="18"/>
              </w:rPr>
              <w:t>664,278.42</w:t>
            </w:r>
          </w:p>
        </w:tc>
      </w:tr>
      <w:tr>
        <w:trPr>
          <w:trHeight w:val="350" w:hRule="exact"/>
        </w:trPr>
        <w:tc>
          <w:tcPr>
            <w:tcW w:w="13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2"/>
              <w:ind w:left="92" w:right="0"/>
              <w:jc w:val="left"/>
              <w:rPr>
                <w:rFonts w:ascii="宋体" w:hAnsi="宋体" w:cs="宋体" w:eastAsia="宋体" w:hint="default"/>
                <w:sz w:val="18"/>
                <w:szCs w:val="18"/>
              </w:rPr>
            </w:pPr>
            <w:r>
              <w:rPr>
                <w:rFonts w:ascii="宋体" w:hAnsi="宋体" w:cs="宋体" w:eastAsia="宋体" w:hint="default"/>
                <w:sz w:val="18"/>
                <w:szCs w:val="18"/>
              </w:rPr>
              <w:t>B公司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40,395,323.04</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hAnsi="宋体" w:cs="宋体" w:eastAsia="宋体" w:hint="default"/>
                <w:spacing w:val="-1"/>
                <w:sz w:val="18"/>
                <w:szCs w:val="18"/>
              </w:rPr>
              <w:t>1年以内，1-2年</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1.36</w:t>
            </w:r>
          </w:p>
        </w:tc>
        <w:tc>
          <w:tcPr>
            <w:tcW w:w="204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2"/>
              <w:ind w:right="90"/>
              <w:jc w:val="right"/>
              <w:rPr>
                <w:rFonts w:ascii="宋体" w:hAnsi="宋体" w:cs="宋体" w:eastAsia="宋体" w:hint="default"/>
                <w:sz w:val="18"/>
                <w:szCs w:val="18"/>
              </w:rPr>
            </w:pPr>
            <w:r>
              <w:rPr>
                <w:rFonts w:ascii="宋体"/>
                <w:spacing w:val="-1"/>
                <w:sz w:val="18"/>
              </w:rPr>
              <w:t>3,135,276.04</w:t>
            </w:r>
          </w:p>
        </w:tc>
      </w:tr>
      <w:tr>
        <w:trPr>
          <w:trHeight w:val="350" w:hRule="exact"/>
        </w:trPr>
        <w:tc>
          <w:tcPr>
            <w:tcW w:w="13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C公司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39,983,475.38</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hAnsi="宋体" w:cs="宋体" w:eastAsia="宋体" w:hint="default"/>
                <w:spacing w:val="-1"/>
                <w:sz w:val="18"/>
                <w:szCs w:val="18"/>
              </w:rPr>
              <w:t>1年以内，1-2年</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1.35</w:t>
            </w:r>
          </w:p>
        </w:tc>
        <w:tc>
          <w:tcPr>
            <w:tcW w:w="204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2,026,277.78</w:t>
            </w:r>
          </w:p>
        </w:tc>
      </w:tr>
      <w:tr>
        <w:trPr>
          <w:trHeight w:val="350" w:hRule="exact"/>
        </w:trPr>
        <w:tc>
          <w:tcPr>
            <w:tcW w:w="13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D公司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33,094,835.79</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hAnsi="宋体" w:cs="宋体" w:eastAsia="宋体" w:hint="default"/>
                <w:spacing w:val="-1"/>
                <w:sz w:val="18"/>
                <w:szCs w:val="18"/>
              </w:rPr>
              <w:t>1年以内，1-2年</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1.12</w:t>
            </w:r>
          </w:p>
        </w:tc>
        <w:tc>
          <w:tcPr>
            <w:tcW w:w="204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2,278,014.07</w:t>
            </w:r>
          </w:p>
        </w:tc>
      </w:tr>
      <w:tr>
        <w:trPr>
          <w:trHeight w:val="350" w:hRule="exact"/>
        </w:trPr>
        <w:tc>
          <w:tcPr>
            <w:tcW w:w="13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E公司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25,990,012.52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0.88</w:t>
            </w:r>
          </w:p>
        </w:tc>
        <w:tc>
          <w:tcPr>
            <w:tcW w:w="204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pacing w:val="-1"/>
                <w:sz w:val="18"/>
              </w:rPr>
              <w:t>259,900.13</w:t>
            </w:r>
          </w:p>
        </w:tc>
      </w:tr>
      <w:tr>
        <w:trPr>
          <w:trHeight w:val="366" w:hRule="exact"/>
        </w:trPr>
        <w:tc>
          <w:tcPr>
            <w:tcW w:w="1347"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80"/>
              <w:jc w:val="right"/>
              <w:rPr>
                <w:rFonts w:ascii="宋体" w:hAnsi="宋体" w:cs="宋体" w:eastAsia="宋体" w:hint="default"/>
                <w:sz w:val="18"/>
                <w:szCs w:val="18"/>
              </w:rPr>
            </w:pPr>
            <w:r>
              <w:rPr>
                <w:rFonts w:ascii="宋体"/>
                <w:b/>
                <w:sz w:val="18"/>
              </w:rPr>
              <w:t>205,891,488.68</w:t>
            </w:r>
            <w:r>
              <w:rPr>
                <w:rFonts w:ascii="宋体"/>
                <w:sz w:val="18"/>
              </w:rPr>
            </w:r>
          </w:p>
        </w:tc>
        <w:tc>
          <w:tcPr>
            <w:tcW w:w="220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b/>
                <w:w w:val="95"/>
                <w:sz w:val="18"/>
              </w:rPr>
              <w:t>--</w:t>
            </w:r>
            <w:r>
              <w:rPr>
                <w:rFonts w:ascii="宋体"/>
                <w:sz w:val="18"/>
              </w:rPr>
            </w:r>
          </w:p>
        </w:tc>
        <w:tc>
          <w:tcPr>
            <w:tcW w:w="194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b/>
                <w:sz w:val="18"/>
              </w:rPr>
              <w:t>6.95</w:t>
            </w:r>
            <w:r>
              <w:rPr>
                <w:rFonts w:ascii="宋体"/>
                <w:sz w:val="18"/>
              </w:rPr>
            </w:r>
          </w:p>
        </w:tc>
        <w:tc>
          <w:tcPr>
            <w:tcW w:w="204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right="81"/>
              <w:jc w:val="right"/>
              <w:rPr>
                <w:rFonts w:ascii="宋体" w:hAnsi="宋体" w:cs="宋体" w:eastAsia="宋体" w:hint="default"/>
                <w:sz w:val="18"/>
                <w:szCs w:val="18"/>
              </w:rPr>
            </w:pPr>
            <w:r>
              <w:rPr>
                <w:rFonts w:ascii="宋体"/>
                <w:b/>
                <w:w w:val="95"/>
                <w:sz w:val="18"/>
              </w:rPr>
              <w:t>8,363,746.44</w:t>
            </w:r>
            <w:r>
              <w:rPr>
                <w:rFonts w:ascii="宋体"/>
                <w:sz w:val="18"/>
              </w:rPr>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预付款项" w:id="245"/>
      <w:bookmarkEnd w:id="24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预付款项按账龄列示" w:id="246"/>
      <w:bookmarkEnd w:id="24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72,624,078.65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92,753,026.91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94.39%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4,572,477.99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2,544,411.17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1,542,841.19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1,332,328.37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2,221,390.29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1,630,666.90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80,960,788.12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98,260,433.35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按预付对象归集的期末余额前五名的预付款情况" w:id="247"/>
      <w:bookmarkEnd w:id="24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221"/>
        <w:jc w:val="right"/>
      </w:pPr>
      <w:r>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468"/>
        <w:gridCol w:w="2173"/>
        <w:gridCol w:w="1609"/>
        <w:gridCol w:w="2283"/>
      </w:tblGrid>
      <w:tr>
        <w:trPr>
          <w:trHeight w:val="657" w:hRule="exact"/>
        </w:trPr>
        <w:tc>
          <w:tcPr>
            <w:tcW w:w="246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7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72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83" w:type="dxa"/>
            <w:tcBorders>
              <w:top w:val="single" w:sz="6" w:space="0" w:color="000000"/>
              <w:left w:val="single" w:sz="4" w:space="0" w:color="000000"/>
              <w:bottom w:val="single" w:sz="4" w:space="0" w:color="000000"/>
              <w:right w:val="single" w:sz="6" w:space="0" w:color="000000"/>
            </w:tcBorders>
          </w:tcPr>
          <w:p>
            <w:pPr>
              <w:pStyle w:val="TableParagraph"/>
              <w:spacing w:line="316" w:lineRule="auto" w:before="20"/>
              <w:ind w:left="641" w:right="134" w:hanging="495"/>
              <w:jc w:val="left"/>
              <w:rPr>
                <w:rFonts w:ascii="宋体" w:hAnsi="宋体" w:cs="宋体" w:eastAsia="宋体" w:hint="default"/>
                <w:sz w:val="18"/>
                <w:szCs w:val="18"/>
              </w:rPr>
            </w:pPr>
            <w:r>
              <w:rPr>
                <w:rFonts w:ascii="宋体" w:hAnsi="宋体" w:cs="宋体" w:eastAsia="宋体" w:hint="default"/>
                <w:b/>
                <w:bCs/>
                <w:sz w:val="18"/>
                <w:szCs w:val="18"/>
              </w:rPr>
              <w:t>占预付款项年末余额合计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sz w:val="18"/>
                <w:szCs w:val="18"/>
              </w:rPr>
            </w:r>
          </w:p>
        </w:tc>
      </w:tr>
      <w:tr>
        <w:trPr>
          <w:trHeight w:val="342" w:hRule="exact"/>
        </w:trPr>
        <w:tc>
          <w:tcPr>
            <w:tcW w:w="24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A公司</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spacing w:val="-1"/>
                <w:sz w:val="18"/>
              </w:rPr>
              <w:t>19,344,348.63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22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pacing w:val="-1"/>
                <w:sz w:val="18"/>
              </w:rPr>
              <w:t>23.89</w:t>
            </w:r>
          </w:p>
        </w:tc>
      </w:tr>
      <w:tr>
        <w:trPr>
          <w:trHeight w:val="342" w:hRule="exact"/>
        </w:trPr>
        <w:tc>
          <w:tcPr>
            <w:tcW w:w="24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B公司</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1"/>
              <w:jc w:val="right"/>
              <w:rPr>
                <w:rFonts w:ascii="宋体" w:hAnsi="宋体" w:cs="宋体" w:eastAsia="宋体" w:hint="default"/>
                <w:sz w:val="18"/>
                <w:szCs w:val="18"/>
              </w:rPr>
            </w:pPr>
            <w:r>
              <w:rPr>
                <w:rFonts w:ascii="宋体"/>
                <w:spacing w:val="-1"/>
                <w:sz w:val="18"/>
              </w:rPr>
              <w:t>4,410,822.59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宋体" w:hAnsi="宋体" w:cs="宋体" w:eastAsia="宋体" w:hint="default"/>
                <w:sz w:val="18"/>
                <w:szCs w:val="18"/>
              </w:rPr>
            </w:pPr>
            <w:r>
              <w:rPr>
                <w:rFonts w:ascii="宋体" w:hAnsi="宋体" w:cs="宋体" w:eastAsia="宋体" w:hint="default"/>
                <w:spacing w:val="-1"/>
                <w:sz w:val="18"/>
                <w:szCs w:val="18"/>
              </w:rPr>
              <w:t>1年以内、1-2年</w:t>
            </w:r>
          </w:p>
        </w:tc>
        <w:tc>
          <w:tcPr>
            <w:tcW w:w="22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9"/>
              <w:ind w:right="90"/>
              <w:jc w:val="right"/>
              <w:rPr>
                <w:rFonts w:ascii="宋体" w:hAnsi="宋体" w:cs="宋体" w:eastAsia="宋体" w:hint="default"/>
                <w:sz w:val="18"/>
                <w:szCs w:val="18"/>
              </w:rPr>
            </w:pPr>
            <w:r>
              <w:rPr>
                <w:rFonts w:ascii="宋体"/>
                <w:sz w:val="18"/>
              </w:rPr>
              <w:t>5.45</w:t>
            </w:r>
          </w:p>
        </w:tc>
      </w:tr>
      <w:tr>
        <w:trPr>
          <w:trHeight w:val="342" w:hRule="exact"/>
        </w:trPr>
        <w:tc>
          <w:tcPr>
            <w:tcW w:w="24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C公司</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pacing w:val="-1"/>
                <w:sz w:val="18"/>
              </w:rPr>
              <w:t>4,360,371.52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22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z w:val="18"/>
              </w:rPr>
              <w:t>5.39</w:t>
            </w:r>
          </w:p>
        </w:tc>
      </w:tr>
      <w:tr>
        <w:trPr>
          <w:trHeight w:val="342" w:hRule="exact"/>
        </w:trPr>
        <w:tc>
          <w:tcPr>
            <w:tcW w:w="24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D公司</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1"/>
              <w:jc w:val="right"/>
              <w:rPr>
                <w:rFonts w:ascii="宋体" w:hAnsi="宋体" w:cs="宋体" w:eastAsia="宋体" w:hint="default"/>
                <w:sz w:val="18"/>
                <w:szCs w:val="18"/>
              </w:rPr>
            </w:pPr>
            <w:r>
              <w:rPr>
                <w:rFonts w:ascii="宋体"/>
                <w:spacing w:val="-1"/>
                <w:sz w:val="18"/>
              </w:rPr>
              <w:t>3,891,099.03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22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9"/>
              <w:ind w:right="90"/>
              <w:jc w:val="right"/>
              <w:rPr>
                <w:rFonts w:ascii="宋体" w:hAnsi="宋体" w:cs="宋体" w:eastAsia="宋体" w:hint="default"/>
                <w:sz w:val="18"/>
                <w:szCs w:val="18"/>
              </w:rPr>
            </w:pPr>
            <w:r>
              <w:rPr>
                <w:rFonts w:ascii="宋体"/>
                <w:sz w:val="18"/>
              </w:rPr>
              <w:t>4.81</w:t>
            </w:r>
          </w:p>
        </w:tc>
      </w:tr>
      <w:tr>
        <w:trPr>
          <w:trHeight w:val="342" w:hRule="exact"/>
        </w:trPr>
        <w:tc>
          <w:tcPr>
            <w:tcW w:w="24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E公司</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pacing w:val="-1"/>
                <w:sz w:val="18"/>
              </w:rPr>
              <w:t>2,390,876.90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228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z w:val="18"/>
              </w:rPr>
              <w:t>2.95</w:t>
            </w:r>
          </w:p>
        </w:tc>
      </w:tr>
      <w:tr>
        <w:trPr>
          <w:trHeight w:val="344" w:hRule="exact"/>
        </w:trPr>
        <w:tc>
          <w:tcPr>
            <w:tcW w:w="246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9"/>
              <w:ind w:right="81"/>
              <w:jc w:val="right"/>
              <w:rPr>
                <w:rFonts w:ascii="宋体" w:hAnsi="宋体" w:cs="宋体" w:eastAsia="宋体" w:hint="default"/>
                <w:sz w:val="18"/>
                <w:szCs w:val="18"/>
              </w:rPr>
            </w:pPr>
            <w:r>
              <w:rPr>
                <w:rFonts w:ascii="宋体"/>
                <w:b/>
                <w:w w:val="95"/>
                <w:sz w:val="18"/>
              </w:rPr>
              <w:t>34,397,518.67</w:t>
            </w:r>
            <w:r>
              <w:rPr>
                <w:rFonts w:ascii="宋体"/>
                <w:sz w:val="18"/>
              </w:rPr>
            </w:r>
          </w:p>
        </w:tc>
        <w:tc>
          <w:tcPr>
            <w:tcW w:w="16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9"/>
              <w:ind w:right="92"/>
              <w:jc w:val="right"/>
              <w:rPr>
                <w:rFonts w:ascii="宋体" w:hAnsi="宋体" w:cs="宋体" w:eastAsia="宋体" w:hint="default"/>
                <w:sz w:val="18"/>
                <w:szCs w:val="18"/>
              </w:rPr>
            </w:pPr>
            <w:r>
              <w:rPr>
                <w:rFonts w:ascii="宋体"/>
                <w:b/>
                <w:w w:val="95"/>
                <w:sz w:val="18"/>
              </w:rPr>
              <w:t>--</w:t>
            </w:r>
            <w:r>
              <w:rPr>
                <w:rFonts w:ascii="宋体"/>
                <w:sz w:val="18"/>
              </w:rPr>
            </w:r>
          </w:p>
        </w:tc>
        <w:tc>
          <w:tcPr>
            <w:tcW w:w="228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9"/>
              <w:ind w:right="85"/>
              <w:jc w:val="right"/>
              <w:rPr>
                <w:rFonts w:ascii="宋体" w:hAnsi="宋体" w:cs="宋体" w:eastAsia="宋体" w:hint="default"/>
                <w:sz w:val="18"/>
                <w:szCs w:val="18"/>
              </w:rPr>
            </w:pPr>
            <w:r>
              <w:rPr>
                <w:rFonts w:ascii="宋体"/>
                <w:b/>
                <w:sz w:val="18"/>
              </w:rPr>
              <w:t>42.49</w:t>
            </w:r>
            <w:r>
              <w:rPr>
                <w:rFonts w:ascii="宋体"/>
                <w:sz w:val="18"/>
              </w:rPr>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6、其他应收款" w:id="248"/>
      <w:bookmarkEnd w:id="24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822,027.24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156,338,588.62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157,986,915.31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157,160,615.86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157,986,915.31</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1）应收利息" w:id="249"/>
      <w:bookmarkEnd w:id="24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保证金及存款利息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822,027.24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822,027.24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其他应收款" w:id="250"/>
      <w:bookmarkEnd w:id="250"/>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7,565,5</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86.83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4.46%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7,565,5</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86.83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Times New Roman" w:hAnsi="Times New Roman" w:cs="Times New Roman" w:eastAsia="Times New Roman" w:hint="default"/>
                <w:sz w:val="18"/>
                <w:szCs w:val="18"/>
              </w:rPr>
            </w:pPr>
            <w:r>
              <w:rPr>
                <w:rFonts w:ascii="Times New Roman"/>
                <w:sz w:val="18"/>
              </w:rPr>
              <w:t>10,39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0,324</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6.18%</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10,390,3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24.89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5,084.3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95.31</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13,194,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819.40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148,38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0,264.9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82,96</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2.08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93.78</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10,059,</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960.87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147,523,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001.21</w:t>
            </w: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392,73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6.81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0.23%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392,73</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6.81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73,58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0.04%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73,589.2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3,408.0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13,194,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819.40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7.78%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156,33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8,588.6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168,0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46,87</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6.18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10,059,</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960.87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157,986,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915.31</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2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4433" w:space="43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648"/>
        <w:gridCol w:w="2181"/>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center"/>
        <w:rPr>
          <w:rFonts w:ascii="宋体" w:hAnsi="宋体" w:cs="宋体" w:eastAsia="宋体" w:hint="default"/>
          <w:sz w:val="18"/>
          <w:szCs w:val="18"/>
        </w:rPr>
        <w:sectPr>
          <w:type w:val="continuous"/>
          <w:pgSz w:w="11910" w:h="16840"/>
          <w:pgMar w:top="660" w:bottom="7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648"/>
        <w:gridCol w:w="2181"/>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3,869,147.67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出口退税，不存在风险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关税及增值税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3,696,439.16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税金，不存在风险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7,565,586.83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20" w:bottom="1200" w:left="102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104,642,830.97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1,046,428.31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42,052,122.54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4,205,212.28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9,700,141.09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2,910,042.32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5,033,136.49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5,033,136.49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161,428,231.09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13,194,819.40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9" w:lineRule="auto" w:before="52"/>
        <w:ind w:left="532" w:right="5654" w:hanging="420"/>
        <w:jc w:val="left"/>
      </w:pPr>
      <w:r>
        <w:rPr/>
        <w:t>确定该组合依据的说明： 注：该组合系以应收款项的账龄为信用风险特征划分组合。</w:t>
      </w:r>
    </w:p>
    <w:p>
      <w:pPr>
        <w:pStyle w:val="BodyText"/>
        <w:spacing w:line="201" w:lineRule="exact"/>
        <w:ind w:right="0"/>
        <w:jc w:val="left"/>
      </w:pPr>
      <w:r>
        <w:rPr/>
        <w:t>组合中，采用余额百分比法计提坏账准备的其他应收款：</w:t>
      </w:r>
    </w:p>
    <w:p>
      <w:pPr>
        <w:pStyle w:val="BodyText"/>
        <w:spacing w:line="360" w:lineRule="auto" w:before="117"/>
        <w:ind w:right="6614"/>
        <w:jc w:val="left"/>
      </w:pPr>
      <w:r>
        <w:rPr/>
        <w:t>□ 适用 √ 不适用 组合中，采用其他方法计提坏账准备的其他应收款：</w:t>
      </w:r>
    </w:p>
    <w:p>
      <w:pPr>
        <w:pStyle w:val="BodyText"/>
        <w:spacing w:line="240" w:lineRule="auto" w:before="25"/>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198"/>
        <w:gridCol w:w="2228"/>
        <w:gridCol w:w="2069"/>
        <w:gridCol w:w="2085"/>
      </w:tblGrid>
      <w:tr>
        <w:trPr>
          <w:trHeight w:val="358" w:hRule="exact"/>
        </w:trPr>
        <w:tc>
          <w:tcPr>
            <w:tcW w:w="3198" w:type="dxa"/>
            <w:vMerge w:val="restart"/>
            <w:tcBorders>
              <w:top w:val="single" w:sz="6" w:space="0" w:color="000000"/>
              <w:left w:val="single" w:sz="6"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38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3198" w:type="dxa"/>
            <w:vMerge/>
            <w:tcBorders>
              <w:left w:val="single" w:sz="6"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60"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6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8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left="54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50" w:hRule="exact"/>
        </w:trPr>
        <w:tc>
          <w:tcPr>
            <w:tcW w:w="319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1"/>
              <w:jc w:val="right"/>
              <w:rPr>
                <w:rFonts w:ascii="宋体" w:hAnsi="宋体" w:cs="宋体" w:eastAsia="宋体" w:hint="default"/>
                <w:sz w:val="18"/>
                <w:szCs w:val="18"/>
              </w:rPr>
            </w:pPr>
            <w:r>
              <w:rPr>
                <w:rFonts w:ascii="宋体"/>
                <w:spacing w:val="-1"/>
                <w:sz w:val="18"/>
              </w:rPr>
              <w:t>146,853.29</w:t>
            </w:r>
          </w:p>
        </w:tc>
        <w:tc>
          <w:tcPr>
            <w:tcW w:w="2069"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z w:val="18"/>
              </w:rPr>
              <w:t>0.00</w:t>
            </w:r>
          </w:p>
        </w:tc>
      </w:tr>
      <w:tr>
        <w:trPr>
          <w:trHeight w:val="366" w:hRule="exact"/>
        </w:trPr>
        <w:tc>
          <w:tcPr>
            <w:tcW w:w="319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84"/>
              <w:jc w:val="right"/>
              <w:rPr>
                <w:rFonts w:ascii="宋体" w:hAnsi="宋体" w:cs="宋体" w:eastAsia="宋体" w:hint="default"/>
                <w:sz w:val="18"/>
                <w:szCs w:val="18"/>
              </w:rPr>
            </w:pPr>
            <w:r>
              <w:rPr>
                <w:rFonts w:ascii="宋体"/>
                <w:b/>
                <w:w w:val="95"/>
                <w:sz w:val="18"/>
              </w:rPr>
              <w:t>146,853.29</w:t>
            </w:r>
            <w:r>
              <w:rPr>
                <w:rFonts w:ascii="宋体"/>
                <w:sz w:val="18"/>
              </w:rPr>
            </w:r>
          </w:p>
        </w:tc>
        <w:tc>
          <w:tcPr>
            <w:tcW w:w="2069" w:type="dxa"/>
            <w:tcBorders>
              <w:top w:val="single" w:sz="4" w:space="0" w:color="000000"/>
              <w:left w:val="single" w:sz="4" w:space="0" w:color="000000"/>
              <w:bottom w:val="single" w:sz="6" w:space="0" w:color="000000"/>
              <w:right w:val="single" w:sz="4" w:space="0" w:color="000000"/>
            </w:tcBorders>
          </w:tcPr>
          <w:p>
            <w:pPr/>
          </w:p>
        </w:tc>
        <w:tc>
          <w:tcPr>
            <w:tcW w:w="208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b/>
                <w:w w:val="95"/>
                <w:sz w:val="18"/>
              </w:rPr>
              <w:t>--</w:t>
            </w:r>
            <w:r>
              <w:rPr>
                <w:rFonts w:ascii="宋体"/>
                <w:sz w:val="18"/>
              </w:rPr>
            </w:r>
          </w:p>
        </w:tc>
      </w:tr>
    </w:tbl>
    <w:p>
      <w:pPr>
        <w:spacing w:line="240" w:lineRule="auto" w:before="9"/>
        <w:rPr>
          <w:rFonts w:ascii="宋体" w:hAnsi="宋体" w:cs="宋体" w:eastAsia="宋体" w:hint="default"/>
          <w:sz w:val="6"/>
          <w:szCs w:val="6"/>
        </w:rPr>
      </w:pPr>
    </w:p>
    <w:p>
      <w:pPr>
        <w:pStyle w:val="BodyText"/>
        <w:spacing w:line="240" w:lineRule="auto" w:before="44"/>
        <w:ind w:left="554" w:right="0"/>
        <w:jc w:val="left"/>
      </w:pPr>
      <w:r>
        <w:rPr/>
        <w:t>注：关联方组合系以应收款项交易对象为信用风险特征划分组合。本公司应收关联方账款列入本组合。</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660" w:bottom="700" w:left="1020" w:right="0"/>
        </w:sectPr>
      </w:pPr>
    </w:p>
    <w:p>
      <w:pPr>
        <w:pStyle w:val="BodyText"/>
        <w:spacing w:line="240" w:lineRule="auto" w:before="44"/>
        <w:ind w:right="-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7"/>
        <w:jc w:val="left"/>
      </w:pPr>
      <w:r>
        <w:rPr/>
        <w:t>本期计提坏账准备金额</w:t>
      </w:r>
      <w:r>
        <w:rPr>
          <w:spacing w:val="-47"/>
        </w:rPr>
        <w:t> </w:t>
      </w:r>
      <w:r>
        <w:rPr>
          <w:rFonts w:ascii="Times New Roman" w:hAnsi="Times New Roman" w:cs="Times New Roman" w:eastAsia="Times New Roman" w:hint="default"/>
        </w:rPr>
        <w:t>3,217,839.61</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12,981.08</w:t>
      </w:r>
      <w:r>
        <w:rPr>
          <w:rFonts w:ascii="Times New Roman" w:hAnsi="Times New Roman" w:cs="Times New Roman" w:eastAsia="Times New Roman" w:hint="default"/>
          <w:spacing w:val="-3"/>
        </w:rPr>
        <w:t> </w:t>
      </w:r>
      <w:r>
        <w:rPr/>
        <w:t>元。</w:t>
      </w:r>
    </w:p>
    <w:p>
      <w:pPr>
        <w:pStyle w:val="BodyText"/>
        <w:spacing w:line="240" w:lineRule="auto" w:before="103"/>
        <w:ind w:right="-7"/>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6819" w:space="2011"/>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70,000.00</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3" w:right="0"/>
              <w:jc w:val="left"/>
              <w:rPr>
                <w:rFonts w:ascii="Times New Roman" w:hAnsi="Times New Roman" w:cs="Times New Roman" w:eastAsia="Times New Roman" w:hint="default"/>
                <w:sz w:val="18"/>
                <w:szCs w:val="18"/>
              </w:rPr>
            </w:pPr>
            <w:r>
              <w:rPr>
                <w:rFonts w:ascii="Times New Roman"/>
                <w:sz w:val="18"/>
              </w:rPr>
              <w:t>84,643,851.76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90,576,645.52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660" w:bottom="7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51,702,695.48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40,731,193.24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222,662.05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1,228,786.40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20,734,989.34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21,601,340.46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7,565,586.83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10,185,781.54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4,550,876.97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3,649,621.90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112,745.59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73,507.12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169,533,408.02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168,046,876.18</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16"/>
        <w:gridCol w:w="1617"/>
        <w:gridCol w:w="1617"/>
        <w:gridCol w:w="1617"/>
        <w:gridCol w:w="1617"/>
        <w:gridCol w:w="1617"/>
      </w:tblGrid>
      <w:tr>
        <w:trPr>
          <w:trHeight w:val="946"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0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b/>
                <w:bCs/>
                <w:sz w:val="20"/>
                <w:szCs w:val="20"/>
              </w:rPr>
              <w:t>款项的性质</w:t>
            </w:r>
            <w:r>
              <w:rPr>
                <w:rFonts w:ascii="宋体" w:hAnsi="宋体" w:cs="宋体" w:eastAsia="宋体" w:hint="default"/>
                <w:sz w:val="20"/>
                <w:szCs w:val="20"/>
              </w:rPr>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04"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203" w:right="199"/>
              <w:jc w:val="center"/>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b/>
                <w:bCs/>
                <w:w w:val="99"/>
                <w:sz w:val="20"/>
                <w:szCs w:val="20"/>
              </w:rPr>
              <w:t> </w:t>
            </w:r>
            <w:r>
              <w:rPr>
                <w:rFonts w:ascii="宋体" w:hAnsi="宋体" w:cs="宋体" w:eastAsia="宋体" w:hint="default"/>
                <w:b/>
                <w:bCs/>
                <w:sz w:val="20"/>
                <w:szCs w:val="20"/>
              </w:rPr>
              <w:t>期末余额合计</w:t>
            </w:r>
            <w:r>
              <w:rPr>
                <w:rFonts w:ascii="宋体" w:hAnsi="宋体" w:cs="宋体" w:eastAsia="宋体" w:hint="default"/>
                <w:b/>
                <w:bCs/>
                <w:w w:val="99"/>
                <w:sz w:val="20"/>
                <w:szCs w:val="20"/>
              </w:rPr>
              <w:t> </w:t>
            </w:r>
            <w:r>
              <w:rPr>
                <w:rFonts w:ascii="宋体" w:hAnsi="宋体" w:cs="宋体" w:eastAsia="宋体" w:hint="default"/>
                <w:b/>
                <w:bCs/>
                <w:sz w:val="20"/>
                <w:szCs w:val="20"/>
              </w:rPr>
              <w:t>数的比例</w:t>
            </w:r>
            <w:r>
              <w:rPr>
                <w:rFonts w:ascii="宋体" w:hAnsi="宋体" w:cs="宋体" w:eastAsia="宋体" w:hint="default"/>
                <w:sz w:val="20"/>
                <w:szCs w:val="20"/>
              </w:rPr>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602" w:right="201" w:hanging="401"/>
              <w:jc w:val="left"/>
              <w:rPr>
                <w:rFonts w:ascii="宋体" w:hAnsi="宋体" w:cs="宋体" w:eastAsia="宋体" w:hint="default"/>
                <w:sz w:val="20"/>
                <w:szCs w:val="20"/>
              </w:rPr>
            </w:pPr>
            <w:r>
              <w:rPr>
                <w:rFonts w:ascii="宋体" w:hAnsi="宋体" w:cs="宋体" w:eastAsia="宋体" w:hint="default"/>
                <w:b/>
                <w:bCs/>
                <w:sz w:val="20"/>
                <w:szCs w:val="20"/>
              </w:rPr>
              <w:t>坏账准备期末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4.08%</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个人</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4,561,639.00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294,483.83</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4,268,319.85</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42,683.20</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3,149,554.42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1.84%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个人</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2,503,438.39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36,359.84</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21,482,951.66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12.53%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1,073,526.87</w:t>
            </w:r>
          </w:p>
        </w:tc>
      </w:tr>
    </w:tbl>
    <w:p>
      <w:pPr>
        <w:spacing w:line="240" w:lineRule="auto" w:before="4"/>
        <w:rPr>
          <w:rFonts w:ascii="宋体" w:hAnsi="宋体" w:cs="宋体" w:eastAsia="宋体" w:hint="default"/>
          <w:sz w:val="26"/>
          <w:szCs w:val="26"/>
        </w:rPr>
      </w:pPr>
    </w:p>
    <w:p>
      <w:pPr>
        <w:pStyle w:val="Heading6"/>
        <w:spacing w:line="240" w:lineRule="auto" w:before="34"/>
        <w:ind w:right="0"/>
        <w:jc w:val="left"/>
        <w:rPr>
          <w:b w:val="0"/>
          <w:bCs w:val="0"/>
        </w:rPr>
      </w:pPr>
      <w:bookmarkStart w:name="7、存货" w:id="251"/>
      <w:bookmarkEnd w:id="251"/>
      <w:r>
        <w:rPr>
          <w:b w:val="0"/>
          <w:bCs w:val="0"/>
        </w:rPr>
      </w:r>
      <w:r>
        <w:rPr>
          <w:rFonts w:ascii="Times New Roman" w:hAnsi="Times New Roman" w:cs="Times New Roman" w:eastAsia="Times New Roman" w:hint="default"/>
        </w:rPr>
        <w:t>7</w:t>
      </w:r>
      <w:r>
        <w:rPr/>
        <w:t>、存货</w:t>
      </w:r>
      <w:r>
        <w:rPr>
          <w:b w:val="0"/>
          <w:bCs w:val="0"/>
        </w:rPr>
      </w:r>
    </w:p>
    <w:p>
      <w:pPr>
        <w:pStyle w:val="BodyText"/>
        <w:spacing w:line="360" w:lineRule="auto" w:before="85"/>
        <w:ind w:right="751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155,159,841.10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1,999,739.04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153,160,102.06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107,794,702.27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1,955,475.61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105,839,226.66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228,099,142.95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2,599,927.76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225,499,215.19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259,882,189.79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3,189,990.19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256,692,199.60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495,163,390.77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5,543,141.43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489,620,249.34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473,316,194.72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6,369,299.70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466,946,895.02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4,770,775.25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116,714.28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4,654,060.97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5,466,002.20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125,651.94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5,340,350.26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883,193,150.07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10,259,522.51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872,933,627.56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846,459,088.98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11,640,417.44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834,818,671.54</w:t>
            </w:r>
          </w:p>
        </w:tc>
      </w:tr>
    </w:tbl>
    <w:p>
      <w:pPr>
        <w:pStyle w:val="BodyText"/>
        <w:spacing w:line="340" w:lineRule="auto" w:before="50"/>
        <w:ind w:right="247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240" w:lineRule="auto" w:before="41"/>
        <w:ind w:right="0"/>
        <w:jc w:val="left"/>
      </w:pPr>
      <w:r>
        <w:rPr/>
        <w:t>公司需遵守《深圳证券交易所行业信息披露指引第</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号——上市公司从事珠宝相关业务》的披露要求</w:t>
      </w:r>
    </w:p>
    <w:p>
      <w:pPr>
        <w:spacing w:after="0" w:line="240" w:lineRule="auto"/>
        <w:jc w:val="left"/>
        <w:sectPr>
          <w:pgSz w:w="11910" w:h="16840"/>
          <w:pgMar w:header="890" w:footer="1012" w:top="1420" w:bottom="1200" w:left="1020" w:right="0"/>
        </w:sectPr>
      </w:pPr>
    </w:p>
    <w:p>
      <w:pPr>
        <w:pStyle w:val="BodyText"/>
        <w:spacing w:line="240" w:lineRule="auto" w:before="66"/>
        <w:ind w:right="0"/>
        <w:jc w:val="left"/>
      </w:pPr>
      <w:r>
        <w:rPr/>
        <w:t>否</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1,955,475.61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1,999,739.04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1,955,475.61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1,999,739.04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3,189,990.19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2,599,927.76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3,189,990.19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2,599,927.76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6,369,299.70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5,543,141.43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6,369,299.70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5,543,141.43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125,651.94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116,714.28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125,651.94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116,714.28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11,640,417.44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10,259,522.51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left"/>
              <w:rPr>
                <w:rFonts w:ascii="Times New Roman" w:hAnsi="Times New Roman" w:cs="Times New Roman" w:eastAsia="Times New Roman" w:hint="default"/>
                <w:sz w:val="18"/>
                <w:szCs w:val="18"/>
              </w:rPr>
            </w:pPr>
            <w:r>
              <w:rPr>
                <w:rFonts w:ascii="Times New Roman"/>
                <w:sz w:val="18"/>
              </w:rPr>
              <w:t>11,640,417.44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10,259,522.51</w:t>
            </w:r>
          </w:p>
        </w:tc>
      </w:tr>
    </w:tbl>
    <w:p>
      <w:pPr>
        <w:pStyle w:val="BodyText"/>
        <w:spacing w:line="240" w:lineRule="auto" w:before="10"/>
        <w:ind w:right="0"/>
        <w:jc w:val="left"/>
      </w:pPr>
      <w:r>
        <w:rPr/>
        <w:t>存货跌价准备计提</w:t>
      </w:r>
    </w:p>
    <w:p>
      <w:pPr>
        <w:spacing w:line="240" w:lineRule="auto" w:before="1"/>
        <w:rPr>
          <w:rFonts w:ascii="宋体" w:hAnsi="宋体" w:cs="宋体" w:eastAsia="宋体" w:hint="default"/>
          <w:sz w:val="5"/>
          <w:szCs w:val="5"/>
        </w:rPr>
      </w:pPr>
    </w:p>
    <w:tbl>
      <w:tblPr>
        <w:tblW w:w="0" w:type="auto"/>
        <w:jc w:val="left"/>
        <w:tblInd w:w="198" w:type="dxa"/>
        <w:tblLayout w:type="fixed"/>
        <w:tblCellMar>
          <w:top w:w="0" w:type="dxa"/>
          <w:left w:w="0" w:type="dxa"/>
          <w:bottom w:w="0" w:type="dxa"/>
          <w:right w:w="0" w:type="dxa"/>
        </w:tblCellMar>
        <w:tblLook w:val="01E0"/>
      </w:tblPr>
      <w:tblGrid>
        <w:gridCol w:w="2587"/>
        <w:gridCol w:w="3437"/>
        <w:gridCol w:w="3436"/>
      </w:tblGrid>
      <w:tr>
        <w:trPr>
          <w:trHeight w:val="40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相关的存货领用或实现销售</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相关的存货领用或实现销售</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相关的存货实现销售</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周转材料</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相关的存货领用或实现销售</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8、其他流动资产" w:id="254"/>
      <w:bookmarkEnd w:id="254"/>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170,574,540.33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45,751,222.20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36,202,875.22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11,522,749.42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15,835,010.40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6,666,826.35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31.35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372,578.39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234,515,371.16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266,710,495.36</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9、可供出售金融资产" w:id="255"/>
      <w:bookmarkEnd w:id="255"/>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56"/>
      <w:bookmarkEnd w:id="25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3671"/>
        <w:gridCol w:w="3898"/>
      </w:tblGrid>
      <w:tr>
        <w:trPr>
          <w:trHeight w:val="40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000"/>
        <w:gridCol w:w="1371"/>
        <w:gridCol w:w="982"/>
        <w:gridCol w:w="1318"/>
        <w:gridCol w:w="1264"/>
        <w:gridCol w:w="12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27,039,765.00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27,039,765.00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26,539,765.00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26,539,765.00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27,039,765.00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27,039,765.00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26,539,765.00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26,539,765.00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27,039,765.00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27,039,765.00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26,539,765.00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26,539,765.00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期末按成本计量的可供出售金融资产" w:id="257"/>
      <w:bookmarkEnd w:id="25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44"/>
        <w:gridCol w:w="891"/>
        <w:gridCol w:w="882"/>
        <w:gridCol w:w="656"/>
        <w:gridCol w:w="1107"/>
        <w:gridCol w:w="633"/>
        <w:gridCol w:w="870"/>
        <w:gridCol w:w="870"/>
        <w:gridCol w:w="870"/>
        <w:gridCol w:w="870"/>
        <w:gridCol w:w="870"/>
      </w:tblGrid>
      <w:tr>
        <w:trPr>
          <w:trHeight w:val="402" w:hRule="exact"/>
        </w:trPr>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2" w:hRule="exact"/>
        </w:trPr>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157"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8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160" w:right="0"/>
              <w:jc w:val="left"/>
              <w:rPr>
                <w:rFonts w:ascii="宋体" w:hAnsi="宋体" w:cs="宋体" w:eastAsia="宋体" w:hint="default"/>
                <w:sz w:val="18"/>
                <w:szCs w:val="18"/>
              </w:rPr>
            </w:pPr>
            <w:r>
              <w:rPr>
                <w:rFonts w:ascii="宋体" w:hAnsi="宋体" w:cs="宋体" w:eastAsia="宋体" w:hint="default"/>
                <w:sz w:val="18"/>
                <w:szCs w:val="18"/>
              </w:rPr>
              <w:t>资单位</w:t>
            </w: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本期现</w:t>
            </w:r>
          </w:p>
        </w:tc>
      </w:tr>
      <w:tr>
        <w:trPr>
          <w:trHeight w:val="724" w:hRule="exact"/>
        </w:trPr>
        <w:tc>
          <w:tcPr>
            <w:tcW w:w="10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89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0"/>
              <w:ind w:left="26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加</w:t>
            </w: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0" w:lineRule="exact"/>
              <w:ind w:left="143"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before="76"/>
              <w:ind w:left="14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0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3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0"/>
              <w:ind w:left="13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0"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0"/>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67"/>
              <w:ind w:left="340" w:right="15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金红利</w:t>
            </w:r>
          </w:p>
        </w:tc>
      </w:tr>
      <w:tr>
        <w:trPr>
          <w:trHeight w:val="357" w:hRule="exact"/>
        </w:trPr>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891" w:type="dxa"/>
            <w:tcBorders>
              <w:top w:val="single" w:sz="4" w:space="0" w:color="000000"/>
              <w:left w:val="single" w:sz="4" w:space="0" w:color="000000"/>
              <w:bottom w:val="nil" w:sz="6" w:space="0" w:color="auto"/>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656"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c>
          <w:tcPr>
            <w:tcW w:w="633"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0"/>
              <w:jc w:val="left"/>
              <w:rPr>
                <w:rFonts w:ascii="宋体" w:hAnsi="宋体" w:cs="宋体" w:eastAsia="宋体" w:hint="default"/>
                <w:sz w:val="18"/>
                <w:szCs w:val="18"/>
              </w:rPr>
            </w:pPr>
            <w:r>
              <w:rPr>
                <w:rFonts w:ascii="宋体" w:hAnsi="宋体" w:cs="宋体" w:eastAsia="宋体" w:hint="default"/>
                <w:sz w:val="18"/>
                <w:szCs w:val="18"/>
              </w:rPr>
              <w:t>中信村镇 银行股份</w:t>
            </w:r>
          </w:p>
        </w:tc>
        <w:tc>
          <w:tcPr>
            <w:tcW w:w="8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7"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0.00</w:t>
            </w:r>
          </w:p>
        </w:tc>
        <w:tc>
          <w:tcPr>
            <w:tcW w:w="882"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33"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350,000.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91" w:type="dxa"/>
            <w:tcBorders>
              <w:top w:val="nil" w:sz="6" w:space="0" w:color="auto"/>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c>
          <w:tcPr>
            <w:tcW w:w="633"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10"/>
              <w:jc w:val="both"/>
              <w:rPr>
                <w:rFonts w:ascii="宋体" w:hAnsi="宋体" w:cs="宋体" w:eastAsia="宋体" w:hint="default"/>
                <w:sz w:val="18"/>
                <w:szCs w:val="18"/>
              </w:rPr>
            </w:pPr>
            <w:r>
              <w:rPr>
                <w:rFonts w:ascii="宋体" w:hAnsi="宋体" w:cs="宋体" w:eastAsia="宋体" w:hint="default"/>
                <w:sz w:val="18"/>
                <w:szCs w:val="18"/>
              </w:rPr>
              <w:t>浙江联飞 光纤光缆 有限公司</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19,539,7</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65.00</w:t>
            </w:r>
          </w:p>
        </w:tc>
        <w:tc>
          <w:tcPr>
            <w:tcW w:w="882"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19,539,765.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63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之江商学</w:t>
            </w:r>
          </w:p>
        </w:tc>
        <w:tc>
          <w:tcPr>
            <w:tcW w:w="891" w:type="dxa"/>
            <w:vMerge w:val="restart"/>
            <w:tcBorders>
              <w:top w:val="single" w:sz="4" w:space="0" w:color="000000"/>
              <w:left w:val="single" w:sz="4" w:space="0" w:color="000000"/>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656"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c>
          <w:tcPr>
            <w:tcW w:w="633"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2"/>
              <w:jc w:val="left"/>
              <w:rPr>
                <w:rFonts w:ascii="宋体" w:hAnsi="宋体" w:cs="宋体" w:eastAsia="宋体" w:hint="default"/>
                <w:sz w:val="18"/>
                <w:szCs w:val="18"/>
              </w:rPr>
            </w:pPr>
            <w:r>
              <w:rPr>
                <w:rFonts w:ascii="宋体" w:hAnsi="宋体" w:cs="宋体" w:eastAsia="宋体" w:hint="default"/>
                <w:spacing w:val="-15"/>
                <w:sz w:val="18"/>
                <w:szCs w:val="18"/>
              </w:rPr>
              <w:t>（杭州）创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业服务有</w:t>
            </w:r>
          </w:p>
        </w:tc>
        <w:tc>
          <w:tcPr>
            <w:tcW w:w="891" w:type="dxa"/>
            <w:vMerge/>
            <w:tcBorders>
              <w:left w:val="single" w:sz="4" w:space="0" w:color="000000"/>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656"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w:t>
            </w:r>
          </w:p>
        </w:tc>
        <w:tc>
          <w:tcPr>
            <w:tcW w:w="633"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w:t>
            </w:r>
          </w:p>
        </w:tc>
        <w:tc>
          <w:tcPr>
            <w:tcW w:w="870" w:type="dxa"/>
            <w:vMerge/>
            <w:tcBorders>
              <w:left w:val="single" w:sz="4" w:space="0" w:color="000000"/>
              <w:right w:val="single" w:sz="4" w:space="0" w:color="000000"/>
            </w:tcBorders>
          </w:tcPr>
          <w:p>
            <w:pPr/>
          </w:p>
        </w:tc>
      </w:tr>
      <w:tr>
        <w:trPr>
          <w:trHeight w:val="352" w:hRule="exact"/>
        </w:trPr>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91" w:type="dxa"/>
            <w:vMerge/>
            <w:tcBorders>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c>
          <w:tcPr>
            <w:tcW w:w="633"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26,539,7</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65.00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65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27,039,765.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63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报告期内可供出售金融资产减值的变动情况" w:id="258"/>
      <w:bookmarkEnd w:id="258"/>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0、长期股权投资" w:id="259"/>
      <w:bookmarkEnd w:id="259"/>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浙江万</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马海立 斯新能 源有限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2,881,3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12.45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-4,124,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248.15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3,257,0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64.30</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2,881,3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-4,124,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248.15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3,257,0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64.30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浙江电</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腾云光 伏科技 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9,464,3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76.19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9,467,7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72.10</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山东万</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恩新能 源科技 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12,404,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805.05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-316,10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4.24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12,088,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700.81</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21,869,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181.24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-312,70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8.33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21,556,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472.91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24,750,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493.69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-4,436,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956.48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24,813,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537.21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32" w:firstLine="441"/>
        <w:jc w:val="both"/>
      </w:pPr>
      <w:r>
        <w:rPr/>
        <w:t>注：2017年11月15日，本公司与本公司之子公司浙江万马奔腾新能源产业有限公司签订股权转让协议书，将其持有的 </w:t>
      </w:r>
      <w:r>
        <w:rPr>
          <w:spacing w:val="2"/>
        </w:rPr>
        <w:t>山东万恩新能源科技有限公司31%的股权转让给受让方,以其实际出资额13,347,172.00元为转让价款，股权转让基准日为</w:t>
      </w:r>
      <w:r>
        <w:rPr>
          <w:spacing w:val="-62"/>
        </w:rPr>
        <w:t> </w:t>
      </w:r>
      <w:r>
        <w:rPr>
          <w:spacing w:val="-62"/>
        </w:rPr>
      </w:r>
      <w:r>
        <w:rPr/>
        <w:t>2017年12月31日。</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11、投资性房地产" w:id="260"/>
      <w:bookmarkEnd w:id="260"/>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投资性房地产" w:id="261"/>
      <w:bookmarkEnd w:id="26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62"/>
        <w:gridCol w:w="1666"/>
        <w:gridCol w:w="1914"/>
        <w:gridCol w:w="1914"/>
        <w:gridCol w:w="1914"/>
      </w:tblGrid>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18,251,492.81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9,212,558.45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Times New Roman" w:hAnsi="Times New Roman" w:cs="Times New Roman" w:eastAsia="Times New Roman" w:hint="default"/>
                <w:sz w:val="18"/>
                <w:szCs w:val="18"/>
              </w:rPr>
            </w:pPr>
            <w:r>
              <w:rPr>
                <w:rFonts w:ascii="Times New Roman"/>
                <w:sz w:val="18"/>
              </w:rPr>
              <w:t>27,464,051.26</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9"/>
              <w:ind w:left="101" w:right="102" w:firstLine="33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）存货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在建工程转入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18,251,492.81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9,212,558.45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27,464,051.26</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162"/>
        <w:gridCol w:w="1666"/>
        <w:gridCol w:w="1914"/>
        <w:gridCol w:w="1914"/>
        <w:gridCol w:w="1914"/>
      </w:tblGrid>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18,251,492.81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9,212,558.45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27,464,051.26</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二、累计折旧和累计摊销</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9,544,203.79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1,899,264.43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11,443,468.22</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9,544,203.79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1,899,264.43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11,443,468.22</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9,544,203.79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1,899,264.43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11,443,468.22</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86,037.77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86,037.77</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86,037.77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86,037.77</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86,037.77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86,037.77</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8,621,251.25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7,313,294.02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15,934,545.27</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2）采用公允价值计量模式的投资性房地产" w:id="262"/>
      <w:bookmarkEnd w:id="26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2、固定资产" w:id="263"/>
      <w:bookmarkEnd w:id="263"/>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953,397,942.10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753,786,257.05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953,397,942.10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753,786,257.05</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固定资产情况" w:id="264"/>
      <w:bookmarkEnd w:id="26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44"/>
        <w:gridCol w:w="1427"/>
        <w:gridCol w:w="1518"/>
        <w:gridCol w:w="1387"/>
        <w:gridCol w:w="1594"/>
        <w:gridCol w:w="1594"/>
      </w:tblGrid>
      <w:tr>
        <w:trPr>
          <w:trHeight w:val="320"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left="25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left="3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left="3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2044"/>
        <w:gridCol w:w="1427"/>
        <w:gridCol w:w="1518"/>
        <w:gridCol w:w="1387"/>
        <w:gridCol w:w="1594"/>
        <w:gridCol w:w="1594"/>
      </w:tblGrid>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519,909,420.49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858,731,433.34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17,255,469.33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44,033,216.76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1,439,929,539.92</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2"/>
                <w:sz w:val="18"/>
              </w:rPr>
              <w:t>50,110,342.23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224,466,592.23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45,628,431.39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6,711,963.71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326,917,329.56</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8,295,829.77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46,727,987.11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45,497,072.34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6,317,676.08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106,838,565.30</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）在建工程转入</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41,814,512.46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177,738,605.12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131,359.05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394,287.63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220,078,764.26</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18,597,891.51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18,176,676.27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1,665,989.82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1,382,436.85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39,822,994.45</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346,398.70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17,147,912.82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1,665,989.82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1,382,436.85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20,542,738.19</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）转出投资性房地产</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18,251,492.81</w:t>
            </w: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18,251,492.81</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1,028,763.45</w:t>
            </w: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1,028,763.45</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551,421,871.21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1,065,021,349.30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61,217,910.90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49,362,743.62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1,727,023,875.03</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175,106,423.07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470,971,511.47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10,253,746.86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28,450,707.27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684,782,388.67</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27,431,567.08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69,784,298.56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8,074,113.40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4,550,041.18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109,840,020.22</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27,431,567.08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69,784,298.56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8,074,113.40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4,550,041.18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109,840,020.22</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9,728,736.38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10,669,504.84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857,652.68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1,015,438.49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22,271,332.39</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184,532.59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10,471,056.11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857,652.68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1,015,438.49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12,528,679.87</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）转出投资性房地产</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9,544,203.79</w:t>
            </w: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9,544,203.79</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198,448.73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198,448.73</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192,809,253.77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530,086,305.19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17,470,207.58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31,985,309.96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772,351,076.50</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86,037.77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1,069,625.95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5,654.35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199,576.13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1,360,894.20</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86,037.77</w:t>
            </w: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86,037.77</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）转出投资性房地产</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86,037.77</w:t>
            </w: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86,037.77</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1,069,625.95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5,654.35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199,576.13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1,274,856.43</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358,612,617.44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533,865,418.16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43,742,048.97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17,177,857.53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953,397,942.10</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344,716,959.65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386,690,295.92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6,996,068.12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15,382,933.36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753,786,257.05</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未办妥产权证书的固定资产情况" w:id="265"/>
      <w:bookmarkEnd w:id="265"/>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6" w:right="0"/>
              <w:jc w:val="left"/>
              <w:rPr>
                <w:rFonts w:ascii="Times New Roman" w:hAnsi="Times New Roman" w:cs="Times New Roman" w:eastAsia="Times New Roman" w:hint="default"/>
                <w:sz w:val="18"/>
                <w:szCs w:val="18"/>
              </w:rPr>
            </w:pPr>
            <w:r>
              <w:rPr>
                <w:rFonts w:ascii="Times New Roman"/>
                <w:sz w:val="18"/>
              </w:rPr>
              <w:t>32,855,131.35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月已办妥</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13、在建工程" w:id="266"/>
      <w:bookmarkEnd w:id="26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0"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88,500,765.51</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55,644,909.89</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66,690,920.12</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74,658,644.66</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155,191,685.63</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130,303,554.55</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1）在建工程情况" w:id="267"/>
      <w:bookmarkEnd w:id="26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万马智慧充电 创新基地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49,132,865.63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49,132,865.63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5,856,306.01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5,856,306.01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充电桩项目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12,310,076.07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12,310,076.07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15,584,551.78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15,584,551.78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技改工程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6,303,827.94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6,303,827.94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4,473,792.57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4,473,792.57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35kV</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万马高分 子变电站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5,479,307.73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5,479,307.73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638,397.07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638,397.07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光伏主钢架加 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3,801,391.61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3,801,391.61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376,821.93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376,821.93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布电线生产线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2,095,131.17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2,095,131.17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高级工业电子 线项目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21,611,765.13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21,611,765.13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9,378,165.36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9,378,165.36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7,103,275.40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7,103,275.40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88,500,765.51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88,500,765.51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55,644,909.89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55,644,909.89</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重要在建工程项目本期变动情况" w:id="268"/>
      <w:bookmarkEnd w:id="26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25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57" w:right="102"/>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2" w:right="101" w:firstLine="160"/>
              <w:jc w:val="right"/>
              <w:rPr>
                <w:rFonts w:ascii="宋体" w:hAnsi="宋体" w:cs="宋体" w:eastAsia="宋体" w:hint="default"/>
                <w:sz w:val="18"/>
                <w:szCs w:val="18"/>
              </w:rPr>
            </w:pPr>
            <w:r>
              <w:rPr>
                <w:rFonts w:ascii="宋体" w:hAnsi="宋体" w:cs="宋体" w:eastAsia="宋体" w:hint="default"/>
                <w:sz w:val="18"/>
                <w:szCs w:val="18"/>
              </w:rPr>
              <w:t>预算 </w:t>
            </w:r>
            <w:r>
              <w:rPr>
                <w:rFonts w:ascii="宋体" w:hAnsi="宋体" w:cs="宋体" w:eastAsia="宋体" w:hint="default"/>
                <w:spacing w:val="-7"/>
                <w:sz w:val="18"/>
                <w:szCs w:val="18"/>
              </w:rPr>
              <w:t>数（单</w:t>
            </w:r>
            <w:r>
              <w:rPr>
                <w:rFonts w:ascii="宋体" w:hAnsi="宋体" w:cs="宋体" w:eastAsia="宋体" w:hint="default"/>
                <w:sz w:val="18"/>
                <w:szCs w:val="18"/>
              </w:rPr>
              <w:t> </w:t>
            </w:r>
            <w:r>
              <w:rPr>
                <w:rFonts w:ascii="宋体" w:hAnsi="宋体" w:cs="宋体" w:eastAsia="宋体" w:hint="default"/>
                <w:spacing w:val="-7"/>
                <w:sz w:val="18"/>
                <w:szCs w:val="18"/>
              </w:rPr>
              <w:t>位：万</w:t>
            </w:r>
            <w:r>
              <w:rPr>
                <w:rFonts w:ascii="宋体" w:hAnsi="宋体" w:cs="宋体" w:eastAsia="宋体" w:hint="default"/>
                <w:sz w:val="18"/>
                <w:szCs w:val="18"/>
              </w:rPr>
              <w:t>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3" w:right="100"/>
              <w:jc w:val="both"/>
              <w:rPr>
                <w:rFonts w:ascii="宋体" w:hAnsi="宋体" w:cs="宋体" w:eastAsia="宋体" w:hint="default"/>
                <w:sz w:val="18"/>
                <w:szCs w:val="18"/>
              </w:rPr>
            </w:pPr>
            <w:r>
              <w:rPr>
                <w:rFonts w:ascii="宋体" w:hAnsi="宋体" w:cs="宋体" w:eastAsia="宋体" w:hint="default"/>
                <w:sz w:val="18"/>
                <w:szCs w:val="18"/>
              </w:rPr>
              <w:t>期初 余额</w:t>
            </w:r>
          </w:p>
          <w:p>
            <w:pPr>
              <w:pStyle w:val="TableParagraph"/>
              <w:spacing w:line="316" w:lineRule="auto" w:before="19"/>
              <w:ind w:left="263" w:right="100"/>
              <w:jc w:val="both"/>
              <w:rPr>
                <w:rFonts w:ascii="宋体" w:hAnsi="宋体" w:cs="宋体" w:eastAsia="宋体" w:hint="default"/>
                <w:sz w:val="18"/>
                <w:szCs w:val="18"/>
              </w:rPr>
            </w:pPr>
            <w:r>
              <w:rPr>
                <w:rFonts w:ascii="宋体" w:hAnsi="宋体" w:cs="宋体" w:eastAsia="宋体" w:hint="default"/>
                <w:sz w:val="18"/>
                <w:szCs w:val="18"/>
              </w:rPr>
              <w:t>（单 位：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1" w:right="102"/>
              <w:jc w:val="both"/>
              <w:rPr>
                <w:rFonts w:ascii="宋体" w:hAnsi="宋体" w:cs="宋体" w:eastAsia="宋体" w:hint="default"/>
                <w:sz w:val="18"/>
                <w:szCs w:val="18"/>
              </w:rPr>
            </w:pPr>
            <w:r>
              <w:rPr>
                <w:rFonts w:ascii="宋体" w:hAnsi="宋体" w:cs="宋体" w:eastAsia="宋体" w:hint="default"/>
                <w:sz w:val="18"/>
                <w:szCs w:val="18"/>
              </w:rPr>
              <w:t>本期 增加 金额</w:t>
            </w:r>
          </w:p>
          <w:p>
            <w:pPr>
              <w:pStyle w:val="TableParagraph"/>
              <w:spacing w:line="316" w:lineRule="auto" w:before="19"/>
              <w:ind w:left="261" w:right="102"/>
              <w:jc w:val="both"/>
              <w:rPr>
                <w:rFonts w:ascii="宋体" w:hAnsi="宋体" w:cs="宋体" w:eastAsia="宋体" w:hint="default"/>
                <w:sz w:val="18"/>
                <w:szCs w:val="18"/>
              </w:rPr>
            </w:pPr>
            <w:r>
              <w:rPr>
                <w:rFonts w:ascii="宋体" w:hAnsi="宋体" w:cs="宋体" w:eastAsia="宋体" w:hint="default"/>
                <w:sz w:val="18"/>
                <w:szCs w:val="18"/>
              </w:rPr>
              <w:t>（单 位：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2" w:right="10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p>
            <w:pPr>
              <w:pStyle w:val="TableParagraph"/>
              <w:spacing w:line="316" w:lineRule="auto" w:before="19"/>
              <w:ind w:left="262" w:right="101"/>
              <w:jc w:val="both"/>
              <w:rPr>
                <w:rFonts w:ascii="宋体" w:hAnsi="宋体" w:cs="宋体" w:eastAsia="宋体" w:hint="default"/>
                <w:sz w:val="18"/>
                <w:szCs w:val="18"/>
              </w:rPr>
            </w:pPr>
            <w:r>
              <w:rPr>
                <w:rFonts w:ascii="宋体" w:hAnsi="宋体" w:cs="宋体" w:eastAsia="宋体" w:hint="default"/>
                <w:sz w:val="18"/>
                <w:szCs w:val="18"/>
              </w:rPr>
              <w:t>（单 位：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3" w:right="100"/>
              <w:jc w:val="both"/>
              <w:rPr>
                <w:rFonts w:ascii="宋体" w:hAnsi="宋体" w:cs="宋体" w:eastAsia="宋体" w:hint="default"/>
                <w:sz w:val="18"/>
                <w:szCs w:val="18"/>
              </w:rPr>
            </w:pPr>
            <w:r>
              <w:rPr>
                <w:rFonts w:ascii="宋体" w:hAnsi="宋体" w:cs="宋体" w:eastAsia="宋体" w:hint="default"/>
                <w:sz w:val="18"/>
                <w:szCs w:val="18"/>
              </w:rPr>
              <w:t>本期 其他 减少 金额</w:t>
            </w:r>
          </w:p>
          <w:p>
            <w:pPr>
              <w:pStyle w:val="TableParagraph"/>
              <w:spacing w:line="316" w:lineRule="auto" w:before="19"/>
              <w:ind w:left="263" w:right="100"/>
              <w:jc w:val="both"/>
              <w:rPr>
                <w:rFonts w:ascii="宋体" w:hAnsi="宋体" w:cs="宋体" w:eastAsia="宋体" w:hint="default"/>
                <w:sz w:val="18"/>
                <w:szCs w:val="18"/>
              </w:rPr>
            </w:pPr>
            <w:r>
              <w:rPr>
                <w:rFonts w:ascii="宋体" w:hAnsi="宋体" w:cs="宋体" w:eastAsia="宋体" w:hint="default"/>
                <w:sz w:val="18"/>
                <w:szCs w:val="18"/>
              </w:rPr>
              <w:t>（单 位：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1" w:right="102"/>
              <w:jc w:val="both"/>
              <w:rPr>
                <w:rFonts w:ascii="宋体" w:hAnsi="宋体" w:cs="宋体" w:eastAsia="宋体" w:hint="default"/>
                <w:sz w:val="18"/>
                <w:szCs w:val="18"/>
              </w:rPr>
            </w:pPr>
            <w:r>
              <w:rPr>
                <w:rFonts w:ascii="宋体" w:hAnsi="宋体" w:cs="宋体" w:eastAsia="宋体" w:hint="default"/>
                <w:sz w:val="18"/>
                <w:szCs w:val="18"/>
              </w:rPr>
              <w:t>期末 余额</w:t>
            </w:r>
          </w:p>
          <w:p>
            <w:pPr>
              <w:pStyle w:val="TableParagraph"/>
              <w:spacing w:line="316" w:lineRule="auto" w:before="19"/>
              <w:ind w:left="261" w:right="102"/>
              <w:jc w:val="both"/>
              <w:rPr>
                <w:rFonts w:ascii="宋体" w:hAnsi="宋体" w:cs="宋体" w:eastAsia="宋体" w:hint="default"/>
                <w:sz w:val="18"/>
                <w:szCs w:val="18"/>
              </w:rPr>
            </w:pPr>
            <w:r>
              <w:rPr>
                <w:rFonts w:ascii="宋体" w:hAnsi="宋体" w:cs="宋体" w:eastAsia="宋体" w:hint="default"/>
                <w:sz w:val="18"/>
                <w:szCs w:val="18"/>
              </w:rPr>
              <w:t>（单 位：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2" w:right="101"/>
              <w:jc w:val="right"/>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63" w:right="10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02" w:firstLine="158"/>
              <w:jc w:val="right"/>
              <w:rPr>
                <w:rFonts w:ascii="宋体" w:hAnsi="宋体" w:cs="宋体" w:eastAsia="宋体" w:hint="default"/>
                <w:sz w:val="18"/>
                <w:szCs w:val="18"/>
              </w:rPr>
            </w:pPr>
            <w:r>
              <w:rPr>
                <w:rFonts w:ascii="宋体" w:hAnsi="宋体" w:cs="宋体" w:eastAsia="宋体" w:hint="default"/>
                <w:sz w:val="18"/>
                <w:szCs w:val="18"/>
              </w:rPr>
              <w:t>利息 资本 化累 计金 </w:t>
            </w:r>
            <w:r>
              <w:rPr>
                <w:rFonts w:ascii="宋体" w:hAnsi="宋体" w:cs="宋体" w:eastAsia="宋体" w:hint="default"/>
                <w:spacing w:val="-8"/>
                <w:sz w:val="18"/>
                <w:szCs w:val="18"/>
              </w:rPr>
              <w:t>额（单</w:t>
            </w:r>
            <w:r>
              <w:rPr>
                <w:rFonts w:ascii="宋体" w:hAnsi="宋体" w:cs="宋体" w:eastAsia="宋体" w:hint="default"/>
                <w:sz w:val="18"/>
                <w:szCs w:val="18"/>
              </w:rPr>
              <w:t> </w:t>
            </w:r>
            <w:r>
              <w:rPr>
                <w:rFonts w:ascii="宋体" w:hAnsi="宋体" w:cs="宋体" w:eastAsia="宋体" w:hint="default"/>
                <w:spacing w:val="-8"/>
                <w:sz w:val="18"/>
                <w:szCs w:val="18"/>
              </w:rPr>
              <w:t>位：万</w:t>
            </w:r>
            <w:r>
              <w:rPr>
                <w:rFonts w:ascii="宋体" w:hAnsi="宋体" w:cs="宋体" w:eastAsia="宋体" w:hint="default"/>
                <w:sz w:val="18"/>
                <w:szCs w:val="18"/>
              </w:rPr>
              <w:t>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82"/>
              <w:jc w:val="right"/>
              <w:rPr>
                <w:rFonts w:ascii="宋体" w:hAnsi="宋体" w:cs="宋体" w:eastAsia="宋体" w:hint="default"/>
                <w:sz w:val="18"/>
                <w:szCs w:val="18"/>
              </w:rPr>
            </w:pPr>
            <w:r>
              <w:rPr>
                <w:rFonts w:ascii="宋体" w:hAnsi="宋体" w:cs="宋体" w:eastAsia="宋体" w:hint="default"/>
                <w:sz w:val="18"/>
                <w:szCs w:val="18"/>
              </w:rPr>
              <w:t>其中： 本期 利息 资本 化金 </w:t>
            </w:r>
            <w:r>
              <w:rPr>
                <w:rFonts w:ascii="宋体" w:hAnsi="宋体" w:cs="宋体" w:eastAsia="宋体" w:hint="default"/>
                <w:spacing w:val="-7"/>
                <w:sz w:val="18"/>
                <w:szCs w:val="18"/>
              </w:rPr>
              <w:t>额（单</w:t>
            </w:r>
            <w:r>
              <w:rPr>
                <w:rFonts w:ascii="宋体" w:hAnsi="宋体" w:cs="宋体" w:eastAsia="宋体" w:hint="default"/>
                <w:sz w:val="18"/>
                <w:szCs w:val="18"/>
              </w:rPr>
              <w:t> </w:t>
            </w:r>
            <w:r>
              <w:rPr>
                <w:rFonts w:ascii="宋体" w:hAnsi="宋体" w:cs="宋体" w:eastAsia="宋体" w:hint="default"/>
                <w:spacing w:val="-7"/>
                <w:sz w:val="18"/>
                <w:szCs w:val="18"/>
              </w:rPr>
              <w:t>位：万</w:t>
            </w:r>
            <w:r>
              <w:rPr>
                <w:rFonts w:ascii="宋体" w:hAnsi="宋体" w:cs="宋体" w:eastAsia="宋体" w:hint="default"/>
                <w:sz w:val="18"/>
                <w:szCs w:val="18"/>
              </w:rPr>
              <w:t> 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63" w:right="10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61" w:right="102"/>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高级</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工业 电子 线项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w w:val="95"/>
                <w:sz w:val="18"/>
              </w:rPr>
              <w:t>21,611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,765.1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19,588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,716.8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41,200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,482.0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67.04</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充电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4" w:right="0"/>
              <w:jc w:val="left"/>
              <w:rPr>
                <w:rFonts w:ascii="Times New Roman" w:hAnsi="Times New Roman" w:cs="Times New Roman" w:eastAsia="Times New Roman" w:hint="default"/>
                <w:sz w:val="18"/>
                <w:szCs w:val="18"/>
              </w:rPr>
            </w:pPr>
            <w:r>
              <w:rPr>
                <w:rFonts w:ascii="Times New Roman"/>
                <w:sz w:val="18"/>
              </w:rPr>
              <w:t>5,146.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9" w:right="0"/>
              <w:jc w:val="left"/>
              <w:rPr>
                <w:rFonts w:ascii="Times New Roman" w:hAnsi="Times New Roman" w:cs="Times New Roman" w:eastAsia="Times New Roman" w:hint="default"/>
                <w:sz w:val="18"/>
                <w:szCs w:val="18"/>
              </w:rPr>
            </w:pPr>
            <w:r>
              <w:rPr>
                <w:rFonts w:ascii="Times New Roman"/>
                <w:sz w:val="18"/>
              </w:rPr>
              <w:t>15,584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159,37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162,53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3" w:right="0"/>
              <w:jc w:val="left"/>
              <w:rPr>
                <w:rFonts w:ascii="Times New Roman" w:hAnsi="Times New Roman" w:cs="Times New Roman" w:eastAsia="Times New Roman" w:hint="default"/>
                <w:sz w:val="18"/>
                <w:szCs w:val="18"/>
              </w:rPr>
            </w:pPr>
            <w:r>
              <w:rPr>
                <w:rFonts w:ascii="Times New Roman"/>
                <w:sz w:val="18"/>
              </w:rPr>
              <w:t>114,21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12,310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7" w:right="0"/>
              <w:jc w:val="left"/>
              <w:rPr>
                <w:rFonts w:ascii="Times New Roman" w:hAnsi="Times New Roman" w:cs="Times New Roman" w:eastAsia="Times New Roman" w:hint="default"/>
                <w:sz w:val="18"/>
                <w:szCs w:val="18"/>
              </w:rPr>
            </w:pPr>
            <w:r>
              <w:rPr>
                <w:rFonts w:ascii="Times New Roman"/>
                <w:sz w:val="18"/>
              </w:rPr>
              <w:t>23.92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footerReference w:type="default" r:id="rId55"/>
          <w:pgSz w:w="11910" w:h="16840"/>
          <w:pgMar w:footer="1012" w:header="890" w:top="1420" w:bottom="1200" w:left="1020" w:right="0"/>
          <w:pgNumType w:start="120"/>
        </w:sectPr>
      </w:pPr>
    </w:p>
    <w:p>
      <w:pPr>
        <w:spacing w:line="240" w:lineRule="auto" w:before="5"/>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1" w:right="258"/>
              <w:jc w:val="left"/>
              <w:rPr>
                <w:rFonts w:ascii="宋体" w:hAnsi="宋体" w:cs="宋体" w:eastAsia="宋体" w:hint="default"/>
                <w:sz w:val="18"/>
                <w:szCs w:val="18"/>
              </w:rPr>
            </w:pPr>
            <w:r>
              <w:rPr>
                <w:rFonts w:ascii="宋体" w:hAnsi="宋体" w:cs="宋体" w:eastAsia="宋体" w:hint="default"/>
                <w:sz w:val="18"/>
                <w:szCs w:val="18"/>
              </w:rPr>
              <w:t>桩项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,551.7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Times New Roman"/>
                <w:sz w:val="18"/>
              </w:rPr>
              <w:t>3,213.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Times New Roman"/>
                <w:sz w:val="18"/>
              </w:rPr>
              <w:t>3,476.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 w:right="0"/>
              <w:jc w:val="left"/>
              <w:rPr>
                <w:rFonts w:ascii="Times New Roman" w:hAnsi="Times New Roman" w:cs="Times New Roman" w:eastAsia="Times New Roman" w:hint="default"/>
                <w:sz w:val="18"/>
                <w:szCs w:val="18"/>
              </w:rPr>
            </w:pPr>
            <w:r>
              <w:rPr>
                <w:rFonts w:ascii="Times New Roman"/>
                <w:sz w:val="18"/>
              </w:rPr>
              <w:t>2.64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,076.0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万马</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智慧 充电 创新</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21,508</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5,856,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306.01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43,881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,452.4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604,89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2.84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49,132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,865.6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38.12</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261.41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139.74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56"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58"/>
              <w:jc w:val="left"/>
              <w:rPr>
                <w:rFonts w:ascii="宋体" w:hAnsi="宋体" w:cs="宋体" w:eastAsia="宋体" w:hint="default"/>
                <w:sz w:val="18"/>
                <w:szCs w:val="18"/>
              </w:rPr>
            </w:pPr>
            <w:r>
              <w:rPr>
                <w:rFonts w:ascii="宋体" w:hAnsi="宋体" w:cs="宋体" w:eastAsia="宋体" w:hint="default"/>
                <w:sz w:val="18"/>
                <w:szCs w:val="18"/>
              </w:rPr>
              <w:t>技改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4,473,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792.57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3,863,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638.75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1,991,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858.34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41,745</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6,303,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827.94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91.36</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35kV</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58"/>
              <w:jc w:val="both"/>
              <w:rPr>
                <w:rFonts w:ascii="宋体" w:hAnsi="宋体" w:cs="宋体" w:eastAsia="宋体" w:hint="default"/>
                <w:sz w:val="18"/>
                <w:szCs w:val="18"/>
              </w:rPr>
            </w:pPr>
            <w:r>
              <w:rPr>
                <w:rFonts w:ascii="宋体" w:hAnsi="宋体" w:cs="宋体" w:eastAsia="宋体" w:hint="default"/>
                <w:sz w:val="18"/>
                <w:szCs w:val="18"/>
              </w:rPr>
              <w:t>万马 高分 子变</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638,39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4,840,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910.66</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5,479,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307.73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33.21</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3.04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56"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光伏</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主钢 架加 固项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478.52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376,82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1.93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3,424,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569.68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3,801,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391.61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79.44</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8"/>
              <w:jc w:val="both"/>
              <w:rPr>
                <w:rFonts w:ascii="宋体" w:hAnsi="宋体" w:cs="宋体" w:eastAsia="宋体" w:hint="default"/>
                <w:sz w:val="18"/>
                <w:szCs w:val="18"/>
              </w:rPr>
            </w:pPr>
            <w:r>
              <w:rPr>
                <w:rFonts w:ascii="宋体" w:hAnsi="宋体" w:cs="宋体" w:eastAsia="宋体" w:hint="default"/>
                <w:sz w:val="18"/>
                <w:szCs w:val="18"/>
              </w:rPr>
              <w:t>布电 线生 产线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131.17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131.17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95.23</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35,839</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48,541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,634.4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237,06</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7,633.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206,33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155,95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79,122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,600.1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3）工程物资" w:id="269"/>
      <w:bookmarkEnd w:id="269"/>
      <w:r>
        <w:rPr>
          <w:b w:val="0"/>
          <w:bCs w:val="0"/>
        </w:rPr>
      </w:r>
      <w:r>
        <w:rPr/>
        <w:t>（</w:t>
      </w:r>
      <w:r>
        <w:rPr>
          <w:rFonts w:ascii="Times New Roman" w:hAnsi="Times New Roman" w:cs="Times New Roman" w:eastAsia="Times New Roman" w:hint="default"/>
        </w:rPr>
        <w:t>3</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9"/>
        <w:gridCol w:w="1872"/>
        <w:gridCol w:w="1128"/>
        <w:gridCol w:w="1396"/>
        <w:gridCol w:w="1259"/>
        <w:gridCol w:w="963"/>
        <w:gridCol w:w="1361"/>
      </w:tblGrid>
      <w:tr>
        <w:trPr>
          <w:trHeight w:val="322"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56,796,708.12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56,796,708.12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64,444,257.20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64,444,257.20</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电线电缆</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9,585,401.11</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9,585,401.11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10,161,484.99</w:t>
            </w:r>
          </w:p>
        </w:tc>
        <w:tc>
          <w:tcPr>
            <w:tcW w:w="9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10,161,484.99</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308,810.89</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308,810.89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52,902.47</w:t>
            </w:r>
          </w:p>
        </w:tc>
        <w:tc>
          <w:tcPr>
            <w:tcW w:w="9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52,902.47</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66,690,920.12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66,690,920.12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74,658,644.66</w:t>
            </w:r>
          </w:p>
        </w:tc>
        <w:tc>
          <w:tcPr>
            <w:tcW w:w="9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74,658,644.66</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14、无形资产" w:id="270"/>
      <w:bookmarkEnd w:id="270"/>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无形资产情况" w:id="271"/>
      <w:bookmarkEnd w:id="27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6"/>
        <w:gridCol w:w="1400"/>
        <w:gridCol w:w="1175"/>
        <w:gridCol w:w="1367"/>
        <w:gridCol w:w="1367"/>
        <w:gridCol w:w="1367"/>
        <w:gridCol w:w="1367"/>
      </w:tblGrid>
      <w:tr>
        <w:trPr>
          <w:trHeight w:val="400"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商业软件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9"/>
              <w:ind w:left="104"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核算的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1526"/>
        <w:gridCol w:w="1400"/>
        <w:gridCol w:w="1175"/>
        <w:gridCol w:w="1367"/>
        <w:gridCol w:w="1367"/>
        <w:gridCol w:w="1367"/>
        <w:gridCol w:w="1367"/>
      </w:tblGrid>
      <w:tr>
        <w:trPr>
          <w:trHeight w:val="36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180,961,559.94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 w:right="0"/>
              <w:jc w:val="center"/>
              <w:rPr>
                <w:rFonts w:ascii="Times New Roman" w:hAnsi="Times New Roman" w:cs="Times New Roman" w:eastAsia="Times New Roman" w:hint="default"/>
                <w:sz w:val="18"/>
                <w:szCs w:val="18"/>
              </w:rPr>
            </w:pPr>
            <w:r>
              <w:rPr>
                <w:rFonts w:ascii="Times New Roman"/>
                <w:sz w:val="18"/>
              </w:rPr>
              <w:t>1,273,214.45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10,780,427.65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6" w:right="0"/>
              <w:jc w:val="center"/>
              <w:rPr>
                <w:rFonts w:ascii="Times New Roman" w:hAnsi="Times New Roman" w:cs="Times New Roman" w:eastAsia="Times New Roman" w:hint="default"/>
                <w:sz w:val="18"/>
                <w:szCs w:val="18"/>
              </w:rPr>
            </w:pPr>
            <w:r>
              <w:rPr>
                <w:rFonts w:ascii="Times New Roman"/>
                <w:sz w:val="18"/>
              </w:rPr>
              <w:t>9,099,347.55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2,130,036.39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204,244,585.98</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328,481.16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8,336,575.64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8,665,056.80</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328,481.16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328,481.16</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6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8,336,575.64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8,336,575.64</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101" w:right="10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19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9,212,558.45</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141,538.46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9,354,096.91</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141,538.46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141,538.46</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2"/>
              <w:ind w:left="101" w:right="1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转出投资性房</w:t>
            </w:r>
            <w:r>
              <w:rPr>
                <w:rFonts w:ascii="宋体" w:hAnsi="宋体" w:cs="宋体" w:eastAsia="宋体" w:hint="default"/>
                <w:w w:val="99"/>
                <w:sz w:val="18"/>
                <w:szCs w:val="18"/>
              </w:rPr>
              <w:t> </w:t>
            </w:r>
            <w:r>
              <w:rPr>
                <w:rFonts w:ascii="宋体" w:hAnsi="宋体" w:cs="宋体" w:eastAsia="宋体" w:hint="default"/>
                <w:sz w:val="18"/>
                <w:szCs w:val="18"/>
              </w:rPr>
              <w:t>地产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9,212,558.45</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9,212,558.45</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171,749,001.49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 w:right="0"/>
              <w:jc w:val="center"/>
              <w:rPr>
                <w:rFonts w:ascii="Times New Roman" w:hAnsi="Times New Roman" w:cs="Times New Roman" w:eastAsia="Times New Roman" w:hint="default"/>
                <w:sz w:val="18"/>
                <w:szCs w:val="18"/>
              </w:rPr>
            </w:pPr>
            <w:r>
              <w:rPr>
                <w:rFonts w:ascii="Times New Roman"/>
                <w:sz w:val="18"/>
              </w:rPr>
              <w:t>1,273,214.45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11,108,908.81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5" w:right="0"/>
              <w:jc w:val="center"/>
              <w:rPr>
                <w:rFonts w:ascii="Times New Roman" w:hAnsi="Times New Roman" w:cs="Times New Roman" w:eastAsia="Times New Roman" w:hint="default"/>
                <w:sz w:val="18"/>
                <w:szCs w:val="18"/>
              </w:rPr>
            </w:pPr>
            <w:r>
              <w:rPr>
                <w:rFonts w:ascii="Times New Roman"/>
                <w:sz w:val="18"/>
              </w:rPr>
              <w:t>17,435,923.19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1,988,497.93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203,555,545.87</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26,792,163.80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 w:right="0"/>
              <w:jc w:val="center"/>
              <w:rPr>
                <w:rFonts w:ascii="Times New Roman" w:hAnsi="Times New Roman" w:cs="Times New Roman" w:eastAsia="Times New Roman" w:hint="default"/>
                <w:sz w:val="18"/>
                <w:szCs w:val="18"/>
              </w:rPr>
            </w:pPr>
            <w:r>
              <w:rPr>
                <w:rFonts w:ascii="Times New Roman"/>
                <w:sz w:val="18"/>
              </w:rPr>
              <w:t>1,273,214.45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4,160,887.98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6" w:right="0"/>
              <w:jc w:val="center"/>
              <w:rPr>
                <w:rFonts w:ascii="Times New Roman" w:hAnsi="Times New Roman" w:cs="Times New Roman" w:eastAsia="Times New Roman" w:hint="default"/>
                <w:sz w:val="18"/>
                <w:szCs w:val="18"/>
              </w:rPr>
            </w:pPr>
            <w:r>
              <w:rPr>
                <w:rFonts w:ascii="Times New Roman"/>
                <w:sz w:val="18"/>
              </w:rPr>
              <w:t>1,772,486.04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1,067,675.84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35,066,428.11</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4,181,855.36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1,249,529.23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3,487,184.76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747,994.56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9,666,563.91</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4,181,855.36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1,249,529.23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6" w:right="0"/>
              <w:jc w:val="center"/>
              <w:rPr>
                <w:rFonts w:ascii="Times New Roman" w:hAnsi="Times New Roman" w:cs="Times New Roman" w:eastAsia="Times New Roman" w:hint="default"/>
                <w:sz w:val="18"/>
                <w:szCs w:val="18"/>
              </w:rPr>
            </w:pPr>
            <w:r>
              <w:rPr>
                <w:rFonts w:ascii="Times New Roman"/>
                <w:sz w:val="18"/>
              </w:rPr>
              <w:t>3,487,184.76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747,994.56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9,666,563.91</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1,899,264.43</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113,441.33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2,012,705.76</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113,441.33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113,441.33</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2"/>
              <w:ind w:left="101" w:right="1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转出投资性房</w:t>
            </w:r>
            <w:r>
              <w:rPr>
                <w:rFonts w:ascii="宋体" w:hAnsi="宋体" w:cs="宋体" w:eastAsia="宋体" w:hint="default"/>
                <w:w w:val="99"/>
                <w:sz w:val="18"/>
                <w:szCs w:val="18"/>
              </w:rPr>
              <w:t> </w:t>
            </w:r>
            <w:r>
              <w:rPr>
                <w:rFonts w:ascii="宋体" w:hAnsi="宋体" w:cs="宋体" w:eastAsia="宋体" w:hint="default"/>
                <w:sz w:val="18"/>
                <w:szCs w:val="18"/>
              </w:rPr>
              <w:t>地产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1,899,264.43</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1,899,264.43</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29,074,754.73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 w:right="0"/>
              <w:jc w:val="center"/>
              <w:rPr>
                <w:rFonts w:ascii="Times New Roman" w:hAnsi="Times New Roman" w:cs="Times New Roman" w:eastAsia="Times New Roman" w:hint="default"/>
                <w:sz w:val="18"/>
                <w:szCs w:val="18"/>
              </w:rPr>
            </w:pPr>
            <w:r>
              <w:rPr>
                <w:rFonts w:ascii="Times New Roman"/>
                <w:sz w:val="18"/>
              </w:rPr>
              <w:t>1,273,214.45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5,410,417.21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6" w:right="0"/>
              <w:jc w:val="center"/>
              <w:rPr>
                <w:rFonts w:ascii="Times New Roman" w:hAnsi="Times New Roman" w:cs="Times New Roman" w:eastAsia="Times New Roman" w:hint="default"/>
                <w:sz w:val="18"/>
                <w:szCs w:val="18"/>
              </w:rPr>
            </w:pPr>
            <w:r>
              <w:rPr>
                <w:rFonts w:ascii="Times New Roman"/>
                <w:sz w:val="18"/>
              </w:rPr>
              <w:t>5,259,670.80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1,702,229.07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42,720,286.26</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526"/>
        <w:gridCol w:w="1400"/>
        <w:gridCol w:w="1175"/>
        <w:gridCol w:w="1367"/>
        <w:gridCol w:w="1367"/>
        <w:gridCol w:w="1367"/>
        <w:gridCol w:w="1367"/>
      </w:tblGrid>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142,674,246.76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5,698,491.60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12,176,252.39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286,268.86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160,835,259.61</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154,169,396.14</w:t>
            </w:r>
          </w:p>
        </w:tc>
        <w:tc>
          <w:tcPr>
            <w:tcW w:w="11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6,619,539.67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7,326,861.51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1,062,360.55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169,178,157.87</w:t>
            </w:r>
          </w:p>
        </w:tc>
      </w:tr>
    </w:tbl>
    <w:p>
      <w:pPr>
        <w:pStyle w:val="BodyText"/>
        <w:spacing w:line="240" w:lineRule="auto" w:before="51"/>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7.57%</w:t>
      </w:r>
      <w:r>
        <w:rPr/>
        <w:t>。</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15、开发支出" w:id="272"/>
      <w:bookmarkEnd w:id="272"/>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299"/>
        <w:gridCol w:w="1400"/>
        <w:gridCol w:w="755"/>
        <w:gridCol w:w="798"/>
        <w:gridCol w:w="1338"/>
        <w:gridCol w:w="788"/>
        <w:gridCol w:w="703"/>
        <w:gridCol w:w="142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11"/>
              <w:jc w:val="center"/>
              <w:rPr>
                <w:rFonts w:ascii="Times New Roman" w:hAnsi="Times New Roman" w:cs="Times New Roman" w:eastAsia="Times New Roman" w:hint="default"/>
                <w:sz w:val="18"/>
                <w:szCs w:val="18"/>
              </w:rPr>
            </w:pPr>
            <w:r>
              <w:rPr>
                <w:rFonts w:ascii="宋体" w:hAnsi="宋体" w:cs="宋体" w:eastAsia="宋体" w:hint="default"/>
                <w:sz w:val="18"/>
                <w:szCs w:val="18"/>
              </w:rPr>
              <w:t>爱充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1" w:right="0"/>
              <w:jc w:val="left"/>
              <w:rPr>
                <w:rFonts w:ascii="Times New Roman" w:hAnsi="Times New Roman" w:cs="Times New Roman" w:eastAsia="Times New Roman" w:hint="default"/>
                <w:sz w:val="18"/>
                <w:szCs w:val="18"/>
              </w:rPr>
            </w:pPr>
            <w:r>
              <w:rPr>
                <w:rFonts w:ascii="Times New Roman"/>
                <w:sz w:val="18"/>
              </w:rPr>
              <w:t>8,336,575.64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15,629,549.65</w:t>
            </w:r>
          </w:p>
        </w:tc>
        <w:tc>
          <w:tcPr>
            <w:tcW w:w="75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8,336,575.64</w:t>
            </w:r>
          </w:p>
        </w:tc>
        <w:tc>
          <w:tcPr>
            <w:tcW w:w="78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15,629,549.65</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8,336,575.64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15,629,549.65</w:t>
            </w:r>
          </w:p>
        </w:tc>
        <w:tc>
          <w:tcPr>
            <w:tcW w:w="75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8,336,575.64</w:t>
            </w:r>
          </w:p>
        </w:tc>
        <w:tc>
          <w:tcPr>
            <w:tcW w:w="78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15,629,549.65</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6、商誉" w:id="273"/>
      <w:bookmarkEnd w:id="273"/>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商誉账面原值" w:id="274"/>
      <w:bookmarkEnd w:id="27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浙江万马集团</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特种电子电缆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8" w:right="0"/>
              <w:jc w:val="center"/>
              <w:rPr>
                <w:rFonts w:ascii="Times New Roman" w:hAnsi="Times New Roman" w:cs="Times New Roman" w:eastAsia="Times New Roman" w:hint="default"/>
                <w:sz w:val="18"/>
                <w:szCs w:val="18"/>
              </w:rPr>
            </w:pPr>
            <w:r>
              <w:rPr>
                <w:rFonts w:ascii="Times New Roman"/>
                <w:sz w:val="18"/>
              </w:rPr>
              <w:t>295,460,125.84</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8" w:right="0"/>
              <w:jc w:val="center"/>
              <w:rPr>
                <w:rFonts w:ascii="Times New Roman" w:hAnsi="Times New Roman" w:cs="Times New Roman" w:eastAsia="Times New Roman" w:hint="default"/>
                <w:sz w:val="18"/>
                <w:szCs w:val="18"/>
              </w:rPr>
            </w:pPr>
            <w:r>
              <w:rPr>
                <w:rFonts w:ascii="Times New Roman"/>
                <w:sz w:val="18"/>
              </w:rPr>
              <w:t>295,460,125.84</w:t>
            </w:r>
          </w:p>
        </w:tc>
      </w:tr>
      <w:tr>
        <w:trPr>
          <w:trHeight w:val="354"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 w:right="0"/>
              <w:jc w:val="center"/>
              <w:rPr>
                <w:rFonts w:ascii="Times New Roman" w:hAnsi="Times New Roman" w:cs="Times New Roman" w:eastAsia="Times New Roman" w:hint="default"/>
                <w:sz w:val="18"/>
                <w:szCs w:val="18"/>
              </w:rPr>
            </w:pPr>
            <w:r>
              <w:rPr>
                <w:rFonts w:ascii="Times New Roman"/>
                <w:sz w:val="18"/>
              </w:rPr>
              <w:t>295,460,125.84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 w:right="0"/>
              <w:jc w:val="center"/>
              <w:rPr>
                <w:rFonts w:ascii="Times New Roman" w:hAnsi="Times New Roman" w:cs="Times New Roman" w:eastAsia="Times New Roman" w:hint="default"/>
                <w:sz w:val="18"/>
                <w:szCs w:val="18"/>
              </w:rPr>
            </w:pPr>
            <w:r>
              <w:rPr>
                <w:rFonts w:ascii="Times New Roman"/>
                <w:sz w:val="18"/>
              </w:rPr>
              <w:t>295,460,125.84</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商誉减值准备" w:id="275"/>
      <w:bookmarkEnd w:id="27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9"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浙江万马集团</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特种电子电缆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20,913,702.38</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4" w:right="0"/>
              <w:jc w:val="center"/>
              <w:rPr>
                <w:rFonts w:ascii="Times New Roman" w:hAnsi="Times New Roman" w:cs="Times New Roman" w:eastAsia="Times New Roman" w:hint="default"/>
                <w:sz w:val="18"/>
                <w:szCs w:val="18"/>
              </w:rPr>
            </w:pPr>
            <w:r>
              <w:rPr>
                <w:rFonts w:ascii="Times New Roman"/>
                <w:sz w:val="18"/>
              </w:rPr>
              <w:t>20,913,702.38</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20,913,702.38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8"/>
                <w:szCs w:val="18"/>
              </w:rPr>
            </w:pPr>
            <w:r>
              <w:rPr>
                <w:rFonts w:ascii="Times New Roman"/>
                <w:sz w:val="18"/>
              </w:rPr>
              <w:t>20,913,702.38</w:t>
            </w:r>
          </w:p>
        </w:tc>
      </w:tr>
    </w:tbl>
    <w:p>
      <w:pPr>
        <w:pStyle w:val="BodyText"/>
        <w:spacing w:line="338" w:lineRule="auto" w:before="52"/>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spacing w:after="0" w:line="338" w:lineRule="auto"/>
        <w:jc w:val="left"/>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5322"/>
        <w:gridCol w:w="4098"/>
      </w:tblGrid>
      <w:tr>
        <w:trPr>
          <w:trHeight w:val="349" w:hRule="exact"/>
        </w:trPr>
        <w:tc>
          <w:tcPr>
            <w:tcW w:w="532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9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1"/>
              <w:ind w:left="604" w:right="0"/>
              <w:jc w:val="left"/>
              <w:rPr>
                <w:rFonts w:ascii="宋体" w:hAnsi="宋体" w:cs="宋体" w:eastAsia="宋体" w:hint="default"/>
                <w:sz w:val="18"/>
                <w:szCs w:val="18"/>
              </w:rPr>
            </w:pPr>
            <w:r>
              <w:rPr>
                <w:rFonts w:ascii="宋体" w:hAnsi="宋体" w:cs="宋体" w:eastAsia="宋体" w:hint="default"/>
                <w:b/>
                <w:bCs/>
                <w:sz w:val="18"/>
                <w:szCs w:val="18"/>
              </w:rPr>
              <w:t>浙江万马集团特种电子电缆有限公司</w:t>
            </w:r>
            <w:r>
              <w:rPr>
                <w:rFonts w:ascii="宋体" w:hAnsi="宋体" w:cs="宋体" w:eastAsia="宋体" w:hint="default"/>
                <w:sz w:val="18"/>
                <w:szCs w:val="18"/>
              </w:rPr>
            </w: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0"/>
              <w:ind w:left="90" w:right="0"/>
              <w:jc w:val="left"/>
              <w:rPr>
                <w:rFonts w:ascii="宋体" w:hAnsi="宋体" w:cs="宋体" w:eastAsia="宋体" w:hint="default"/>
                <w:sz w:val="18"/>
                <w:szCs w:val="18"/>
              </w:rPr>
            </w:pPr>
            <w:r>
              <w:rPr>
                <w:rFonts w:ascii="宋体" w:hAnsi="宋体" w:cs="宋体" w:eastAsia="宋体" w:hint="default"/>
                <w:sz w:val="18"/>
                <w:szCs w:val="18"/>
              </w:rPr>
              <w:t>商誉账面余额</w:t>
            </w:r>
          </w:p>
        </w:tc>
        <w:tc>
          <w:tcPr>
            <w:tcW w:w="409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0"/>
              <w:ind w:right="86"/>
              <w:jc w:val="right"/>
              <w:rPr>
                <w:rFonts w:ascii="宋体" w:hAnsi="宋体" w:cs="宋体" w:eastAsia="宋体" w:hint="default"/>
                <w:sz w:val="18"/>
                <w:szCs w:val="18"/>
              </w:rPr>
            </w:pPr>
            <w:r>
              <w:rPr>
                <w:rFonts w:ascii="宋体"/>
                <w:spacing w:val="-1"/>
                <w:sz w:val="18"/>
              </w:rPr>
              <w:t>295,460,125.84</w:t>
            </w: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商誉减值准备余额</w:t>
            </w:r>
          </w:p>
        </w:tc>
        <w:tc>
          <w:tcPr>
            <w:tcW w:w="4098" w:type="dxa"/>
            <w:tcBorders>
              <w:top w:val="single" w:sz="4" w:space="0" w:color="000000"/>
              <w:left w:val="single" w:sz="4" w:space="0" w:color="000000"/>
              <w:bottom w:val="single" w:sz="4" w:space="0" w:color="000000"/>
              <w:right w:val="single" w:sz="8" w:space="0" w:color="000000"/>
            </w:tcBorders>
          </w:tcPr>
          <w:p>
            <w:pP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0"/>
              <w:ind w:left="90" w:right="0"/>
              <w:jc w:val="left"/>
              <w:rPr>
                <w:rFonts w:ascii="宋体" w:hAnsi="宋体" w:cs="宋体" w:eastAsia="宋体" w:hint="default"/>
                <w:sz w:val="18"/>
                <w:szCs w:val="18"/>
              </w:rPr>
            </w:pPr>
            <w:r>
              <w:rPr>
                <w:rFonts w:ascii="宋体" w:hAnsi="宋体" w:cs="宋体" w:eastAsia="宋体" w:hint="default"/>
                <w:sz w:val="18"/>
                <w:szCs w:val="18"/>
              </w:rPr>
              <w:t>商誉的账面价值</w:t>
            </w:r>
          </w:p>
        </w:tc>
        <w:tc>
          <w:tcPr>
            <w:tcW w:w="409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0"/>
              <w:ind w:right="86"/>
              <w:jc w:val="right"/>
              <w:rPr>
                <w:rFonts w:ascii="宋体" w:hAnsi="宋体" w:cs="宋体" w:eastAsia="宋体" w:hint="default"/>
                <w:sz w:val="18"/>
                <w:szCs w:val="18"/>
              </w:rPr>
            </w:pPr>
            <w:r>
              <w:rPr>
                <w:rFonts w:ascii="宋体"/>
                <w:spacing w:val="-1"/>
                <w:sz w:val="18"/>
              </w:rPr>
              <w:t>295,460,125.84</w:t>
            </w: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p>
        </w:tc>
        <w:tc>
          <w:tcPr>
            <w:tcW w:w="4098" w:type="dxa"/>
            <w:tcBorders>
              <w:top w:val="single" w:sz="4" w:space="0" w:color="000000"/>
              <w:left w:val="single" w:sz="4" w:space="0" w:color="000000"/>
              <w:bottom w:val="single" w:sz="4" w:space="0" w:color="000000"/>
              <w:right w:val="single" w:sz="8" w:space="0" w:color="000000"/>
            </w:tcBorders>
          </w:tcPr>
          <w:p>
            <w:pP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0"/>
              <w:ind w:left="90"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w:t>
            </w:r>
          </w:p>
        </w:tc>
        <w:tc>
          <w:tcPr>
            <w:tcW w:w="4098" w:type="dxa"/>
            <w:tcBorders>
              <w:top w:val="single" w:sz="4" w:space="0" w:color="000000"/>
              <w:left w:val="single" w:sz="4" w:space="0" w:color="000000"/>
              <w:bottom w:val="single" w:sz="4" w:space="0" w:color="000000"/>
              <w:right w:val="single" w:sz="8" w:space="0" w:color="000000"/>
            </w:tcBorders>
          </w:tcPr>
          <w:p>
            <w:pP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409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right="86"/>
              <w:jc w:val="right"/>
              <w:rPr>
                <w:rFonts w:ascii="宋体" w:hAnsi="宋体" w:cs="宋体" w:eastAsia="宋体" w:hint="default"/>
                <w:sz w:val="18"/>
                <w:szCs w:val="18"/>
              </w:rPr>
            </w:pPr>
            <w:r>
              <w:rPr>
                <w:rFonts w:ascii="宋体"/>
                <w:spacing w:val="-1"/>
                <w:sz w:val="18"/>
              </w:rPr>
              <w:t>342,912,576.54</w:t>
            </w: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0"/>
              <w:ind w:left="90" w:right="0"/>
              <w:jc w:val="left"/>
              <w:rPr>
                <w:rFonts w:ascii="宋体" w:hAnsi="宋体" w:cs="宋体" w:eastAsia="宋体" w:hint="default"/>
                <w:sz w:val="18"/>
                <w:szCs w:val="18"/>
              </w:rPr>
            </w:pPr>
            <w:r>
              <w:rPr>
                <w:rFonts w:ascii="宋体" w:hAnsi="宋体" w:cs="宋体" w:eastAsia="宋体" w:hint="default"/>
                <w:sz w:val="18"/>
                <w:szCs w:val="18"/>
              </w:rPr>
              <w:t>包含整体商誉的资产组公允价值</w:t>
            </w:r>
          </w:p>
        </w:tc>
        <w:tc>
          <w:tcPr>
            <w:tcW w:w="409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0"/>
              <w:ind w:right="86"/>
              <w:jc w:val="right"/>
              <w:rPr>
                <w:rFonts w:ascii="宋体" w:hAnsi="宋体" w:cs="宋体" w:eastAsia="宋体" w:hint="default"/>
                <w:sz w:val="18"/>
                <w:szCs w:val="18"/>
              </w:rPr>
            </w:pPr>
            <w:r>
              <w:rPr>
                <w:rFonts w:ascii="宋体"/>
                <w:spacing w:val="-1"/>
                <w:sz w:val="18"/>
              </w:rPr>
              <w:t>638,372,702.38</w:t>
            </w:r>
          </w:p>
        </w:tc>
      </w:tr>
      <w:tr>
        <w:trPr>
          <w:trHeight w:val="342" w:hRule="exact"/>
        </w:trPr>
        <w:tc>
          <w:tcPr>
            <w:tcW w:w="53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w:t>
            </w:r>
          </w:p>
        </w:tc>
        <w:tc>
          <w:tcPr>
            <w:tcW w:w="409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right="86"/>
              <w:jc w:val="right"/>
              <w:rPr>
                <w:rFonts w:ascii="宋体" w:hAnsi="宋体" w:cs="宋体" w:eastAsia="宋体" w:hint="default"/>
                <w:sz w:val="18"/>
                <w:szCs w:val="18"/>
              </w:rPr>
            </w:pPr>
            <w:r>
              <w:rPr>
                <w:rFonts w:ascii="宋体"/>
                <w:spacing w:val="-1"/>
                <w:sz w:val="18"/>
              </w:rPr>
              <w:t>617,459,000.00</w:t>
            </w:r>
          </w:p>
        </w:tc>
      </w:tr>
      <w:tr>
        <w:trPr>
          <w:trHeight w:val="358" w:hRule="exact"/>
        </w:trPr>
        <w:tc>
          <w:tcPr>
            <w:tcW w:w="532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0"/>
              <w:ind w:left="90"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409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pacing w:val="-1"/>
                <w:sz w:val="18"/>
              </w:rPr>
              <w:t>20,913,702.38</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034" w:firstLine="420"/>
        <w:jc w:val="left"/>
      </w:pPr>
      <w:r>
        <w:rPr/>
        <w:t>注：本公司基于评估基准日的评估范围，是与本公司收购浙江万马集团特种电子电缆有限公司（万马特缆）形成的商 </w:t>
      </w:r>
      <w:r>
        <w:rPr>
          <w:spacing w:val="-2"/>
        </w:rPr>
        <w:t>誉相关的资产组，系包含商誉的资产组。被划分至资产组的万马特缆（合并报表口径）的资产和负债包括营运资产、固定资</w:t>
      </w:r>
      <w:r>
        <w:rPr>
          <w:spacing w:val="-63"/>
        </w:rPr>
        <w:t> </w:t>
      </w:r>
      <w:r>
        <w:rPr>
          <w:spacing w:val="-63"/>
        </w:rPr>
      </w:r>
      <w:r>
        <w:rPr>
          <w:spacing w:val="-2"/>
        </w:rPr>
        <w:t>产、在建工程、无形资产及营运负债。资产组预计未来现金流量的现值（可回收金额）利用了中威正信（北京）资产评估有</w:t>
      </w:r>
      <w:r>
        <w:rPr>
          <w:spacing w:val="-63"/>
        </w:rPr>
        <w:t> </w:t>
      </w:r>
      <w:r>
        <w:rPr>
          <w:spacing w:val="-63"/>
        </w:rPr>
      </w:r>
      <w:r>
        <w:rPr>
          <w:spacing w:val="-2"/>
        </w:rPr>
        <w:t>限公司2019年1月22日（中威正信评报字[2019]第11002号《浙江万马股份有限公司拟进行商誉减值测试所涉及的浙江万马集</w:t>
      </w:r>
      <w:r>
        <w:rPr>
          <w:spacing w:val="-55"/>
        </w:rPr>
        <w:t> </w:t>
      </w:r>
      <w:r>
        <w:rPr>
          <w:spacing w:val="-55"/>
        </w:rPr>
      </w:r>
      <w:r>
        <w:rPr/>
        <w:t>团特种电子电缆有限公司资产组可收回价值资产评估报告》的评估结果，根据万马特缆已签订的的合同、协议、发展规划、 </w:t>
      </w:r>
      <w:r>
        <w:rPr>
          <w:spacing w:val="-2"/>
        </w:rPr>
        <w:t>历年经营趋势等因素的综合分析，对评估基准日未来五年的主营业务收入及相关的成本、费用、利润进行预测，忽略经营的</w:t>
      </w:r>
      <w:r>
        <w:rPr>
          <w:spacing w:val="-64"/>
        </w:rPr>
        <w:t> </w:t>
      </w:r>
      <w:r>
        <w:rPr>
          <w:spacing w:val="-64"/>
        </w:rPr>
      </w:r>
      <w:r>
        <w:rPr/>
        <w:t>波动性进行预测，得到被评估资产组的可收回价值为61,745.90万元，折现率为9.96%。</w:t>
      </w:r>
    </w:p>
    <w:p>
      <w:pPr>
        <w:pStyle w:val="BodyText"/>
        <w:spacing w:line="240" w:lineRule="auto" w:before="19"/>
        <w:ind w:left="384" w:right="0"/>
        <w:jc w:val="left"/>
      </w:pPr>
      <w:r>
        <w:rPr/>
        <w:t>经测试，本公司收购万马特缆形成的商誉需减值20,913,702.38元。</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7、长期待摊费用" w:id="276"/>
      <w:bookmarkEnd w:id="276"/>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62"/>
        <w:gridCol w:w="1491"/>
        <w:gridCol w:w="1409"/>
        <w:gridCol w:w="1582"/>
        <w:gridCol w:w="1328"/>
        <w:gridCol w:w="1594"/>
      </w:tblGrid>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5"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7,220,023.29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3,612,941.97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3,259,950.77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7,573,014.49</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828,621.40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695,382.11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133,239.29</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3,520,902.67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969,623.58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995,717.45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3,494,808.80</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4,201,151.13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606,855.33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3,299,660.49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1,508,345.97</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256,417.02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574,996.29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240,689.42</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590,723.89</w:t>
            </w:r>
          </w:p>
        </w:tc>
      </w:tr>
      <w:tr>
        <w:trPr>
          <w:trHeight w:val="322"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16,027,115.51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5,764,417.17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8,491,400.24</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13,300,132.44</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8、递延所得税资产/递延所得税负债" w:id="277"/>
      <w:bookmarkEnd w:id="277"/>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278"/>
      <w:bookmarkEnd w:id="27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170,344,361.98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26,307,305.71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124,613,150.66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19,333,257.24</w:t>
            </w:r>
          </w:p>
        </w:tc>
      </w:tr>
      <w:tr>
        <w:trPr>
          <w:trHeight w:val="71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8"/>
              <w:jc w:val="left"/>
              <w:rPr>
                <w:rFonts w:ascii="宋体" w:hAnsi="宋体" w:cs="宋体" w:eastAsia="宋体" w:hint="default"/>
                <w:sz w:val="18"/>
                <w:szCs w:val="18"/>
              </w:rPr>
            </w:pPr>
            <w:r>
              <w:rPr>
                <w:rFonts w:ascii="宋体" w:hAnsi="宋体" w:cs="宋体" w:eastAsia="宋体" w:hint="default"/>
                <w:sz w:val="18"/>
                <w:szCs w:val="18"/>
              </w:rPr>
              <w:t>固定资产折旧年限不 同导致的折旧差异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13,353,043.46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2,075,748.55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13,192,740.40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2,080,061.11</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计入递延收益的政府 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7,747,370.29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1,162,105.54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10,596,743.76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1,589,511.56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48,943,269.93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11,987,804.81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18,721,934.22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4,584,101.32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216,810.56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32,521.58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2,951,616.28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442,742.45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4,710,516.06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706,577.41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现金流量套期损益有 效部分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41,994,489.00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6,299,173.35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285,550,961.50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48,307,401.99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171,935,085.10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28,308,508.64</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未经抵销的递延所得税负债" w:id="279"/>
      <w:bookmarkEnd w:id="27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8"/>
              <w:jc w:val="both"/>
              <w:rPr>
                <w:rFonts w:ascii="宋体" w:hAnsi="宋体" w:cs="宋体" w:eastAsia="宋体" w:hint="default"/>
                <w:sz w:val="18"/>
                <w:szCs w:val="18"/>
              </w:rPr>
            </w:pPr>
            <w:r>
              <w:rPr>
                <w:rFonts w:ascii="宋体" w:hAnsi="宋体" w:cs="宋体" w:eastAsia="宋体" w:hint="default"/>
                <w:sz w:val="18"/>
                <w:szCs w:val="18"/>
              </w:rPr>
              <w:t>企业合并产生的公允 价值高于账面价值的 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10,643,195.17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1,596,479.26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11,957,270.82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1,793,590.61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固定资产折旧年限不 同导致的折旧差异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4,812,927.73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721,939.16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29,036.35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4,355.45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21,970.35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3,295.55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现金流量套期损益有 效部分</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41,973,036.74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6,295,955.51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15,485,159.25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2,322,773.87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53,952,277.91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8,092,841.67</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以抵销后净额列示的递延所得税资产或负债" w:id="280"/>
      <w:bookmarkEnd w:id="28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48,307,401.99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28,308,508.64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2,322,773.87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8,092,841.67</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未确认递延所得税资产明细" w:id="281"/>
      <w:bookmarkEnd w:id="28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2,825,941.18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870,642.77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198,502,636.86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133,194,721.07</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5" w:right="0"/>
              <w:jc w:val="left"/>
              <w:rPr>
                <w:rFonts w:ascii="Times New Roman" w:hAnsi="Times New Roman" w:cs="Times New Roman" w:eastAsia="Times New Roman" w:hint="default"/>
                <w:sz w:val="18"/>
                <w:szCs w:val="18"/>
              </w:rPr>
            </w:pPr>
            <w:r>
              <w:rPr>
                <w:rFonts w:ascii="Times New Roman"/>
                <w:sz w:val="18"/>
              </w:rPr>
              <w:t>201,328,578.04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134,065,363.84</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5）未确认递延所得税资产的可抵扣亏损将于以下年度到期" w:id="282"/>
      <w:bookmarkEnd w:id="28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22,230.36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2,120,972.64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3,824,295.97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28,716,980.29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47,773,437.12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74,493,864.70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81,574,757.62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93,170,819.23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198,502,636.86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133,194,721.07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19、短期借款" w:id="283"/>
      <w:bookmarkEnd w:id="283"/>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短期借款分类" w:id="284"/>
      <w:bookmarkEnd w:id="28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555,332,476.13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719,528,828.04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1,195,332,476.13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1,254,528,828.04</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5"/>
          <w:szCs w:val="15"/>
        </w:rPr>
      </w:pPr>
    </w:p>
    <w:p>
      <w:pPr>
        <w:pStyle w:val="BodyText"/>
        <w:spacing w:line="316" w:lineRule="auto"/>
        <w:ind w:right="1130" w:firstLine="420"/>
        <w:jc w:val="both"/>
      </w:pPr>
      <w:r>
        <w:rPr>
          <w:spacing w:val="-1"/>
        </w:rPr>
        <w:t>注：1）截止2018年12月31日，本集团保证借款余额555,332,476.13元。情况如下：本公司向中国工商银行浙江省分行</w:t>
      </w:r>
      <w:r>
        <w:rPr/>
        <w:t> </w:t>
      </w:r>
      <w:r>
        <w:rPr>
          <w:spacing w:val="-2"/>
        </w:rPr>
        <w:t>借款150,000,000.00元，使用万马联合控股集团有限公司、张德生、陆珍玉提供的最高额保证担保额度；本公司向建行临安</w:t>
      </w:r>
      <w:r>
        <w:rPr>
          <w:spacing w:val="-57"/>
        </w:rPr>
        <w:t> </w:t>
      </w:r>
      <w:r>
        <w:rPr>
          <w:spacing w:val="-57"/>
        </w:rPr>
      </w:r>
      <w:r>
        <w:rPr>
          <w:spacing w:val="-2"/>
        </w:rPr>
        <w:t>支行借款100,000,000.00元，使用浙江万马智能科技集团有限公司提供的最高额保证担保额度；本公司向交通银行临安支行</w:t>
      </w:r>
      <w:r>
        <w:rPr>
          <w:spacing w:val="-57"/>
        </w:rPr>
        <w:t> </w:t>
      </w:r>
      <w:r>
        <w:rPr>
          <w:spacing w:val="-57"/>
        </w:rPr>
      </w:r>
      <w:r>
        <w:rPr/>
        <w:t>借款42,500,000.00元，使用浙江万马智能科技集团有限公司以及张德生提供的最高额保证担保额度；本公司向浦发银行临</w:t>
      </w:r>
      <w:r>
        <w:rPr/>
        <w:t> </w:t>
      </w:r>
      <w:r>
        <w:rPr>
          <w:spacing w:val="5"/>
        </w:rPr>
        <w:t>安支行借款20,000,000.00元，使用万马联合控股集团有限公司提供的保证担保额度；本公司向汇丰银行杭州分行借款</w:t>
      </w:r>
      <w:r>
        <w:rPr>
          <w:spacing w:val="-35"/>
        </w:rPr>
        <w:t> </w:t>
      </w:r>
      <w:r>
        <w:rPr>
          <w:spacing w:val="-35"/>
        </w:rPr>
      </w:r>
      <w:r>
        <w:rPr>
          <w:spacing w:val="-2"/>
        </w:rPr>
        <w:t>201,302,024.73元，使用浙江万马智能科技集团有限公司、张德生、陆珍玉提供的保证担保额度；本公司之子公司浙江万马</w:t>
      </w:r>
      <w:r>
        <w:rPr>
          <w:spacing w:val="-57"/>
        </w:rPr>
        <w:t> </w:t>
      </w:r>
      <w:r>
        <w:rPr>
          <w:spacing w:val="-57"/>
        </w:rPr>
      </w:r>
      <w:r>
        <w:rPr/>
        <w:t>高分子材料有限公司向交行银行临安支行借款10,000,000.00元，使用本公司和张德生为其提供的最高额保证担保额度；本</w:t>
      </w:r>
      <w:r>
        <w:rPr/>
        <w:t> </w:t>
      </w:r>
      <w:r>
        <w:rPr>
          <w:spacing w:val="13"/>
        </w:rPr>
        <w:t>公司之子公司浙江万马集团特种电子电缆有限公司向宁波银行杭州分行借款</w:t>
      </w:r>
      <w:r>
        <w:rPr>
          <w:spacing w:val="-63"/>
        </w:rPr>
        <w:t> </w:t>
      </w:r>
      <w:r>
        <w:rPr>
          <w:spacing w:val="6"/>
        </w:rPr>
        <w:t>4,018,000.00欧元，期末折算成人民币</w:t>
      </w:r>
      <w:r>
        <w:rPr>
          <w:spacing w:val="-70"/>
        </w:rPr>
        <w:t> </w:t>
      </w:r>
      <w:r>
        <w:rPr>
          <w:spacing w:val="-70"/>
        </w:rPr>
      </w:r>
      <w:r>
        <w:rPr/>
        <w:t>31,530,451.40元，使用本公司为其提供的最高额保证担保额度。</w:t>
      </w:r>
    </w:p>
    <w:p>
      <w:pPr>
        <w:pStyle w:val="BodyText"/>
        <w:spacing w:line="316" w:lineRule="auto" w:before="139"/>
        <w:ind w:right="1132" w:firstLine="441"/>
        <w:jc w:val="both"/>
      </w:pPr>
      <w:r>
        <w:rPr/>
        <w:t>2）截止2018年12月31日，本集团保证+抵押借款余额450,000,000.00元，情况如下：本公司之子公司浙江万马高分子 材料有限公司向中国银行浙江省分行借款40,000,000.00元，使用本公司为其提供最高额保证和高分子公司提供的最高额抵 押；本公司之子公司浙江万马高分子材料有限公司向农业银行临安支行借款50,000,000.00元，使用本公司为其提供最高额 保证和高分子公司提供的余值抵押；本公司向中国银行浙江省分行借款60,000,000.00元，使用万马联合控股集团有限公司 </w:t>
      </w:r>
      <w:r>
        <w:rPr>
          <w:spacing w:val="-2"/>
        </w:rPr>
        <w:t>提供的最高额保证和本公司提供的最高额抵押；本公司向中国进出口银行杭州分行借款300,000,000.00元，使用万马联合控</w:t>
      </w:r>
    </w:p>
    <w:p>
      <w:pPr>
        <w:spacing w:after="0" w:line="316" w:lineRule="auto"/>
        <w:jc w:val="both"/>
        <w:sectPr>
          <w:pgSz w:w="11910" w:h="16840"/>
          <w:pgMar w:header="890" w:footer="1012" w:top="1420" w:bottom="1200" w:left="1020" w:right="0"/>
        </w:sectPr>
      </w:pPr>
    </w:p>
    <w:p>
      <w:pPr>
        <w:pStyle w:val="BodyText"/>
        <w:spacing w:line="240" w:lineRule="auto" w:before="66"/>
        <w:ind w:right="0"/>
        <w:jc w:val="left"/>
      </w:pPr>
      <w:r>
        <w:rPr/>
        <w:t>股集团有限公司提供的最高额保证和本公司提供的最高额抵押。</w:t>
      </w:r>
    </w:p>
    <w:p>
      <w:pPr>
        <w:spacing w:line="240" w:lineRule="auto" w:before="0"/>
        <w:rPr>
          <w:rFonts w:ascii="宋体" w:hAnsi="宋体" w:cs="宋体" w:eastAsia="宋体" w:hint="default"/>
          <w:sz w:val="15"/>
          <w:szCs w:val="15"/>
        </w:rPr>
      </w:pPr>
    </w:p>
    <w:p>
      <w:pPr>
        <w:pStyle w:val="BodyText"/>
        <w:spacing w:line="316" w:lineRule="auto"/>
        <w:ind w:right="0" w:firstLine="441"/>
        <w:jc w:val="left"/>
      </w:pPr>
      <w:r>
        <w:rPr/>
        <w:t>3）截止2018年12月31日，本集团抵押借款余额45,000,000.00元。情况如下：本公司之子公司浙江万马高分子材料有 限公司向中国农业银行临安支行的借款45,000,000.00元，以高分子公司房屋建筑物和土地使用权为抵押。</w:t>
      </w:r>
    </w:p>
    <w:p>
      <w:pPr>
        <w:pStyle w:val="BodyText"/>
        <w:spacing w:line="240" w:lineRule="auto" w:before="139"/>
        <w:ind w:left="554" w:right="0"/>
        <w:jc w:val="left"/>
      </w:pPr>
      <w:r>
        <w:rPr/>
        <w:t>4）已抵押固定资产与无形资产账面价值情况详见本附注七、54.所有权或使用权收到限制的资产。</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已逾期未偿还的短期借款情况" w:id="285"/>
      <w:bookmarkEnd w:id="28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0、以公允价值计量且其变动计入当期损益的金融负债" w:id="286"/>
      <w:bookmarkEnd w:id="286"/>
      <w:r>
        <w:rPr>
          <w:b w:val="0"/>
          <w:bCs w:val="0"/>
        </w:rPr>
      </w:r>
      <w:r>
        <w:rPr>
          <w:rFonts w:ascii="Times New Roman" w:hAnsi="Times New Roman" w:cs="Times New Roman" w:eastAsia="Times New Roman" w:hint="default"/>
        </w:rPr>
        <w:t>20</w:t>
      </w:r>
      <w:r>
        <w:rPr/>
        <w:t>、以公允价值计量且其变动计入当期损益的金融负债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1、衍生金融负债" w:id="287"/>
      <w:bookmarkEnd w:id="287"/>
      <w:r>
        <w:rPr>
          <w:b w:val="0"/>
          <w:bCs w:val="0"/>
        </w:rPr>
      </w:r>
      <w:r>
        <w:rPr>
          <w:rFonts w:ascii="Times New Roman" w:hAnsi="Times New Roman" w:cs="Times New Roman" w:eastAsia="Times New Roman" w:hint="default"/>
        </w:rPr>
        <w:t>21</w:t>
      </w:r>
      <w:r>
        <w:rPr/>
        <w:t>、衍生金融负债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远期结购汇浮亏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855,651.36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855,651.36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2、应付票据及应付账款" w:id="288"/>
      <w:bookmarkEnd w:id="288"/>
      <w:r>
        <w:rPr>
          <w:b w:val="0"/>
          <w:bCs w:val="0"/>
        </w:rPr>
      </w:r>
      <w:r>
        <w:rPr>
          <w:rFonts w:ascii="Times New Roman" w:hAnsi="Times New Roman" w:cs="Times New Roman" w:eastAsia="Times New Roman" w:hint="default"/>
        </w:rPr>
        <w:t>22</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687,397,850.80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281,368,884.64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647,968,546.65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585,486,113.01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1,335,366,397.45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866,854,997.65</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1）应付票据分类列示" w:id="289"/>
      <w:bookmarkEnd w:id="28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676,397,850.80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281,368,884.64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687,397,850.80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281,368,884.64</w:t>
            </w:r>
          </w:p>
        </w:tc>
      </w:tr>
    </w:tbl>
    <w:p>
      <w:pPr>
        <w:pStyle w:val="BodyText"/>
        <w:spacing w:line="240" w:lineRule="auto" w:before="52"/>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应付账款列示" w:id="290"/>
      <w:bookmarkEnd w:id="29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614,150,028.42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550,716,791.88</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17,293,580.92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25,965,259.65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10,375,829.34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4,494,478.89</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6,149,107.97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4,309,582.59</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647,968,546.65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585,486,113.01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账龄超过1年的重要应付账款" w:id="291"/>
      <w:bookmarkEnd w:id="29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1,157,154.03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2,057,160.36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1,146,278.01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6,738,666.65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2,938,630.87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1,046,778.20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1,353,811.93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16,438,480.05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23、预收款项" w:id="292"/>
      <w:bookmarkEnd w:id="292"/>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预收款项列示" w:id="293"/>
      <w:bookmarkEnd w:id="29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158,837,519.07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131,103,579.52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24,840,095.82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28,370,386.63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10,849,320.15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5,683,376.94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5,325,705.33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3,139,261.09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199,852,640.37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168,296,604.18</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账龄超过1年的重要预收款项"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3,206,094.09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尚未执行</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尚未执行</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1,259,054.45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尚未执行</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1,035,223.21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尚未执行</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1,089,823.73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尚未执行</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8,090,195.48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20" w:bottom="1200" w:left="1020" w:right="0"/>
        </w:sectPr>
      </w:pPr>
    </w:p>
    <w:p>
      <w:pPr>
        <w:pStyle w:val="Heading6"/>
        <w:spacing w:line="240" w:lineRule="auto" w:before="43"/>
        <w:ind w:right="0"/>
        <w:jc w:val="left"/>
        <w:rPr>
          <w:b w:val="0"/>
          <w:bCs w:val="0"/>
        </w:rPr>
      </w:pPr>
      <w:bookmarkStart w:name="24、应付职工薪酬" w:id="295"/>
      <w:bookmarkEnd w:id="295"/>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付职工薪酬列示" w:id="296"/>
      <w:bookmarkEnd w:id="29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1509"/>
        <w:gridCol w:w="1909"/>
        <w:gridCol w:w="1712"/>
        <w:gridCol w:w="1914"/>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65,969,196.77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376,455,490.21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374,255,060.31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68,169,626.67</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2,163,232.13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28,525,389.09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28,464,968.79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2,223,652.43</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09"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1,240,734.00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1,240,734.00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68,132,428.90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406,221,613.30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403,960,763.10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70,393,279.10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短期薪酬列示" w:id="297"/>
      <w:bookmarkEnd w:id="29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62"/>
        <w:gridCol w:w="1782"/>
        <w:gridCol w:w="1909"/>
        <w:gridCol w:w="1709"/>
        <w:gridCol w:w="1608"/>
      </w:tblGrid>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51,846,153.73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330,474,800.85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327,756,993.74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54,563,960.84</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13,133,851.87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13,133,851.87</w:t>
            </w: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1,718,295.26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17,435,859.23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17,554,573.02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1,599,581.47</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1,436,654.02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13,131,309.48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13,262,931.08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1,305,032.42</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146,626.97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3,251,206.08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3,243,679.06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154,153.99</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135,014.27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1,053,343.67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1,047,962.88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140,395.06</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90,256.31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10,254,355.76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10,217,322.52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127,289.55</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12,314,491.47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5,156,622.50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5,592,319.16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11,878,794.81</w:t>
            </w:r>
          </w:p>
        </w:tc>
      </w:tr>
      <w:tr>
        <w:trPr>
          <w:trHeight w:val="402" w:hRule="exact"/>
        </w:trPr>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65,969,196.77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376,455,490.21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374,255,060.31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68,169,626.67</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3）设定提存计划列示" w:id="298"/>
      <w:bookmarkEnd w:id="29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2,082,293.18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27,821,026.21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27,756,318.45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2,147,000.94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80,938.95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704,362.88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708,650.34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76,651.49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2,163,232.13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28,525,389.09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28,464,968.79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2,223,652.43</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5、应交税费" w:id="299"/>
      <w:bookmarkEnd w:id="299"/>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46" w:right="0"/>
              <w:jc w:val="left"/>
              <w:rPr>
                <w:rFonts w:ascii="Times New Roman" w:hAnsi="Times New Roman" w:cs="Times New Roman" w:eastAsia="Times New Roman" w:hint="default"/>
                <w:sz w:val="18"/>
                <w:szCs w:val="18"/>
              </w:rPr>
            </w:pPr>
            <w:r>
              <w:rPr>
                <w:rFonts w:ascii="Times New Roman"/>
                <w:sz w:val="18"/>
              </w:rPr>
              <w:t>14,161,378.98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40" w:right="0"/>
              <w:jc w:val="left"/>
              <w:rPr>
                <w:rFonts w:ascii="Times New Roman" w:hAnsi="Times New Roman" w:cs="Times New Roman" w:eastAsia="Times New Roman" w:hint="default"/>
                <w:sz w:val="18"/>
                <w:szCs w:val="18"/>
              </w:rPr>
            </w:pPr>
            <w:r>
              <w:rPr>
                <w:rFonts w:ascii="Times New Roman"/>
                <w:sz w:val="18"/>
              </w:rPr>
              <w:t>21,752,904.71</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650,089.69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2,888,674.50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628,924.22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1,390,490.05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772,148.39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1,099,895.95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211,631.51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246,391.38</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551,534.59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805,386.59</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15,297.53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24,841.55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3,472.12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630.00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580,908.23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821,719.62</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2,379,791.66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2,297,663.76</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19,955,176.92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31,328,598.11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6、其他应付款" w:id="300"/>
      <w:bookmarkEnd w:id="300"/>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11,934,866.34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9,586,849.36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118,937,148.51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113,447,215.15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130,872,014.85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123,034,064.51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应付利息" w:id="301"/>
      <w:bookmarkEnd w:id="301"/>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9,586,849.36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9,586,849.36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2,348,016.98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11,934,866.34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9,586,849.36</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其他应付款" w:id="302"/>
      <w:bookmarkEnd w:id="302"/>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单位往来与代收代付款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51,254,140.48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42,173,235.51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47,584,425.54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43,150,962.47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未支付费用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17,792,867.43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22,690,835.05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2,305,715.06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5,432,182.12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118,937,148.51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113,447,215.15</w:t>
            </w:r>
          </w:p>
        </w:tc>
      </w:tr>
    </w:tbl>
    <w:p>
      <w:pPr>
        <w:pStyle w:val="BodyText"/>
        <w:spacing w:line="240" w:lineRule="auto" w:before="49"/>
        <w:ind w:right="0"/>
        <w:jc w:val="left"/>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2"/>
        <w:jc w:val="right"/>
      </w:pPr>
      <w:r>
        <w:rPr/>
        <w:t>单位：</w:t>
      </w:r>
      <w:r>
        <w:rPr>
          <w:spacing w:val="-2"/>
        </w:rPr>
        <w:t> </w:t>
      </w:r>
      <w:r>
        <w:rPr/>
        <w:t>元</w:t>
      </w:r>
    </w:p>
    <w:p>
      <w:pPr>
        <w:spacing w:after="0" w:line="240" w:lineRule="auto"/>
        <w:jc w:val="right"/>
        <w:sectPr>
          <w:footerReference w:type="default" r:id="rId56"/>
          <w:pgSz w:w="11910" w:h="16840"/>
          <w:pgMar w:footer="1012" w:header="890" w:top="1420" w:bottom="1200" w:left="1020" w:right="0"/>
          <w:pgNumType w:start="13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27、一年内到期的非流动负债" w:id="303"/>
      <w:bookmarkEnd w:id="303"/>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299,853,758.13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299,853,758.13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8、其他流动负债" w:id="304"/>
      <w:bookmarkEnd w:id="304"/>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预提运费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17,703,981.06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18,984,048.34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银行贷款利息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2,550,913.77</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预计一年内结转的政府补助款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6,374,799.39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3,964,953.31</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零星基建维修项目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432,202.00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432,202.00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24,510,982.45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25,932,117.42</w:t>
            </w:r>
          </w:p>
        </w:tc>
      </w:tr>
    </w:tbl>
    <w:p>
      <w:pPr>
        <w:pStyle w:val="BodyText"/>
        <w:spacing w:line="360" w:lineRule="auto" w:before="50"/>
        <w:ind w:right="8414"/>
        <w:jc w:val="left"/>
      </w:pPr>
      <w:r>
        <w:rPr/>
        <w:pict>
          <v:shape style="position:absolute;margin-left:56.459999pt;margin-top:35.211708pt;width:486pt;height:23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4"/>
                    <w:gridCol w:w="1350"/>
                    <w:gridCol w:w="950"/>
                    <w:gridCol w:w="1320"/>
                    <w:gridCol w:w="1309"/>
                    <w:gridCol w:w="1481"/>
                    <w:gridCol w:w="1291"/>
                  </w:tblGrid>
                  <w:tr>
                    <w:trPr>
                      <w:trHeight w:val="490"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1"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0" w:right="105"/>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95" w:right="110" w:hanging="180"/>
                          <w:jc w:val="left"/>
                          <w:rPr>
                            <w:rFonts w:ascii="宋体" w:hAnsi="宋体" w:cs="宋体" w:eastAsia="宋体" w:hint="default"/>
                            <w:sz w:val="18"/>
                            <w:szCs w:val="18"/>
                          </w:rPr>
                        </w:pPr>
                        <w:r>
                          <w:rPr>
                            <w:rFonts w:ascii="宋体" w:hAnsi="宋体" w:cs="宋体" w:eastAsia="宋体" w:hint="default"/>
                            <w:b/>
                            <w:bCs/>
                            <w:sz w:val="18"/>
                            <w:szCs w:val="18"/>
                          </w:rPr>
                          <w:t>本年计入其他</w:t>
                        </w:r>
                        <w:r>
                          <w:rPr>
                            <w:rFonts w:ascii="宋体" w:hAnsi="宋体" w:cs="宋体" w:eastAsia="宋体" w:hint="default"/>
                            <w:b/>
                            <w:bCs/>
                            <w:w w:val="99"/>
                            <w:sz w:val="18"/>
                            <w:szCs w:val="18"/>
                          </w:rPr>
                          <w:t> </w:t>
                        </w:r>
                        <w:r>
                          <w:rPr>
                            <w:rFonts w:ascii="宋体" w:hAnsi="宋体" w:cs="宋体" w:eastAsia="宋体" w:hint="default"/>
                            <w:b/>
                            <w:bCs/>
                            <w:sz w:val="18"/>
                            <w:szCs w:val="18"/>
                          </w:rPr>
                          <w:t>收益金额</w:t>
                        </w:r>
                        <w:r>
                          <w:rPr>
                            <w:rFonts w:ascii="宋体" w:hAnsi="宋体" w:cs="宋体" w:eastAsia="宋体" w:hint="default"/>
                            <w:sz w:val="18"/>
                            <w:szCs w:val="18"/>
                          </w:rPr>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88"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91" w:right="141"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9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pacing w:val="10"/>
                            <w:sz w:val="18"/>
                            <w:szCs w:val="18"/>
                          </w:rPr>
                          <w:t>年产</w:t>
                        </w:r>
                        <w:r>
                          <w:rPr>
                            <w:rFonts w:ascii="宋体" w:hAnsi="宋体" w:cs="宋体" w:eastAsia="宋体" w:hint="default"/>
                            <w:spacing w:val="-26"/>
                            <w:sz w:val="18"/>
                            <w:szCs w:val="18"/>
                          </w:rPr>
                          <w:t> </w:t>
                        </w:r>
                        <w:r>
                          <w:rPr>
                            <w:rFonts w:ascii="宋体" w:hAnsi="宋体" w:cs="宋体" w:eastAsia="宋体" w:hint="default"/>
                            <w:sz w:val="18"/>
                            <w:szCs w:val="18"/>
                          </w:rPr>
                          <w:t>100</w:t>
                        </w:r>
                        <w:r>
                          <w:rPr>
                            <w:rFonts w:ascii="宋体" w:hAnsi="宋体" w:cs="宋体" w:eastAsia="宋体" w:hint="default"/>
                            <w:spacing w:val="-24"/>
                            <w:sz w:val="18"/>
                            <w:szCs w:val="18"/>
                          </w:rPr>
                          <w:t> </w:t>
                        </w:r>
                        <w:r>
                          <w:rPr>
                            <w:rFonts w:ascii="宋体" w:hAnsi="宋体" w:cs="宋体" w:eastAsia="宋体" w:hint="default"/>
                            <w:spacing w:val="10"/>
                            <w:sz w:val="18"/>
                            <w:szCs w:val="18"/>
                          </w:rPr>
                          <w:t>公里</w:t>
                        </w:r>
                        <w:r>
                          <w:rPr>
                            <w:rFonts w:ascii="宋体" w:hAnsi="宋体" w:cs="宋体" w:eastAsia="宋体" w:hint="default"/>
                            <w:spacing w:val="-26"/>
                            <w:sz w:val="18"/>
                            <w:szCs w:val="18"/>
                          </w:rPr>
                          <w:t> </w:t>
                        </w:r>
                        <w:r>
                          <w:rPr>
                            <w:rFonts w:ascii="宋体" w:hAnsi="宋体" w:cs="宋体" w:eastAsia="宋体" w:hint="default"/>
                            <w:sz w:val="18"/>
                            <w:szCs w:val="18"/>
                          </w:rPr>
                          <w:t>500</w:t>
                        </w:r>
                        <w:r>
                          <w:rPr>
                            <w:rFonts w:ascii="宋体" w:hAnsi="宋体" w:cs="宋体" w:eastAsia="宋体" w:hint="default"/>
                            <w:spacing w:val="19"/>
                            <w:sz w:val="18"/>
                            <w:szCs w:val="18"/>
                          </w:rPr>
                          <w:t> </w:t>
                        </w:r>
                        <w:r>
                          <w:rPr>
                            <w:rFonts w:ascii="宋体" w:hAnsi="宋体" w:cs="宋体" w:eastAsia="宋体" w:hint="default"/>
                            <w:sz w:val="18"/>
                            <w:szCs w:val="18"/>
                          </w:rPr>
                          <w:t>KV</w:t>
                        </w:r>
                      </w:p>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交联电缆项目</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9" w:right="0"/>
                          <w:jc w:val="left"/>
                          <w:rPr>
                            <w:rFonts w:ascii="宋体" w:hAnsi="宋体" w:cs="宋体" w:eastAsia="宋体" w:hint="default"/>
                            <w:sz w:val="18"/>
                            <w:szCs w:val="18"/>
                          </w:rPr>
                        </w:pPr>
                        <w:r>
                          <w:rPr>
                            <w:rFonts w:ascii="宋体"/>
                            <w:sz w:val="18"/>
                          </w:rPr>
                          <w:t>720,000.00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720,000.00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720,000.00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4" w:right="0"/>
                          <w:jc w:val="left"/>
                          <w:rPr>
                            <w:rFonts w:ascii="宋体" w:hAnsi="宋体" w:cs="宋体" w:eastAsia="宋体" w:hint="default"/>
                            <w:sz w:val="18"/>
                            <w:szCs w:val="18"/>
                          </w:rPr>
                        </w:pPr>
                        <w:r>
                          <w:rPr>
                            <w:rFonts w:ascii="宋体"/>
                            <w:sz w:val="18"/>
                          </w:rPr>
                          <w:t>720,000.00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万吨超高压电缆</w:t>
                        </w:r>
                      </w:p>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绝缘料项目政府补助</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9" w:right="0"/>
                          <w:jc w:val="left"/>
                          <w:rPr>
                            <w:rFonts w:ascii="宋体" w:hAnsi="宋体" w:cs="宋体" w:eastAsia="宋体" w:hint="default"/>
                            <w:sz w:val="18"/>
                            <w:szCs w:val="18"/>
                          </w:rPr>
                        </w:pPr>
                        <w:r>
                          <w:rPr>
                            <w:rFonts w:ascii="宋体"/>
                            <w:sz w:val="18"/>
                          </w:rPr>
                          <w:t>846,000.00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846,000.00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846,000.00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4" w:right="0"/>
                          <w:jc w:val="left"/>
                          <w:rPr>
                            <w:rFonts w:ascii="宋体" w:hAnsi="宋体" w:cs="宋体" w:eastAsia="宋体" w:hint="default"/>
                            <w:sz w:val="18"/>
                            <w:szCs w:val="18"/>
                          </w:rPr>
                        </w:pPr>
                        <w:r>
                          <w:rPr>
                            <w:rFonts w:ascii="宋体"/>
                            <w:sz w:val="18"/>
                          </w:rPr>
                          <w:t>846,000.00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1" w:right="102"/>
                          <w:jc w:val="left"/>
                          <w:rPr>
                            <w:rFonts w:ascii="宋体" w:hAnsi="宋体" w:cs="宋体" w:eastAsia="宋体" w:hint="default"/>
                            <w:sz w:val="18"/>
                            <w:szCs w:val="18"/>
                          </w:rPr>
                        </w:pPr>
                        <w:r>
                          <w:rPr>
                            <w:rFonts w:ascii="宋体" w:hAnsi="宋体" w:cs="宋体" w:eastAsia="宋体" w:hint="default"/>
                            <w:spacing w:val="18"/>
                            <w:sz w:val="18"/>
                            <w:szCs w:val="18"/>
                          </w:rPr>
                          <w:t>电动车智慧充电研究</w:t>
                        </w:r>
                        <w:r>
                          <w:rPr>
                            <w:rFonts w:ascii="宋体" w:hAnsi="宋体" w:cs="宋体" w:eastAsia="宋体" w:hint="default"/>
                            <w:sz w:val="18"/>
                            <w:szCs w:val="18"/>
                          </w:rPr>
                          <w:t> 院</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8"/>
                            <w:szCs w:val="18"/>
                          </w:rPr>
                        </w:pPr>
                        <w:r>
                          <w:rPr>
                            <w:rFonts w:ascii="宋体"/>
                            <w:spacing w:val="-1"/>
                            <w:sz w:val="18"/>
                          </w:rPr>
                          <w:t>1,818,192.00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18"/>
                            <w:szCs w:val="18"/>
                          </w:rPr>
                        </w:pPr>
                        <w:r>
                          <w:rPr>
                            <w:rFonts w:ascii="宋体"/>
                            <w:spacing w:val="-1"/>
                            <w:sz w:val="18"/>
                          </w:rPr>
                          <w:t>1,818,192.00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3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02"/>
                          <w:jc w:val="both"/>
                          <w:rPr>
                            <w:rFonts w:ascii="宋体" w:hAnsi="宋体" w:cs="宋体" w:eastAsia="宋体" w:hint="default"/>
                            <w:sz w:val="18"/>
                            <w:szCs w:val="18"/>
                          </w:rPr>
                        </w:pPr>
                        <w:r>
                          <w:rPr>
                            <w:rFonts w:ascii="宋体" w:hAnsi="宋体" w:cs="宋体" w:eastAsia="宋体" w:hint="default"/>
                            <w:spacing w:val="18"/>
                            <w:sz w:val="18"/>
                            <w:szCs w:val="18"/>
                          </w:rPr>
                          <w:t>北京市单位内部公用</w:t>
                        </w:r>
                        <w:r>
                          <w:rPr>
                            <w:rFonts w:ascii="宋体" w:hAnsi="宋体" w:cs="宋体" w:eastAsia="宋体" w:hint="default"/>
                            <w:sz w:val="18"/>
                            <w:szCs w:val="18"/>
                          </w:rPr>
                          <w:t> </w:t>
                        </w:r>
                        <w:r>
                          <w:rPr>
                            <w:rFonts w:ascii="宋体" w:hAnsi="宋体" w:cs="宋体" w:eastAsia="宋体" w:hint="default"/>
                            <w:spacing w:val="18"/>
                            <w:sz w:val="18"/>
                            <w:szCs w:val="18"/>
                          </w:rPr>
                          <w:t>充电设施建设补助资</w:t>
                        </w:r>
                        <w:r>
                          <w:rPr>
                            <w:rFonts w:ascii="宋体" w:hAnsi="宋体" w:cs="宋体" w:eastAsia="宋体" w:hint="default"/>
                            <w:sz w:val="18"/>
                            <w:szCs w:val="18"/>
                          </w:rPr>
                          <w:t> 金</w:t>
                        </w:r>
                      </w:p>
                    </w:tc>
                    <w:tc>
                      <w:tcPr>
                        <w:tcW w:w="135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2,896,523.24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2,896,523.24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02"/>
                          <w:jc w:val="left"/>
                          <w:rPr>
                            <w:rFonts w:ascii="宋体" w:hAnsi="宋体" w:cs="宋体" w:eastAsia="宋体" w:hint="default"/>
                            <w:sz w:val="18"/>
                            <w:szCs w:val="18"/>
                          </w:rPr>
                        </w:pPr>
                        <w:r>
                          <w:rPr>
                            <w:rFonts w:ascii="宋体" w:hAnsi="宋体" w:cs="宋体" w:eastAsia="宋体" w:hint="default"/>
                            <w:spacing w:val="18"/>
                            <w:sz w:val="18"/>
                            <w:szCs w:val="18"/>
                          </w:rPr>
                          <w:t>充换电设施投入市财</w:t>
                        </w:r>
                        <w:r>
                          <w:rPr>
                            <w:rFonts w:ascii="宋体" w:hAnsi="宋体" w:cs="宋体" w:eastAsia="宋体" w:hint="default"/>
                            <w:sz w:val="18"/>
                            <w:szCs w:val="18"/>
                          </w:rPr>
                          <w:t> 政补助资金</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8"/>
                            <w:szCs w:val="18"/>
                          </w:rPr>
                        </w:pPr>
                        <w:r>
                          <w:rPr>
                            <w:rFonts w:ascii="宋体"/>
                            <w:spacing w:val="-1"/>
                            <w:sz w:val="18"/>
                          </w:rPr>
                          <w:t>333,336.76</w:t>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18"/>
                            <w:szCs w:val="18"/>
                          </w:rPr>
                        </w:pPr>
                        <w:r>
                          <w:rPr>
                            <w:rFonts w:ascii="宋体"/>
                            <w:spacing w:val="-1"/>
                            <w:sz w:val="18"/>
                          </w:rPr>
                          <w:t>333,336.76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8"/>
                            <w:szCs w:val="18"/>
                          </w:rPr>
                        </w:pPr>
                        <w:r>
                          <w:rPr>
                            <w:rFonts w:ascii="宋体"/>
                            <w:spacing w:val="-1"/>
                            <w:sz w:val="18"/>
                          </w:rPr>
                          <w:t>1,643,311.48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8"/>
                            <w:szCs w:val="18"/>
                          </w:rPr>
                        </w:pPr>
                        <w:r>
                          <w:rPr>
                            <w:rFonts w:ascii="宋体"/>
                            <w:spacing w:val="-1"/>
                            <w:sz w:val="18"/>
                          </w:rPr>
                          <w:t>1,643,311.48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02"/>
                          <w:jc w:val="left"/>
                          <w:rPr>
                            <w:rFonts w:ascii="宋体" w:hAnsi="宋体" w:cs="宋体" w:eastAsia="宋体" w:hint="default"/>
                            <w:sz w:val="18"/>
                            <w:szCs w:val="18"/>
                          </w:rPr>
                        </w:pPr>
                        <w:r>
                          <w:rPr>
                            <w:rFonts w:ascii="宋体" w:hAnsi="宋体" w:cs="宋体" w:eastAsia="宋体" w:hint="default"/>
                            <w:spacing w:val="18"/>
                            <w:sz w:val="18"/>
                            <w:szCs w:val="18"/>
                          </w:rPr>
                          <w:t>武汉市新能源汽车充</w:t>
                        </w:r>
                        <w:r>
                          <w:rPr>
                            <w:rFonts w:ascii="宋体" w:hAnsi="宋体" w:cs="宋体" w:eastAsia="宋体" w:hint="default"/>
                            <w:sz w:val="18"/>
                            <w:szCs w:val="18"/>
                          </w:rPr>
                          <w:t> 电基础设施补贴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34,779.96</w:t>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34,779.96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56,320.08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56,320.08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pacing w:val="18"/>
                            <w:sz w:val="18"/>
                            <w:szCs w:val="18"/>
                          </w:rPr>
                          <w:t>基于锂电池项目政府</w:t>
                        </w:r>
                      </w:p>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212,644.59</w:t>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pacing w:val="-1"/>
                            <w:sz w:val="18"/>
                          </w:rPr>
                          <w:t>212,644.59</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212,644.59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212,644.59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4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0"/>
                          <w:jc w:val="right"/>
                          <w:rPr>
                            <w:rFonts w:ascii="宋体" w:hAnsi="宋体" w:cs="宋体" w:eastAsia="宋体" w:hint="default"/>
                            <w:sz w:val="18"/>
                            <w:szCs w:val="18"/>
                          </w:rPr>
                        </w:pPr>
                        <w:r>
                          <w:rPr>
                            <w:rFonts w:ascii="宋体"/>
                            <w:b/>
                            <w:w w:val="95"/>
                            <w:sz w:val="18"/>
                          </w:rPr>
                          <w:t>3,964,953.31</w:t>
                        </w:r>
                        <w:r>
                          <w:rPr>
                            <w:rFonts w:ascii="宋体"/>
                            <w:sz w:val="18"/>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0"/>
                          <w:jc w:val="right"/>
                          <w:rPr>
                            <w:rFonts w:ascii="宋体" w:hAnsi="宋体" w:cs="宋体" w:eastAsia="宋体" w:hint="default"/>
                            <w:sz w:val="18"/>
                            <w:szCs w:val="18"/>
                          </w:rPr>
                        </w:pPr>
                        <w:r>
                          <w:rPr>
                            <w:rFonts w:ascii="宋体"/>
                            <w:b/>
                            <w:w w:val="95"/>
                            <w:sz w:val="18"/>
                          </w:rPr>
                          <w:t>3,964,953.31</w:t>
                        </w:r>
                        <w:r>
                          <w:rPr>
                            <w:rFonts w:ascii="宋体"/>
                            <w:sz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1"/>
                          <w:jc w:val="right"/>
                          <w:rPr>
                            <w:rFonts w:ascii="宋体" w:hAnsi="宋体" w:cs="宋体" w:eastAsia="宋体" w:hint="default"/>
                            <w:sz w:val="18"/>
                            <w:szCs w:val="18"/>
                          </w:rPr>
                        </w:pPr>
                        <w:r>
                          <w:rPr>
                            <w:rFonts w:ascii="宋体"/>
                            <w:b/>
                            <w:w w:val="95"/>
                            <w:sz w:val="18"/>
                          </w:rPr>
                          <w:t>6,374,799.39</w:t>
                        </w:r>
                        <w:r>
                          <w:rPr>
                            <w:rFonts w:ascii="宋体"/>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1"/>
                          <w:jc w:val="right"/>
                          <w:rPr>
                            <w:rFonts w:ascii="宋体" w:hAnsi="宋体" w:cs="宋体" w:eastAsia="宋体" w:hint="default"/>
                            <w:sz w:val="18"/>
                            <w:szCs w:val="18"/>
                          </w:rPr>
                        </w:pPr>
                        <w:r>
                          <w:rPr>
                            <w:rFonts w:ascii="宋体"/>
                            <w:b/>
                            <w:w w:val="95"/>
                            <w:sz w:val="18"/>
                          </w:rPr>
                          <w:t>6,374,799.39</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其他说明： 预计一年内结转的政府补助款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right="0"/>
        <w:jc w:val="left"/>
      </w:pPr>
      <w:r>
        <w:rPr/>
        <w:t>注</w:t>
      </w:r>
      <w:r>
        <w:rPr>
          <w:spacing w:val="-89"/>
        </w:rPr>
        <w:t>：</w:t>
      </w:r>
      <w:r>
        <w:rPr/>
        <w:t>“其他变动”系从递延收益转入的预计一年内结转利润表的政府补助款。</w:t>
      </w:r>
    </w:p>
    <w:p>
      <w:pPr>
        <w:spacing w:after="0" w:line="240" w:lineRule="auto"/>
        <w:jc w:val="left"/>
        <w:sectPr>
          <w:pgSz w:w="11910" w:h="16840"/>
          <w:pgMar w:header="890" w:footer="1012" w:top="1420" w:bottom="1200" w:left="1020" w:right="0"/>
        </w:sectPr>
      </w:pPr>
    </w:p>
    <w:p>
      <w:pPr>
        <w:pStyle w:val="Heading6"/>
        <w:spacing w:line="240" w:lineRule="auto" w:before="43"/>
        <w:ind w:right="0"/>
        <w:jc w:val="left"/>
        <w:rPr>
          <w:b w:val="0"/>
          <w:bCs w:val="0"/>
        </w:rPr>
      </w:pPr>
      <w:bookmarkStart w:name="29、应付债券" w:id="305"/>
      <w:bookmarkEnd w:id="305"/>
      <w:r>
        <w:rPr>
          <w:b w:val="0"/>
          <w:bCs w:val="0"/>
        </w:rPr>
      </w:r>
      <w:r>
        <w:rPr>
          <w:rFonts w:ascii="Times New Roman" w:hAnsi="Times New Roman" w:cs="Times New Roman" w:eastAsia="Times New Roman" w:hint="default"/>
        </w:rPr>
        <w:t>29</w:t>
      </w:r>
      <w:r>
        <w:rPr/>
        <w:t>、应付债券</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付债券" w:id="306"/>
      <w:bookmarkEnd w:id="30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299,502,699.82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299,502,699.82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应付债券的增减变动（不包括划分为金融负债的优先股、永续债等其他金融工具）" w:id="307"/>
      <w:bookmarkEnd w:id="30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before="63"/>
              <w:ind w:left="101" w:right="144"/>
              <w:jc w:val="left"/>
              <w:rPr>
                <w:rFonts w:ascii="宋体" w:hAnsi="宋体" w:cs="宋体" w:eastAsia="宋体" w:hint="default"/>
                <w:sz w:val="18"/>
                <w:szCs w:val="18"/>
              </w:rPr>
            </w:pPr>
            <w:r>
              <w:rPr>
                <w:rFonts w:ascii="宋体" w:hAnsi="宋体" w:cs="宋体" w:eastAsia="宋体" w:hint="default"/>
                <w:sz w:val="18"/>
                <w:szCs w:val="18"/>
              </w:rPr>
              <w:t>公司债 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p>
          <w:p>
            <w:pPr>
              <w:pStyle w:val="TableParagraph"/>
              <w:spacing w:line="248"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一期</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68"/>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2,699.8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21,951,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058.34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3,758.1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2,699.8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21,951,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058.34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3,758.1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9"/>
        <w:ind w:right="0"/>
        <w:jc w:val="left"/>
      </w:pPr>
      <w:r>
        <w:rPr/>
        <w:t>注</w:t>
      </w:r>
      <w:r>
        <w:rPr>
          <w:spacing w:val="-89"/>
        </w:rPr>
        <w:t>：</w:t>
      </w:r>
      <w:r>
        <w:rPr/>
        <w:t>“其他变动”系从应付债券转到一年内到期的非流动负债。</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0、长期应付款" w:id="308"/>
      <w:bookmarkEnd w:id="308"/>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注： 长期应付款的形成详见本附注“九、1（1）企业集团的构成”所述。</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按款项性质列示长期应付款" w:id="309"/>
      <w:bookmarkEnd w:id="30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国开发展基金有限公司投资款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pStyle w:val="Heading6"/>
        <w:spacing w:line="240" w:lineRule="auto" w:before="43"/>
        <w:ind w:right="0"/>
        <w:jc w:val="left"/>
        <w:rPr>
          <w:b w:val="0"/>
          <w:bCs w:val="0"/>
        </w:rPr>
      </w:pPr>
      <w:bookmarkStart w:name="31、递延收益" w:id="310"/>
      <w:bookmarkEnd w:id="310"/>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10,714,050.65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33,063,601.00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12,702,689.67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31,074,961.98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7" w:right="0"/>
              <w:jc w:val="left"/>
              <w:rPr>
                <w:rFonts w:ascii="Times New Roman" w:hAnsi="Times New Roman" w:cs="Times New Roman" w:eastAsia="Times New Roman" w:hint="default"/>
                <w:sz w:val="18"/>
                <w:szCs w:val="18"/>
              </w:rPr>
            </w:pPr>
            <w:r>
              <w:rPr>
                <w:rFonts w:ascii="Times New Roman"/>
                <w:sz w:val="18"/>
              </w:rPr>
              <w:t>10,714,050.65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7" w:right="0"/>
              <w:jc w:val="left"/>
              <w:rPr>
                <w:rFonts w:ascii="Times New Roman" w:hAnsi="Times New Roman" w:cs="Times New Roman" w:eastAsia="Times New Roman" w:hint="default"/>
                <w:sz w:val="18"/>
                <w:szCs w:val="18"/>
              </w:rPr>
            </w:pPr>
            <w:r>
              <w:rPr>
                <w:rFonts w:ascii="Times New Roman"/>
                <w:sz w:val="18"/>
              </w:rPr>
              <w:t>33,063,601.00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12,702,689.67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31,074,961.98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6"/>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16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6"/>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5"/>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5"/>
              <w:jc w:val="righ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公里</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交</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联电缆项</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720,000.00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55"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29"/>
              <w:jc w:val="both"/>
              <w:rPr>
                <w:rFonts w:ascii="宋体" w:hAnsi="宋体" w:cs="宋体" w:eastAsia="宋体" w:hint="default"/>
                <w:sz w:val="18"/>
                <w:szCs w:val="18"/>
              </w:rPr>
            </w:pPr>
            <w:r>
              <w:rPr>
                <w:rFonts w:ascii="宋体" w:hAnsi="宋体" w:cs="宋体" w:eastAsia="宋体" w:hint="default"/>
                <w:sz w:val="18"/>
                <w:szCs w:val="18"/>
              </w:rPr>
              <w:t>吨超高压 电缆绝缘 料项目政</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4,159,500.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846,000.00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3,313,500.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府补助</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北京市单</w:t>
            </w:r>
          </w:p>
        </w:tc>
        <w:tc>
          <w:tcPr>
            <w:tcW w:w="106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9"/>
              <w:jc w:val="both"/>
              <w:rPr>
                <w:rFonts w:ascii="宋体" w:hAnsi="宋体" w:cs="宋体" w:eastAsia="宋体" w:hint="default"/>
                <w:sz w:val="18"/>
                <w:szCs w:val="18"/>
              </w:rPr>
            </w:pPr>
            <w:r>
              <w:rPr>
                <w:rFonts w:ascii="宋体" w:hAnsi="宋体" w:cs="宋体" w:eastAsia="宋体" w:hint="default"/>
                <w:sz w:val="18"/>
                <w:szCs w:val="18"/>
              </w:rPr>
              <w:t>位内部公 用充电设 施建设补</w:t>
            </w:r>
          </w:p>
        </w:tc>
        <w:tc>
          <w:tcPr>
            <w:tcW w:w="106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21,059,300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4,496,076.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2,896,523.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13,666,700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55"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06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充换电设</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施投入市</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2,054,811.7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10,572,301</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1,242,787.</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1,643,311.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85" w:right="0"/>
              <w:jc w:val="left"/>
              <w:rPr>
                <w:rFonts w:ascii="Times New Roman" w:hAnsi="Times New Roman" w:cs="Times New Roman" w:eastAsia="Times New Roman" w:hint="default"/>
                <w:sz w:val="18"/>
                <w:szCs w:val="18"/>
              </w:rPr>
            </w:pPr>
            <w:r>
              <w:rPr>
                <w:rFonts w:ascii="Times New Roman"/>
                <w:sz w:val="18"/>
              </w:rPr>
              <w:t>9,741,013.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与资产相</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财政补助</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36</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武汉市新</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9"/>
              <w:jc w:val="left"/>
              <w:rPr>
                <w:rFonts w:ascii="宋体" w:hAnsi="宋体" w:cs="宋体" w:eastAsia="宋体" w:hint="default"/>
                <w:sz w:val="18"/>
                <w:szCs w:val="18"/>
              </w:rPr>
            </w:pPr>
            <w:r>
              <w:rPr>
                <w:rFonts w:ascii="宋体" w:hAnsi="宋体" w:cs="宋体" w:eastAsia="宋体" w:hint="default"/>
                <w:sz w:val="18"/>
                <w:szCs w:val="18"/>
              </w:rPr>
              <w:t>能源汽车 充电基础</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159,331.73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36,490.01</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56,320.08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198,521.64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55"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设施补贴</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基于锂电 池项目政 府补贴</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1,070,407.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552,536.88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212,644.59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1,605,225.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98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9"/>
              <w:jc w:val="both"/>
              <w:rPr>
                <w:rFonts w:ascii="宋体" w:hAnsi="宋体" w:cs="宋体" w:eastAsia="宋体" w:hint="default"/>
                <w:sz w:val="18"/>
                <w:szCs w:val="18"/>
              </w:rPr>
            </w:pPr>
            <w:r>
              <w:rPr>
                <w:rFonts w:ascii="宋体" w:hAnsi="宋体" w:cs="宋体" w:eastAsia="宋体" w:hint="default"/>
                <w:sz w:val="18"/>
                <w:szCs w:val="18"/>
              </w:rPr>
              <w:t>青山湖科 技城创新 载体建设</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headerReference w:type="default" r:id="rId57"/>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项目补贴</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10,714,050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33,063,601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6,327,890.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6,374,799.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31,074,961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32" w:right="0"/>
        <w:jc w:val="left"/>
      </w:pPr>
      <w:r>
        <w:rPr/>
        <w:t>注</w:t>
      </w:r>
      <w:r>
        <w:rPr>
          <w:spacing w:val="-89"/>
        </w:rPr>
        <w:t>：</w:t>
      </w:r>
      <w:r>
        <w:rPr/>
        <w:t>“其他变动”系结转到其他流动负债项目的预计一年内结转利润表的政府补助款。</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2、股本" w:id="311"/>
      <w:bookmarkEnd w:id="311"/>
      <w:r>
        <w:rPr>
          <w:b w:val="0"/>
          <w:bCs w:val="0"/>
        </w:rPr>
      </w:r>
      <w:r>
        <w:rPr>
          <w:rFonts w:ascii="Times New Roman" w:hAnsi="Times New Roman" w:cs="Times New Roman" w:eastAsia="Times New Roman" w:hint="default"/>
        </w:rPr>
        <w:t>32</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649"/>
        <w:gridCol w:w="1091"/>
        <w:gridCol w:w="849"/>
        <w:gridCol w:w="1196"/>
        <w:gridCol w:w="1196"/>
        <w:gridCol w:w="831"/>
        <w:gridCol w:w="1561"/>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649"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5" w:right="0"/>
              <w:jc w:val="left"/>
              <w:rPr>
                <w:rFonts w:ascii="Times New Roman" w:hAnsi="Times New Roman" w:cs="Times New Roman" w:eastAsia="Times New Roman" w:hint="default"/>
                <w:sz w:val="18"/>
                <w:szCs w:val="18"/>
              </w:rPr>
            </w:pPr>
            <w:r>
              <w:rPr>
                <w:rFonts w:ascii="Times New Roman"/>
                <w:sz w:val="18"/>
              </w:rPr>
              <w:t>1,035,489,098.00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1,035,489,098.00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3、资本公积" w:id="312"/>
      <w:bookmarkEnd w:id="312"/>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1,541,328,957.19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782,355.93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1,542,111,313.12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13,086,400.00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13,086,400.00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1,554,415,357.19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782,355.93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1,555,197,713.12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34、其他综合收益" w:id="313"/>
      <w:bookmarkEnd w:id="313"/>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2" w:right="190"/>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1" w:right="11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firstLine="9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35,616,950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-83,921,0</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96.42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-12,595,1</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28.86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-71,325,9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67.56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-35,709</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,017.16</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35,677,081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-83,967,5</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25.74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-12,595,1</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28.86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-71,372,3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96.88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-35,695</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,315.65</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-60,130.83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46,429.3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46,429.32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-13,701</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35,616,950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-83,921,0</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96.42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-12,595,1</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28.86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-71,325,9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67.56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-35,709</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,017.16</w:t>
            </w:r>
          </w:p>
        </w:tc>
      </w:tr>
    </w:tbl>
    <w:p>
      <w:pPr>
        <w:pStyle w:val="BodyText"/>
        <w:spacing w:line="240" w:lineRule="auto" w:before="51"/>
        <w:ind w:right="0"/>
        <w:jc w:val="left"/>
      </w:pPr>
      <w:r>
        <w:rPr/>
        <w:t>其他说明，包括对现金流量套期损益的有效部分转为被套期项目初始确认金额调整：</w:t>
      </w:r>
    </w:p>
    <w:p>
      <w:pPr>
        <w:spacing w:after="0" w:line="240" w:lineRule="auto"/>
        <w:jc w:val="left"/>
        <w:sectPr>
          <w:pgSz w:w="11910" w:h="16840"/>
          <w:pgMar w:header="890" w:footer="1012" w:top="1420" w:bottom="1200" w:left="1020" w:right="0"/>
        </w:sectPr>
      </w:pPr>
    </w:p>
    <w:p>
      <w:pPr>
        <w:pStyle w:val="Heading6"/>
        <w:spacing w:line="240" w:lineRule="auto" w:before="43"/>
        <w:ind w:right="0"/>
        <w:jc w:val="left"/>
        <w:rPr>
          <w:b w:val="0"/>
          <w:bCs w:val="0"/>
        </w:rPr>
      </w:pPr>
      <w:bookmarkStart w:name="35、盈余公积" w:id="314"/>
      <w:bookmarkEnd w:id="314"/>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200,447,160.55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21,922,726.66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222,369,887.21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200,447,160.55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21,922,726.66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222,369,887.21</w:t>
            </w:r>
          </w:p>
        </w:tc>
      </w:tr>
    </w:tbl>
    <w:p>
      <w:pPr>
        <w:pStyle w:val="BodyText"/>
        <w:spacing w:line="439" w:lineRule="auto" w:before="51"/>
        <w:ind w:left="554" w:right="3382" w:hanging="442"/>
        <w:jc w:val="left"/>
      </w:pPr>
      <w:r>
        <w:rPr/>
        <w:t>盈余公积说明，包括本期增减变动情况、变动原因说明： 注：盈余公积本年增加为按本公司及盈利子公司本年净利润的10%计提的法定盈余公积。</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bookmarkStart w:name="36、未分配利润" w:id="315"/>
      <w:bookmarkEnd w:id="315"/>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1,148,281,471.50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1,156,051,900.95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1,148,281,471.50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1,156,051,900.95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111,714,711.22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114,951,714.07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21,922,726.66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19,173,233.72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103,548,909.80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1,238,073,456.06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1,148,281,471.50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37、营业收入和营业成本" w:id="316"/>
      <w:bookmarkEnd w:id="316"/>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8,679,071,130.95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7,398,125,380.21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7,373,683,525.79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6,360,484,193.48</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60,763,474.97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47,023,479.98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35,050,493.72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29,614,300.83</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8,739,834,605.92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7,445,148,860.19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7,408,734,019.51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6,390,098,494.31</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38、税金及附加" w:id="317"/>
      <w:bookmarkEnd w:id="317"/>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10,322,068.08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10,230,165.82</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7,506,364.20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7,631,780.67</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4,706,082.75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4,159,943.71</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1,365,373.31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2,776,212.52</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26,112.31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16,043.48</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3,240,560.93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2,384,625.31</w:t>
            </w:r>
          </w:p>
        </w:tc>
      </w:tr>
      <w:tr>
        <w:trPr>
          <w:trHeight w:val="32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7,371.41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4,466.19</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1,013,852.97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587,348.08</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28,187,785.96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27,790,585.78</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39、销售费用" w:id="318"/>
      <w:bookmarkEnd w:id="318"/>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135,975,485.02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136,171,727.67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110,175,805.42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106,512,502.14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53,507,373.48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49,164,624.46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71,382,461.49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35,021,334.19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27,575,345.79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28,698,701.16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45,526,089.40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35,494,760.19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销售管理费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29,663,711.47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22,232,052.50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电缆安装费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16,936,929.12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12,375,181.11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营运管理费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32,596,588.61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11,362,169.04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5,580,774.98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4,466,456.78</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528,920,564.78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441,499,509.24</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40、管理费用" w:id="319"/>
      <w:bookmarkEnd w:id="319"/>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126,948,802.71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116,457,939.31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18,367,550.61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13,616,141.90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15,239,892.22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10,072,212.13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11,435,313.27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7,803,882.28</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7,748,560.97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6,846,159.96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5,252,063.40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3,992,230.57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6,499,641.69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4,243,361.86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6,391,523.83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3,946,811.21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审计审核费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1,719,239.34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1,742,188.23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6,498,998.18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6,596,582.49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206,101,586.22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175,317,509.94</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41、研发费用" w:id="320"/>
      <w:bookmarkEnd w:id="320"/>
      <w:r>
        <w:rPr>
          <w:b w:val="0"/>
          <w:bCs w:val="0"/>
        </w:rPr>
      </w:r>
      <w:r>
        <w:rPr>
          <w:rFonts w:ascii="Times New Roman" w:hAnsi="Times New Roman" w:cs="Times New Roman" w:eastAsia="Times New Roman" w:hint="default"/>
        </w:rPr>
        <w:t>41</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231,118,970.01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194,261,880.05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65,194,301.52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63,247,887.26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4,975,237.74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5,998,605.71</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4,578,050.94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564,573.26</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1,677,755.63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1,494,935.47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1,112,962.24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612,988.02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3,427,994.56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3,521,690.07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312,085,272.64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269,702,559.84</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2、财务费用" w:id="321"/>
      <w:bookmarkEnd w:id="321"/>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82,397,613.76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57,220,675.62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4,793,546.47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3,082,305.26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11,490,427.70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6,606,261.80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8,558,776.46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2,197,805.21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97,653,271.45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62,942,437.37</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3、资产减值损失" w:id="322"/>
      <w:bookmarkEnd w:id="322"/>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52,700,496.13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12,608,895.98</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10,259,522.51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11,640,417.44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20,913,702.38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83,873,721.02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24,249,313.42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44、其他收益" w:id="323"/>
      <w:bookmarkEnd w:id="323"/>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71,699,215.36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58,774,933.67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与日常经营活动相关的政府补助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19,075,752.77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9,999,181.41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90,774,968.13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68,774,115.08</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45、投资收益" w:id="324"/>
      <w:bookmarkEnd w:id="324"/>
      <w:r>
        <w:rPr>
          <w:b w:val="0"/>
          <w:bCs w:val="0"/>
        </w:rPr>
      </w:r>
      <w:r>
        <w:rPr>
          <w:rFonts w:ascii="Times New Roman" w:hAnsi="Times New Roman" w:cs="Times New Roman" w:eastAsia="Times New Roman" w:hint="default"/>
        </w:rPr>
        <w:t>45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-4,436,956.48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-3,828,805.39</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套期投资收益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-11,398,961.08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-3,215,436.23</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13,766,720.37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8,976,817.79</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远期结购汇交割收益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-411,279.60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期货投资收益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-63,789.93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1,684,127.32</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3" w:right="0"/>
              <w:jc w:val="left"/>
              <w:rPr>
                <w:rFonts w:ascii="Times New Roman" w:hAnsi="Times New Roman" w:cs="Times New Roman" w:eastAsia="Times New Roman" w:hint="default"/>
                <w:sz w:val="18"/>
                <w:szCs w:val="18"/>
              </w:rPr>
            </w:pPr>
            <w:r>
              <w:rPr>
                <w:rFonts w:ascii="Times New Roman"/>
                <w:sz w:val="18"/>
              </w:rPr>
              <w:t>-2,194,266.72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59" w:right="0"/>
              <w:jc w:val="left"/>
              <w:rPr>
                <w:rFonts w:ascii="Times New Roman" w:hAnsi="Times New Roman" w:cs="Times New Roman" w:eastAsia="Times New Roman" w:hint="default"/>
                <w:sz w:val="18"/>
                <w:szCs w:val="18"/>
              </w:rPr>
            </w:pPr>
            <w:r>
              <w:rPr>
                <w:rFonts w:ascii="Times New Roman"/>
                <w:sz w:val="18"/>
              </w:rPr>
              <w:t>3,966,703.49</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46、公允价值变动收益" w:id="325"/>
      <w:bookmarkEnd w:id="325"/>
      <w:r>
        <w:rPr>
          <w:b w:val="0"/>
          <w:bCs w:val="0"/>
        </w:rPr>
      </w:r>
      <w:r>
        <w:rPr>
          <w:rFonts w:ascii="Times New Roman" w:hAnsi="Times New Roman" w:cs="Times New Roman" w:eastAsia="Times New Roman" w:hint="default"/>
        </w:rPr>
        <w:t>46</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期货合约浮盈浮亏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-6,899,641.06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4,710,516.06</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远期结购汇浮亏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-823,991.28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-7,723,632.34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4,710,516.06</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47、资产处置收益" w:id="326"/>
      <w:bookmarkEnd w:id="326"/>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09"/>
        <w:gridCol w:w="2680"/>
        <w:gridCol w:w="2680"/>
      </w:tblGrid>
      <w:tr>
        <w:trPr>
          <w:trHeight w:val="322" w:hRule="exact"/>
        </w:trPr>
        <w:tc>
          <w:tcPr>
            <w:tcW w:w="4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9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-227,841.42</w:t>
            </w:r>
          </w:p>
        </w:tc>
      </w:tr>
      <w:tr>
        <w:trPr>
          <w:trHeight w:val="322" w:hRule="exact"/>
        </w:trPr>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未划分为持有待售的非流动资产处置收益</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-227,841.42</w:t>
            </w:r>
          </w:p>
        </w:tc>
      </w:tr>
      <w:tr>
        <w:trPr>
          <w:trHeight w:val="322" w:hRule="exact"/>
        </w:trPr>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-227,841.42</w:t>
            </w:r>
          </w:p>
        </w:tc>
      </w:tr>
      <w:tr>
        <w:trPr>
          <w:trHeight w:val="322" w:hRule="exact"/>
        </w:trPr>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-227,841.42</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48、营业外收入" w:id="327"/>
      <w:bookmarkEnd w:id="327"/>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63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1,712,636.48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7,198,279.46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1,712,636.48</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180,013.34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825.00</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14,365,848.70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2,975,048.93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2,431,152.10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2,975,048.93</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4,688,510.41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24,175,293.60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4,688,510.41</w:t>
            </w:r>
          </w:p>
        </w:tc>
      </w:tr>
    </w:tbl>
    <w:p>
      <w:pPr>
        <w:pStyle w:val="BodyText"/>
        <w:spacing w:line="240" w:lineRule="auto" w:before="50"/>
        <w:ind w:right="0"/>
        <w:jc w:val="left"/>
      </w:pPr>
      <w:r>
        <w:rPr/>
        <w:t>计入当期损益的政府补助：</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788"/>
        <w:gridCol w:w="610"/>
        <w:gridCol w:w="1770"/>
        <w:gridCol w:w="580"/>
        <w:gridCol w:w="567"/>
        <w:gridCol w:w="1063"/>
        <w:gridCol w:w="1063"/>
        <w:gridCol w:w="1063"/>
      </w:tblGrid>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29"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19" w:right="119"/>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1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102"/>
              <w:jc w:val="both"/>
              <w:rPr>
                <w:rFonts w:ascii="宋体" w:hAnsi="宋体" w:cs="宋体" w:eastAsia="宋体" w:hint="default"/>
                <w:sz w:val="18"/>
                <w:szCs w:val="18"/>
              </w:rPr>
            </w:pPr>
            <w:r>
              <w:rPr>
                <w:rFonts w:ascii="宋体" w:hAnsi="宋体" w:cs="宋体" w:eastAsia="宋体" w:hint="default"/>
                <w:sz w:val="18"/>
                <w:szCs w:val="18"/>
              </w:rPr>
              <w:t>补贴 是否 影响 当年 盈亏</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8" w:right="187"/>
              <w:jc w:val="both"/>
              <w:rPr>
                <w:rFonts w:ascii="宋体" w:hAnsi="宋体" w:cs="宋体" w:eastAsia="宋体" w:hint="default"/>
                <w:sz w:val="18"/>
                <w:szCs w:val="18"/>
              </w:rPr>
            </w:pPr>
            <w:r>
              <w:rPr>
                <w:rFonts w:ascii="宋体" w:hAnsi="宋体" w:cs="宋体" w:eastAsia="宋体" w:hint="default"/>
                <w:sz w:val="18"/>
                <w:szCs w:val="18"/>
              </w:rPr>
              <w:t>是 否 特 殊 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09" w:lineRule="auto"/>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0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09" w:lineRule="auto"/>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外经贸资 助奖励</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2" w:right="101"/>
              <w:jc w:val="left"/>
              <w:rPr>
                <w:rFonts w:ascii="宋体" w:hAnsi="宋体" w:cs="宋体" w:eastAsia="宋体" w:hint="default"/>
                <w:sz w:val="18"/>
                <w:szCs w:val="18"/>
              </w:rPr>
            </w:pPr>
            <w:r>
              <w:rPr>
                <w:rFonts w:ascii="宋体" w:hAnsi="宋体" w:cs="宋体" w:eastAsia="宋体" w:hint="default"/>
                <w:sz w:val="18"/>
                <w:szCs w:val="18"/>
              </w:rPr>
              <w:t>杭州市临安区商务 </w:t>
            </w:r>
            <w:r>
              <w:rPr>
                <w:rFonts w:ascii="宋体" w:hAnsi="宋体" w:cs="宋体" w:eastAsia="宋体" w:hint="default"/>
                <w:spacing w:val="-6"/>
                <w:sz w:val="18"/>
                <w:szCs w:val="18"/>
              </w:rPr>
              <w:t>局、杭州市临安区财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政局关于《要求兑现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年度外经贸资 助奖励项目资金的</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560,600.00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1065"/>
        <w:gridCol w:w="1788"/>
        <w:gridCol w:w="610"/>
        <w:gridCol w:w="1770"/>
        <w:gridCol w:w="580"/>
        <w:gridCol w:w="567"/>
        <w:gridCol w:w="1063"/>
        <w:gridCol w:w="1063"/>
        <w:gridCol w:w="1063"/>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请示</w:t>
            </w:r>
            <w:r>
              <w:rPr>
                <w:rFonts w:ascii="宋体" w:hAnsi="宋体" w:cs="宋体" w:eastAsia="宋体" w:hint="default"/>
                <w:spacing w:val="-89"/>
                <w:sz w:val="18"/>
                <w:szCs w:val="18"/>
              </w:rPr>
              <w:t>》</w:t>
            </w:r>
            <w:r>
              <w:rPr>
                <w:rFonts w:ascii="宋体" w:hAnsi="宋体" w:cs="宋体" w:eastAsia="宋体" w:hint="default"/>
                <w:sz w:val="18"/>
                <w:szCs w:val="18"/>
              </w:rPr>
              <w:t>（临商务</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1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杭州市临安区财政</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局、杭州市临安区经</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31"/>
              <w:jc w:val="both"/>
              <w:rPr>
                <w:rFonts w:ascii="宋体" w:hAnsi="宋体" w:cs="宋体" w:eastAsia="宋体" w:hint="default"/>
                <w:sz w:val="18"/>
                <w:szCs w:val="18"/>
              </w:rPr>
            </w:pPr>
            <w:r>
              <w:rPr>
                <w:rFonts w:ascii="宋体" w:hAnsi="宋体" w:cs="宋体" w:eastAsia="宋体" w:hint="default"/>
                <w:sz w:val="18"/>
                <w:szCs w:val="18"/>
              </w:rPr>
              <w:t>州市物联 网和工业 互联网财 政补助项</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102" w:right="188"/>
              <w:jc w:val="both"/>
              <w:rPr>
                <w:rFonts w:ascii="宋体" w:hAnsi="宋体" w:cs="宋体" w:eastAsia="宋体" w:hint="default"/>
                <w:sz w:val="18"/>
                <w:szCs w:val="18"/>
              </w:rPr>
            </w:pPr>
            <w:r>
              <w:rPr>
                <w:rFonts w:ascii="宋体" w:hAnsi="宋体" w:cs="宋体" w:eastAsia="宋体" w:hint="default"/>
                <w:sz w:val="18"/>
                <w:szCs w:val="18"/>
              </w:rPr>
              <w:t>济和信息化局关于 下达《</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市物联网和工业互 联网财政补助项目</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374,100.00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资金的通知》临财企</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pacing w:val="-6"/>
                <w:sz w:val="18"/>
                <w:szCs w:val="18"/>
              </w:rPr>
              <w:t>浙江省财政厅、浙江</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省商务厅关于《下达</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因符合地方政府招</w:t>
            </w: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231"/>
              <w:jc w:val="left"/>
              <w:rPr>
                <w:rFonts w:ascii="宋体" w:hAnsi="宋体" w:cs="宋体" w:eastAsia="宋体" w:hint="default"/>
                <w:sz w:val="18"/>
                <w:szCs w:val="18"/>
              </w:rPr>
            </w:pPr>
            <w:r>
              <w:rPr>
                <w:rFonts w:ascii="宋体" w:hAnsi="宋体" w:cs="宋体" w:eastAsia="宋体" w:hint="default"/>
                <w:sz w:val="18"/>
                <w:szCs w:val="18"/>
              </w:rPr>
              <w:t>央外经贸 发展专项</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10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年中央外经贸 发展专项资金通知》</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216"/>
              <w:jc w:val="left"/>
              <w:rPr>
                <w:rFonts w:ascii="宋体" w:hAnsi="宋体" w:cs="宋体" w:eastAsia="宋体" w:hint="default"/>
                <w:sz w:val="18"/>
                <w:szCs w:val="18"/>
              </w:rPr>
            </w:pPr>
            <w:r>
              <w:rPr>
                <w:rFonts w:ascii="宋体" w:hAnsi="宋体" w:cs="宋体" w:eastAsia="宋体" w:hint="default"/>
                <w:sz w:val="18"/>
                <w:szCs w:val="18"/>
              </w:rPr>
              <w:t>商引资等地方性扶 持政策而获得的补</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236,700.00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（浙财企【</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51</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浙江省人力资源和</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1" w:right="231"/>
              <w:jc w:val="both"/>
              <w:rPr>
                <w:rFonts w:ascii="宋体" w:hAnsi="宋体" w:cs="宋体" w:eastAsia="宋体" w:hint="default"/>
                <w:sz w:val="18"/>
                <w:szCs w:val="18"/>
              </w:rPr>
            </w:pPr>
            <w:r>
              <w:rPr>
                <w:rFonts w:ascii="宋体" w:hAnsi="宋体" w:cs="宋体" w:eastAsia="宋体" w:hint="default"/>
                <w:sz w:val="18"/>
                <w:szCs w:val="18"/>
              </w:rPr>
              <w:t>浙江万人 计划高技 能经费</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53"/>
              <w:jc w:val="left"/>
              <w:rPr>
                <w:rFonts w:ascii="宋体" w:hAnsi="宋体" w:cs="宋体" w:eastAsia="宋体" w:hint="default"/>
                <w:sz w:val="18"/>
                <w:szCs w:val="18"/>
              </w:rPr>
            </w:pPr>
            <w:r>
              <w:rPr>
                <w:rFonts w:ascii="宋体" w:hAnsi="宋体" w:cs="宋体" w:eastAsia="宋体" w:hint="default"/>
                <w:sz w:val="18"/>
                <w:szCs w:val="18"/>
              </w:rPr>
              <w:t>社会保障厅办公室 </w:t>
            </w:r>
            <w:r>
              <w:rPr>
                <w:rFonts w:ascii="宋体" w:hAnsi="宋体" w:cs="宋体" w:eastAsia="宋体" w:hint="default"/>
                <w:spacing w:val="-6"/>
                <w:sz w:val="18"/>
                <w:szCs w:val="18"/>
              </w:rPr>
              <w:t>关于《做好浙江“万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人计划”高技能领军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人才培养支持工作 的通知浙人社办发》</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一批临安 区科技创 新券经费</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2" w:right="188"/>
              <w:jc w:val="both"/>
              <w:rPr>
                <w:rFonts w:ascii="宋体" w:hAnsi="宋体" w:cs="宋体" w:eastAsia="宋体" w:hint="default"/>
                <w:sz w:val="18"/>
                <w:szCs w:val="18"/>
              </w:rPr>
            </w:pPr>
            <w:r>
              <w:rPr>
                <w:rFonts w:ascii="宋体" w:hAnsi="宋体" w:cs="宋体" w:eastAsia="宋体" w:hint="default"/>
                <w:sz w:val="18"/>
                <w:szCs w:val="18"/>
              </w:rPr>
              <w:t>临安区科学技术局 关于《</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批临安区科技创新 券经费安排表》</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33"/>
              <w:jc w:val="left"/>
              <w:rPr>
                <w:rFonts w:ascii="宋体" w:hAnsi="宋体" w:cs="宋体" w:eastAsia="宋体" w:hint="default"/>
                <w:sz w:val="18"/>
                <w:szCs w:val="18"/>
              </w:rPr>
            </w:pPr>
            <w:r>
              <w:rPr>
                <w:rFonts w:ascii="宋体" w:hAnsi="宋体" w:cs="宋体" w:eastAsia="宋体" w:hint="default"/>
                <w:sz w:val="18"/>
                <w:szCs w:val="18"/>
              </w:rPr>
              <w:t>杭州市临安区科学 技术局</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杭州市临安区财政</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局、杭州市临安区经</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济和信息化局《杭州</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市临安区财政局杭</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231"/>
              <w:jc w:val="both"/>
              <w:rPr>
                <w:rFonts w:ascii="宋体" w:hAnsi="宋体" w:cs="宋体" w:eastAsia="宋体" w:hint="default"/>
                <w:sz w:val="18"/>
                <w:szCs w:val="18"/>
              </w:rPr>
            </w:pPr>
            <w:r>
              <w:rPr>
                <w:rFonts w:ascii="宋体" w:hAnsi="宋体" w:cs="宋体" w:eastAsia="宋体" w:hint="default"/>
                <w:sz w:val="18"/>
                <w:szCs w:val="18"/>
              </w:rPr>
              <w:t>工业和信 息化财政 补助资金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189"/>
              <w:jc w:val="both"/>
              <w:rPr>
                <w:rFonts w:ascii="Times New Roman" w:hAnsi="Times New Roman" w:cs="Times New Roman" w:eastAsia="Times New Roman" w:hint="default"/>
                <w:sz w:val="18"/>
                <w:szCs w:val="18"/>
              </w:rPr>
            </w:pPr>
            <w:r>
              <w:rPr>
                <w:rFonts w:ascii="宋体" w:hAnsi="宋体" w:cs="宋体" w:eastAsia="宋体" w:hint="default"/>
                <w:sz w:val="18"/>
                <w:szCs w:val="18"/>
              </w:rPr>
              <w:t>州市临安区经济和 信息化局关于下达 杭州市临安区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2,298,400.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08"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（第三批）</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年度工业和信息化</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财政补助资金（第三</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批）的通知</w:t>
            </w:r>
            <w:r>
              <w:rPr>
                <w:rFonts w:ascii="宋体" w:hAnsi="宋体" w:cs="宋体" w:eastAsia="宋体" w:hint="default"/>
                <w:spacing w:val="-89"/>
                <w:sz w:val="18"/>
                <w:szCs w:val="18"/>
              </w:rPr>
              <w:t>》</w:t>
            </w:r>
            <w:r>
              <w:rPr>
                <w:rFonts w:ascii="宋体" w:hAnsi="宋体" w:cs="宋体" w:eastAsia="宋体" w:hint="default"/>
                <w:sz w:val="18"/>
                <w:szCs w:val="18"/>
              </w:rPr>
              <w:t>（临财</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243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pacing w:val="-6"/>
                <w:sz w:val="18"/>
                <w:szCs w:val="18"/>
              </w:rPr>
              <w:t>临安市民政局《关于</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因从事国家鼓励和</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5" w:right="0"/>
              <w:jc w:val="left"/>
              <w:rPr>
                <w:rFonts w:ascii="Times New Roman" w:hAnsi="Times New Roman" w:cs="Times New Roman" w:eastAsia="Times New Roman" w:hint="default"/>
                <w:sz w:val="18"/>
                <w:szCs w:val="18"/>
              </w:rPr>
            </w:pPr>
            <w:r>
              <w:rPr>
                <w:rFonts w:ascii="Times New Roman"/>
                <w:sz w:val="18"/>
              </w:rPr>
              <w:t>1,243,839.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890" w:footer="1012" w:top="148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1065"/>
        <w:gridCol w:w="1788"/>
        <w:gridCol w:w="610"/>
        <w:gridCol w:w="1770"/>
        <w:gridCol w:w="580"/>
        <w:gridCol w:w="567"/>
        <w:gridCol w:w="1063"/>
        <w:gridCol w:w="1063"/>
        <w:gridCol w:w="1063"/>
      </w:tblGrid>
      <w:tr>
        <w:trPr>
          <w:trHeight w:val="322"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申报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年度财政</w:t>
            </w:r>
          </w:p>
        </w:tc>
        <w:tc>
          <w:tcPr>
            <w:tcW w:w="610" w:type="dxa"/>
            <w:vMerge w:val="restart"/>
            <w:tcBorders>
              <w:top w:val="single" w:sz="4" w:space="0" w:color="000000"/>
              <w:left w:val="single" w:sz="4" w:space="0" w:color="000000"/>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pacing w:val="-8"/>
                <w:sz w:val="18"/>
                <w:szCs w:val="18"/>
              </w:rPr>
              <w:t>扶持特定行业、产业</w:t>
            </w:r>
          </w:p>
        </w:tc>
        <w:tc>
          <w:tcPr>
            <w:tcW w:w="580"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308"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与奖励</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补贴与奖励的通知》</w:t>
            </w:r>
          </w:p>
        </w:tc>
        <w:tc>
          <w:tcPr>
            <w:tcW w:w="610" w:type="dxa"/>
            <w:vMerge/>
            <w:tcBorders>
              <w:left w:val="single" w:sz="4" w:space="0" w:color="000000"/>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pacing w:val="-8"/>
                <w:sz w:val="18"/>
                <w:szCs w:val="18"/>
              </w:rPr>
              <w:t>而获得的补助（按国</w:t>
            </w:r>
          </w:p>
        </w:tc>
        <w:tc>
          <w:tcPr>
            <w:tcW w:w="58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（临民福【</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610" w:type="dxa"/>
            <w:vMerge/>
            <w:tcBorders>
              <w:left w:val="single" w:sz="4" w:space="0" w:color="000000"/>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家级政策规定依法</w:t>
            </w:r>
          </w:p>
        </w:tc>
        <w:tc>
          <w:tcPr>
            <w:tcW w:w="58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10" w:type="dxa"/>
            <w:vMerge/>
            <w:tcBorders>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58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临安市财政局、临安</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5"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both"/>
              <w:rPr>
                <w:rFonts w:ascii="宋体" w:hAnsi="宋体" w:cs="宋体" w:eastAsia="宋体" w:hint="default"/>
                <w:sz w:val="18"/>
                <w:szCs w:val="18"/>
              </w:rPr>
            </w:pPr>
            <w:r>
              <w:rPr>
                <w:rFonts w:ascii="宋体" w:hAnsi="宋体" w:cs="宋体" w:eastAsia="宋体" w:hint="default"/>
                <w:sz w:val="18"/>
                <w:szCs w:val="18"/>
              </w:rPr>
              <w:t>杭州市工 厂物联网 专项财政 补助资金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市经济和信息化局</w:t>
            </w:r>
          </w:p>
          <w:p>
            <w:pPr>
              <w:pStyle w:val="TableParagraph"/>
              <w:spacing w:line="316" w:lineRule="auto" w:before="76"/>
              <w:ind w:left="102" w:right="53"/>
              <w:jc w:val="left"/>
              <w:rPr>
                <w:rFonts w:ascii="宋体" w:hAnsi="宋体" w:cs="宋体" w:eastAsia="宋体" w:hint="default"/>
                <w:sz w:val="18"/>
                <w:szCs w:val="18"/>
              </w:rPr>
            </w:pPr>
            <w:r>
              <w:rPr>
                <w:rFonts w:ascii="宋体" w:hAnsi="宋体" w:cs="宋体" w:eastAsia="宋体" w:hint="default"/>
                <w:sz w:val="18"/>
                <w:szCs w:val="18"/>
              </w:rPr>
              <w:t>《关于下达杭州市 工厂物联网专项财 政补助资金的通知》</w:t>
            </w:r>
          </w:p>
          <w:p>
            <w:pPr>
              <w:pStyle w:val="TableParagraph"/>
              <w:spacing w:line="240" w:lineRule="auto" w:before="19"/>
              <w:ind w:left="10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（临财企【</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18</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pacing w:val="-6"/>
                <w:sz w:val="18"/>
                <w:szCs w:val="18"/>
              </w:rPr>
              <w:t>临安市财政局、临安</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87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auto"/>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工业和信 息化财政 补助资金</w:t>
            </w:r>
          </w:p>
          <w:p>
            <w:pPr>
              <w:pStyle w:val="TableParagraph"/>
              <w:spacing w:line="240" w:lineRule="auto" w:before="22"/>
              <w:ind w:left="101" w:right="0"/>
              <w:jc w:val="both"/>
              <w:rPr>
                <w:rFonts w:ascii="宋体" w:hAnsi="宋体" w:cs="宋体" w:eastAsia="宋体" w:hint="default"/>
                <w:sz w:val="18"/>
                <w:szCs w:val="18"/>
              </w:rPr>
            </w:pPr>
            <w:r>
              <w:rPr>
                <w:rFonts w:ascii="宋体" w:hAnsi="宋体" w:cs="宋体" w:eastAsia="宋体" w:hint="default"/>
                <w:sz w:val="18"/>
                <w:szCs w:val="18"/>
              </w:rPr>
              <w:t>（第二批）</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both"/>
              <w:rPr>
                <w:rFonts w:ascii="宋体" w:hAnsi="宋体" w:cs="宋体" w:eastAsia="宋体" w:hint="default"/>
                <w:sz w:val="18"/>
                <w:szCs w:val="18"/>
              </w:rPr>
            </w:pPr>
            <w:r>
              <w:rPr>
                <w:rFonts w:ascii="宋体" w:hAnsi="宋体" w:cs="宋体" w:eastAsia="宋体" w:hint="default"/>
                <w:sz w:val="18"/>
                <w:szCs w:val="18"/>
              </w:rPr>
              <w:t>市经济和信息化局</w:t>
            </w:r>
          </w:p>
          <w:p>
            <w:pPr>
              <w:pStyle w:val="TableParagraph"/>
              <w:spacing w:line="309" w:lineRule="auto" w:before="76"/>
              <w:ind w:left="102" w:right="188"/>
              <w:jc w:val="both"/>
              <w:rPr>
                <w:rFonts w:ascii="宋体" w:hAnsi="宋体" w:cs="宋体" w:eastAsia="宋体" w:hint="default"/>
                <w:sz w:val="18"/>
                <w:szCs w:val="18"/>
              </w:rPr>
            </w:pPr>
            <w:r>
              <w:rPr>
                <w:rFonts w:ascii="宋体" w:hAnsi="宋体" w:cs="宋体" w:eastAsia="宋体" w:hint="default"/>
                <w:sz w:val="18"/>
                <w:szCs w:val="18"/>
              </w:rPr>
              <w:t>《关于下达临安市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年度工业和信 息化财政补助资金</w:t>
            </w:r>
          </w:p>
          <w:p>
            <w:pPr>
              <w:pStyle w:val="TableParagraph"/>
              <w:spacing w:line="240" w:lineRule="auto" w:before="24"/>
              <w:ind w:left="102" w:right="0"/>
              <w:jc w:val="both"/>
              <w:rPr>
                <w:rFonts w:ascii="宋体" w:hAnsi="宋体" w:cs="宋体" w:eastAsia="宋体" w:hint="default"/>
                <w:sz w:val="18"/>
                <w:szCs w:val="18"/>
              </w:rPr>
            </w:pPr>
            <w:r>
              <w:rPr>
                <w:rFonts w:ascii="宋体" w:hAnsi="宋体" w:cs="宋体" w:eastAsia="宋体" w:hint="default"/>
                <w:sz w:val="18"/>
                <w:szCs w:val="18"/>
              </w:rPr>
              <w:t>（第二批）的通知》</w:t>
            </w:r>
          </w:p>
          <w:p>
            <w:pPr>
              <w:pStyle w:val="TableParagraph"/>
              <w:spacing w:line="240" w:lineRule="auto" w:before="76"/>
              <w:ind w:left="102" w:right="0"/>
              <w:jc w:val="both"/>
              <w:rPr>
                <w:rFonts w:ascii="Times New Roman" w:hAnsi="Times New Roman" w:cs="Times New Roman" w:eastAsia="Times New Roman" w:hint="default"/>
                <w:sz w:val="18"/>
                <w:szCs w:val="18"/>
              </w:rPr>
            </w:pPr>
            <w:r>
              <w:rPr>
                <w:rFonts w:ascii="宋体" w:hAnsi="宋体" w:cs="宋体" w:eastAsia="宋体" w:hint="default"/>
                <w:spacing w:val="-11"/>
                <w:sz w:val="18"/>
                <w:szCs w:val="18"/>
              </w:rPr>
              <w:t>（临财企【</w:t>
            </w:r>
            <w:r>
              <w:rPr>
                <w:rFonts w:ascii="Times New Roman" w:hAnsi="Times New Roman" w:cs="Times New Roman" w:eastAsia="Times New Roman" w:hint="default"/>
                <w:spacing w:val="-11"/>
                <w:sz w:val="18"/>
                <w:szCs w:val="18"/>
              </w:rPr>
              <w:t>2017</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185</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397,900.00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浙江杭州青山湖科</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9" w:lineRule="auto"/>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企业贡献 奖</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2" w:right="101"/>
              <w:jc w:val="both"/>
              <w:rPr>
                <w:rFonts w:ascii="宋体" w:hAnsi="宋体" w:cs="宋体" w:eastAsia="宋体" w:hint="default"/>
                <w:sz w:val="18"/>
                <w:szCs w:val="18"/>
              </w:rPr>
            </w:pPr>
            <w:r>
              <w:rPr>
                <w:rFonts w:ascii="宋体" w:hAnsi="宋体" w:cs="宋体" w:eastAsia="宋体" w:hint="default"/>
                <w:spacing w:val="-6"/>
                <w:sz w:val="18"/>
                <w:szCs w:val="18"/>
              </w:rPr>
              <w:t>技城管理委员会《关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于表彰奖励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度“企业贡献奖”企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业的通报》（青科管</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委【</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二批临安 市科技创 新券兑现 经费</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临安市科学技术局</w:t>
            </w:r>
          </w:p>
          <w:p>
            <w:pPr>
              <w:pStyle w:val="TableParagraph"/>
              <w:spacing w:line="312" w:lineRule="auto" w:before="76"/>
              <w:ind w:left="102" w:right="142"/>
              <w:jc w:val="left"/>
              <w:rPr>
                <w:rFonts w:ascii="宋体" w:hAnsi="宋体" w:cs="宋体" w:eastAsia="宋体" w:hint="default"/>
                <w:sz w:val="18"/>
                <w:szCs w:val="18"/>
              </w:rPr>
            </w:pPr>
            <w:r>
              <w:rPr>
                <w:rFonts w:ascii="宋体" w:hAnsi="宋体" w:cs="宋体" w:eastAsia="宋体" w:hint="default"/>
                <w:sz w:val="18"/>
                <w:szCs w:val="18"/>
              </w:rPr>
              <w:t>《关于下拨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第二批临安市科技 创新券兑现经费的 </w:t>
            </w:r>
            <w:r>
              <w:rPr>
                <w:rFonts w:ascii="宋体" w:hAnsi="宋体" w:cs="宋体" w:eastAsia="宋体" w:hint="default"/>
                <w:spacing w:val="-13"/>
                <w:sz w:val="18"/>
                <w:szCs w:val="18"/>
              </w:rPr>
              <w:t>通知》（临科字</w:t>
            </w:r>
          </w:p>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235,805.00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临安区财政局、科学</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技术局《关于下拨</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31"/>
              <w:jc w:val="both"/>
              <w:rPr>
                <w:rFonts w:ascii="宋体" w:hAnsi="宋体" w:cs="宋体" w:eastAsia="宋体" w:hint="default"/>
                <w:sz w:val="18"/>
                <w:szCs w:val="18"/>
              </w:rPr>
            </w:pPr>
            <w:r>
              <w:rPr>
                <w:rFonts w:ascii="宋体" w:hAnsi="宋体" w:cs="宋体" w:eastAsia="宋体" w:hint="default"/>
                <w:sz w:val="18"/>
                <w:szCs w:val="18"/>
              </w:rPr>
              <w:t>安区发明 专利产业 化项目补</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2" w:right="188"/>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年杭州市临安 区发明专利产业化 项目补助经费的通</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101"/>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助经费</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知</w:t>
            </w:r>
            <w:r>
              <w:rPr>
                <w:rFonts w:ascii="宋体" w:hAnsi="宋体" w:cs="宋体" w:eastAsia="宋体" w:hint="default"/>
                <w:spacing w:val="-113"/>
                <w:sz w:val="18"/>
                <w:szCs w:val="18"/>
              </w:rPr>
              <w:t>》</w:t>
            </w:r>
            <w:r>
              <w:rPr>
                <w:rFonts w:ascii="宋体" w:hAnsi="宋体" w:cs="宋体" w:eastAsia="宋体" w:hint="default"/>
                <w:sz w:val="18"/>
                <w:szCs w:val="18"/>
              </w:rPr>
              <w:t>（临科</w:t>
            </w:r>
            <w:r>
              <w:rPr>
                <w:rFonts w:ascii="宋体" w:hAnsi="宋体" w:cs="宋体" w:eastAsia="宋体" w:hint="default"/>
                <w:spacing w:val="-24"/>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z w:val="18"/>
                <w:szCs w:val="18"/>
              </w:rPr>
              <w:t>】</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31"/>
              <w:jc w:val="both"/>
              <w:rPr>
                <w:rFonts w:ascii="宋体" w:hAnsi="宋体" w:cs="宋体" w:eastAsia="宋体" w:hint="default"/>
                <w:sz w:val="18"/>
                <w:szCs w:val="18"/>
              </w:rPr>
            </w:pPr>
            <w:r>
              <w:rPr>
                <w:rFonts w:ascii="宋体" w:hAnsi="宋体" w:cs="宋体" w:eastAsia="宋体" w:hint="default"/>
                <w:sz w:val="18"/>
                <w:szCs w:val="18"/>
              </w:rPr>
              <w:t>彩钢瓦全 面整治补 助</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临安市太湖源镇人 民政府企业办公室 </w:t>
            </w:r>
            <w:r>
              <w:rPr>
                <w:rFonts w:ascii="宋体" w:hAnsi="宋体" w:cs="宋体" w:eastAsia="宋体" w:hint="default"/>
                <w:spacing w:val="-6"/>
                <w:sz w:val="18"/>
                <w:szCs w:val="18"/>
              </w:rPr>
              <w:t>关于对万马科技、万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马天屹补助的情况</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footerReference w:type="default" r:id="rId58"/>
          <w:pgSz w:w="11910" w:h="16840"/>
          <w:pgMar w:footer="1012" w:header="890" w:top="1480" w:bottom="1200" w:left="1020" w:right="0"/>
          <w:pgNumType w:start="140"/>
        </w:sectPr>
      </w:pPr>
    </w:p>
    <w:tbl>
      <w:tblPr>
        <w:tblW w:w="0" w:type="auto"/>
        <w:jc w:val="left"/>
        <w:tblInd w:w="109" w:type="dxa"/>
        <w:tblLayout w:type="fixed"/>
        <w:tblCellMar>
          <w:top w:w="0" w:type="dxa"/>
          <w:left w:w="0" w:type="dxa"/>
          <w:bottom w:w="0" w:type="dxa"/>
          <w:right w:w="0" w:type="dxa"/>
        </w:tblCellMar>
        <w:tblLook w:val="01E0"/>
      </w:tblPr>
      <w:tblGrid>
        <w:gridCol w:w="1065"/>
        <w:gridCol w:w="1788"/>
        <w:gridCol w:w="610"/>
        <w:gridCol w:w="1770"/>
        <w:gridCol w:w="580"/>
        <w:gridCol w:w="567"/>
        <w:gridCol w:w="1063"/>
        <w:gridCol w:w="1063"/>
        <w:gridCol w:w="1063"/>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1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浙江省财政厅、浙江</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省商务厅《浙江省财</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政厅、浙江省商务厅</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因符合地方政府招</w:t>
            </w: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31"/>
              <w:jc w:val="left"/>
              <w:rPr>
                <w:rFonts w:ascii="宋体" w:hAnsi="宋体" w:cs="宋体" w:eastAsia="宋体" w:hint="default"/>
                <w:sz w:val="18"/>
                <w:szCs w:val="18"/>
              </w:rPr>
            </w:pPr>
            <w:r>
              <w:rPr>
                <w:rFonts w:ascii="宋体" w:hAnsi="宋体" w:cs="宋体" w:eastAsia="宋体" w:hint="default"/>
                <w:sz w:val="18"/>
                <w:szCs w:val="18"/>
              </w:rPr>
              <w:t>中央外经 贸发展专</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102" w:right="14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度中央外经贸发展</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216"/>
              <w:jc w:val="left"/>
              <w:rPr>
                <w:rFonts w:ascii="宋体" w:hAnsi="宋体" w:cs="宋体" w:eastAsia="宋体" w:hint="default"/>
                <w:sz w:val="18"/>
                <w:szCs w:val="18"/>
              </w:rPr>
            </w:pPr>
            <w:r>
              <w:rPr>
                <w:rFonts w:ascii="宋体" w:hAnsi="宋体" w:cs="宋体" w:eastAsia="宋体" w:hint="default"/>
                <w:sz w:val="18"/>
                <w:szCs w:val="18"/>
              </w:rPr>
              <w:t>商引资等地方性扶 持政策而获得的补</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187,100.00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专项资金的通知》</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（浙财企【</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68</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杭州市临安区市场</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4"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 得著名商 </w:t>
            </w:r>
            <w:r>
              <w:rPr>
                <w:rFonts w:ascii="宋体" w:hAnsi="宋体" w:cs="宋体" w:eastAsia="宋体" w:hint="default"/>
                <w:spacing w:val="-11"/>
                <w:sz w:val="18"/>
                <w:szCs w:val="18"/>
              </w:rPr>
              <w:t>标、名牌产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品、标准制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定企业进 行奖励</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2" w:right="101"/>
              <w:jc w:val="left"/>
              <w:rPr>
                <w:rFonts w:ascii="宋体" w:hAnsi="宋体" w:cs="宋体" w:eastAsia="宋体" w:hint="default"/>
                <w:sz w:val="18"/>
                <w:szCs w:val="18"/>
              </w:rPr>
            </w:pPr>
            <w:r>
              <w:rPr>
                <w:rFonts w:ascii="宋体" w:hAnsi="宋体" w:cs="宋体" w:eastAsia="宋体" w:hint="default"/>
                <w:spacing w:val="-6"/>
                <w:sz w:val="18"/>
                <w:szCs w:val="18"/>
              </w:rPr>
              <w:t>监督管理局、杭州市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临安区财政局《关于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对杭州市临安区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年获得著名商 </w:t>
            </w:r>
            <w:r>
              <w:rPr>
                <w:rFonts w:ascii="宋体" w:hAnsi="宋体" w:cs="宋体" w:eastAsia="宋体" w:hint="default"/>
                <w:spacing w:val="-6"/>
                <w:sz w:val="18"/>
                <w:szCs w:val="18"/>
              </w:rPr>
              <w:t>标、名牌产品、标准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制定企业进行奖励 </w:t>
            </w:r>
            <w:r>
              <w:rPr>
                <w:rFonts w:ascii="宋体" w:hAnsi="宋体" w:cs="宋体" w:eastAsia="宋体" w:hint="default"/>
                <w:spacing w:val="-12"/>
                <w:sz w:val="18"/>
                <w:szCs w:val="18"/>
              </w:rPr>
              <w:t>的通知》（临市监</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160,000.00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号文件）</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浙江省财政厅、浙江</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省商务厅《关于浙江</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auto"/>
              <w:ind w:left="10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 安区外经 贸（信保） 补助资金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33"/>
              <w:jc w:val="both"/>
              <w:rPr>
                <w:rFonts w:ascii="宋体" w:hAnsi="宋体" w:cs="宋体" w:eastAsia="宋体" w:hint="default"/>
                <w:sz w:val="18"/>
                <w:szCs w:val="18"/>
              </w:rPr>
            </w:pPr>
            <w:r>
              <w:rPr>
                <w:rFonts w:ascii="宋体" w:hAnsi="宋体" w:cs="宋体" w:eastAsia="宋体" w:hint="default"/>
                <w:sz w:val="18"/>
                <w:szCs w:val="18"/>
              </w:rPr>
              <w:t>省财政厅浙江省商 务厅关于印发浙江 省中小商贸企业国 内贸易信用保险补 助资金使用管理操</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136,600.00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作办法的通知</w:t>
            </w:r>
            <w:r>
              <w:rPr>
                <w:rFonts w:ascii="宋体" w:hAnsi="宋体" w:cs="宋体" w:eastAsia="宋体" w:hint="default"/>
                <w:spacing w:val="-89"/>
                <w:sz w:val="18"/>
                <w:szCs w:val="18"/>
              </w:rPr>
              <w:t>》</w:t>
            </w:r>
            <w:r>
              <w:rPr>
                <w:rFonts w:ascii="宋体" w:hAnsi="宋体" w:cs="宋体" w:eastAsia="宋体" w:hint="default"/>
                <w:sz w:val="18"/>
                <w:szCs w:val="18"/>
              </w:rPr>
              <w:t>（浙</w:t>
            </w:r>
          </w:p>
        </w:tc>
        <w:tc>
          <w:tcPr>
            <w:tcW w:w="610" w:type="dxa"/>
            <w:tcBorders>
              <w:top w:val="nil" w:sz="6" w:space="0" w:color="auto"/>
              <w:left w:val="single" w:sz="4" w:space="0" w:color="000000"/>
              <w:bottom w:val="nil" w:sz="6" w:space="0" w:color="auto"/>
              <w:right w:val="single" w:sz="4" w:space="0" w:color="000000"/>
            </w:tcBorders>
          </w:tcPr>
          <w:p>
            <w:pPr/>
          </w:p>
        </w:tc>
        <w:tc>
          <w:tcPr>
            <w:tcW w:w="1770"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财企【</w:t>
            </w:r>
            <w:r>
              <w:rPr>
                <w:rFonts w:ascii="Times New Roman" w:hAnsi="Times New Roman" w:cs="Times New Roman" w:eastAsia="Times New Roman" w:hint="default"/>
                <w:spacing w:val="-9"/>
                <w:sz w:val="18"/>
                <w:szCs w:val="18"/>
              </w:rPr>
              <w:t>2012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pacing w:val="-6"/>
                <w:sz w:val="18"/>
                <w:szCs w:val="18"/>
              </w:rPr>
              <w:t>杭州市财政局、杭州</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二批企业 利用资本 市场扶持 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市人民政府金融工 </w:t>
            </w:r>
            <w:r>
              <w:rPr>
                <w:rFonts w:ascii="宋体" w:hAnsi="宋体" w:cs="宋体" w:eastAsia="宋体" w:hint="default"/>
                <w:spacing w:val="-6"/>
                <w:sz w:val="18"/>
                <w:szCs w:val="18"/>
              </w:rPr>
              <w:t>作办公室《关于下达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年第二批企业 利用资本市场扶持 </w:t>
            </w:r>
            <w:r>
              <w:rPr>
                <w:rFonts w:ascii="宋体" w:hAnsi="宋体" w:cs="宋体" w:eastAsia="宋体" w:hint="default"/>
                <w:spacing w:val="-10"/>
                <w:sz w:val="18"/>
                <w:szCs w:val="18"/>
              </w:rPr>
              <w:t>资金的通知》（杭财</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125,000.00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杭州市临安区商务</w:t>
            </w:r>
          </w:p>
        </w:tc>
        <w:tc>
          <w:tcPr>
            <w:tcW w:w="610" w:type="dxa"/>
            <w:tcBorders>
              <w:top w:val="single" w:sz="4" w:space="0" w:color="000000"/>
              <w:left w:val="single" w:sz="4" w:space="0" w:color="000000"/>
              <w:bottom w:val="nil" w:sz="6" w:space="0" w:color="auto"/>
              <w:right w:val="single" w:sz="4" w:space="0" w:color="000000"/>
            </w:tcBorders>
          </w:tcPr>
          <w:p>
            <w:pPr/>
          </w:p>
        </w:tc>
        <w:tc>
          <w:tcPr>
            <w:tcW w:w="1770"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auto"/>
              <w:ind w:left="101"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省级外贸 转型升级 项目资金</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2" w:right="101"/>
              <w:jc w:val="left"/>
              <w:rPr>
                <w:rFonts w:ascii="宋体" w:hAnsi="宋体" w:cs="宋体" w:eastAsia="宋体" w:hint="default"/>
                <w:sz w:val="18"/>
                <w:szCs w:val="18"/>
              </w:rPr>
            </w:pPr>
            <w:r>
              <w:rPr>
                <w:rFonts w:ascii="宋体" w:hAnsi="宋体" w:cs="宋体" w:eastAsia="宋体" w:hint="default"/>
                <w:spacing w:val="-6"/>
                <w:sz w:val="18"/>
                <w:szCs w:val="18"/>
              </w:rPr>
              <w:t>局、杭州市临安区财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政局《关于要求兑现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年度省级外贸 转型升级项目资金 </w:t>
            </w:r>
            <w:r>
              <w:rPr>
                <w:rFonts w:ascii="宋体" w:hAnsi="宋体" w:cs="宋体" w:eastAsia="宋体" w:hint="default"/>
                <w:spacing w:val="-12"/>
                <w:sz w:val="18"/>
                <w:szCs w:val="18"/>
              </w:rPr>
              <w:t>的请示》（临商务</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奖励</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610" w:type="dxa"/>
            <w:tcBorders>
              <w:top w:val="nil" w:sz="6" w:space="0" w:color="auto"/>
              <w:left w:val="single" w:sz="4" w:space="0" w:color="000000"/>
              <w:bottom w:val="single" w:sz="4" w:space="0" w:color="000000"/>
              <w:right w:val="single" w:sz="4" w:space="0" w:color="000000"/>
            </w:tcBorders>
          </w:tcPr>
          <w:p>
            <w:pPr/>
          </w:p>
        </w:tc>
        <w:tc>
          <w:tcPr>
            <w:tcW w:w="1770"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1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其他零星</w:t>
            </w:r>
          </w:p>
        </w:tc>
        <w:tc>
          <w:tcPr>
            <w:tcW w:w="178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center"/>
              <w:rPr>
                <w:rFonts w:ascii="宋体" w:hAnsi="宋体" w:cs="宋体" w:eastAsia="宋体" w:hint="default"/>
                <w:sz w:val="18"/>
                <w:szCs w:val="18"/>
              </w:rPr>
            </w:pPr>
            <w:r>
              <w:rPr>
                <w:rFonts w:ascii="宋体" w:hAnsi="宋体" w:cs="宋体" w:eastAsia="宋体" w:hint="default"/>
                <w:sz w:val="18"/>
                <w:szCs w:val="18"/>
              </w:rPr>
              <w:t>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left"/>
              <w:rPr>
                <w:rFonts w:ascii="宋体" w:hAnsi="宋体" w:cs="宋体" w:eastAsia="宋体" w:hint="default"/>
                <w:sz w:val="18"/>
                <w:szCs w:val="18"/>
              </w:rPr>
            </w:pPr>
            <w:r>
              <w:rPr>
                <w:rFonts w:ascii="宋体" w:hAnsi="宋体" w:cs="宋体" w:eastAsia="宋体" w:hint="default"/>
                <w:spacing w:val="-8"/>
                <w:sz w:val="18"/>
                <w:szCs w:val="18"/>
              </w:rPr>
              <w:t>因研究开发、技术更</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241,236.48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798,635.46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890" w:footer="1012" w:top="148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065"/>
        <w:gridCol w:w="1788"/>
        <w:gridCol w:w="610"/>
        <w:gridCol w:w="1770"/>
        <w:gridCol w:w="580"/>
        <w:gridCol w:w="567"/>
        <w:gridCol w:w="1063"/>
        <w:gridCol w:w="1063"/>
        <w:gridCol w:w="1063"/>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8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216"/>
              <w:jc w:val="left"/>
              <w:rPr>
                <w:rFonts w:ascii="宋体" w:hAnsi="宋体" w:cs="宋体" w:eastAsia="宋体" w:hint="default"/>
                <w:sz w:val="18"/>
                <w:szCs w:val="18"/>
              </w:rPr>
            </w:pPr>
            <w:r>
              <w:rPr>
                <w:rFonts w:ascii="宋体" w:hAnsi="宋体" w:cs="宋体" w:eastAsia="宋体" w:hint="default"/>
                <w:sz w:val="18"/>
                <w:szCs w:val="18"/>
              </w:rPr>
              <w:t>新及改造等获得的 补助</w:t>
            </w:r>
          </w:p>
        </w:tc>
        <w:tc>
          <w:tcPr>
            <w:tcW w:w="58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6"/>
        <w:spacing w:line="240" w:lineRule="auto" w:before="34"/>
        <w:ind w:right="0"/>
        <w:jc w:val="left"/>
        <w:rPr>
          <w:b w:val="0"/>
          <w:bCs w:val="0"/>
        </w:rPr>
      </w:pPr>
      <w:bookmarkStart w:name="49、营业外支出" w:id="328"/>
      <w:bookmarkEnd w:id="328"/>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63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61,630.00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54,500.00</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1,390,036.56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164,781.18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1,390,036.56</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1,785,871.47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2,678,868.16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1,785,871.47</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1,519,612.96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704,806.04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1,519,612.96</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4,750,020.99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3,610,085.38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4,750,020.99</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0、所得税费用" w:id="329"/>
      <w:bookmarkEnd w:id="329"/>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所得税费用表" w:id="330"/>
      <w:bookmarkEnd w:id="33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15,592,424.81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9,545,036.23</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-13,173,832.29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-3,841,581.88</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2,418,592.52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5,703,454.35</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会计利润与所得税费用调整过程" w:id="331"/>
      <w:bookmarkEnd w:id="33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309"/>
        <w:gridCol w:w="3259"/>
      </w:tblGrid>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117,616,832.02</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17,642,524.80</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231,270.00</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1,676,279.93</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-10,776,008.99</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11,363,938.37</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-7,013,736.64</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13,193,183.94</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福利企业残疾人加计扣除的影响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-4,490,018.47</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-19,408,840.42</w:t>
            </w:r>
          </w:p>
        </w:tc>
      </w:tr>
      <w:tr>
        <w:trPr>
          <w:trHeight w:val="322" w:hRule="exact"/>
        </w:trPr>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2,418,592.52</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pStyle w:val="Heading6"/>
        <w:spacing w:line="240" w:lineRule="auto" w:before="43"/>
        <w:ind w:right="0"/>
        <w:jc w:val="left"/>
        <w:rPr>
          <w:b w:val="0"/>
          <w:bCs w:val="0"/>
        </w:rPr>
      </w:pPr>
      <w:bookmarkStart w:name="51、其他综合收益" w:id="332"/>
      <w:bookmarkEnd w:id="332"/>
      <w:r>
        <w:rPr>
          <w:b w:val="0"/>
          <w:bCs w:val="0"/>
        </w:rPr>
      </w:r>
      <w:r>
        <w:rPr>
          <w:rFonts w:ascii="Times New Roman" w:hAnsi="Times New Roman" w:cs="Times New Roman" w:eastAsia="Times New Roman" w:hint="default"/>
        </w:rPr>
        <w:t>51</w:t>
      </w:r>
      <w:r>
        <w:rPr/>
        <w:t>、其他综合收益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详见附注“七、</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其他综合收益”相关内容</w:t>
      </w:r>
      <w:r>
        <w:rPr>
          <w:spacing w:val="-89"/>
        </w:rPr>
        <w:t>。</w:t>
      </w:r>
      <w:r>
        <w:rPr/>
        <w:t>。</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52、现金流量表项目" w:id="333"/>
      <w:bookmarkEnd w:id="333"/>
      <w:r>
        <w:rPr>
          <w:b w:val="0"/>
          <w:bCs w:val="0"/>
        </w:rPr>
      </w: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收到的其他与经营活动有关的现金" w:id="334"/>
      <w:bookmarkEnd w:id="33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3,926,232.31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3,207,189.61</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财政补助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10,248,727.04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11,003,176.37</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166,134,089.77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9,984,993.71</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5,571,077.48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21,740,999.59</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33,063,601.00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1,762,445.07</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14,101,375.98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2,771,656.54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2"/>
                <w:sz w:val="18"/>
              </w:rPr>
              <w:t>2,011,711.30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1,522,547.37</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235,056,814.88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51,993,008.26</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支付的其他与经营活动有关的现金" w:id="335"/>
      <w:bookmarkEnd w:id="33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477,461,173.41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376,169,351.34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29,430,976.91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59,044,863.73</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172,594,797.60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52,263,792.80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业务员备用金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2,893,667.90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1,200,133.59</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623,481.83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462,103.11</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3,581,383.59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5,769,728.53</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686,585,481.24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494,909,973.10</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3）收到的其他与投资活动有关的现金" w:id="336"/>
      <w:bookmarkEnd w:id="33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银行理财产品赎回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1,092,000,000.00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1,446,000,000.00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赎回期货保证金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409,542,153.10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163,714,470.00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套期收益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43,468,116.57</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1,501,542,153.10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1,653,182,586.57</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支付的其他与投资活动有关的现金" w:id="337"/>
      <w:bookmarkEnd w:id="33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银行理财产品申购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1,047,700,000.00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1,506,900,000.00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期货保证金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481,866,074.60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232,990,924.50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套期损益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51,153,183.66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套期手续费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444,402.94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1,581,163,661.20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1,739,890,924.50</w:t>
            </w:r>
          </w:p>
        </w:tc>
      </w:tr>
    </w:tbl>
    <w:p>
      <w:pPr>
        <w:pStyle w:val="BodyText"/>
        <w:spacing w:line="240" w:lineRule="auto" w:before="50"/>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收到的其他与筹资活动有关的现金" w:id="338"/>
      <w:bookmarkEnd w:id="33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银行保证金减少额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5,288,822.85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2,885,438.85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5,288,822.85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2,885,438.85</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6）支付的其他与筹资活动有关的现金" w:id="339"/>
      <w:bookmarkEnd w:id="33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银行保证金增加额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182,721,290.62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36,470,004.32</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银行借款保理费用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648,651.26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39,161.49</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非公发行费用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760,117.20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183,369,941.88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37,269,283.01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3、现金流量表补充资料" w:id="340"/>
      <w:bookmarkEnd w:id="340"/>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341"/>
      <w:bookmarkEnd w:id="34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69"/>
        <w:gridCol w:w="2850"/>
        <w:gridCol w:w="2449"/>
      </w:tblGrid>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115,198,239.50</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109,218,856.69</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83,873,721.02</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24,249,313.42</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109,840,020.22</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87,727,161.85</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9,666,563.91</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8,134,657.24</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8,491,400.24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5,413,609.99</w:t>
            </w:r>
          </w:p>
        </w:tc>
      </w:tr>
      <w:tr>
        <w:trPr>
          <w:trHeight w:val="634"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227,841.42</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1,389,211.56</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-15,232.16</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7,723,632.34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-4,710,516.06</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83,073,081.88</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59,138,088.48</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2,194,266.72</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-3,966,703.49</w:t>
            </w:r>
          </w:p>
        </w:tc>
      </w:tr>
      <w:tr>
        <w:trPr>
          <w:trHeight w:val="320"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-14,087,153.66</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-3,701,898.87</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269"/>
        <w:gridCol w:w="2850"/>
        <w:gridCol w:w="2449"/>
      </w:tblGrid>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525,887.71</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-139,683.01</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-83,141,864.84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-338,384,023.48</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-54,944,607.60</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-1,005,503,316.33</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367,726,617.80</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121,907,568.96</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638,571,286.93</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-940,404,275.35</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0" w:right="0"/>
              <w:jc w:val="left"/>
              <w:rPr>
                <w:rFonts w:ascii="Times New Roman" w:hAnsi="Times New Roman" w:cs="Times New Roman" w:eastAsia="Times New Roman" w:hint="default"/>
                <w:sz w:val="18"/>
                <w:szCs w:val="18"/>
              </w:rPr>
            </w:pPr>
            <w:r>
              <w:rPr>
                <w:rFonts w:ascii="Times New Roman"/>
                <w:sz w:val="18"/>
              </w:rPr>
              <w:t>--</w:t>
            </w:r>
          </w:p>
        </w:tc>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0" w:right="0"/>
              <w:jc w:val="left"/>
              <w:rPr>
                <w:rFonts w:ascii="Times New Roman" w:hAnsi="Times New Roman" w:cs="Times New Roman" w:eastAsia="Times New Roman" w:hint="default"/>
                <w:sz w:val="18"/>
                <w:szCs w:val="18"/>
              </w:rPr>
            </w:pPr>
            <w:r>
              <w:rPr>
                <w:rFonts w:ascii="Times New Roman"/>
                <w:sz w:val="18"/>
              </w:rPr>
              <w:t>--</w:t>
            </w:r>
          </w:p>
        </w:tc>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670,797,853.58</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897,951,779.11</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pacing w:val="-1"/>
                <w:sz w:val="18"/>
              </w:rPr>
              <w:t>897,951,779.11</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562,838,129.32</w:t>
            </w:r>
          </w:p>
        </w:tc>
      </w:tr>
      <w:tr>
        <w:trPr>
          <w:trHeight w:val="322" w:hRule="exact"/>
        </w:trPr>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-227,153,925.53</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335,113,649.79</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现金和现金等价物的构成" w:id="342"/>
      <w:bookmarkEnd w:id="34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670,797,853.58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897,951,779.11</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57,351.42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157,599.83</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657,758,395.46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842,503,219.65</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12,982,106.70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55,290,959.63</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670,797,853.58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897,951,779.11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4、所有权或使用权受到限制的资产" w:id="343"/>
      <w:bookmarkEnd w:id="343"/>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2875"/>
        <w:gridCol w:w="2320"/>
        <w:gridCol w:w="4373"/>
      </w:tblGrid>
      <w:tr>
        <w:trPr>
          <w:trHeight w:val="32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241,030,165.10</w:t>
            </w:r>
          </w:p>
        </w:tc>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银行承兑汇票保证金、保函保证金以及信用证保证金</w:t>
            </w:r>
          </w:p>
        </w:tc>
      </w:tr>
      <w:tr>
        <w:trPr>
          <w:trHeight w:val="32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174,210,341.15</w:t>
            </w:r>
          </w:p>
        </w:tc>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质押开具应付票据</w:t>
            </w:r>
          </w:p>
        </w:tc>
      </w:tr>
      <w:tr>
        <w:trPr>
          <w:trHeight w:val="32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195,286,136.24</w:t>
            </w:r>
          </w:p>
        </w:tc>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32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78,098,646.08</w:t>
            </w:r>
          </w:p>
        </w:tc>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32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688,625,288.57</w:t>
            </w:r>
          </w:p>
        </w:tc>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left="0" w:right="1132"/>
        <w:jc w:val="right"/>
      </w:pPr>
      <w:r>
        <w:rPr/>
        <w:t>单位：</w:t>
      </w:r>
      <w:r>
        <w:rPr>
          <w:spacing w:val="-2"/>
        </w:rPr>
        <w:t> </w:t>
      </w:r>
      <w:r>
        <w:rPr/>
        <w:t>元</w:t>
      </w:r>
    </w:p>
    <w:p>
      <w:pPr>
        <w:spacing w:line="240" w:lineRule="auto" w:before="5"/>
        <w:rPr>
          <w:rFonts w:ascii="宋体" w:hAnsi="宋体" w:cs="宋体" w:eastAsia="宋体" w:hint="default"/>
          <w:sz w:val="24"/>
          <w:szCs w:val="24"/>
        </w:rPr>
      </w:pPr>
    </w:p>
    <w:p>
      <w:pPr>
        <w:pStyle w:val="Heading6"/>
        <w:spacing w:line="240" w:lineRule="auto" w:before="34"/>
        <w:ind w:right="0"/>
        <w:jc w:val="left"/>
        <w:rPr>
          <w:b w:val="0"/>
          <w:bCs w:val="0"/>
        </w:rPr>
      </w:pPr>
      <w:bookmarkStart w:name="55、外币货币性项目" w:id="344"/>
      <w:bookmarkEnd w:id="344"/>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345"/>
      <w:bookmarkEnd w:id="34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73,903,352.76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10,121,963.51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69,469,059.96</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0.24</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1,122,932.01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983,913.03</w:t>
            </w:r>
          </w:p>
        </w:tc>
      </w:tr>
      <w:tr>
        <w:trPr>
          <w:trHeight w:val="32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496,500.35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6.9494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3,450,379.53</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2"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6"/>
              <w:jc w:val="righ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89,374,791.92</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13,022,320.77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89,374,791.92</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2"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26"/>
              <w:jc w:val="righ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1,100,720.02</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160,380.00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1,100,720.02</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479,861.53</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7,344.00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50,403.34</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61,797.88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6.9494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429,458.19</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58,608.37</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8,539.51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58,608.37</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31,530,451.40</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4,018,000.00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31,530,451.40</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21,985,340.10</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3,203,365.79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21,985,340.10</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1,070,144.46</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155,925.00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1,070,144.46</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1,509,141.74</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206,249.53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1,415,531.77</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11,928.94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93,609.97</w:t>
            </w:r>
          </w:p>
        </w:tc>
      </w:tr>
    </w:tbl>
    <w:p>
      <w:pPr>
        <w:spacing w:line="240" w:lineRule="auto" w:before="4"/>
        <w:rPr>
          <w:rFonts w:ascii="宋体" w:hAnsi="宋体" w:cs="宋体" w:eastAsia="宋体" w:hint="default"/>
          <w:sz w:val="19"/>
          <w:szCs w:val="19"/>
        </w:rPr>
      </w:pPr>
    </w:p>
    <w:p>
      <w:pPr>
        <w:pStyle w:val="Heading6"/>
        <w:spacing w:line="259" w:lineRule="auto" w:before="34"/>
        <w:ind w:right="0"/>
        <w:jc w:val="left"/>
        <w:rPr>
          <w:b w:val="0"/>
          <w:bCs w:val="0"/>
        </w:rPr>
      </w:pPr>
      <w:bookmarkStart w:name="（2）境外经营实体说明，包括对于重要的境外经营实体，应披露其境外主要经营地、记账" w:id="346"/>
      <w:bookmarkEnd w:id="346"/>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5"/>
          <w:szCs w:val="15"/>
        </w:rPr>
      </w:pPr>
    </w:p>
    <w:p>
      <w:pPr>
        <w:pStyle w:val="BodyText"/>
        <w:spacing w:line="316" w:lineRule="auto"/>
        <w:ind w:right="0" w:firstLine="441"/>
        <w:jc w:val="left"/>
      </w:pPr>
      <w:r>
        <w:rPr/>
        <w:t>HONG KONG </w:t>
      </w:r>
      <w:r>
        <w:rPr>
          <w:spacing w:val="-1"/>
        </w:rPr>
        <w:t>STEED</w:t>
      </w:r>
      <w:r>
        <w:rPr/>
        <w:t> </w:t>
      </w:r>
      <w:r>
        <w:rPr>
          <w:spacing w:val="-1"/>
        </w:rPr>
        <w:t>INTERNATIONAL</w:t>
      </w:r>
      <w:r>
        <w:rPr>
          <w:spacing w:val="8"/>
        </w:rPr>
        <w:t> </w:t>
      </w:r>
      <w:r>
        <w:rPr>
          <w:spacing w:val="-2"/>
        </w:rPr>
        <w:t>DEVELOPMENT（香港骐骥国际发展有限公司），系本集团注册在香港的全资子公司。</w:t>
      </w:r>
      <w:r>
        <w:rPr/>
        <w:t> 公司主要经营地：香港；记账本位币：人民币。</w:t>
      </w:r>
    </w:p>
    <w:p>
      <w:pPr>
        <w:pStyle w:val="BodyText"/>
        <w:spacing w:line="316" w:lineRule="auto" w:before="139"/>
        <w:ind w:right="1130" w:firstLine="441"/>
        <w:jc w:val="left"/>
      </w:pPr>
      <w:r>
        <w:rPr>
          <w:spacing w:val="-1"/>
        </w:rPr>
        <w:t>Optrum</w:t>
      </w:r>
      <w:r>
        <w:rPr/>
        <w:t> </w:t>
      </w:r>
      <w:r>
        <w:rPr>
          <w:spacing w:val="-1"/>
        </w:rPr>
        <w:t>Technology</w:t>
      </w:r>
      <w:r>
        <w:rPr>
          <w:spacing w:val="17"/>
        </w:rPr>
        <w:t> </w:t>
      </w:r>
      <w:r>
        <w:rPr>
          <w:spacing w:val="-2"/>
        </w:rPr>
        <w:t>LLC（奥创科技有限公司），系本集团注册在美国德克萨斯州的全资子公司。公司主要经营地：美</w:t>
      </w:r>
      <w:r>
        <w:rPr/>
        <w:t> 国德克萨斯州；记账本位币：美元。</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56、套期" w:id="347"/>
      <w:bookmarkEnd w:id="347"/>
      <w:r>
        <w:rPr>
          <w:b w:val="0"/>
          <w:bCs w:val="0"/>
        </w:rPr>
      </w:r>
      <w:r>
        <w:rPr>
          <w:rFonts w:ascii="Times New Roman" w:hAnsi="Times New Roman" w:cs="Times New Roman" w:eastAsia="Times New Roman" w:hint="default"/>
        </w:rPr>
        <w:t>56</w:t>
      </w:r>
      <w:r>
        <w:rPr/>
        <w:t>、套期</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pStyle w:val="BodyText"/>
        <w:spacing w:line="430" w:lineRule="atLeast" w:before="2"/>
        <w:ind w:left="554" w:right="1132"/>
        <w:jc w:val="left"/>
      </w:pPr>
      <w:r>
        <w:rPr/>
        <w:t>（1）现金流量套期业务概况 铜为本集团电线电缆产品的主要原材料，近年来受宏观经济的影响，铜的采购价格波动幅度较大，为规避铜价波动风</w:t>
      </w:r>
    </w:p>
    <w:p>
      <w:pPr>
        <w:pStyle w:val="BodyText"/>
        <w:spacing w:line="316" w:lineRule="auto" w:before="76"/>
        <w:ind w:right="0"/>
        <w:jc w:val="left"/>
      </w:pPr>
      <w:r>
        <w:rPr>
          <w:spacing w:val="-4"/>
        </w:rPr>
        <w:t>险，本集团基于销售订单数据分析预期的铜采购交易，以此为依据进行期铜合约套期操作。公司制定了《铜采购管理制度》，</w:t>
      </w:r>
      <w:r>
        <w:rPr>
          <w:spacing w:val="-43"/>
        </w:rPr>
        <w:t> </w:t>
      </w:r>
      <w:r>
        <w:rPr>
          <w:spacing w:val="-43"/>
        </w:rPr>
      </w:r>
      <w:r>
        <w:rPr/>
        <w:t>该制度对公司开展铜期货保值业务的审批权限、操作流程及风险控制等方面做出了明确规定。</w:t>
      </w:r>
    </w:p>
    <w:p>
      <w:pPr>
        <w:pStyle w:val="BodyText"/>
        <w:spacing w:line="240" w:lineRule="auto" w:before="139"/>
        <w:ind w:left="554" w:right="0"/>
        <w:jc w:val="left"/>
      </w:pPr>
      <w:r>
        <w:rPr/>
        <w:t>（2）现金流量套期业务定性分析</w:t>
      </w:r>
    </w:p>
    <w:p>
      <w:pPr>
        <w:spacing w:after="0" w:line="240" w:lineRule="auto"/>
        <w:jc w:val="left"/>
        <w:sectPr>
          <w:pgSz w:w="11910" w:h="16840"/>
          <w:pgMar w:header="890" w:footer="1012" w:top="1420" w:bottom="1200" w:left="1020" w:right="0"/>
        </w:sectPr>
      </w:pPr>
    </w:p>
    <w:p>
      <w:pPr>
        <w:pStyle w:val="BodyText"/>
        <w:spacing w:line="316" w:lineRule="auto" w:before="66"/>
        <w:ind w:left="252" w:right="1133" w:firstLine="441"/>
        <w:jc w:val="left"/>
      </w:pPr>
      <w:r>
        <w:rPr/>
        <w:t>本集团使用自有资金开展期货套期保值业务的审批程序符合国家相关法律、法规及《公司章程》的有关规定，为规避 铜价格波动而开展的期铜套期保值业务，有利于控制经营风险，提高公司抵御市场波动的能力。</w:t>
      </w:r>
    </w:p>
    <w:p>
      <w:pPr>
        <w:pStyle w:val="BodyText"/>
        <w:spacing w:line="240" w:lineRule="auto" w:before="139"/>
        <w:ind w:left="694" w:right="1119"/>
        <w:jc w:val="left"/>
      </w:pPr>
      <w:r>
        <w:rPr/>
        <w:t>（3）现金流量套期业务对当期损益和其他综合收益的影响</w:t>
      </w:r>
    </w:p>
    <w:p>
      <w:pPr>
        <w:spacing w:line="240" w:lineRule="auto" w:before="4"/>
        <w:rPr>
          <w:rFonts w:ascii="宋体" w:hAnsi="宋体" w:cs="宋体" w:eastAsia="宋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1039"/>
        <w:gridCol w:w="560"/>
        <w:gridCol w:w="1705"/>
        <w:gridCol w:w="1633"/>
        <w:gridCol w:w="1567"/>
        <w:gridCol w:w="1337"/>
        <w:gridCol w:w="1599"/>
      </w:tblGrid>
      <w:tr>
        <w:trPr>
          <w:trHeight w:val="408"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9" w:right="44"/>
              <w:jc w:val="left"/>
              <w:rPr>
                <w:rFonts w:ascii="宋体" w:hAnsi="宋体" w:cs="宋体" w:eastAsia="宋体" w:hint="default"/>
                <w:sz w:val="18"/>
                <w:szCs w:val="18"/>
              </w:rPr>
            </w:pPr>
            <w:r>
              <w:rPr>
                <w:rFonts w:ascii="宋体" w:hAnsi="宋体" w:cs="宋体" w:eastAsia="宋体" w:hint="default"/>
                <w:b/>
                <w:bCs/>
                <w:spacing w:val="6"/>
                <w:sz w:val="18"/>
                <w:szCs w:val="18"/>
              </w:rPr>
              <w:t>被套期项目</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560" w:type="dxa"/>
            <w:vMerge w:val="restart"/>
            <w:tcBorders>
              <w:top w:val="single" w:sz="4" w:space="0" w:color="000000"/>
              <w:left w:val="single" w:sz="4" w:space="0" w:color="000000"/>
              <w:right w:val="single" w:sz="4" w:space="0" w:color="000000"/>
            </w:tcBorders>
          </w:tcPr>
          <w:p>
            <w:pPr>
              <w:pStyle w:val="TableParagraph"/>
              <w:spacing w:line="316" w:lineRule="auto" w:before="60"/>
              <w:ind w:left="95" w:right="93"/>
              <w:jc w:val="both"/>
              <w:rPr>
                <w:rFonts w:ascii="宋体" w:hAnsi="宋体" w:cs="宋体" w:eastAsia="宋体" w:hint="default"/>
                <w:sz w:val="18"/>
                <w:szCs w:val="18"/>
              </w:rPr>
            </w:pPr>
            <w:r>
              <w:rPr>
                <w:rFonts w:ascii="宋体" w:hAnsi="宋体" w:cs="宋体" w:eastAsia="宋体" w:hint="default"/>
                <w:b/>
                <w:bCs/>
                <w:sz w:val="18"/>
                <w:szCs w:val="18"/>
              </w:rPr>
              <w:t>套期</w:t>
            </w:r>
            <w:r>
              <w:rPr>
                <w:rFonts w:ascii="宋体" w:hAnsi="宋体" w:cs="宋体" w:eastAsia="宋体" w:hint="default"/>
                <w:b/>
                <w:bCs/>
                <w:w w:val="99"/>
                <w:sz w:val="18"/>
                <w:szCs w:val="18"/>
              </w:rPr>
              <w:t> </w:t>
            </w:r>
            <w:r>
              <w:rPr>
                <w:rFonts w:ascii="宋体" w:hAnsi="宋体" w:cs="宋体" w:eastAsia="宋体" w:hint="default"/>
                <w:b/>
                <w:bCs/>
                <w:sz w:val="18"/>
                <w:szCs w:val="18"/>
              </w:rPr>
              <w:t>工具</w:t>
            </w:r>
            <w:r>
              <w:rPr>
                <w:rFonts w:ascii="宋体" w:hAnsi="宋体" w:cs="宋体" w:eastAsia="宋体" w:hint="default"/>
                <w:b/>
                <w:bCs/>
                <w:w w:val="99"/>
                <w:sz w:val="18"/>
                <w:szCs w:val="18"/>
              </w:rPr>
              <w:t> </w:t>
            </w:r>
            <w:r>
              <w:rPr>
                <w:rFonts w:ascii="宋体" w:hAnsi="宋体" w:cs="宋体" w:eastAsia="宋体" w:hint="default"/>
                <w:b/>
                <w:bCs/>
                <w:sz w:val="18"/>
                <w:szCs w:val="18"/>
              </w:rPr>
              <w:t>品种</w:t>
            </w:r>
            <w:r>
              <w:rPr>
                <w:rFonts w:ascii="宋体" w:hAnsi="宋体" w:cs="宋体" w:eastAsia="宋体" w:hint="default"/>
                <w:sz w:val="18"/>
                <w:szCs w:val="18"/>
              </w:rPr>
            </w:r>
          </w:p>
        </w:tc>
        <w:tc>
          <w:tcPr>
            <w:tcW w:w="170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87" w:right="120" w:hanging="360"/>
              <w:jc w:val="left"/>
              <w:rPr>
                <w:rFonts w:ascii="宋体" w:hAnsi="宋体" w:cs="宋体" w:eastAsia="宋体" w:hint="default"/>
                <w:sz w:val="18"/>
                <w:szCs w:val="18"/>
              </w:rPr>
            </w:pPr>
            <w:r>
              <w:rPr>
                <w:rFonts w:ascii="宋体" w:hAnsi="宋体" w:cs="宋体" w:eastAsia="宋体" w:hint="default"/>
                <w:b/>
                <w:bCs/>
                <w:sz w:val="18"/>
                <w:szCs w:val="18"/>
              </w:rPr>
              <w:t>套期工具累计利得</w:t>
            </w:r>
            <w:r>
              <w:rPr>
                <w:rFonts w:ascii="宋体" w:hAnsi="宋体" w:cs="宋体" w:eastAsia="宋体" w:hint="default"/>
                <w:b/>
                <w:bCs/>
                <w:w w:val="99"/>
                <w:sz w:val="18"/>
                <w:szCs w:val="18"/>
              </w:rPr>
              <w:t> </w:t>
            </w:r>
            <w:r>
              <w:rPr>
                <w:rFonts w:ascii="宋体" w:hAnsi="宋体" w:cs="宋体" w:eastAsia="宋体" w:hint="default"/>
                <w:b/>
                <w:bCs/>
                <w:sz w:val="18"/>
                <w:szCs w:val="18"/>
              </w:rPr>
              <w:t>或损失①</w:t>
            </w:r>
            <w:r>
              <w:rPr>
                <w:rFonts w:ascii="宋体" w:hAnsi="宋体" w:cs="宋体" w:eastAsia="宋体" w:hint="default"/>
                <w:sz w:val="18"/>
                <w:szCs w:val="18"/>
              </w:rPr>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b/>
                <w:bCs/>
                <w:sz w:val="18"/>
                <w:szCs w:val="18"/>
              </w:rPr>
              <w:t>累计套期有效部分</w:t>
            </w:r>
            <w:r>
              <w:rPr>
                <w:rFonts w:ascii="宋体" w:hAnsi="宋体" w:cs="宋体" w:eastAsia="宋体" w:hint="default"/>
                <w:sz w:val="18"/>
                <w:szCs w:val="18"/>
              </w:rPr>
            </w:r>
          </w:p>
          <w:p>
            <w:pPr>
              <w:pStyle w:val="TableParagraph"/>
              <w:spacing w:line="240" w:lineRule="auto" w:before="76"/>
              <w:ind w:left="181" w:right="0"/>
              <w:jc w:val="left"/>
              <w:rPr>
                <w:rFonts w:ascii="宋体" w:hAnsi="宋体" w:cs="宋体" w:eastAsia="宋体" w:hint="default"/>
                <w:sz w:val="18"/>
                <w:szCs w:val="18"/>
              </w:rPr>
            </w:pPr>
            <w:r>
              <w:rPr>
                <w:rFonts w:ascii="宋体" w:hAnsi="宋体" w:cs="宋体" w:eastAsia="宋体" w:hint="default"/>
                <w:b/>
                <w:bCs/>
                <w:sz w:val="18"/>
                <w:szCs w:val="18"/>
              </w:rPr>
              <w:t>（套期储备）②</w:t>
            </w:r>
            <w:r>
              <w:rPr>
                <w:rFonts w:ascii="宋体" w:hAnsi="宋体" w:cs="宋体" w:eastAsia="宋体" w:hint="default"/>
                <w:sz w:val="18"/>
                <w:szCs w:val="18"/>
              </w:rPr>
            </w:r>
          </w:p>
        </w:tc>
        <w:tc>
          <w:tcPr>
            <w:tcW w:w="4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套期无效部分</w:t>
            </w:r>
            <w:r>
              <w:rPr>
                <w:rFonts w:ascii="宋体" w:hAnsi="宋体" w:cs="宋体" w:eastAsia="宋体" w:hint="default"/>
                <w:sz w:val="18"/>
                <w:szCs w:val="18"/>
              </w:rPr>
            </w:r>
          </w:p>
        </w:tc>
      </w:tr>
      <w:tr>
        <w:trPr>
          <w:trHeight w:val="634" w:hRule="exact"/>
        </w:trPr>
        <w:tc>
          <w:tcPr>
            <w:tcW w:w="1039"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633"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b/>
                <w:bCs/>
                <w:sz w:val="18"/>
                <w:szCs w:val="18"/>
              </w:rPr>
              <w:t>本期末累计金额③</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②</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572" w:right="119" w:hanging="449"/>
              <w:jc w:val="left"/>
              <w:rPr>
                <w:rFonts w:ascii="宋体" w:hAnsi="宋体" w:cs="宋体" w:eastAsia="宋体" w:hint="default"/>
                <w:sz w:val="18"/>
                <w:szCs w:val="18"/>
              </w:rPr>
            </w:pPr>
            <w:r>
              <w:rPr>
                <w:rFonts w:ascii="宋体" w:hAnsi="宋体" w:cs="宋体" w:eastAsia="宋体" w:hint="default"/>
                <w:b/>
                <w:bCs/>
                <w:sz w:val="18"/>
                <w:szCs w:val="18"/>
              </w:rPr>
              <w:t>上期末累计金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634"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9" w:right="47"/>
              <w:jc w:val="left"/>
              <w:rPr>
                <w:rFonts w:ascii="宋体" w:hAnsi="宋体" w:cs="宋体" w:eastAsia="宋体" w:hint="default"/>
                <w:sz w:val="18"/>
                <w:szCs w:val="18"/>
              </w:rPr>
            </w:pPr>
            <w:r>
              <w:rPr>
                <w:rFonts w:ascii="宋体" w:hAnsi="宋体" w:cs="宋体" w:eastAsia="宋体" w:hint="default"/>
                <w:spacing w:val="6"/>
                <w:sz w:val="18"/>
                <w:szCs w:val="18"/>
              </w:rPr>
              <w:t>预期铜采购</w:t>
            </w:r>
            <w:r>
              <w:rPr>
                <w:rFonts w:ascii="宋体" w:hAnsi="宋体" w:cs="宋体" w:eastAsia="宋体" w:hint="default"/>
                <w:sz w:val="18"/>
                <w:szCs w:val="18"/>
              </w:rPr>
              <w:t>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95" w:right="93"/>
              <w:jc w:val="left"/>
              <w:rPr>
                <w:rFonts w:ascii="宋体" w:hAnsi="宋体" w:cs="宋体" w:eastAsia="宋体" w:hint="default"/>
                <w:sz w:val="18"/>
                <w:szCs w:val="18"/>
              </w:rPr>
            </w:pPr>
            <w:r>
              <w:rPr>
                <w:rFonts w:ascii="宋体" w:hAnsi="宋体" w:cs="宋体" w:eastAsia="宋体" w:hint="default"/>
                <w:sz w:val="18"/>
                <w:szCs w:val="18"/>
              </w:rPr>
              <w:t>期铜 合约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-58,636,705.11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-41,833,182.80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-16,803,522.31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pacing w:val="-1"/>
                <w:sz w:val="18"/>
              </w:rPr>
              <w:t>1,495,079.83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-18,298,602.14</w:t>
            </w:r>
          </w:p>
        </w:tc>
      </w:tr>
      <w:tr>
        <w:trPr>
          <w:trHeight w:val="418"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6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5" w:right="0"/>
              <w:jc w:val="left"/>
              <w:rPr>
                <w:rFonts w:ascii="Times New Roman" w:hAnsi="Times New Roman" w:cs="Times New Roman" w:eastAsia="Times New Roman" w:hint="default"/>
                <w:sz w:val="18"/>
                <w:szCs w:val="18"/>
              </w:rPr>
            </w:pPr>
            <w:r>
              <w:rPr>
                <w:rFonts w:ascii="Times New Roman"/>
                <w:b/>
                <w:sz w:val="18"/>
              </w:rPr>
              <w:t>-58,636,705.11</w:t>
            </w:r>
            <w:r>
              <w:rPr>
                <w:rFonts w:ascii="Times New Roman"/>
                <w:sz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3" w:right="0"/>
              <w:jc w:val="left"/>
              <w:rPr>
                <w:rFonts w:ascii="Times New Roman" w:hAnsi="Times New Roman" w:cs="Times New Roman" w:eastAsia="Times New Roman" w:hint="default"/>
                <w:sz w:val="18"/>
                <w:szCs w:val="18"/>
              </w:rPr>
            </w:pPr>
            <w:r>
              <w:rPr>
                <w:rFonts w:ascii="Times New Roman"/>
                <w:b/>
                <w:sz w:val="18"/>
              </w:rPr>
              <w:t>-41,833,182.80</w:t>
            </w:r>
            <w:r>
              <w:rPr>
                <w:rFonts w:ascii="Times New Roman"/>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1" w:right="0"/>
              <w:jc w:val="left"/>
              <w:rPr>
                <w:rFonts w:ascii="Times New Roman" w:hAnsi="Times New Roman" w:cs="Times New Roman" w:eastAsia="Times New Roman" w:hint="default"/>
                <w:sz w:val="18"/>
                <w:szCs w:val="18"/>
              </w:rPr>
            </w:pPr>
            <w:r>
              <w:rPr>
                <w:rFonts w:ascii="Times New Roman"/>
                <w:b/>
                <w:sz w:val="18"/>
              </w:rPr>
              <w:t>-16,803,522.31</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6"/>
              <w:jc w:val="right"/>
              <w:rPr>
                <w:rFonts w:ascii="Times New Roman" w:hAnsi="Times New Roman" w:cs="Times New Roman" w:eastAsia="Times New Roman" w:hint="default"/>
                <w:sz w:val="18"/>
                <w:szCs w:val="18"/>
              </w:rPr>
            </w:pPr>
            <w:r>
              <w:rPr>
                <w:rFonts w:ascii="Times New Roman"/>
                <w:b/>
                <w:spacing w:val="-1"/>
                <w:sz w:val="18"/>
              </w:rPr>
              <w:t>1,495,079.83</w:t>
            </w:r>
            <w:r>
              <w:rPr>
                <w:rFonts w:ascii="Times New Roman"/>
                <w:spacing w:val="-1"/>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8" w:right="0"/>
              <w:jc w:val="left"/>
              <w:rPr>
                <w:rFonts w:ascii="Times New Roman" w:hAnsi="Times New Roman" w:cs="Times New Roman" w:eastAsia="Times New Roman" w:hint="default"/>
                <w:sz w:val="18"/>
                <w:szCs w:val="18"/>
              </w:rPr>
            </w:pPr>
            <w:r>
              <w:rPr>
                <w:rFonts w:ascii="Times New Roman"/>
                <w:b/>
                <w:sz w:val="18"/>
              </w:rPr>
              <w:t>-18,298,602.14</w:t>
            </w:r>
            <w:r>
              <w:rPr>
                <w:rFonts w:ascii="Times New Roman"/>
                <w:sz w:val="18"/>
              </w:rPr>
            </w:r>
          </w:p>
        </w:tc>
      </w:tr>
    </w:tbl>
    <w:p>
      <w:pPr>
        <w:pStyle w:val="BodyText"/>
        <w:spacing w:line="240" w:lineRule="auto" w:before="10"/>
        <w:ind w:left="680" w:right="1119"/>
        <w:jc w:val="left"/>
      </w:pPr>
      <w:r>
        <w:rPr/>
        <w:t>（续表）</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086"/>
        <w:gridCol w:w="927"/>
        <w:gridCol w:w="1843"/>
        <w:gridCol w:w="2000"/>
        <w:gridCol w:w="1828"/>
        <w:gridCol w:w="1829"/>
      </w:tblGrid>
      <w:tr>
        <w:trPr>
          <w:trHeight w:val="400" w:hRule="exact"/>
        </w:trPr>
        <w:tc>
          <w:tcPr>
            <w:tcW w:w="1086" w:type="dxa"/>
            <w:vMerge w:val="restart"/>
            <w:tcBorders>
              <w:top w:val="single" w:sz="4" w:space="0" w:color="000000"/>
              <w:left w:val="single" w:sz="4" w:space="0" w:color="000000"/>
              <w:right w:val="single" w:sz="4" w:space="0" w:color="000000"/>
            </w:tcBorders>
          </w:tcPr>
          <w:p>
            <w:pPr>
              <w:pStyle w:val="TableParagraph"/>
              <w:spacing w:line="316" w:lineRule="auto" w:before="94"/>
              <w:ind w:left="102" w:right="101"/>
              <w:jc w:val="left"/>
              <w:rPr>
                <w:rFonts w:ascii="宋体" w:hAnsi="宋体" w:cs="宋体" w:eastAsia="宋体" w:hint="default"/>
                <w:sz w:val="18"/>
                <w:szCs w:val="18"/>
              </w:rPr>
            </w:pPr>
            <w:r>
              <w:rPr>
                <w:rFonts w:ascii="宋体" w:hAnsi="宋体" w:cs="宋体" w:eastAsia="宋体" w:hint="default"/>
                <w:b/>
                <w:bCs/>
                <w:sz w:val="18"/>
                <w:szCs w:val="18"/>
              </w:rPr>
              <w:t>被</w:t>
            </w:r>
            <w:r>
              <w:rPr>
                <w:rFonts w:ascii="宋体" w:hAnsi="宋体" w:cs="宋体" w:eastAsia="宋体" w:hint="default"/>
                <w:b/>
                <w:bCs/>
                <w:spacing w:val="-42"/>
                <w:sz w:val="18"/>
                <w:szCs w:val="18"/>
              </w:rPr>
              <w:t> </w:t>
            </w:r>
            <w:r>
              <w:rPr>
                <w:rFonts w:ascii="宋体" w:hAnsi="宋体" w:cs="宋体" w:eastAsia="宋体" w:hint="default"/>
                <w:b/>
                <w:bCs/>
                <w:sz w:val="18"/>
                <w:szCs w:val="18"/>
              </w:rPr>
              <w:t>套</w:t>
            </w:r>
            <w:r>
              <w:rPr>
                <w:rFonts w:ascii="宋体" w:hAnsi="宋体" w:cs="宋体" w:eastAsia="宋体" w:hint="default"/>
                <w:b/>
                <w:bCs/>
                <w:spacing w:val="-42"/>
                <w:sz w:val="18"/>
                <w:szCs w:val="18"/>
              </w:rPr>
              <w:t> </w:t>
            </w:r>
            <w:r>
              <w:rPr>
                <w:rFonts w:ascii="宋体" w:hAnsi="宋体" w:cs="宋体" w:eastAsia="宋体" w:hint="default"/>
                <w:b/>
                <w:bCs/>
                <w:sz w:val="18"/>
                <w:szCs w:val="18"/>
              </w:rPr>
              <w:t>期</w:t>
            </w:r>
            <w:r>
              <w:rPr>
                <w:rFonts w:ascii="宋体" w:hAnsi="宋体" w:cs="宋体" w:eastAsia="宋体" w:hint="default"/>
                <w:b/>
                <w:bCs/>
                <w:spacing w:val="-42"/>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目名称</w:t>
            </w:r>
            <w:r>
              <w:rPr>
                <w:rFonts w:ascii="宋体" w:hAnsi="宋体" w:cs="宋体" w:eastAsia="宋体" w:hint="default"/>
                <w:sz w:val="18"/>
                <w:szCs w:val="18"/>
              </w:rPr>
            </w:r>
          </w:p>
        </w:tc>
        <w:tc>
          <w:tcPr>
            <w:tcW w:w="927" w:type="dxa"/>
            <w:vMerge w:val="restart"/>
            <w:tcBorders>
              <w:top w:val="single" w:sz="4" w:space="0" w:color="000000"/>
              <w:left w:val="single" w:sz="4" w:space="0" w:color="000000"/>
              <w:right w:val="single" w:sz="4" w:space="0" w:color="000000"/>
            </w:tcBorders>
          </w:tcPr>
          <w:p>
            <w:pPr>
              <w:pStyle w:val="TableParagraph"/>
              <w:spacing w:line="316" w:lineRule="auto" w:before="94"/>
              <w:ind w:left="187" w:right="185"/>
              <w:jc w:val="left"/>
              <w:rPr>
                <w:rFonts w:ascii="宋体" w:hAnsi="宋体" w:cs="宋体" w:eastAsia="宋体" w:hint="default"/>
                <w:sz w:val="18"/>
                <w:szCs w:val="18"/>
              </w:rPr>
            </w:pPr>
            <w:r>
              <w:rPr>
                <w:rFonts w:ascii="宋体" w:hAnsi="宋体" w:cs="宋体" w:eastAsia="宋体" w:hint="default"/>
                <w:b/>
                <w:bCs/>
                <w:sz w:val="18"/>
                <w:szCs w:val="18"/>
              </w:rPr>
              <w:t>套期工</w:t>
            </w:r>
            <w:r>
              <w:rPr>
                <w:rFonts w:ascii="宋体" w:hAnsi="宋体" w:cs="宋体" w:eastAsia="宋体" w:hint="default"/>
                <w:b/>
                <w:bCs/>
                <w:w w:val="99"/>
                <w:sz w:val="18"/>
                <w:szCs w:val="18"/>
              </w:rPr>
              <w:t> </w:t>
            </w:r>
            <w:r>
              <w:rPr>
                <w:rFonts w:ascii="宋体" w:hAnsi="宋体" w:cs="宋体" w:eastAsia="宋体" w:hint="default"/>
                <w:b/>
                <w:bCs/>
                <w:sz w:val="18"/>
                <w:szCs w:val="18"/>
              </w:rPr>
              <w:t>具品种</w:t>
            </w:r>
            <w:r>
              <w:rPr>
                <w:rFonts w:ascii="宋体" w:hAnsi="宋体" w:cs="宋体" w:eastAsia="宋体" w:hint="default"/>
                <w:sz w:val="18"/>
                <w:szCs w:val="18"/>
              </w:rPr>
            </w:r>
          </w:p>
        </w:tc>
        <w:tc>
          <w:tcPr>
            <w:tcW w:w="3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7" w:right="0"/>
              <w:jc w:val="left"/>
              <w:rPr>
                <w:rFonts w:ascii="宋体" w:hAnsi="宋体" w:cs="宋体" w:eastAsia="宋体" w:hint="default"/>
                <w:sz w:val="18"/>
                <w:szCs w:val="18"/>
              </w:rPr>
            </w:pPr>
            <w:r>
              <w:rPr>
                <w:rFonts w:ascii="宋体" w:hAnsi="宋体" w:cs="宋体" w:eastAsia="宋体" w:hint="default"/>
                <w:b/>
                <w:bCs/>
                <w:sz w:val="18"/>
                <w:szCs w:val="18"/>
              </w:rPr>
              <w:t>本期转出的套期储备④</w:t>
            </w:r>
            <w:r>
              <w:rPr>
                <w:rFonts w:ascii="宋体" w:hAnsi="宋体" w:cs="宋体" w:eastAsia="宋体" w:hint="default"/>
                <w:sz w:val="18"/>
                <w:szCs w:val="18"/>
              </w:rPr>
            </w:r>
          </w:p>
        </w:tc>
        <w:tc>
          <w:tcPr>
            <w:tcW w:w="1828" w:type="dxa"/>
            <w:vMerge w:val="restart"/>
            <w:tcBorders>
              <w:top w:val="single" w:sz="4" w:space="0" w:color="000000"/>
              <w:left w:val="single" w:sz="4" w:space="0" w:color="000000"/>
              <w:right w:val="single" w:sz="4" w:space="0" w:color="000000"/>
            </w:tcBorders>
          </w:tcPr>
          <w:p>
            <w:pPr>
              <w:pStyle w:val="TableParagraph"/>
              <w:spacing w:line="316" w:lineRule="auto" w:before="94"/>
              <w:ind w:left="728" w:right="183" w:hanging="540"/>
              <w:jc w:val="left"/>
              <w:rPr>
                <w:rFonts w:ascii="宋体" w:hAnsi="宋体" w:cs="宋体" w:eastAsia="宋体" w:hint="default"/>
                <w:sz w:val="18"/>
                <w:szCs w:val="18"/>
              </w:rPr>
            </w:pPr>
            <w:r>
              <w:rPr>
                <w:rFonts w:ascii="宋体" w:hAnsi="宋体" w:cs="宋体" w:eastAsia="宋体" w:hint="default"/>
                <w:b/>
                <w:bCs/>
                <w:sz w:val="18"/>
                <w:szCs w:val="18"/>
              </w:rPr>
              <w:t>累计转出的套期储</w:t>
            </w:r>
            <w:r>
              <w:rPr>
                <w:rFonts w:ascii="宋体" w:hAnsi="宋体" w:cs="宋体" w:eastAsia="宋体" w:hint="default"/>
                <w:b/>
                <w:bCs/>
                <w:w w:val="99"/>
                <w:sz w:val="18"/>
                <w:szCs w:val="18"/>
              </w:rPr>
              <w:t> </w:t>
            </w:r>
            <w:r>
              <w:rPr>
                <w:rFonts w:ascii="宋体" w:hAnsi="宋体" w:cs="宋体" w:eastAsia="宋体" w:hint="default"/>
                <w:b/>
                <w:bCs/>
                <w:sz w:val="18"/>
                <w:szCs w:val="18"/>
              </w:rPr>
              <w:t>备⑤</w:t>
            </w:r>
            <w:r>
              <w:rPr>
                <w:rFonts w:ascii="宋体" w:hAnsi="宋体" w:cs="宋体" w:eastAsia="宋体" w:hint="default"/>
                <w:sz w:val="18"/>
                <w:szCs w:val="18"/>
              </w:rPr>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套期储备余额</w:t>
            </w:r>
            <w:r>
              <w:rPr>
                <w:rFonts w:ascii="宋体" w:hAnsi="宋体" w:cs="宋体" w:eastAsia="宋体" w:hint="default"/>
                <w:sz w:val="18"/>
                <w:szCs w:val="18"/>
              </w:rPr>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b/>
                <w:bCs/>
                <w:sz w:val="18"/>
                <w:szCs w:val="18"/>
              </w:rPr>
              <w:t>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②</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⑤</w:t>
            </w:r>
            <w:r>
              <w:rPr>
                <w:rFonts w:ascii="宋体" w:hAnsi="宋体" w:cs="宋体" w:eastAsia="宋体" w:hint="default"/>
                <w:sz w:val="18"/>
                <w:szCs w:val="18"/>
              </w:rPr>
            </w:r>
          </w:p>
        </w:tc>
      </w:tr>
      <w:tr>
        <w:trPr>
          <w:trHeight w:val="400" w:hRule="exact"/>
        </w:trPr>
        <w:tc>
          <w:tcPr>
            <w:tcW w:w="1086" w:type="dxa"/>
            <w:vMerge/>
            <w:tcBorders>
              <w:left w:val="single" w:sz="4" w:space="0" w:color="000000"/>
              <w:bottom w:val="single" w:sz="4" w:space="0" w:color="000000"/>
              <w:right w:val="single" w:sz="4" w:space="0" w:color="000000"/>
            </w:tcBorders>
          </w:tcPr>
          <w:p>
            <w:pPr/>
          </w:p>
        </w:tc>
        <w:tc>
          <w:tcPr>
            <w:tcW w:w="927"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b/>
                <w:bCs/>
                <w:sz w:val="18"/>
                <w:szCs w:val="18"/>
              </w:rPr>
              <w:t>转至当期损益</w:t>
            </w:r>
            <w:r>
              <w:rPr>
                <w:rFonts w:ascii="宋体" w:hAnsi="宋体" w:cs="宋体" w:eastAsia="宋体" w:hint="default"/>
                <w:sz w:val="18"/>
                <w:szCs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b/>
                <w:bCs/>
                <w:sz w:val="18"/>
                <w:szCs w:val="18"/>
              </w:rPr>
              <w:t>转至资产或负债</w:t>
            </w:r>
            <w:r>
              <w:rPr>
                <w:rFonts w:ascii="宋体" w:hAnsi="宋体" w:cs="宋体" w:eastAsia="宋体" w:hint="default"/>
                <w:sz w:val="18"/>
                <w:szCs w:val="18"/>
              </w:rPr>
            </w:r>
          </w:p>
        </w:tc>
        <w:tc>
          <w:tcPr>
            <w:tcW w:w="1828"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r>
      <w:tr>
        <w:trPr>
          <w:trHeight w:val="634"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103"/>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40"/>
                <w:sz w:val="18"/>
                <w:szCs w:val="18"/>
              </w:rPr>
              <w:t> </w:t>
            </w:r>
            <w:r>
              <w:rPr>
                <w:rFonts w:ascii="宋体" w:hAnsi="宋体" w:cs="宋体" w:eastAsia="宋体" w:hint="default"/>
                <w:sz w:val="18"/>
                <w:szCs w:val="18"/>
              </w:rPr>
              <w:t>期</w:t>
            </w:r>
            <w:r>
              <w:rPr>
                <w:rFonts w:ascii="宋体" w:hAnsi="宋体" w:cs="宋体" w:eastAsia="宋体" w:hint="default"/>
                <w:spacing w:val="-40"/>
                <w:sz w:val="18"/>
                <w:szCs w:val="18"/>
              </w:rPr>
              <w:t> </w:t>
            </w:r>
            <w:r>
              <w:rPr>
                <w:rFonts w:ascii="宋体" w:hAnsi="宋体" w:cs="宋体" w:eastAsia="宋体" w:hint="default"/>
                <w:sz w:val="18"/>
                <w:szCs w:val="18"/>
              </w:rPr>
              <w:t>铜</w:t>
            </w:r>
            <w:r>
              <w:rPr>
                <w:rFonts w:ascii="宋体" w:hAnsi="宋体" w:cs="宋体" w:eastAsia="宋体" w:hint="default"/>
                <w:spacing w:val="-42"/>
                <w:sz w:val="18"/>
                <w:szCs w:val="18"/>
              </w:rPr>
              <w:t> </w:t>
            </w:r>
            <w:r>
              <w:rPr>
                <w:rFonts w:ascii="宋体" w:hAnsi="宋体" w:cs="宋体" w:eastAsia="宋体" w:hint="default"/>
                <w:sz w:val="18"/>
                <w:szCs w:val="18"/>
              </w:rPr>
              <w:t>采</w:t>
            </w:r>
            <w:r>
              <w:rPr>
                <w:rFonts w:ascii="宋体" w:hAnsi="宋体" w:cs="宋体" w:eastAsia="宋体" w:hint="default"/>
                <w:sz w:val="18"/>
                <w:szCs w:val="18"/>
              </w:rPr>
              <w:t> 购交易</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367" w:right="188" w:hanging="180"/>
              <w:jc w:val="left"/>
              <w:rPr>
                <w:rFonts w:ascii="宋体" w:hAnsi="宋体" w:cs="宋体" w:eastAsia="宋体" w:hint="default"/>
                <w:sz w:val="18"/>
                <w:szCs w:val="18"/>
              </w:rPr>
            </w:pPr>
            <w:r>
              <w:rPr>
                <w:rFonts w:ascii="宋体" w:hAnsi="宋体" w:cs="宋体" w:eastAsia="宋体" w:hint="default"/>
                <w:sz w:val="18"/>
                <w:szCs w:val="18"/>
              </w:rPr>
              <w:t>期铜合 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-14,000,022.12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-83,967,525.74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161,306.20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-41,994,489.00</w:t>
            </w:r>
          </w:p>
        </w:tc>
      </w:tr>
      <w:tr>
        <w:trPr>
          <w:trHeight w:val="410"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b/>
                <w:spacing w:val="-1"/>
                <w:sz w:val="18"/>
              </w:rPr>
              <w:t>-14,000,022.12</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Times New Roman" w:hAnsi="Times New Roman" w:cs="Times New Roman" w:eastAsia="Times New Roman" w:hint="default"/>
                <w:sz w:val="18"/>
                <w:szCs w:val="18"/>
              </w:rPr>
            </w:pPr>
            <w:r>
              <w:rPr>
                <w:rFonts w:ascii="Times New Roman"/>
                <w:b/>
                <w:spacing w:val="-1"/>
                <w:sz w:val="18"/>
              </w:rPr>
              <w:t>-83,967,525.74</w:t>
            </w:r>
            <w:r>
              <w:rPr>
                <w:rFonts w:ascii="Times New Roman"/>
                <w:spacing w:val="-1"/>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b/>
                <w:spacing w:val="-1"/>
                <w:sz w:val="18"/>
              </w:rPr>
              <w:t>161,306.20</w:t>
            </w:r>
            <w:r>
              <w:rPr>
                <w:rFonts w:ascii="Times New Roman"/>
                <w:spacing w:val="-1"/>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b/>
                <w:spacing w:val="-1"/>
                <w:sz w:val="18"/>
              </w:rPr>
              <w:t>-41,994,489.00</w:t>
            </w:r>
            <w:r>
              <w:rPr>
                <w:rFonts w:ascii="Times New Roman"/>
                <w:spacing w:val="-1"/>
                <w:sz w:val="18"/>
              </w:rPr>
            </w:r>
          </w:p>
        </w:tc>
      </w:tr>
    </w:tbl>
    <w:p>
      <w:pPr>
        <w:spacing w:line="240" w:lineRule="auto" w:before="6"/>
        <w:rPr>
          <w:rFonts w:ascii="宋体" w:hAnsi="宋体" w:cs="宋体" w:eastAsia="宋体" w:hint="default"/>
          <w:sz w:val="9"/>
          <w:szCs w:val="9"/>
        </w:rPr>
      </w:pPr>
    </w:p>
    <w:p>
      <w:pPr>
        <w:pStyle w:val="BodyText"/>
        <w:spacing w:line="300" w:lineRule="auto" w:before="44"/>
        <w:ind w:left="252" w:right="1130" w:firstLine="360"/>
        <w:jc w:val="right"/>
      </w:pPr>
      <w:r>
        <w:rPr/>
        <w:t>注：本集团套期工具累计损失</w:t>
      </w:r>
      <w:r>
        <w:rPr>
          <w:spacing w:val="-48"/>
        </w:rPr>
        <w:t> </w:t>
      </w:r>
      <w:r>
        <w:rPr>
          <w:rFonts w:ascii="Times New Roman" w:hAnsi="Times New Roman" w:cs="Times New Roman" w:eastAsia="Times New Roman" w:hint="default"/>
        </w:rPr>
        <w:t>58,636,705.11</w:t>
      </w:r>
      <w:r>
        <w:rPr>
          <w:rFonts w:ascii="Times New Roman" w:hAnsi="Times New Roman" w:cs="Times New Roman" w:eastAsia="Times New Roman" w:hint="default"/>
          <w:spacing w:val="-6"/>
        </w:rPr>
        <w:t> </w:t>
      </w:r>
      <w:r>
        <w:rPr>
          <w:spacing w:val="-3"/>
        </w:rPr>
        <w:t>元，其中：</w:t>
      </w:r>
      <w:r>
        <w:rPr>
          <w:rFonts w:ascii="Times New Roman" w:hAnsi="Times New Roman" w:cs="Times New Roman" w:eastAsia="Times New Roman" w:hint="default"/>
          <w:spacing w:val="-3"/>
        </w:rPr>
        <w:t>1</w:t>
      </w:r>
      <w:r>
        <w:rPr>
          <w:spacing w:val="-3"/>
        </w:rPr>
        <w:t>）套期无效部分损失为</w:t>
      </w:r>
      <w:r>
        <w:rPr>
          <w:spacing w:val="-45"/>
        </w:rPr>
        <w:t> </w:t>
      </w:r>
      <w:r>
        <w:rPr>
          <w:rFonts w:ascii="Times New Roman" w:hAnsi="Times New Roman" w:cs="Times New Roman" w:eastAsia="Times New Roman" w:hint="default"/>
        </w:rPr>
        <w:t>16,803,522.31</w:t>
      </w:r>
      <w:r>
        <w:rPr>
          <w:rFonts w:ascii="Times New Roman" w:hAnsi="Times New Roman" w:cs="Times New Roman" w:eastAsia="Times New Roman" w:hint="default"/>
          <w:spacing w:val="-4"/>
        </w:rPr>
        <w:t> </w:t>
      </w:r>
      <w:r>
        <w:rPr>
          <w:spacing w:val="-3"/>
        </w:rPr>
        <w:t>元，其中：上期末累计金</w:t>
      </w:r>
      <w:r>
        <w:rPr/>
        <w:t> 额 </w:t>
      </w:r>
      <w:r>
        <w:rPr>
          <w:rFonts w:ascii="Times New Roman" w:hAnsi="Times New Roman" w:cs="Times New Roman" w:eastAsia="Times New Roman" w:hint="default"/>
        </w:rPr>
        <w:t>1,495,079.83 </w:t>
      </w:r>
      <w:r>
        <w:rPr>
          <w:spacing w:val="2"/>
        </w:rPr>
        <w:t>元，本年投资收益列支已平仓收益</w:t>
      </w:r>
      <w:r>
        <w:rPr>
          <w:rFonts w:ascii="Times New Roman" w:hAnsi="Times New Roman" w:cs="Times New Roman" w:eastAsia="Times New Roman" w:hint="default"/>
          <w:spacing w:val="2"/>
        </w:rPr>
        <w:t>-11,398,961.08</w:t>
      </w:r>
      <w:r>
        <w:rPr>
          <w:rFonts w:ascii="Times New Roman" w:hAnsi="Times New Roman" w:cs="Times New Roman" w:eastAsia="Times New Roman" w:hint="default"/>
          <w:spacing w:val="12"/>
        </w:rPr>
        <w:t> </w:t>
      </w:r>
      <w:r>
        <w:rPr>
          <w:spacing w:val="5"/>
        </w:rPr>
        <w:t>元，本年公允价值变动损益列示期货合约浮盈浮亏金额</w:t>
      </w:r>
    </w:p>
    <w:p>
      <w:pPr>
        <w:pStyle w:val="BodyText"/>
        <w:spacing w:line="240" w:lineRule="auto" w:before="13"/>
        <w:ind w:left="252" w:right="0"/>
        <w:jc w:val="left"/>
      </w:pPr>
      <w:r>
        <w:rPr>
          <w:rFonts w:ascii="Times New Roman" w:hAnsi="Times New Roman" w:cs="Times New Roman" w:eastAsia="Times New Roman" w:hint="default"/>
        </w:rPr>
        <w:t>-6,899,641.06</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w:t>
      </w:r>
      <w:r>
        <w:rPr/>
        <w:t>）套期有效部分损失为</w:t>
      </w:r>
      <w:r>
        <w:rPr>
          <w:spacing w:val="-51"/>
        </w:rPr>
        <w:t> </w:t>
      </w:r>
      <w:r>
        <w:rPr>
          <w:rFonts w:ascii="Times New Roman" w:hAnsi="Times New Roman" w:cs="Times New Roman" w:eastAsia="Times New Roman" w:hint="default"/>
        </w:rPr>
        <w:t>41,833,182.80</w:t>
      </w:r>
      <w:r>
        <w:rPr>
          <w:rFonts w:ascii="Times New Roman" w:hAnsi="Times New Roman" w:cs="Times New Roman" w:eastAsia="Times New Roman" w:hint="default"/>
          <w:spacing w:val="-6"/>
        </w:rPr>
        <w:t> </w:t>
      </w:r>
      <w:r>
        <w:rPr/>
        <w:t>元，累计已转出利得</w:t>
      </w:r>
      <w:r>
        <w:rPr>
          <w:spacing w:val="-51"/>
        </w:rPr>
        <w:t> </w:t>
      </w:r>
      <w:r>
        <w:rPr>
          <w:rFonts w:ascii="Times New Roman" w:hAnsi="Times New Roman" w:cs="Times New Roman" w:eastAsia="Times New Roman" w:hint="default"/>
        </w:rPr>
        <w:t>161,306.20</w:t>
      </w:r>
      <w:r>
        <w:rPr>
          <w:rFonts w:ascii="Times New Roman" w:hAnsi="Times New Roman" w:cs="Times New Roman" w:eastAsia="Times New Roman" w:hint="default"/>
          <w:spacing w:val="-5"/>
        </w:rPr>
        <w:t> </w:t>
      </w:r>
      <w:r>
        <w:rPr/>
        <w:t>元，剩余套期有效部分形成套期储</w:t>
      </w:r>
    </w:p>
    <w:p>
      <w:pPr>
        <w:pStyle w:val="BodyText"/>
        <w:spacing w:line="240" w:lineRule="auto" w:before="63"/>
        <w:ind w:left="252" w:right="0"/>
        <w:jc w:val="left"/>
        <w:rPr>
          <w:rFonts w:ascii="Times New Roman" w:hAnsi="Times New Roman" w:cs="Times New Roman" w:eastAsia="Times New Roman" w:hint="default"/>
        </w:rPr>
      </w:pPr>
      <w:r>
        <w:rPr/>
        <w:t>备损失</w:t>
      </w:r>
      <w:r>
        <w:rPr>
          <w:spacing w:val="-45"/>
        </w:rPr>
        <w:t> </w:t>
      </w:r>
      <w:r>
        <w:rPr>
          <w:rFonts w:ascii="Times New Roman" w:hAnsi="Times New Roman" w:cs="Times New Roman" w:eastAsia="Times New Roman" w:hint="default"/>
        </w:rPr>
        <w:t>41,994,489.00</w:t>
      </w:r>
      <w:r>
        <w:rPr>
          <w:rFonts w:ascii="Times New Roman" w:hAnsi="Times New Roman" w:cs="Times New Roman" w:eastAsia="Times New Roman" w:hint="default"/>
          <w:spacing w:val="-1"/>
        </w:rPr>
        <w:t> </w:t>
      </w:r>
      <w:r>
        <w:rPr>
          <w:spacing w:val="-3"/>
        </w:rPr>
        <w:t>元，其中确认递延所得税资产金额</w:t>
      </w:r>
      <w:r>
        <w:rPr>
          <w:spacing w:val="-45"/>
        </w:rPr>
        <w:t> </w:t>
      </w:r>
      <w:r>
        <w:rPr>
          <w:rFonts w:ascii="Times New Roman" w:hAnsi="Times New Roman" w:cs="Times New Roman" w:eastAsia="Times New Roman" w:hint="default"/>
        </w:rPr>
        <w:t>6,299,173.35</w:t>
      </w:r>
      <w:r>
        <w:rPr>
          <w:rFonts w:ascii="Times New Roman" w:hAnsi="Times New Roman" w:cs="Times New Roman" w:eastAsia="Times New Roman" w:hint="default"/>
          <w:spacing w:val="-3"/>
        </w:rPr>
        <w:t> </w:t>
      </w:r>
      <w:r>
        <w:rPr>
          <w:spacing w:val="-3"/>
        </w:rPr>
        <w:t>元，在其他综合收益项目列示损失金额为</w:t>
      </w:r>
      <w:r>
        <w:rPr>
          <w:spacing w:val="-45"/>
        </w:rPr>
        <w:t> </w:t>
      </w:r>
      <w:r>
        <w:rPr>
          <w:rFonts w:ascii="Times New Roman" w:hAnsi="Times New Roman" w:cs="Times New Roman" w:eastAsia="Times New Roman" w:hint="default"/>
        </w:rPr>
        <w:t>35,695,315.65</w:t>
      </w:r>
    </w:p>
    <w:p>
      <w:pPr>
        <w:pStyle w:val="BodyText"/>
        <w:spacing w:line="240" w:lineRule="auto" w:before="63"/>
        <w:ind w:left="252" w:right="1119"/>
        <w:jc w:val="left"/>
      </w:pPr>
      <w:r>
        <w:rPr/>
        <w:t>元。</w:t>
      </w:r>
    </w:p>
    <w:p>
      <w:pPr>
        <w:spacing w:line="240" w:lineRule="auto" w:before="11"/>
        <w:rPr>
          <w:rFonts w:ascii="宋体" w:hAnsi="宋体" w:cs="宋体" w:eastAsia="宋体" w:hint="default"/>
          <w:sz w:val="26"/>
          <w:szCs w:val="26"/>
        </w:rPr>
      </w:pPr>
    </w:p>
    <w:p>
      <w:pPr>
        <w:pStyle w:val="Heading6"/>
        <w:spacing w:line="240" w:lineRule="auto"/>
        <w:ind w:left="252" w:right="1119"/>
        <w:jc w:val="left"/>
        <w:rPr>
          <w:b w:val="0"/>
          <w:bCs w:val="0"/>
        </w:rPr>
      </w:pPr>
      <w:bookmarkStart w:name="57、政府补助" w:id="348"/>
      <w:bookmarkEnd w:id="348"/>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252" w:right="1119"/>
        <w:jc w:val="left"/>
        <w:rPr>
          <w:b w:val="0"/>
          <w:bCs w:val="0"/>
        </w:rPr>
      </w:pPr>
      <w:bookmarkStart w:name="（1）政府补助基本情况" w:id="349"/>
      <w:bookmarkEnd w:id="34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33,063,601.00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10,253,817.27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82,233,787.34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其他收益、营业外收入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82,233,787.34</w:t>
            </w:r>
          </w:p>
        </w:tc>
      </w:tr>
    </w:tbl>
    <w:p>
      <w:pPr>
        <w:spacing w:line="240" w:lineRule="auto" w:before="2"/>
        <w:rPr>
          <w:rFonts w:ascii="宋体" w:hAnsi="宋体" w:cs="宋体" w:eastAsia="宋体" w:hint="default"/>
          <w:sz w:val="19"/>
          <w:szCs w:val="19"/>
        </w:rPr>
      </w:pPr>
    </w:p>
    <w:p>
      <w:pPr>
        <w:pStyle w:val="Heading6"/>
        <w:spacing w:line="240" w:lineRule="auto" w:before="34"/>
        <w:ind w:left="252" w:right="1119"/>
        <w:jc w:val="left"/>
        <w:rPr>
          <w:b w:val="0"/>
          <w:bCs w:val="0"/>
        </w:rPr>
      </w:pPr>
      <w:bookmarkStart w:name="（2）政府补助退回情况" w:id="350"/>
      <w:bookmarkEnd w:id="35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2" w:right="1119"/>
        <w:jc w:val="left"/>
      </w:pPr>
      <w:r>
        <w:rPr/>
        <w:t>□ 适用 √ 不适用</w:t>
      </w:r>
    </w:p>
    <w:p>
      <w:pPr>
        <w:spacing w:line="240" w:lineRule="auto" w:before="1"/>
        <w:rPr>
          <w:rFonts w:ascii="宋体" w:hAnsi="宋体" w:cs="宋体" w:eastAsia="宋体" w:hint="default"/>
          <w:sz w:val="25"/>
          <w:szCs w:val="25"/>
        </w:rPr>
      </w:pPr>
    </w:p>
    <w:p>
      <w:pPr>
        <w:spacing w:line="506" w:lineRule="auto" w:before="0"/>
        <w:ind w:left="252" w:right="8329" w:firstLine="0"/>
        <w:jc w:val="left"/>
        <w:rPr>
          <w:rFonts w:ascii="宋体" w:hAnsi="宋体" w:cs="宋体" w:eastAsia="宋体" w:hint="default"/>
          <w:sz w:val="18"/>
          <w:szCs w:val="18"/>
        </w:rPr>
      </w:pPr>
      <w:bookmarkStart w:name="八、合并范围的变更" w:id="351"/>
      <w:bookmarkEnd w:id="351"/>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2"/>
      <w:bookmarkEnd w:id="3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pgSz w:w="11910" w:h="16840"/>
          <w:pgMar w:header="890" w:footer="1012" w:top="1420" w:bottom="1200" w:left="880" w:right="0"/>
        </w:sectPr>
      </w:pPr>
    </w:p>
    <w:p>
      <w:pPr>
        <w:pStyle w:val="Heading6"/>
        <w:spacing w:line="240" w:lineRule="auto" w:before="43"/>
        <w:ind w:right="0"/>
        <w:jc w:val="left"/>
        <w:rPr>
          <w:b w:val="0"/>
          <w:bCs w:val="0"/>
        </w:rPr>
      </w:pPr>
      <w:bookmarkStart w:name="2、同一控制下企业合并" w:id="353"/>
      <w:bookmarkEnd w:id="35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反向购买" w:id="354"/>
      <w:bookmarkEnd w:id="35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处置子公司" w:id="355"/>
      <w:bookmarkEnd w:id="35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60" w:lineRule="auto" w:before="115"/>
        <w:ind w:right="4994"/>
        <w:jc w:val="left"/>
      </w:pPr>
      <w:r>
        <w:rPr/>
        <w:t>□ 是 √ 否 是否存在通过多次交易分步处置对子公司投资且在本期丧失控制权的情形</w:t>
      </w:r>
    </w:p>
    <w:p>
      <w:pPr>
        <w:pStyle w:val="BodyText"/>
        <w:spacing w:line="240" w:lineRule="auto" w:before="27"/>
        <w:ind w:right="0"/>
        <w:jc w:val="left"/>
      </w:pPr>
      <w:r>
        <w:rPr/>
        <w:t>□ 是 √ 否</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其他原因的合并范围变动" w:id="356"/>
      <w:bookmarkEnd w:id="35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472" w:right="1132" w:hanging="360"/>
        <w:jc w:val="left"/>
      </w:pPr>
      <w:r>
        <w:rPr/>
        <w:t>说明其他原因导致的合并范围变动（如，新设子公司、清算子公司等）及其相关情况： 本集团本年度合并范围因新设增加如下                  </w:t>
      </w:r>
      <w:r>
        <w:rPr>
          <w:rFonts w:ascii="Times New Roman" w:hAnsi="Times New Roman" w:cs="Times New Roman" w:eastAsia="Times New Roman" w:hint="default"/>
        </w:rPr>
        <w:t>4                                  </w:t>
      </w:r>
      <w:r>
        <w:rPr>
          <w:rFonts w:ascii="Times New Roman" w:hAnsi="Times New Roman" w:cs="Times New Roman" w:eastAsia="Times New Roman" w:hint="default"/>
          <w:spacing w:val="43"/>
        </w:rPr>
        <w:t> </w:t>
      </w:r>
      <w:r>
        <w:rPr/>
        <w:t>家公司： </w:t>
      </w:r>
      <w:r>
        <w:rPr/>
        <w:t>                                  </w:t>
      </w:r>
      <w:r>
        <w:rPr>
          <w:spacing w:val="18"/>
        </w:rPr>
        <w:t>杭州以田科技有限公司：</w:t>
      </w:r>
      <w:r>
        <w:rPr>
          <w:spacing w:val="-69"/>
        </w:rPr>
        <w:t> </w:t>
      </w:r>
      <w:r>
        <w:rPr>
          <w:spacing w:val="18"/>
        </w:rPr>
        <w:t>系本公司与何军先生共同设立的子公司，</w:t>
      </w:r>
      <w:r>
        <w:rPr>
          <w:spacing w:val="-67"/>
        </w:rPr>
        <w:t> </w:t>
      </w:r>
      <w:r>
        <w:rPr/>
        <w:t>2018</w:t>
      </w:r>
      <w:r>
        <w:rPr>
          <w:spacing w:val="-68"/>
        </w:rPr>
        <w:t> </w:t>
      </w:r>
      <w:r>
        <w:rPr/>
        <w:t>年</w:t>
      </w:r>
      <w:r>
        <w:rPr>
          <w:spacing w:val="-69"/>
        </w:rPr>
        <w:t> </w:t>
      </w:r>
      <w:r>
        <w:rPr/>
        <w:t>1</w:t>
      </w:r>
      <w:r>
        <w:rPr>
          <w:spacing w:val="-68"/>
        </w:rPr>
        <w:t> </w:t>
      </w:r>
      <w:r>
        <w:rPr/>
        <w:t>月</w:t>
      </w:r>
      <w:r>
        <w:rPr>
          <w:spacing w:val="-69"/>
        </w:rPr>
        <w:t> </w:t>
      </w:r>
      <w:r>
        <w:rPr/>
        <w:t>25</w:t>
      </w:r>
      <w:r>
        <w:rPr>
          <w:spacing w:val="-68"/>
        </w:rPr>
        <w:t> </w:t>
      </w:r>
      <w:r>
        <w:rPr>
          <w:spacing w:val="14"/>
        </w:rPr>
        <w:t>日成立，</w:t>
      </w:r>
      <w:r>
        <w:rPr>
          <w:spacing w:val="-67"/>
        </w:rPr>
        <w:t> </w:t>
      </w:r>
      <w:r>
        <w:rPr>
          <w:spacing w:val="17"/>
        </w:rPr>
        <w:t>统一社会信用代码</w:t>
      </w:r>
    </w:p>
    <w:p>
      <w:pPr>
        <w:pStyle w:val="BodyText"/>
        <w:spacing w:line="316" w:lineRule="auto"/>
        <w:ind w:left="472" w:right="0" w:hanging="360"/>
        <w:jc w:val="left"/>
      </w:pPr>
      <w:r>
        <w:rPr/>
        <w:t>91330185MA2BOJ3E6D，注册地浙江临安，注册资本人民币</w:t>
      </w:r>
      <w:r>
        <w:rPr>
          <w:spacing w:val="-1"/>
        </w:rPr>
        <w:t> </w:t>
      </w:r>
      <w:r>
        <w:rPr/>
        <w:t>500.00万元，主营业务为高分子材料研发、生产、销售。</w:t>
      </w:r>
      <w:r>
        <w:rPr/>
        <w:t> </w:t>
      </w:r>
      <w:r>
        <w:rPr>
          <w:spacing w:val="-2"/>
        </w:rPr>
        <w:t>山西万马新能源科技有限公司：系万马联合新能源投资有限公司新设子公司，2018年05月24日成立，统一社会信用代码</w:t>
      </w:r>
    </w:p>
    <w:p>
      <w:pPr>
        <w:pStyle w:val="BodyText"/>
        <w:spacing w:line="316" w:lineRule="auto" w:before="19"/>
        <w:ind w:left="472" w:right="0" w:hanging="360"/>
        <w:jc w:val="left"/>
      </w:pPr>
      <w:r>
        <w:rPr/>
        <w:t>91149900MA0K30FU2B，注册地山西太原，注册资本人民币</w:t>
      </w:r>
      <w:r>
        <w:rPr>
          <w:spacing w:val="-1"/>
        </w:rPr>
        <w:t> </w:t>
      </w:r>
      <w:r>
        <w:rPr/>
        <w:t>5,000.00万元，主营业务为充电设施投资、建设、运营。</w:t>
      </w:r>
      <w:r>
        <w:rPr/>
        <w:t> </w:t>
      </w:r>
      <w:r>
        <w:rPr>
          <w:spacing w:val="-2"/>
        </w:rPr>
        <w:t>佛山万爱新能源科技有限公司：系万马联合新能源投资有限公司新设子公司，2018年08月03日成立，统一社会信用代码</w:t>
      </w:r>
    </w:p>
    <w:p>
      <w:pPr>
        <w:pStyle w:val="BodyText"/>
        <w:spacing w:line="316" w:lineRule="auto" w:before="19"/>
        <w:ind w:left="472" w:right="0" w:hanging="360"/>
        <w:jc w:val="left"/>
      </w:pPr>
      <w:r>
        <w:rPr/>
        <w:t>91440604MA523JXR7C，注册地广东佛山，注册资本人民币500.00万元，主营业务为充电设施投资、建设、运营。 </w:t>
      </w:r>
      <w:r>
        <w:rPr>
          <w:spacing w:val="4"/>
        </w:rPr>
        <w:t>清远万马新材料有限公司：系浙江万马高分子材料有限公司新设子公司，2018年10月17日成立，统一社会信用代码</w:t>
      </w:r>
    </w:p>
    <w:p>
      <w:pPr>
        <w:pStyle w:val="BodyText"/>
        <w:spacing w:line="240" w:lineRule="auto" w:before="19"/>
        <w:ind w:right="0"/>
        <w:jc w:val="left"/>
      </w:pPr>
      <w:r>
        <w:rPr/>
        <w:t>91441802MA52CTXQ5E，注册地广州清远，注册资本人民币</w:t>
      </w:r>
      <w:r>
        <w:rPr>
          <w:spacing w:val="-12"/>
        </w:rPr>
        <w:t> </w:t>
      </w:r>
      <w:r>
        <w:rPr/>
        <w:t>2,000.00万元，主营业务为高分子合成材料生产、销售。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357"/>
      <w:bookmarkEnd w:id="357"/>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在子公司中的权益" w:id="358"/>
      <w:bookmarkEnd w:id="35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企业集团的构成" w:id="359"/>
      <w:bookmarkEnd w:id="35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89"/>
        <w:gridCol w:w="1049"/>
        <w:gridCol w:w="1031"/>
        <w:gridCol w:w="2550"/>
        <w:gridCol w:w="1000"/>
        <w:gridCol w:w="886"/>
        <w:gridCol w:w="1366"/>
      </w:tblGrid>
      <w:tr>
        <w:trPr>
          <w:trHeight w:val="322" w:hRule="exact"/>
        </w:trPr>
        <w:tc>
          <w:tcPr>
            <w:tcW w:w="16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6"/>
              <w:ind w:left="428" w:right="157"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0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689"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31" w:type="dxa"/>
            <w:vMerge/>
            <w:tcBorders>
              <w:left w:val="single" w:sz="4" w:space="0" w:color="000000"/>
              <w:bottom w:val="single" w:sz="4" w:space="0" w:color="000000"/>
              <w:right w:val="single" w:sz="4" w:space="0" w:color="000000"/>
            </w:tcBorders>
            <w:shd w:val="clear" w:color="auto" w:fill="D2D2D2"/>
          </w:tcPr>
          <w:p>
            <w:pPr/>
          </w:p>
        </w:tc>
        <w:tc>
          <w:tcPr>
            <w:tcW w:w="2550" w:type="dxa"/>
            <w:vMerge/>
            <w:tcBorders>
              <w:left w:val="single" w:sz="4" w:space="0" w:color="000000"/>
              <w:bottom w:val="single" w:sz="4" w:space="0" w:color="000000"/>
              <w:right w:val="single" w:sz="4" w:space="0" w:color="000000"/>
            </w:tcBorders>
            <w:shd w:val="clear" w:color="auto" w:fill="D2D2D2"/>
          </w:tcPr>
          <w:p>
            <w:pP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浙江万马高分子材 料有限公司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12"/>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71"/>
              <w:jc w:val="left"/>
              <w:rPr>
                <w:rFonts w:ascii="宋体" w:hAnsi="宋体" w:cs="宋体" w:eastAsia="宋体" w:hint="default"/>
                <w:sz w:val="18"/>
                <w:szCs w:val="18"/>
              </w:rPr>
            </w:pPr>
            <w:r>
              <w:rPr>
                <w:rFonts w:ascii="宋体" w:hAnsi="宋体" w:cs="宋体" w:eastAsia="宋体" w:hint="default"/>
                <w:sz w:val="18"/>
                <w:szCs w:val="18"/>
              </w:rPr>
              <w:t>同一控制下合 并</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浙江万马天屹通信 线缆有限公司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12"/>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生产销售通信电缆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71"/>
              <w:jc w:val="left"/>
              <w:rPr>
                <w:rFonts w:ascii="宋体" w:hAnsi="宋体" w:cs="宋体" w:eastAsia="宋体" w:hint="default"/>
                <w:sz w:val="18"/>
                <w:szCs w:val="18"/>
              </w:rPr>
            </w:pPr>
            <w:r>
              <w:rPr>
                <w:rFonts w:ascii="宋体" w:hAnsi="宋体" w:cs="宋体" w:eastAsia="宋体" w:hint="default"/>
                <w:sz w:val="18"/>
                <w:szCs w:val="18"/>
              </w:rPr>
              <w:t>同一控制下合 并</w:t>
            </w:r>
          </w:p>
        </w:tc>
      </w:tr>
      <w:tr>
        <w:trPr>
          <w:trHeight w:val="320"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浙江万马集团特种</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2"/>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生产销售电线电缆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bl>
    <w:p>
      <w:pPr>
        <w:spacing w:after="0" w:line="240" w:lineRule="auto"/>
        <w:jc w:val="left"/>
        <w:rPr>
          <w:rFonts w:ascii="宋体" w:hAnsi="宋体" w:cs="宋体" w:eastAsia="宋体" w:hint="default"/>
          <w:sz w:val="18"/>
          <w:szCs w:val="18"/>
        </w:rPr>
        <w:sectPr>
          <w:pgSz w:w="11910" w:h="16840"/>
          <w:pgMar w:header="890" w:footer="1012" w:top="142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1689"/>
        <w:gridCol w:w="1049"/>
        <w:gridCol w:w="1031"/>
        <w:gridCol w:w="2550"/>
        <w:gridCol w:w="1000"/>
        <w:gridCol w:w="886"/>
        <w:gridCol w:w="1366"/>
      </w:tblGrid>
      <w:tr>
        <w:trPr>
          <w:trHeight w:val="322"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电子电缆有限公司</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香港骐骥国际发展 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pacing w:val="-7"/>
                <w:sz w:val="18"/>
                <w:szCs w:val="18"/>
              </w:rPr>
              <w:t>电解铜、铝、锌、高分子材料、</w:t>
            </w:r>
            <w:r>
              <w:rPr>
                <w:rFonts w:ascii="宋体" w:hAnsi="宋体" w:cs="宋体" w:eastAsia="宋体" w:hint="default"/>
                <w:sz w:val="18"/>
                <w:szCs w:val="18"/>
              </w:rPr>
              <w:t> 同轴电缆等进出口贸易业务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浙江万马专用线缆 科技有限公司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生产销售特种电缆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84.28%</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浙江万马电缆有限 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3KV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以下电缆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万马联合新能源投 资有限公司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实业投资、投资管理、投资咨 询（除证券、期货）</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浙江万马家装有限 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电线电缆贸易</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1" w:right="127"/>
              <w:jc w:val="left"/>
              <w:rPr>
                <w:rFonts w:ascii="Times New Roman" w:hAnsi="Times New Roman" w:cs="Times New Roman" w:eastAsia="Times New Roman" w:hint="default"/>
                <w:sz w:val="18"/>
                <w:szCs w:val="18"/>
              </w:rPr>
            </w:pPr>
            <w:r>
              <w:rPr>
                <w:rFonts w:ascii="Times New Roman"/>
                <w:sz w:val="18"/>
              </w:rPr>
              <w:t>Optrum</w:t>
            </w:r>
            <w:r>
              <w:rPr>
                <w:rFonts w:ascii="Times New Roman"/>
                <w:spacing w:val="-17"/>
                <w:sz w:val="18"/>
              </w:rPr>
              <w:t> </w:t>
            </w:r>
            <w:r>
              <w:rPr>
                <w:rFonts w:ascii="Times New Roman"/>
                <w:sz w:val="18"/>
              </w:rPr>
              <w:t>Technology</w:t>
            </w:r>
            <w:r>
              <w:rPr>
                <w:rFonts w:ascii="Times New Roman"/>
                <w:sz w:val="18"/>
              </w:rPr>
              <w:t> LLC</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214"/>
              <w:jc w:val="left"/>
              <w:rPr>
                <w:rFonts w:ascii="宋体" w:hAnsi="宋体" w:cs="宋体" w:eastAsia="宋体" w:hint="default"/>
                <w:sz w:val="18"/>
                <w:szCs w:val="18"/>
              </w:rPr>
            </w:pPr>
            <w:r>
              <w:rPr>
                <w:rFonts w:ascii="宋体" w:hAnsi="宋体" w:cs="宋体" w:eastAsia="宋体" w:hint="default"/>
                <w:sz w:val="18"/>
                <w:szCs w:val="18"/>
              </w:rPr>
              <w:t>美国德克 萨斯州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197"/>
              <w:jc w:val="left"/>
              <w:rPr>
                <w:rFonts w:ascii="宋体" w:hAnsi="宋体" w:cs="宋体" w:eastAsia="宋体" w:hint="default"/>
                <w:sz w:val="18"/>
                <w:szCs w:val="18"/>
              </w:rPr>
            </w:pPr>
            <w:r>
              <w:rPr>
                <w:rFonts w:ascii="宋体" w:hAnsi="宋体" w:cs="宋体" w:eastAsia="宋体" w:hint="default"/>
                <w:sz w:val="18"/>
                <w:szCs w:val="18"/>
              </w:rPr>
              <w:t>美国德克 萨斯州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02"/>
              <w:jc w:val="left"/>
              <w:rPr>
                <w:rFonts w:ascii="宋体" w:hAnsi="宋体" w:cs="宋体" w:eastAsia="宋体" w:hint="default"/>
                <w:sz w:val="18"/>
                <w:szCs w:val="18"/>
              </w:rPr>
            </w:pPr>
            <w:r>
              <w:rPr>
                <w:rFonts w:ascii="宋体" w:hAnsi="宋体" w:cs="宋体" w:eastAsia="宋体" w:hint="default"/>
                <w:sz w:val="18"/>
                <w:szCs w:val="18"/>
              </w:rPr>
              <w:t>电线电缆、高分子材料等销售 和进出口贸易</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浙江万马奔腾新能 源产业有限公司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光伏技术开发、实业投资，投 资管理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杭州以田科技有限 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浙江万马新能源有 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生产销售汽车充电设备</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浙江万马光伏有限 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新能源领域开发、光伏发电</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浙江爱充网络科技 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互联网技术开发</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1" w:right="135"/>
              <w:jc w:val="left"/>
              <w:rPr>
                <w:rFonts w:ascii="宋体" w:hAnsi="宋体" w:cs="宋体" w:eastAsia="宋体" w:hint="default"/>
                <w:sz w:val="18"/>
                <w:szCs w:val="18"/>
              </w:rPr>
            </w:pPr>
            <w:r>
              <w:rPr>
                <w:rFonts w:ascii="宋体" w:hAnsi="宋体" w:cs="宋体" w:eastAsia="宋体" w:hint="default"/>
                <w:sz w:val="18"/>
                <w:szCs w:val="18"/>
              </w:rPr>
              <w:t>江苏万充新能源科 技有限公</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武汉万爱新能源科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北京万京新能源科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宁波万爱新能源科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上海万遥新能源科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福州万充新能源科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福建福州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福建福州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1" w:right="135"/>
              <w:jc w:val="left"/>
              <w:rPr>
                <w:rFonts w:ascii="宋体" w:hAnsi="宋体" w:cs="宋体" w:eastAsia="宋体" w:hint="default"/>
                <w:sz w:val="18"/>
                <w:szCs w:val="18"/>
              </w:rPr>
            </w:pPr>
            <w:r>
              <w:rPr>
                <w:rFonts w:ascii="宋体" w:hAnsi="宋体" w:cs="宋体" w:eastAsia="宋体" w:hint="default"/>
                <w:sz w:val="18"/>
                <w:szCs w:val="18"/>
              </w:rPr>
              <w:t>深圳万充新能源科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陕西万充新能源科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杭州万充电力工程 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5"/>
              <w:jc w:val="left"/>
              <w:rPr>
                <w:rFonts w:ascii="宋体" w:hAnsi="宋体" w:cs="宋体" w:eastAsia="宋体" w:hint="default"/>
                <w:sz w:val="18"/>
                <w:szCs w:val="18"/>
              </w:rPr>
            </w:pPr>
            <w:r>
              <w:rPr>
                <w:rFonts w:ascii="宋体" w:hAnsi="宋体" w:cs="宋体" w:eastAsia="宋体" w:hint="default"/>
                <w:sz w:val="18"/>
                <w:szCs w:val="18"/>
              </w:rPr>
              <w:t>承装、承修、承试电力设施， 承接建筑、市政工程</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2"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四川万马高分子材 料有限公司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90" w:footer="1012" w:top="1480" w:bottom="1200" w:left="1020" w:right="0"/>
        </w:sectPr>
      </w:pPr>
    </w:p>
    <w:p>
      <w:pPr>
        <w:spacing w:line="240" w:lineRule="auto" w:before="5"/>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1689"/>
        <w:gridCol w:w="1049"/>
        <w:gridCol w:w="1031"/>
        <w:gridCol w:w="2550"/>
        <w:gridCol w:w="1000"/>
        <w:gridCol w:w="886"/>
        <w:gridCol w:w="1366"/>
      </w:tblGrid>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1" w:right="135"/>
              <w:jc w:val="left"/>
              <w:rPr>
                <w:rFonts w:ascii="宋体" w:hAnsi="宋体" w:cs="宋体" w:eastAsia="宋体" w:hint="default"/>
                <w:sz w:val="18"/>
                <w:szCs w:val="18"/>
              </w:rPr>
            </w:pPr>
            <w:r>
              <w:rPr>
                <w:rFonts w:ascii="宋体" w:hAnsi="宋体" w:cs="宋体" w:eastAsia="宋体" w:hint="default"/>
                <w:sz w:val="18"/>
                <w:szCs w:val="18"/>
              </w:rPr>
              <w:t>浙江万马聚力新材 料科技有限公司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上海万马乾驭电动 汽车服务有限公司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货物运输、仓储、装卸搬运服 务</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重庆万充新能源科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四川重庆</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四川重庆</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四川万充新能源科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广州万充新能源科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海南万充新能源科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1" w:right="135"/>
              <w:jc w:val="left"/>
              <w:rPr>
                <w:rFonts w:ascii="宋体" w:hAnsi="宋体" w:cs="宋体" w:eastAsia="宋体" w:hint="default"/>
                <w:sz w:val="18"/>
                <w:szCs w:val="18"/>
              </w:rPr>
            </w:pPr>
            <w:r>
              <w:rPr>
                <w:rFonts w:ascii="宋体" w:hAnsi="宋体" w:cs="宋体" w:eastAsia="宋体" w:hint="default"/>
                <w:sz w:val="18"/>
                <w:szCs w:val="18"/>
              </w:rPr>
              <w:t>清远万马新材料有 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广州清远</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广州清远</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山西万马新能源科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35"/>
              <w:jc w:val="left"/>
              <w:rPr>
                <w:rFonts w:ascii="宋体" w:hAnsi="宋体" w:cs="宋体" w:eastAsia="宋体" w:hint="default"/>
                <w:sz w:val="18"/>
                <w:szCs w:val="18"/>
              </w:rPr>
            </w:pPr>
            <w:r>
              <w:rPr>
                <w:rFonts w:ascii="宋体" w:hAnsi="宋体" w:cs="宋体" w:eastAsia="宋体" w:hint="default"/>
                <w:sz w:val="18"/>
                <w:szCs w:val="18"/>
              </w:rPr>
              <w:t>佛山万爱新能源科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广东佛山</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广东佛山</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苏州万充新能源科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35"/>
              <w:jc w:val="left"/>
              <w:rPr>
                <w:rFonts w:ascii="宋体" w:hAnsi="宋体" w:cs="宋体" w:eastAsia="宋体" w:hint="default"/>
                <w:sz w:val="18"/>
                <w:szCs w:val="18"/>
              </w:rPr>
            </w:pPr>
            <w:r>
              <w:rPr>
                <w:rFonts w:ascii="宋体" w:hAnsi="宋体" w:cs="宋体" w:eastAsia="宋体" w:hint="default"/>
                <w:sz w:val="18"/>
                <w:szCs w:val="18"/>
              </w:rPr>
              <w:t>无锡万充新能源科 技有限公司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10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29" w:firstLine="441"/>
        <w:jc w:val="both"/>
      </w:pPr>
      <w:r>
        <w:rPr>
          <w:spacing w:val="-2"/>
        </w:rPr>
        <w:t>（1）根据本公司、本公司之子公司浙江万马高分子材料有限公司（以下简称“高分子公司”）与国开发展基金有限公</w:t>
      </w:r>
      <w:r>
        <w:rPr/>
        <w:t> </w:t>
      </w:r>
      <w:r>
        <w:rPr>
          <w:spacing w:val="-5"/>
        </w:rPr>
        <w:t>司（以下简称“国开基金公司”）于2016年3月14日签订的《国开发展基金投资合同》，国开基金公司以1亿元对高分子公司进</w:t>
      </w:r>
      <w:r>
        <w:rPr>
          <w:spacing w:val="-65"/>
        </w:rPr>
        <w:t> </w:t>
      </w:r>
      <w:r>
        <w:rPr>
          <w:spacing w:val="-65"/>
        </w:rPr>
      </w:r>
      <w:r>
        <w:rPr>
          <w:spacing w:val="-2"/>
        </w:rPr>
        <w:t>行增资，国开基金公司的投资期限为“自增资款缴付完成之日起10年”，每年通过现金分红、回购溢价等方式取得投资收益</w:t>
      </w:r>
      <w:r>
        <w:rPr>
          <w:spacing w:val="-64"/>
        </w:rPr>
        <w:t> </w:t>
      </w:r>
      <w:r>
        <w:rPr>
          <w:spacing w:val="-64"/>
        </w:rPr>
      </w:r>
      <w:r>
        <w:rPr/>
        <w:t>应按照1.2%/年的投资收益率计算投资收益，本公司有义务以每次退出时标的股权实际投资额为定价基础，于2024年3月13</w:t>
      </w:r>
      <w:r>
        <w:rPr>
          <w:spacing w:val="-11"/>
        </w:rPr>
        <w:t> </w:t>
      </w:r>
      <w:r>
        <w:rPr>
          <w:spacing w:val="-11"/>
        </w:rPr>
      </w:r>
      <w:r>
        <w:rPr>
          <w:spacing w:val="-2"/>
        </w:rPr>
        <w:t>日、2025年3月13日、2026年3月13日分三次向国开基金公司回购其所持有的高分子公司股权，金额分别为3,000万元、3,000</w:t>
      </w:r>
      <w:r>
        <w:rPr>
          <w:spacing w:val="-51"/>
        </w:rPr>
        <w:t> </w:t>
      </w:r>
      <w:r>
        <w:rPr>
          <w:spacing w:val="-51"/>
        </w:rPr>
      </w:r>
      <w:r>
        <w:rPr>
          <w:spacing w:val="-2"/>
        </w:rPr>
        <w:t>万元、4,000万元。本公司在合并财务报表层面将该1亿元确认为本公司对高分子公司的投资，同时本公司确认对国开基金公</w:t>
      </w:r>
      <w:r>
        <w:rPr>
          <w:spacing w:val="-60"/>
        </w:rPr>
        <w:t> </w:t>
      </w:r>
      <w:r>
        <w:rPr>
          <w:spacing w:val="-60"/>
        </w:rPr>
      </w:r>
      <w:r>
        <w:rPr/>
        <w:t>司的长期应付款1亿元。</w:t>
      </w:r>
    </w:p>
    <w:p>
      <w:pPr>
        <w:pStyle w:val="BodyText"/>
        <w:spacing w:line="316" w:lineRule="auto" w:before="139"/>
        <w:ind w:right="1034" w:firstLine="441"/>
        <w:jc w:val="left"/>
      </w:pPr>
      <w:r>
        <w:rPr>
          <w:spacing w:val="-2"/>
        </w:rPr>
        <w:t>根据本公司、本公司之子公司高分子公司与国开基金公司于2018年9月25日签订的《股权转让协议》，标的股权交易价</w:t>
      </w:r>
      <w:r>
        <w:rPr/>
        <w:t> </w:t>
      </w:r>
      <w:r>
        <w:rPr>
          <w:spacing w:val="-3"/>
        </w:rPr>
        <w:t>格经各方协商同意，股权转让价款总计人民币1亿元，以银行转账方式支付，截止2018年12月31日，本公司已实际支付1亿元。</w:t>
      </w:r>
      <w:r>
        <w:rPr>
          <w:spacing w:val="-88"/>
        </w:rPr>
        <w:t> </w:t>
      </w:r>
      <w:r>
        <w:rPr>
          <w:spacing w:val="-88"/>
        </w:rPr>
      </w:r>
      <w:r>
        <w:rPr/>
        <w:t>本公司在合并财务报表层面将该1亿元确认为归还长期应付款。</w:t>
      </w:r>
    </w:p>
    <w:p>
      <w:pPr>
        <w:pStyle w:val="BodyText"/>
        <w:spacing w:line="316" w:lineRule="auto" w:before="139"/>
        <w:ind w:right="1130" w:firstLine="441"/>
        <w:jc w:val="both"/>
      </w:pPr>
      <w:r>
        <w:rPr>
          <w:spacing w:val="-2"/>
        </w:rPr>
        <w:t>（2）根据本公司、本公司之子公司万马联合新能源投资有限公司（以下简称“新能源投资公司”）与国开发展基金有</w:t>
      </w:r>
      <w:r>
        <w:rPr/>
        <w:t> </w:t>
      </w:r>
      <w:r>
        <w:rPr>
          <w:spacing w:val="-3"/>
        </w:rPr>
        <w:t>限公司（以下简称“国开基金公司”）于2015年12月29日签订的《国开发展基金投资合同》，国开基金公司以1亿元对新能源</w:t>
      </w:r>
      <w:r>
        <w:rPr/>
        <w:t> </w:t>
      </w:r>
      <w:r>
        <w:rPr>
          <w:spacing w:val="-2"/>
        </w:rPr>
        <w:t>投资公司进行增资，国开基金公司的投资期限为“自增资款缴付完成之日起10年”，每年通过现金分红、回购溢价等方式取</w:t>
      </w:r>
      <w:r>
        <w:rPr>
          <w:spacing w:val="-65"/>
        </w:rPr>
        <w:t> </w:t>
      </w:r>
      <w:r>
        <w:rPr>
          <w:spacing w:val="-65"/>
        </w:rPr>
      </w:r>
      <w:r>
        <w:rPr>
          <w:spacing w:val="-3"/>
        </w:rPr>
        <w:t>得投资收益应按照1.2%/年的投资收益率计算投资收益，本公司有义务以每次退出时标的股权实际投资额为定价基础，于2023</w:t>
      </w:r>
      <w:r>
        <w:rPr>
          <w:spacing w:val="-88"/>
        </w:rPr>
        <w:t> </w:t>
      </w:r>
      <w:r>
        <w:rPr>
          <w:spacing w:val="-88"/>
        </w:rPr>
      </w:r>
      <w:r>
        <w:rPr/>
        <w:t>年12月28日、2024年12月28日、2025年12月28日分三次向国开基金公司回购其所持有的新能源投资公司股权，金额分别为</w:t>
      </w:r>
      <w:r>
        <w:rPr>
          <w:spacing w:val="-13"/>
        </w:rPr>
        <w:t> </w:t>
      </w:r>
      <w:r>
        <w:rPr>
          <w:spacing w:val="-13"/>
        </w:rPr>
      </w:r>
      <w:r>
        <w:rPr>
          <w:spacing w:val="-2"/>
        </w:rPr>
        <w:t>3,000万元、3,000万元、4,000万元。本公司在合并财务报表层面将该1亿元确认为本公司对新能源投资公司的投资，同时本</w:t>
      </w:r>
      <w:r>
        <w:rPr>
          <w:spacing w:val="-55"/>
        </w:rPr>
        <w:t> </w:t>
      </w:r>
      <w:r>
        <w:rPr>
          <w:spacing w:val="-55"/>
        </w:rPr>
      </w:r>
      <w:r>
        <w:rPr/>
        <w:t>公司确认对国开基金公司的长期应付款1亿元。</w:t>
      </w:r>
    </w:p>
    <w:p>
      <w:pPr>
        <w:pStyle w:val="BodyText"/>
        <w:spacing w:line="316" w:lineRule="auto" w:before="139"/>
        <w:ind w:right="1129" w:firstLine="441"/>
        <w:jc w:val="both"/>
      </w:pPr>
      <w:r>
        <w:rPr>
          <w:spacing w:val="-2"/>
        </w:rPr>
        <w:t>根据本公司、本公司之子公司新能源投资公司与国开基金公司于2018年9月25日签订的《股权转让协议》，标的股权交</w:t>
      </w:r>
      <w:r>
        <w:rPr/>
        <w:t> </w:t>
      </w:r>
      <w:r>
        <w:rPr>
          <w:spacing w:val="-2"/>
        </w:rPr>
        <w:t>易价格经各方协商同意，股权转让价款总计人民币1亿元，以银行转账方式支付，截止2018年12月31日，本公司已实际支付1</w:t>
      </w:r>
    </w:p>
    <w:p>
      <w:pPr>
        <w:spacing w:after="0" w:line="316" w:lineRule="auto"/>
        <w:jc w:val="both"/>
        <w:sectPr>
          <w:footerReference w:type="default" r:id="rId59"/>
          <w:pgSz w:w="11910" w:h="16840"/>
          <w:pgMar w:footer="1012" w:header="890" w:top="1420" w:bottom="1200" w:left="1020" w:right="0"/>
          <w:pgNumType w:start="150"/>
        </w:sectPr>
      </w:pPr>
    </w:p>
    <w:p>
      <w:pPr>
        <w:pStyle w:val="BodyText"/>
        <w:spacing w:line="240" w:lineRule="auto" w:before="66"/>
        <w:ind w:right="0"/>
        <w:jc w:val="left"/>
      </w:pPr>
      <w:r>
        <w:rPr/>
        <w:t>亿元。本公司在合并财务报表层面将该1亿元确认为归还长期应付款。</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重要的非全资子公司" w:id="360"/>
      <w:bookmarkEnd w:id="36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29"/>
        <w:gridCol w:w="1600"/>
        <w:gridCol w:w="1840"/>
        <w:gridCol w:w="1590"/>
        <w:gridCol w:w="1511"/>
      </w:tblGrid>
      <w:tr>
        <w:trPr>
          <w:trHeight w:val="714"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4" w:right="164"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5" w:right="103"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1" w:right="157"/>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8" w:right="120" w:hanging="360"/>
              <w:jc w:val="left"/>
              <w:rPr>
                <w:rFonts w:ascii="宋体" w:hAnsi="宋体" w:cs="宋体" w:eastAsia="宋体" w:hint="default"/>
                <w:sz w:val="18"/>
                <w:szCs w:val="18"/>
              </w:rPr>
            </w:pPr>
            <w:r>
              <w:rPr>
                <w:rFonts w:ascii="宋体" w:hAnsi="宋体" w:cs="宋体" w:eastAsia="宋体" w:hint="default"/>
                <w:sz w:val="18"/>
                <w:szCs w:val="18"/>
              </w:rPr>
              <w:t>期末少数股东权 益余额</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4,821,253.81</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11,869,238.89</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15.73%</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359,608.78</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5,381,110.20</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3）重要非全资子公司的主要财务信息" w:id="361"/>
      <w:bookmarkEnd w:id="36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2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4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1"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1"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31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万马 新能 源有 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102,99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7,643.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3" w:right="0"/>
              <w:jc w:val="left"/>
              <w:rPr>
                <w:rFonts w:ascii="Times New Roman" w:hAnsi="Times New Roman" w:cs="Times New Roman" w:eastAsia="Times New Roman" w:hint="default"/>
                <w:sz w:val="18"/>
                <w:szCs w:val="18"/>
              </w:rPr>
            </w:pPr>
            <w:r>
              <w:rPr>
                <w:rFonts w:ascii="Times New Roman"/>
                <w:sz w:val="18"/>
              </w:rPr>
              <w:t>5,288,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515.25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108,28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6,158.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67,116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,803.2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3"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225.70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,028.9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1" w:right="0"/>
              <w:jc w:val="left"/>
              <w:rPr>
                <w:rFonts w:ascii="Times New Roman" w:hAnsi="Times New Roman" w:cs="Times New Roman" w:eastAsia="Times New Roman" w:hint="default"/>
                <w:sz w:val="18"/>
                <w:szCs w:val="18"/>
              </w:rPr>
            </w:pPr>
            <w:r>
              <w:rPr>
                <w:rFonts w:ascii="Times New Roman"/>
                <w:sz w:val="18"/>
              </w:rPr>
              <w:t>6,164,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940.13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104,67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2,566.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80,108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,875.3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Times New Roman" w:hAnsi="Times New Roman" w:cs="Times New Roman" w:eastAsia="Times New Roman" w:hint="default"/>
                <w:sz w:val="18"/>
                <w:szCs w:val="18"/>
              </w:rPr>
            </w:pPr>
            <w:r>
              <w:rPr>
                <w:rFonts w:ascii="Times New Roman"/>
                <w:sz w:val="18"/>
              </w:rPr>
              <w:t>1,070,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407.17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,282.5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31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万马</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专用</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59,499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13,306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72,805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37,809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37,809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46,978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16,357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63,336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30,404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30,404</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,035.5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,082.1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2"/>
                <w:sz w:val="18"/>
              </w:rPr>
              <w:t>,117.6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,440.6</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,440.6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,696.8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,874.3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,571.2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,330.3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,330.3</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0</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32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94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27"/>
              <w:jc w:val="both"/>
              <w:rPr>
                <w:rFonts w:ascii="宋体" w:hAnsi="宋体" w:cs="宋体" w:eastAsia="宋体" w:hint="default"/>
                <w:sz w:val="18"/>
                <w:szCs w:val="18"/>
              </w:rPr>
            </w:pPr>
            <w:r>
              <w:rPr>
                <w:rFonts w:ascii="宋体" w:hAnsi="宋体" w:cs="宋体" w:eastAsia="宋体" w:hint="default"/>
                <w:sz w:val="18"/>
                <w:szCs w:val="18"/>
              </w:rPr>
              <w:t>浙江万马 新能源有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85,857,644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16,070,846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16,070,846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48,673,819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69,570,839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-13,498,41</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8.29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-13,498,41</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8.29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-14,823,46</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1.72</w:t>
            </w:r>
          </w:p>
        </w:tc>
      </w:tr>
      <w:tr>
        <w:trPr>
          <w:trHeight w:val="316"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专用线缆</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138,156,33</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2,063,436.</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2,063,436.</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12,007,477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0" w:right="0"/>
              <w:jc w:val="left"/>
              <w:rPr>
                <w:rFonts w:ascii="Times New Roman" w:hAnsi="Times New Roman" w:cs="Times New Roman" w:eastAsia="Times New Roman" w:hint="default"/>
                <w:sz w:val="18"/>
                <w:szCs w:val="18"/>
              </w:rPr>
            </w:pPr>
            <w:r>
              <w:rPr>
                <w:rFonts w:ascii="Times New Roman"/>
                <w:sz w:val="18"/>
              </w:rPr>
              <w:t>121,021,86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-2,035,491.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-2,035,491.</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1,043,430.</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1.85</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10</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10</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634" w:right="0"/>
              <w:jc w:val="left"/>
              <w:rPr>
                <w:rFonts w:ascii="Times New Roman" w:hAnsi="Times New Roman" w:cs="Times New Roman" w:eastAsia="Times New Roman" w:hint="default"/>
                <w:sz w:val="18"/>
                <w:szCs w:val="18"/>
              </w:rPr>
            </w:pPr>
            <w:r>
              <w:rPr>
                <w:rFonts w:ascii="Times New Roman"/>
                <w:sz w:val="18"/>
              </w:rPr>
              <w:t>3.40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45</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45</w:t>
            </w:r>
          </w:p>
        </w:tc>
      </w:tr>
      <w:tr>
        <w:trPr>
          <w:trHeight w:val="31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90" w:footer="1012" w:top="1420" w:bottom="1200" w:left="1020" w:right="0"/>
        </w:sectPr>
      </w:pPr>
    </w:p>
    <w:p>
      <w:pPr>
        <w:spacing w:line="240" w:lineRule="auto" w:before="4"/>
        <w:rPr>
          <w:rFonts w:ascii="宋体" w:hAnsi="宋体" w:cs="宋体" w:eastAsia="宋体" w:hint="default"/>
          <w:sz w:val="22"/>
          <w:szCs w:val="22"/>
        </w:rPr>
      </w:pPr>
    </w:p>
    <w:p>
      <w:pPr>
        <w:pStyle w:val="Heading6"/>
        <w:spacing w:line="240" w:lineRule="auto" w:before="34"/>
        <w:ind w:right="0"/>
        <w:jc w:val="left"/>
        <w:rPr>
          <w:b w:val="0"/>
          <w:bCs w:val="0"/>
        </w:rPr>
      </w:pPr>
      <w:bookmarkStart w:name="2、在子公司的所有者权益份额发生变化且仍控制子公司的交易" w:id="362"/>
      <w:bookmarkEnd w:id="362"/>
      <w:r>
        <w:rPr>
          <w:b w:val="0"/>
          <w:bCs w:val="0"/>
        </w:rPr>
      </w:r>
      <w:bookmarkStart w:name="（1）在子公司所有者权益份额发生变化的情况说明" w:id="363"/>
      <w:bookmarkEnd w:id="36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441"/>
        <w:jc w:val="left"/>
      </w:pPr>
      <w:r>
        <w:rPr/>
        <w:t>本公司于2018</w:t>
      </w:r>
      <w:r>
        <w:rPr>
          <w:spacing w:val="-5"/>
        </w:rPr>
        <w:t> </w:t>
      </w:r>
      <w:r>
        <w:rPr/>
        <w:t>年10月10日向浙江万马专用线缆科技有限公司的自然人股东陈正春回购其所持有的该公司100,000股股</w:t>
      </w:r>
      <w:r>
        <w:rPr/>
        <w:t> </w:t>
      </w:r>
      <w:r>
        <w:rPr>
          <w:spacing w:val="-2"/>
        </w:rPr>
        <w:t>权，回购价款74,250.00元，股权回购完成后本公司对浙江万马专用线缆科技有限公司的持股比例由84.025%增加至84.275%。</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3、在合营安排或联营企业中的权益" w:id="364"/>
      <w:bookmarkEnd w:id="36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365"/>
      <w:bookmarkEnd w:id="36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重要合营企业的主要财务信息" w:id="366"/>
      <w:bookmarkEnd w:id="36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重要联营企业的主要财务信息" w:id="367"/>
      <w:bookmarkEnd w:id="36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不重要的合营企业和联营企业的汇总财务信息" w:id="368"/>
      <w:bookmarkEnd w:id="36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3,257,064.30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2,881,312.45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-4,124,248.15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-4,564,764.51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-4,124,248.15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-4,564,764.51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21,556,472.91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21,869,181.24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-312,708.33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735,959.12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6,410.79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-312,708.33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742,369.91</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30" w:firstLine="441"/>
        <w:jc w:val="both"/>
      </w:pPr>
      <w:r>
        <w:rPr/>
        <w:t>上述不重要的合营企业为浙江万马海立斯新能源有限公司（浙江万马奔腾新能源产业有限公司与IES-SYNERGY SAS</w:t>
      </w:r>
      <w:r>
        <w:rPr>
          <w:spacing w:val="7"/>
        </w:rPr>
        <w:t> </w:t>
      </w:r>
      <w:r>
        <w:rPr/>
        <w:t>公</w:t>
      </w:r>
      <w:r>
        <w:rPr/>
        <w:t> </w:t>
      </w:r>
      <w:r>
        <w:rPr>
          <w:spacing w:val="-4"/>
        </w:rPr>
        <w:t>司合营，本公司持股比例50%），不重要的联营企业包括浙江电腾云光伏科技有限公司（本公司与南京南瑞集团公司联营，本</w:t>
      </w:r>
      <w:r>
        <w:rPr>
          <w:spacing w:val="-40"/>
        </w:rPr>
        <w:t> </w:t>
      </w:r>
      <w:r>
        <w:rPr>
          <w:spacing w:val="-40"/>
        </w:rPr>
      </w:r>
      <w:r>
        <w:rPr>
          <w:spacing w:val="-4"/>
        </w:rPr>
        <w:t>公司持股比例49%）、山东万恩新能源科技有限公司（浙江万马奔腾新能源产业有限公司与浙江万马投资集团有限公司、山东</w:t>
      </w:r>
    </w:p>
    <w:p>
      <w:pPr>
        <w:spacing w:after="0" w:line="316" w:lineRule="auto"/>
        <w:jc w:val="both"/>
        <w:sectPr>
          <w:headerReference w:type="default" r:id="rId60"/>
          <w:pgSz w:w="11910" w:h="16840"/>
          <w:pgMar w:header="890" w:footer="1012" w:top="1760" w:bottom="1200" w:left="1020" w:right="0"/>
        </w:sectPr>
      </w:pPr>
    </w:p>
    <w:p>
      <w:pPr>
        <w:pStyle w:val="BodyText"/>
        <w:spacing w:line="240" w:lineRule="auto" w:before="66"/>
        <w:ind w:right="0"/>
        <w:jc w:val="both"/>
      </w:pPr>
      <w:r>
        <w:rPr/>
        <w:t>天恩综合能源有限公司联营，本公司持股比例</w:t>
      </w:r>
      <w:r>
        <w:rPr>
          <w:spacing w:val="1"/>
        </w:rPr>
        <w:t> 3</w:t>
      </w:r>
      <w:r>
        <w:rPr>
          <w:spacing w:val="-2"/>
        </w:rPr>
        <w:t>1%</w:t>
      </w:r>
      <w:r>
        <w:rPr>
          <w:spacing w:val="-89"/>
        </w:rPr>
        <w:t>）</w:t>
      </w:r>
      <w:r>
        <w:rPr/>
        <w:t>。</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与金融工具相关的风险" w:id="369"/>
      <w:bookmarkEnd w:id="36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41"/>
        <w:jc w:val="both"/>
      </w:pPr>
      <w:r>
        <w:rPr/>
        <w:t>本集团的主要金融工具包括借款、应收款项、应付款项、远期结售汇、期货合约等，各项金融工具的详细情况说明见 </w:t>
      </w:r>
      <w:r>
        <w:rPr>
          <w:spacing w:val="-2"/>
        </w:rPr>
        <w:t>本附注七。与这些金融工具有关的风险，以及本集团为降低这些风险所采取的风险管理政策如下所述。本集团管理层对这些</w:t>
      </w:r>
      <w:r>
        <w:rPr>
          <w:spacing w:val="-63"/>
        </w:rPr>
        <w:t> </w:t>
      </w:r>
      <w:r>
        <w:rPr>
          <w:spacing w:val="-63"/>
        </w:rPr>
      </w:r>
      <w:r>
        <w:rPr/>
        <w:t>风险敞口进行管理和监控以确保将上述风险控制在限定的范围之内。</w:t>
      </w:r>
    </w:p>
    <w:p>
      <w:pPr>
        <w:pStyle w:val="Heading4"/>
        <w:spacing w:line="240" w:lineRule="auto" w:before="106"/>
        <w:ind w:left="556" w:right="0"/>
        <w:jc w:val="left"/>
        <w:rPr>
          <w:b w:val="0"/>
          <w:bCs w:val="0"/>
        </w:rPr>
      </w:pPr>
      <w:r>
        <w:rPr/>
        <w:t>各类风险管理目标和政策：</w:t>
      </w:r>
      <w:r>
        <w:rPr>
          <w:b w:val="0"/>
          <w:bCs w:val="0"/>
        </w:rPr>
      </w:r>
    </w:p>
    <w:p>
      <w:pPr>
        <w:pStyle w:val="BodyText"/>
        <w:spacing w:line="316" w:lineRule="auto" w:before="176"/>
        <w:ind w:right="1041" w:firstLine="441"/>
        <w:jc w:val="both"/>
      </w:pPr>
      <w:r>
        <w:rPr/>
        <w:t>本集团从事风险管理的目标是在风险和收益之间取得适当的平衡，将风险对本集团经营业绩的负面影响降低到最低水 </w:t>
      </w:r>
      <w:r>
        <w:rPr>
          <w:spacing w:val="-2"/>
        </w:rPr>
        <w:t>平，使股东及其它权益投资者的利益最大化。基于该风险管理目标，本集团风险管理的基本策略是确定和分析本集团所面临</w:t>
      </w:r>
      <w:r>
        <w:rPr>
          <w:spacing w:val="-63"/>
        </w:rPr>
        <w:t> </w:t>
      </w:r>
      <w:r>
        <w:rPr>
          <w:spacing w:val="-63"/>
        </w:rPr>
      </w:r>
      <w:r>
        <w:rPr>
          <w:spacing w:val="-4"/>
        </w:rPr>
        <w:t>的各种风险，建立适当的风险承受底线并进行风险管理，并及时可靠地对各种风险进行监督，将风险控制在限定的范围之内。</w:t>
      </w:r>
    </w:p>
    <w:p>
      <w:pPr>
        <w:pStyle w:val="BodyText"/>
        <w:spacing w:line="240" w:lineRule="auto" w:before="139"/>
        <w:ind w:left="472" w:right="0"/>
        <w:jc w:val="left"/>
      </w:pPr>
      <w:r>
        <w:rPr/>
        <w:t>1.市场风险</w:t>
      </w:r>
    </w:p>
    <w:p>
      <w:pPr>
        <w:pStyle w:val="BodyText"/>
        <w:spacing w:line="430" w:lineRule="atLeast" w:before="2"/>
        <w:ind w:left="554" w:right="1120" w:hanging="82"/>
        <w:jc w:val="left"/>
      </w:pPr>
      <w:r>
        <w:rPr/>
        <w:t>（1）汇率风险 </w:t>
      </w:r>
      <w:r>
        <w:rPr>
          <w:spacing w:val="-2"/>
        </w:rPr>
        <w:t>如附注“七、55.外币货币性项目”所示，本集团外币货币性项目主要是美元，其他外币项目如欧元、瑞士法郎以及港</w:t>
      </w:r>
    </w:p>
    <w:p>
      <w:pPr>
        <w:pStyle w:val="BodyText"/>
        <w:spacing w:line="316" w:lineRule="auto" w:before="76"/>
        <w:ind w:right="1130"/>
        <w:jc w:val="both"/>
      </w:pPr>
      <w:r>
        <w:rPr>
          <w:spacing w:val="-2"/>
        </w:rPr>
        <w:t>币，对本公司不具有重大影响。本集团承受汇率风险主要与美元相关，本集团的下属子公司浙江万马集团特种电子电缆有限</w:t>
      </w:r>
      <w:r>
        <w:rPr>
          <w:spacing w:val="-63"/>
        </w:rPr>
        <w:t> </w:t>
      </w:r>
      <w:r>
        <w:rPr>
          <w:spacing w:val="-63"/>
        </w:rPr>
      </w:r>
      <w:r>
        <w:rPr/>
        <w:t>公司和浙江万马天屹通信线缆有限公司以美元进行销售，下属子公司Optrum Technology</w:t>
      </w:r>
      <w:r>
        <w:rPr>
          <w:spacing w:val="-3"/>
        </w:rPr>
        <w:t> </w:t>
      </w:r>
      <w:r>
        <w:rPr/>
        <w:t>LLC和香港骐骥国际发展有限公司</w:t>
      </w:r>
      <w:r>
        <w:rPr/>
        <w:t> </w:t>
      </w:r>
      <w:r>
        <w:rPr>
          <w:spacing w:val="-2"/>
        </w:rPr>
        <w:t>以美元进行采购和销售，本集团的其它主要业务活动以人民币计价结算。于2018年12月31日，除下表所述资产及负债的美元</w:t>
      </w:r>
      <w:r>
        <w:rPr>
          <w:spacing w:val="-59"/>
        </w:rPr>
        <w:t> </w:t>
      </w:r>
      <w:r>
        <w:rPr>
          <w:spacing w:val="-59"/>
        </w:rPr>
      </w:r>
      <w:r>
        <w:rPr>
          <w:spacing w:val="-2"/>
        </w:rPr>
        <w:t>余额外，本集团的资产及负债为人民币余额和零星的欧元及瑞士法郎、港币余额。该等美元的资产和负债产生的汇率风险可</w:t>
      </w:r>
      <w:r>
        <w:rPr>
          <w:spacing w:val="-63"/>
        </w:rPr>
        <w:t> </w:t>
      </w:r>
      <w:r>
        <w:rPr>
          <w:spacing w:val="-63"/>
        </w:rPr>
      </w:r>
      <w:r>
        <w:rPr/>
        <w:t>能对本集团的经营业绩产生影响。</w:t>
      </w:r>
    </w:p>
    <w:p>
      <w:pPr>
        <w:pStyle w:val="BodyText"/>
        <w:spacing w:line="240" w:lineRule="auto" w:before="139"/>
        <w:ind w:left="0" w:right="2320"/>
        <w:jc w:val="right"/>
      </w:pPr>
      <w:r>
        <w:rPr/>
        <w:t>单位：美元</w:t>
      </w:r>
    </w:p>
    <w:p>
      <w:pPr>
        <w:spacing w:line="240" w:lineRule="auto" w:before="2"/>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708"/>
        <w:gridCol w:w="2500"/>
        <w:gridCol w:w="2433"/>
      </w:tblGrid>
      <w:tr>
        <w:trPr>
          <w:trHeight w:val="345" w:hRule="exact"/>
        </w:trPr>
        <w:tc>
          <w:tcPr>
            <w:tcW w:w="370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6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43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5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货币资金－美元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10,121,963.51</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7,730,240.87</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应收票据－美元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160,380.00</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166,320.00</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应收账款－美元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13,022,320.77</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10,303,869.62</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其他应收款－美元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8,539.51</w:t>
            </w:r>
          </w:p>
        </w:tc>
        <w:tc>
          <w:tcPr>
            <w:tcW w:w="2433" w:type="dxa"/>
            <w:tcBorders>
              <w:top w:val="single" w:sz="4" w:space="0" w:color="000000"/>
              <w:left w:val="single" w:sz="4" w:space="0" w:color="000000"/>
              <w:bottom w:val="single" w:sz="4" w:space="0" w:color="000000"/>
              <w:right w:val="single" w:sz="6" w:space="0" w:color="000000"/>
            </w:tcBorders>
          </w:tcPr>
          <w:p>
            <w:pP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预付款项－美元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7,344.00</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66,825.00</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资产小计</w:t>
            </w:r>
            <w:r>
              <w:rPr>
                <w:rFonts w:ascii="宋体" w:hAnsi="宋体" w:cs="宋体" w:eastAsia="宋体" w:hint="default"/>
                <w:sz w:val="18"/>
                <w:szCs w:val="18"/>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b/>
                <w:spacing w:val="-1"/>
                <w:sz w:val="18"/>
              </w:rPr>
              <w:t>23,320,547.79</w:t>
            </w:r>
            <w:r>
              <w:rPr>
                <w:rFonts w:ascii="Times New Roman"/>
                <w:spacing w:val="-1"/>
                <w:sz w:val="18"/>
              </w:rPr>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b/>
                <w:spacing w:val="-1"/>
                <w:sz w:val="18"/>
              </w:rPr>
              <w:t>18,267,255.49</w:t>
            </w:r>
            <w:r>
              <w:rPr>
                <w:rFonts w:ascii="Times New Roman"/>
                <w:spacing w:val="-1"/>
                <w:sz w:val="18"/>
              </w:rPr>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应付票据－美元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155,925.00</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162,607.50</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应付账款－美元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3,203,365.79</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3,349,535.75</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预收款项－美元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206,249.53</w:t>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spacing w:val="-1"/>
                <w:sz w:val="18"/>
              </w:rPr>
              <w:t>264,666.83</w:t>
            </w:r>
          </w:p>
        </w:tc>
      </w:tr>
      <w:tr>
        <w:trPr>
          <w:trHeight w:val="342" w:hRule="exact"/>
        </w:trPr>
        <w:tc>
          <w:tcPr>
            <w:tcW w:w="37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负债小计</w:t>
            </w:r>
            <w:r>
              <w:rPr>
                <w:rFonts w:ascii="宋体" w:hAnsi="宋体" w:cs="宋体" w:eastAsia="宋体" w:hint="default"/>
                <w:sz w:val="18"/>
                <w:szCs w:val="18"/>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b/>
                <w:spacing w:val="-1"/>
                <w:sz w:val="18"/>
              </w:rPr>
              <w:t>3,565,540.32</w:t>
            </w:r>
            <w:r>
              <w:rPr>
                <w:rFonts w:ascii="Times New Roman"/>
                <w:spacing w:val="-1"/>
                <w:sz w:val="18"/>
              </w:rPr>
            </w:r>
          </w:p>
        </w:tc>
        <w:tc>
          <w:tcPr>
            <w:tcW w:w="243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b/>
                <w:spacing w:val="-1"/>
                <w:sz w:val="18"/>
              </w:rPr>
              <w:t>3,776,810.08</w:t>
            </w:r>
            <w:r>
              <w:rPr>
                <w:rFonts w:ascii="Times New Roman"/>
                <w:spacing w:val="-1"/>
                <w:sz w:val="18"/>
              </w:rPr>
            </w:r>
          </w:p>
        </w:tc>
      </w:tr>
      <w:tr>
        <w:trPr>
          <w:trHeight w:val="344" w:hRule="exact"/>
        </w:trPr>
        <w:tc>
          <w:tcPr>
            <w:tcW w:w="370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负债</w:t>
            </w:r>
            <w:r>
              <w:rPr>
                <w:rFonts w:ascii="宋体" w:hAnsi="宋体" w:cs="宋体" w:eastAsia="宋体" w:hint="default"/>
                <w:sz w:val="18"/>
                <w:szCs w:val="18"/>
              </w:rPr>
            </w:r>
          </w:p>
        </w:tc>
        <w:tc>
          <w:tcPr>
            <w:tcW w:w="250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b/>
                <w:spacing w:val="-1"/>
                <w:sz w:val="18"/>
              </w:rPr>
              <w:t>19,755,007.47</w:t>
            </w:r>
            <w:r>
              <w:rPr>
                <w:rFonts w:ascii="Times New Roman"/>
                <w:spacing w:val="-1"/>
                <w:sz w:val="18"/>
              </w:rPr>
            </w:r>
          </w:p>
        </w:tc>
        <w:tc>
          <w:tcPr>
            <w:tcW w:w="243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b/>
                <w:spacing w:val="-1"/>
                <w:sz w:val="18"/>
              </w:rPr>
              <w:t>14,490,445.41</w:t>
            </w:r>
            <w:r>
              <w:rPr>
                <w:rFonts w:ascii="Times New Roman"/>
                <w:spacing w:val="-1"/>
                <w:sz w:val="18"/>
              </w:rPr>
            </w:r>
          </w:p>
        </w:tc>
      </w:tr>
    </w:tbl>
    <w:p>
      <w:pPr>
        <w:spacing w:line="240" w:lineRule="auto" w:before="8"/>
        <w:rPr>
          <w:rFonts w:ascii="宋体" w:hAnsi="宋体" w:cs="宋体" w:eastAsia="宋体" w:hint="default"/>
          <w:sz w:val="6"/>
          <w:szCs w:val="6"/>
        </w:rPr>
      </w:pPr>
    </w:p>
    <w:p>
      <w:pPr>
        <w:pStyle w:val="BodyText"/>
        <w:spacing w:line="240" w:lineRule="auto" w:before="44"/>
        <w:ind w:left="554" w:right="0"/>
        <w:jc w:val="left"/>
      </w:pPr>
      <w:r>
        <w:rPr/>
        <w:t>本集团密切关注汇率变动对本集团的影响。</w:t>
      </w:r>
    </w:p>
    <w:p>
      <w:pPr>
        <w:pStyle w:val="BodyText"/>
        <w:spacing w:line="430" w:lineRule="atLeast" w:before="2"/>
        <w:ind w:left="554" w:right="1132" w:hanging="82"/>
        <w:jc w:val="left"/>
      </w:pPr>
      <w:r>
        <w:rPr/>
        <w:t>（2）利率风险 本集团的利率风险产生于银行借款及应付债券等带息债务。于2018年12月31日，本集团的带息债务主要为人民币计价</w:t>
      </w:r>
    </w:p>
    <w:p>
      <w:pPr>
        <w:pStyle w:val="BodyText"/>
        <w:spacing w:line="316" w:lineRule="auto" w:before="76"/>
        <w:ind w:right="1120"/>
        <w:jc w:val="left"/>
      </w:pPr>
      <w:r>
        <w:rPr/>
        <w:t>的固定利率借款合同及2014年公司债券(第一期)，金额合计为1,495,186,234.26元（2017年12月31日：1,554,031,527.86</w:t>
      </w:r>
      <w:r>
        <w:rPr>
          <w:spacing w:val="-24"/>
        </w:rPr>
        <w:t> </w:t>
      </w:r>
      <w:r>
        <w:rPr>
          <w:spacing w:val="-24"/>
        </w:rPr>
      </w:r>
      <w:r>
        <w:rPr>
          <w:spacing w:val="-30"/>
        </w:rPr>
        <w:t>元）。</w:t>
      </w:r>
    </w:p>
    <w:p>
      <w:pPr>
        <w:pStyle w:val="BodyText"/>
        <w:spacing w:line="240" w:lineRule="auto" w:before="139"/>
        <w:ind w:left="564" w:right="0"/>
        <w:jc w:val="left"/>
      </w:pPr>
      <w:r>
        <w:rPr/>
        <w:t>（3）价格风险</w:t>
      </w:r>
    </w:p>
    <w:p>
      <w:pPr>
        <w:spacing w:after="0" w:line="240" w:lineRule="auto"/>
        <w:jc w:val="left"/>
        <w:sectPr>
          <w:headerReference w:type="default" r:id="rId61"/>
          <w:pgSz w:w="11910" w:h="16840"/>
          <w:pgMar w:header="890" w:footer="1012" w:top="1420" w:bottom="1200" w:left="1020" w:right="0"/>
        </w:sectPr>
      </w:pPr>
    </w:p>
    <w:p>
      <w:pPr>
        <w:pStyle w:val="BodyText"/>
        <w:spacing w:line="316" w:lineRule="auto" w:before="66"/>
        <w:ind w:right="1149" w:firstLine="441"/>
        <w:jc w:val="both"/>
      </w:pPr>
      <w:r>
        <w:rPr/>
        <w:t>本集团以市场价格采购铜材等原材料，同时本集团基于销售订单数据分析预期的铜采购交易，以此为依据进行期铜合 约套期操作，因此受到此等价格波动的影响。</w:t>
      </w:r>
    </w:p>
    <w:p>
      <w:pPr>
        <w:pStyle w:val="BodyText"/>
        <w:spacing w:line="432" w:lineRule="exact" w:before="3"/>
        <w:ind w:left="554" w:right="1120" w:hanging="82"/>
        <w:jc w:val="left"/>
      </w:pPr>
      <w:r>
        <w:rPr/>
        <w:t>2.信用风险 于2018年12月31日，可能引起本集团财务损失的最大信用风险敞口主要来自于合同另一方未能履行义务而导致本集团</w:t>
      </w:r>
    </w:p>
    <w:p>
      <w:pPr>
        <w:pStyle w:val="BodyText"/>
        <w:spacing w:line="240" w:lineRule="auto" w:before="15"/>
        <w:ind w:right="0"/>
        <w:jc w:val="left"/>
      </w:pPr>
      <w:r>
        <w:rPr/>
        <w:t>金融资产产生的损失以及本集团承担的财务担保，具体包括：</w:t>
      </w:r>
    </w:p>
    <w:p>
      <w:pPr>
        <w:spacing w:line="240" w:lineRule="auto" w:before="0"/>
        <w:rPr>
          <w:rFonts w:ascii="宋体" w:hAnsi="宋体" w:cs="宋体" w:eastAsia="宋体" w:hint="default"/>
          <w:sz w:val="15"/>
          <w:szCs w:val="15"/>
        </w:rPr>
      </w:pPr>
    </w:p>
    <w:p>
      <w:pPr>
        <w:pStyle w:val="BodyText"/>
        <w:spacing w:line="316" w:lineRule="auto"/>
        <w:ind w:right="1041" w:firstLine="441"/>
        <w:jc w:val="both"/>
      </w:pPr>
      <w:r>
        <w:rPr>
          <w:spacing w:val="-2"/>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39"/>
        <w:ind w:right="1130" w:firstLine="441"/>
        <w:jc w:val="both"/>
      </w:pPr>
      <w:r>
        <w:rPr/>
        <w:t>为降低信用风险，本集团成立专门部门确定信用额度、进行信用审批，并执行其它监控程序以确保采取必要的措施回 </w:t>
      </w:r>
      <w:r>
        <w:rPr>
          <w:spacing w:val="-2"/>
        </w:rPr>
        <w:t>收过期债权。此外，本集团于每个资产负债表日审核每一单项应收款的回收情况，以确保就无法回收的款项计提充分的坏账</w:t>
      </w:r>
      <w:r>
        <w:rPr>
          <w:spacing w:val="-63"/>
        </w:rPr>
        <w:t> </w:t>
      </w:r>
      <w:r>
        <w:rPr>
          <w:spacing w:val="-63"/>
        </w:rPr>
      </w:r>
      <w:r>
        <w:rPr/>
        <w:t>准备。因此，本集团管理层认为本集团所承担的信用风险已经大为降低。</w:t>
      </w:r>
    </w:p>
    <w:p>
      <w:pPr>
        <w:pStyle w:val="BodyText"/>
        <w:spacing w:line="432" w:lineRule="exact" w:before="3"/>
        <w:ind w:left="554" w:right="1132"/>
        <w:jc w:val="left"/>
      </w:pPr>
      <w:r>
        <w:rPr/>
        <w:t>本集团的流动资金存放在信用评级较高的银行，故流动资金的信用风险较低。 本集团采用了必要的政策确保所有销售客户均具有良好的信用记录。除应收账款金额前五名外，本集团无其他重大信</w:t>
      </w:r>
    </w:p>
    <w:p>
      <w:pPr>
        <w:pStyle w:val="BodyText"/>
        <w:spacing w:line="240" w:lineRule="auto" w:before="15"/>
        <w:ind w:right="0"/>
        <w:jc w:val="left"/>
      </w:pPr>
      <w:r>
        <w:rPr/>
        <w:t>用集中风险。</w:t>
      </w:r>
    </w:p>
    <w:p>
      <w:pPr>
        <w:spacing w:line="240" w:lineRule="auto" w:before="0"/>
        <w:rPr>
          <w:rFonts w:ascii="宋体" w:hAnsi="宋体" w:cs="宋体" w:eastAsia="宋体" w:hint="default"/>
          <w:sz w:val="15"/>
          <w:szCs w:val="15"/>
        </w:rPr>
      </w:pPr>
    </w:p>
    <w:p>
      <w:pPr>
        <w:pStyle w:val="BodyText"/>
        <w:spacing w:line="439" w:lineRule="auto"/>
        <w:ind w:left="564" w:right="6532" w:hanging="10"/>
        <w:jc w:val="left"/>
      </w:pPr>
      <w:r>
        <w:rPr/>
        <w:t>应收账款前五名金额合计：205,891,488.68元。 3.流动风险</w:t>
      </w:r>
    </w:p>
    <w:p>
      <w:pPr>
        <w:pStyle w:val="BodyText"/>
        <w:spacing w:line="316" w:lineRule="auto" w:before="47"/>
        <w:ind w:right="1130" w:firstLine="441"/>
        <w:jc w:val="both"/>
      </w:pPr>
      <w:r>
        <w:rPr/>
        <w:t>流动风险为本集团在到期日无法履行其财务义务的风险。本集团管理流动性风险的方法是确保有足够的资金流动性来 </w:t>
      </w:r>
      <w:r>
        <w:rPr>
          <w:spacing w:val="-2"/>
        </w:rPr>
        <w:t>履行到期债务，而不至于造成不可接受的损失或对企业信誉造成损害。本集团定期分析负债结构和期限，以确保有充裕的资</w:t>
      </w:r>
      <w:r>
        <w:rPr>
          <w:spacing w:val="-63"/>
        </w:rPr>
        <w:t> </w:t>
      </w:r>
      <w:r>
        <w:rPr>
          <w:spacing w:val="-63"/>
        </w:rPr>
      </w:r>
      <w:r>
        <w:rPr>
          <w:spacing w:val="-2"/>
        </w:rPr>
        <w:t>金。本集团管理层对银行借款的使用情况进行监控并确保遵守借款协议。同时与金融机构进行融资磋商，以保持一定的授信</w:t>
      </w:r>
      <w:r>
        <w:rPr>
          <w:spacing w:val="-63"/>
        </w:rPr>
        <w:t> </w:t>
      </w:r>
      <w:r>
        <w:rPr>
          <w:spacing w:val="-63"/>
        </w:rPr>
      </w:r>
      <w:r>
        <w:rPr/>
        <w:t>额度，减低流动性风险。</w:t>
      </w:r>
    </w:p>
    <w:p>
      <w:pPr>
        <w:pStyle w:val="BodyText"/>
        <w:spacing w:line="316" w:lineRule="auto" w:before="139"/>
        <w:ind w:right="1041" w:firstLine="441"/>
        <w:jc w:val="both"/>
      </w:pPr>
      <w:r>
        <w:rPr>
          <w:spacing w:val="-2"/>
        </w:rPr>
        <w:t>本集团将银行借款作为主要资金来源。于2018年12月31日，本集团尚未使用的银行借款额度为人民币186,049.61万元，</w:t>
      </w:r>
      <w:r>
        <w:rPr/>
        <w:t> 均为短期银行借款额度。</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370"/>
      <w:bookmarkEnd w:id="370"/>
      <w:r>
        <w:rPr>
          <w:b w:val="0"/>
          <w:bCs w:val="0"/>
        </w:rPr>
      </w:r>
      <w:r>
        <w:rPr/>
        <w:t>十一、公允价值的披露</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以公允价值计量的资产和负债的期末公允价值" w:id="371"/>
      <w:bookmarkEnd w:id="37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91"/>
        <w:gridCol w:w="1219"/>
        <w:gridCol w:w="1954"/>
        <w:gridCol w:w="1709"/>
        <w:gridCol w:w="1797"/>
      </w:tblGrid>
      <w:tr>
        <w:trPr>
          <w:trHeight w:val="402" w:hRule="exact"/>
        </w:trPr>
        <w:tc>
          <w:tcPr>
            <w:tcW w:w="28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2891"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3" w:right="154"/>
              <w:jc w:val="left"/>
              <w:rPr>
                <w:rFonts w:ascii="宋体" w:hAnsi="宋体" w:cs="宋体" w:eastAsia="宋体" w:hint="default"/>
                <w:sz w:val="18"/>
                <w:szCs w:val="18"/>
              </w:rPr>
            </w:pPr>
            <w:r>
              <w:rPr>
                <w:rFonts w:ascii="宋体" w:hAnsi="宋体" w:cs="宋体" w:eastAsia="宋体" w:hint="default"/>
                <w:sz w:val="18"/>
                <w:szCs w:val="18"/>
              </w:rPr>
              <w:t>第一层次公 允价值计量</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3" w:right="15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69" w:right="128"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219"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84,793,811.08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84,793,811.08</w:t>
            </w:r>
          </w:p>
        </w:tc>
      </w:tr>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219"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84,793,811.08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84,793,811.08</w:t>
            </w:r>
          </w:p>
        </w:tc>
      </w:tr>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19"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855,651.36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855,651.36</w:t>
            </w:r>
          </w:p>
        </w:tc>
      </w:tr>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219"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855,651.36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855,651.36</w:t>
            </w:r>
          </w:p>
        </w:tc>
      </w:tr>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20" w:bottom="1200" w:left="1020" w:right="0"/>
        </w:sectPr>
      </w:pPr>
    </w:p>
    <w:p>
      <w:pPr>
        <w:pStyle w:val="Heading6"/>
        <w:spacing w:line="240" w:lineRule="auto" w:before="43"/>
        <w:ind w:right="0"/>
        <w:jc w:val="left"/>
        <w:rPr>
          <w:b w:val="0"/>
          <w:bCs w:val="0"/>
        </w:rPr>
      </w:pPr>
      <w:bookmarkStart w:name="2、持续和非持续第二层次公允价值计量项目，采用的估值技术和重要参数的定性及定量信" w:id="372"/>
      <w:bookmarkEnd w:id="372"/>
      <w:r>
        <w:rPr>
          <w:b w:val="0"/>
          <w:bCs w:val="0"/>
        </w:rPr>
      </w:r>
      <w:r>
        <w:rPr>
          <w:rFonts w:ascii="Times New Roman" w:hAnsi="Times New Roman" w:cs="Times New Roman" w:eastAsia="Times New Roman" w:hint="default"/>
        </w:rPr>
        <w:t>2</w:t>
      </w:r>
      <w:r>
        <w:rPr/>
        <w:t>、持续和非持续第二层次公允价值计量项目，采用的估值技术和重要参数的定性及定量信息</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441"/>
        <w:jc w:val="left"/>
      </w:pPr>
      <w:r>
        <w:rPr/>
        <w:t>本集团年末衍生金融资产列支的内容为套期工具年末期货持仓保证金及其公允价值变动，其年末公允价值按期货公司 年末账单提供的持仓结算价确定。</w:t>
      </w:r>
    </w:p>
    <w:p>
      <w:pPr>
        <w:pStyle w:val="BodyText"/>
        <w:spacing w:line="316" w:lineRule="auto" w:before="139"/>
        <w:ind w:right="1133" w:firstLine="441"/>
        <w:jc w:val="left"/>
      </w:pPr>
      <w:r>
        <w:rPr/>
        <w:t>本集团年末衍生金融负债列支的内容为远期外汇交易公允价值变动，其年末公允价值按银行提供的年末金融市场业务 市值重估通知书确定。</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373"/>
      <w:bookmarkEnd w:id="373"/>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本企业的母公司情况" w:id="374"/>
      <w:bookmarkEnd w:id="37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855"/>
        <w:gridCol w:w="1173"/>
        <w:gridCol w:w="1227"/>
        <w:gridCol w:w="1122"/>
        <w:gridCol w:w="1594"/>
        <w:gridCol w:w="1595"/>
      </w:tblGrid>
      <w:tr>
        <w:trPr>
          <w:trHeight w:val="634" w:hRule="exact"/>
        </w:trPr>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0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322"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8"/>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9,120.00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25.41%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25.41%</w:t>
            </w:r>
          </w:p>
        </w:tc>
      </w:tr>
      <w:tr>
        <w:trPr>
          <w:trHeight w:val="322"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25.41%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25.41%</w:t>
            </w:r>
          </w:p>
        </w:tc>
      </w:tr>
    </w:tbl>
    <w:p>
      <w:pPr>
        <w:pStyle w:val="BodyText"/>
        <w:spacing w:line="360" w:lineRule="auto" w:before="50"/>
        <w:ind w:left="472" w:right="6074" w:hanging="360"/>
        <w:jc w:val="left"/>
      </w:pPr>
      <w:r>
        <w:rPr/>
        <w:t>本企业的母公司情况的说明 张德生先生为万马联合控股集团有限公司实际控制人。</w:t>
      </w:r>
    </w:p>
    <w:p>
      <w:pPr>
        <w:pStyle w:val="BodyText"/>
        <w:spacing w:line="240" w:lineRule="auto" w:before="25"/>
        <w:ind w:left="472" w:right="0"/>
        <w:jc w:val="left"/>
        <w:rPr>
          <w:rFonts w:ascii="Times New Roman" w:hAnsi="Times New Roman" w:cs="Times New Roman" w:eastAsia="Times New Roman" w:hint="default"/>
        </w:rPr>
      </w:pPr>
      <w:r>
        <w:rPr/>
        <w:t>本公司控股股东浙江万马电气电缆集团有限公司于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日变更公司名称为浙江万马投资集团有限公司</w:t>
      </w:r>
      <w:r>
        <w:rPr>
          <w:spacing w:val="-8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63"/>
        <w:ind w:right="0"/>
        <w:jc w:val="left"/>
      </w:pP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日变更公司名称为浙江万马智能科技集团有限公司。</w:t>
      </w:r>
    </w:p>
    <w:p>
      <w:pPr>
        <w:spacing w:line="240" w:lineRule="auto" w:before="1"/>
        <w:rPr>
          <w:rFonts w:ascii="宋体" w:hAnsi="宋体" w:cs="宋体" w:eastAsia="宋体" w:hint="default"/>
          <w:sz w:val="22"/>
          <w:szCs w:val="22"/>
        </w:rPr>
      </w:pPr>
    </w:p>
    <w:p>
      <w:pPr>
        <w:pStyle w:val="BodyText"/>
        <w:spacing w:line="240" w:lineRule="auto"/>
        <w:ind w:left="611" w:right="0"/>
        <w:jc w:val="left"/>
      </w:pPr>
      <w:r>
        <w:rPr/>
        <w:t>（</w:t>
      </w:r>
      <w:r>
        <w:rPr>
          <w:rFonts w:ascii="Times New Roman" w:hAnsi="Times New Roman" w:cs="Times New Roman" w:eastAsia="Times New Roman" w:hint="default"/>
        </w:rPr>
        <w:t>1</w:t>
      </w:r>
      <w:r>
        <w:rPr/>
        <w:t>）</w:t>
      </w:r>
      <w:r>
        <w:rPr>
          <w:spacing w:val="62"/>
        </w:rPr>
        <w:t> </w:t>
      </w:r>
      <w:r>
        <w:rPr/>
        <w:t>控股股东的注册资本及其变化（单位：万元）</w:t>
      </w:r>
    </w:p>
    <w:p>
      <w:pPr>
        <w:spacing w:line="240" w:lineRule="auto" w:before="5"/>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3083"/>
        <w:gridCol w:w="1410"/>
        <w:gridCol w:w="1410"/>
        <w:gridCol w:w="1410"/>
        <w:gridCol w:w="1410"/>
      </w:tblGrid>
      <w:tr>
        <w:trPr>
          <w:trHeight w:val="407"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6" w:right="0"/>
              <w:jc w:val="left"/>
              <w:rPr>
                <w:rFonts w:ascii="Times New Roman" w:hAnsi="Times New Roman" w:cs="Times New Roman" w:eastAsia="Times New Roman" w:hint="default"/>
                <w:sz w:val="18"/>
                <w:szCs w:val="18"/>
              </w:rPr>
            </w:pPr>
            <w:r>
              <w:rPr>
                <w:rFonts w:ascii="Times New Roman"/>
                <w:sz w:val="18"/>
              </w:rPr>
              <w:t>9,120.00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7" w:right="0"/>
              <w:jc w:val="left"/>
              <w:rPr>
                <w:rFonts w:ascii="Times New Roman" w:hAnsi="Times New Roman" w:cs="Times New Roman" w:eastAsia="Times New Roman" w:hint="default"/>
                <w:sz w:val="18"/>
                <w:szCs w:val="18"/>
              </w:rPr>
            </w:pPr>
            <w:r>
              <w:rPr>
                <w:rFonts w:ascii="Times New Roman"/>
                <w:sz w:val="18"/>
              </w:rPr>
              <w:t>9,120.00</w:t>
            </w:r>
          </w:p>
        </w:tc>
      </w:tr>
    </w:tbl>
    <w:p>
      <w:pPr>
        <w:spacing w:line="240" w:lineRule="auto" w:before="6"/>
        <w:rPr>
          <w:rFonts w:ascii="宋体" w:hAnsi="宋体" w:cs="宋体" w:eastAsia="宋体" w:hint="default"/>
          <w:sz w:val="14"/>
          <w:szCs w:val="14"/>
        </w:rPr>
      </w:pPr>
    </w:p>
    <w:p>
      <w:pPr>
        <w:pStyle w:val="BodyText"/>
        <w:spacing w:line="240" w:lineRule="auto" w:before="44"/>
        <w:ind w:left="611" w:right="0"/>
        <w:jc w:val="left"/>
      </w:pPr>
      <w:r>
        <w:rPr/>
        <w:t>（</w:t>
      </w:r>
      <w:r>
        <w:rPr>
          <w:rFonts w:ascii="Times New Roman" w:hAnsi="Times New Roman" w:cs="Times New Roman" w:eastAsia="Times New Roman" w:hint="default"/>
        </w:rPr>
        <w:t>2</w:t>
      </w:r>
      <w:r>
        <w:rPr/>
        <w:t>）</w:t>
      </w:r>
      <w:r>
        <w:rPr>
          <w:spacing w:val="62"/>
        </w:rPr>
        <w:t> </w:t>
      </w:r>
      <w:r>
        <w:rPr/>
        <w:t>控股股东的所持股份或权益及其变化</w:t>
      </w:r>
    </w:p>
    <w:p>
      <w:pPr>
        <w:spacing w:line="240" w:lineRule="auto" w:before="6"/>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3085"/>
        <w:gridCol w:w="1418"/>
        <w:gridCol w:w="1417"/>
        <w:gridCol w:w="1418"/>
        <w:gridCol w:w="1385"/>
      </w:tblGrid>
      <w:tr>
        <w:trPr>
          <w:trHeight w:val="407"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7" w:hRule="exact"/>
        </w:trPr>
        <w:tc>
          <w:tcPr>
            <w:tcW w:w="3085"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40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4" w:right="0"/>
              <w:jc w:val="left"/>
              <w:rPr>
                <w:rFonts w:ascii="Times New Roman" w:hAnsi="Times New Roman" w:cs="Times New Roman" w:eastAsia="Times New Roman" w:hint="default"/>
                <w:sz w:val="18"/>
                <w:szCs w:val="18"/>
              </w:rPr>
            </w:pPr>
            <w:r>
              <w:rPr>
                <w:rFonts w:ascii="Times New Roman"/>
                <w:sz w:val="18"/>
              </w:rPr>
              <w:t>26,314.18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5" w:right="0"/>
              <w:jc w:val="left"/>
              <w:rPr>
                <w:rFonts w:ascii="Times New Roman" w:hAnsi="Times New Roman" w:cs="Times New Roman" w:eastAsia="Times New Roman" w:hint="default"/>
                <w:sz w:val="18"/>
                <w:szCs w:val="18"/>
              </w:rPr>
            </w:pPr>
            <w:r>
              <w:rPr>
                <w:rFonts w:ascii="Times New Roman"/>
                <w:sz w:val="18"/>
              </w:rPr>
              <w:t>31,491.63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0" w:right="0"/>
              <w:jc w:val="left"/>
              <w:rPr>
                <w:rFonts w:ascii="Times New Roman" w:hAnsi="Times New Roman" w:cs="Times New Roman" w:eastAsia="Times New Roman" w:hint="default"/>
                <w:sz w:val="18"/>
                <w:szCs w:val="18"/>
              </w:rPr>
            </w:pPr>
            <w:r>
              <w:rPr>
                <w:rFonts w:ascii="Times New Roman"/>
                <w:sz w:val="18"/>
              </w:rPr>
              <w:t>25.41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7" w:right="0"/>
              <w:jc w:val="left"/>
              <w:rPr>
                <w:rFonts w:ascii="Times New Roman" w:hAnsi="Times New Roman" w:cs="Times New Roman" w:eastAsia="Times New Roman" w:hint="default"/>
                <w:sz w:val="18"/>
                <w:szCs w:val="18"/>
              </w:rPr>
            </w:pPr>
            <w:r>
              <w:rPr>
                <w:rFonts w:ascii="Times New Roman"/>
                <w:sz w:val="18"/>
              </w:rPr>
              <w:t>30.41</w:t>
            </w:r>
          </w:p>
        </w:tc>
      </w:tr>
    </w:tbl>
    <w:p>
      <w:pPr>
        <w:pStyle w:val="BodyText"/>
        <w:spacing w:line="240" w:lineRule="auto" w:before="49"/>
        <w:ind w:left="472" w:right="0"/>
        <w:jc w:val="left"/>
      </w:pPr>
      <w:r>
        <w:rPr/>
        <w:t>本企业最终控制方是万马联合控股集团有限公司。</w:t>
      </w:r>
    </w:p>
    <w:p>
      <w:pPr>
        <w:spacing w:line="240" w:lineRule="auto" w:before="0"/>
        <w:rPr>
          <w:rFonts w:ascii="宋体" w:hAnsi="宋体" w:cs="宋体" w:eastAsia="宋体" w:hint="default"/>
          <w:sz w:val="18"/>
          <w:szCs w:val="18"/>
        </w:rPr>
      </w:pPr>
    </w:p>
    <w:p>
      <w:pPr>
        <w:spacing w:line="547" w:lineRule="auto" w:before="118"/>
        <w:ind w:left="112" w:right="4634" w:firstLine="0"/>
        <w:jc w:val="left"/>
        <w:rPr>
          <w:rFonts w:ascii="宋体" w:hAnsi="宋体" w:cs="宋体" w:eastAsia="宋体" w:hint="default"/>
          <w:sz w:val="21"/>
          <w:szCs w:val="21"/>
        </w:rPr>
      </w:pPr>
      <w:bookmarkStart w:name="2、本企业的子公司情况" w:id="375"/>
      <w:bookmarkEnd w:id="3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）企业集团的构成”相关内容。 </w:t>
      </w:r>
      <w:bookmarkStart w:name="3、本企业合营和联营企业情况"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9"/>
        <w:ind w:right="2294"/>
        <w:jc w:val="left"/>
      </w:pPr>
      <w:r>
        <w:rPr/>
        <w:t>本企业重要的合营或联营企业详见附注“九、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）重要的合营企业或联营企业”相关内容。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890" w:footer="1012" w:top="1420" w:bottom="1200" w:left="1020" w:right="0"/>
        </w:sectPr>
      </w:pPr>
    </w:p>
    <w:p>
      <w:pPr>
        <w:spacing w:line="240" w:lineRule="auto" w:before="13"/>
        <w:rPr>
          <w:rFonts w:ascii="宋体" w:hAnsi="宋体" w:cs="宋体" w:eastAsia="宋体" w:hint="default"/>
          <w:sz w:val="3"/>
          <w:szCs w:val="3"/>
        </w:rPr>
      </w:pPr>
    </w:p>
    <w:p>
      <w:pPr>
        <w:spacing w:line="336"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850pt;mso-position-horizontal-relative:char;mso-position-vertical-relative:line" coordorigin="0,0" coordsize="9588,337">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2;width:9578;height:2" coordorigin="5,332" coordsize="9578,2">
              <v:shape style="position:absolute;left:5;top:332;width:9578;height:2" coordorigin="5,332" coordsize="9578,0" path="m5,332l9582,332e" filled="false" stroked="true" strokeweight=".48pt" strokecolor="#000000">
                <v:path arrowok="t"/>
              </v:shape>
            </v:group>
            <v:group style="position:absolute;left:10;top:5;width:2;height:322" coordorigin="10,5" coordsize="2,322">
              <v:shape style="position:absolute;left:10;top:5;width:2;height:322" coordorigin="10,5" coordsize="0,322" path="m10,5l10,327e" filled="false" stroked="true" strokeweight=".48pt" strokecolor="#000000">
                <v:path arrowok="t"/>
              </v:shape>
            </v:group>
            <v:group style="position:absolute;left:4792;top:5;width:2;height:322" coordorigin="4792,5" coordsize="2,322">
              <v:shape style="position:absolute;left:4792;top:5;width:2;height:322" coordorigin="4792,5" coordsize="0,322" path="m4792,5l4792,327e" filled="false" stroked="true" strokeweight=".48pt" strokecolor="#000000">
                <v:path arrowok="t"/>
              </v:shape>
            </v:group>
            <v:group style="position:absolute;left:9578;top:5;width:2;height:322" coordorigin="9578,5" coordsize="2,322">
              <v:shape style="position:absolute;left:9578;top:5;width:2;height:322" coordorigin="9578,5" coordsize="0,322" path="m9578,5l9578,327e" filled="false" stroked="true" strokeweight=".48pt" strokecolor="#000000">
                <v:path arrowok="t"/>
              </v:shape>
              <v:shape style="position:absolute;left:10;top:10;width:4782;height:322" type="#_x0000_t202" filled="false" stroked="false">
                <v:textbox inset="0,0,0,0">
                  <w:txbxContent>
                    <w:p>
                      <w:pPr>
                        <w:spacing w:before="16"/>
                        <w:ind w:left="106" w:right="0" w:firstLine="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xbxContent>
                </v:textbox>
                <w10:wrap type="none"/>
              </v:shape>
              <v:shape style="position:absolute;left:4792;top:10;width:4786;height:322" type="#_x0000_t202" filled="false" stroked="false">
                <v:textbox inset="0,0,0,0">
                  <w:txbxContent>
                    <w:p>
                      <w:pPr>
                        <w:spacing w:before="16"/>
                        <w:ind w:left="107" w:right="0" w:firstLine="0"/>
                        <w:jc w:val="left"/>
                        <w:rPr>
                          <w:rFonts w:ascii="宋体" w:hAnsi="宋体" w:cs="宋体" w:eastAsia="宋体" w:hint="default"/>
                          <w:sz w:val="18"/>
                          <w:szCs w:val="18"/>
                        </w:rPr>
                      </w:pPr>
                      <w:r>
                        <w:rPr>
                          <w:rFonts w:ascii="宋体" w:hAnsi="宋体" w:cs="宋体" w:eastAsia="宋体" w:hint="default"/>
                          <w:sz w:val="18"/>
                          <w:szCs w:val="18"/>
                        </w:rPr>
                        <w:t>合营企业</w:t>
                      </w:r>
                    </w:p>
                  </w:txbxContent>
                </v:textbox>
                <w10:wrap type="none"/>
              </v:shape>
            </v:group>
          </v:group>
        </w:pict>
      </w:r>
      <w:r>
        <w:rPr>
          <w:rFonts w:ascii="宋体" w:hAnsi="宋体" w:cs="宋体" w:eastAsia="宋体" w:hint="default"/>
          <w:position w:val="-6"/>
          <w:sz w:val="20"/>
          <w:szCs w:val="20"/>
        </w:rPr>
      </w:r>
    </w:p>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其他关联方情况" w:id="377"/>
      <w:bookmarkEnd w:id="37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万马科技股份有限公司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浙江天屹信息房地产开发有限公司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浙江万马房地产集团有限公司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万马融资租赁（上海）有限公司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临安万马雨顺农业科技开发有限公司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浙江圣豪房地产开发有限公司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无锡会通轻质材料股份有限公司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杭州临安万马网络技术有限公司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同一控股股东及最终控制方控制的其他企业</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5、关联交易情况" w:id="378"/>
      <w:bookmarkEnd w:id="37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购销商品、提供和接受劳务的关联交易" w:id="379"/>
      <w:bookmarkEnd w:id="37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91"/>
        <w:gridCol w:w="1210"/>
        <w:gridCol w:w="1618"/>
        <w:gridCol w:w="1045"/>
        <w:gridCol w:w="998"/>
        <w:gridCol w:w="1707"/>
      </w:tblGrid>
      <w:tr>
        <w:trPr>
          <w:trHeight w:val="634" w:hRule="exact"/>
        </w:trPr>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09" w:right="149"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7" w:right="155" w:hanging="89"/>
              <w:jc w:val="left"/>
              <w:rPr>
                <w:rFonts w:ascii="宋体" w:hAnsi="宋体" w:cs="宋体" w:eastAsia="宋体" w:hint="default"/>
                <w:sz w:val="18"/>
                <w:szCs w:val="18"/>
              </w:rPr>
            </w:pPr>
            <w:r>
              <w:rPr>
                <w:rFonts w:ascii="宋体" w:hAnsi="宋体" w:cs="宋体" w:eastAsia="宋体" w:hint="default"/>
                <w:sz w:val="18"/>
                <w:szCs w:val="18"/>
              </w:rPr>
              <w:t>获批的交 易额度</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33" w:right="133"/>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万马科技股份有限公司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444,739.17</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571,834.18</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184,438.98</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763,084.44</w:t>
            </w:r>
          </w:p>
        </w:tc>
      </w:tr>
      <w:tr>
        <w:trPr>
          <w:trHeight w:val="33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1"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84,084.62</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148,990.59</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168,103.45</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3,240,000.00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9,030,160.00</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518,577.59</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120,715.17</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886,801.92</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560,878.26</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1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69,920.00</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5,526,745.73</w:t>
            </w:r>
          </w:p>
        </w:tc>
        <w:tc>
          <w:tcPr>
            <w:tcW w:w="10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11,265,582.64</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10"/>
        <w:gridCol w:w="1918"/>
        <w:gridCol w:w="1987"/>
        <w:gridCol w:w="2653"/>
      </w:tblGrid>
      <w:tr>
        <w:trPr>
          <w:trHeight w:val="322" w:hRule="exact"/>
        </w:trPr>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1,650,080.67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2,698,714.44</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4,513.79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15,531.73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44,511.11</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11,577.38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5,324.37</w:t>
            </w:r>
          </w:p>
        </w:tc>
      </w:tr>
      <w:tr>
        <w:trPr>
          <w:trHeight w:val="320"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无锡会通轻质材料股份有限公司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61,482.12</w:t>
            </w:r>
          </w:p>
        </w:tc>
        <w:tc>
          <w:tcPr>
            <w:tcW w:w="2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010"/>
        <w:gridCol w:w="1918"/>
        <w:gridCol w:w="1987"/>
        <w:gridCol w:w="2653"/>
      </w:tblGrid>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万马融资租赁（上海）有限公司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184.62</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948.28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1,744,133.97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2,748,734.54</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2）关联租赁情况" w:id="380"/>
      <w:bookmarkEnd w:id="380"/>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10"/>
        <w:gridCol w:w="1872"/>
        <w:gridCol w:w="2393"/>
        <w:gridCol w:w="2393"/>
      </w:tblGrid>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409,909.54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1" w:right="0"/>
              <w:jc w:val="left"/>
              <w:rPr>
                <w:rFonts w:ascii="Times New Roman" w:hAnsi="Times New Roman" w:cs="Times New Roman" w:eastAsia="Times New Roman" w:hint="default"/>
                <w:sz w:val="18"/>
                <w:szCs w:val="18"/>
              </w:rPr>
            </w:pPr>
            <w:r>
              <w:rPr>
                <w:rFonts w:ascii="Times New Roman"/>
                <w:sz w:val="18"/>
              </w:rPr>
              <w:t>147,768.38</w:t>
            </w: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无锡会通轻质材料股份有限公司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01"/>
        <w:gridCol w:w="1883"/>
        <w:gridCol w:w="2392"/>
        <w:gridCol w:w="2392"/>
      </w:tblGrid>
      <w:tr>
        <w:trPr>
          <w:trHeight w:val="402" w:hRule="exact"/>
        </w:trPr>
        <w:tc>
          <w:tcPr>
            <w:tcW w:w="2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100,381.82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69,920.00</w:t>
            </w:r>
          </w:p>
        </w:tc>
      </w:tr>
      <w:tr>
        <w:trPr>
          <w:trHeight w:val="402" w:hRule="exact"/>
        </w:trPr>
        <w:tc>
          <w:tcPr>
            <w:tcW w:w="2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杭州临安万马网络技术有限公司</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spacing w:val="-1"/>
                <w:sz w:val="18"/>
              </w:rPr>
              <w:t>186,198.62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
              <w:jc w:val="right"/>
              <w:rPr>
                <w:rFonts w:ascii="宋体" w:hAnsi="宋体" w:cs="宋体" w:eastAsia="宋体" w:hint="default"/>
                <w:sz w:val="18"/>
                <w:szCs w:val="18"/>
              </w:rPr>
            </w:pPr>
            <w:r>
              <w:rPr>
                <w:rFonts w:ascii="宋体"/>
                <w:spacing w:val="-1"/>
                <w:sz w:val="18"/>
              </w:rPr>
              <w:t>186,198.62</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关联担保情况" w:id="381"/>
      <w:bookmarkEnd w:id="38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本公司作为担保方</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37"/>
        <w:gridCol w:w="1382"/>
        <w:gridCol w:w="1909"/>
        <w:gridCol w:w="2009"/>
        <w:gridCol w:w="1133"/>
      </w:tblGrid>
      <w:tr>
        <w:trPr>
          <w:trHeight w:val="714" w:hRule="exact"/>
        </w:trPr>
        <w:tc>
          <w:tcPr>
            <w:tcW w:w="3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6" w:right="145" w:hanging="92"/>
              <w:jc w:val="left"/>
              <w:rPr>
                <w:rFonts w:ascii="宋体" w:hAnsi="宋体" w:cs="宋体" w:eastAsia="宋体" w:hint="default"/>
                <w:sz w:val="18"/>
                <w:szCs w:val="18"/>
              </w:rPr>
            </w:pPr>
            <w:r>
              <w:rPr>
                <w:rFonts w:ascii="宋体" w:hAnsi="宋体" w:cs="宋体" w:eastAsia="宋体" w:hint="default"/>
                <w:sz w:val="18"/>
                <w:szCs w:val="18"/>
              </w:rPr>
              <w:t>担保金额（单 位：万元）</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本公司作为被担保方</w:t>
      </w:r>
    </w:p>
    <w:p>
      <w:pPr>
        <w:spacing w:after="0" w:line="240" w:lineRule="auto"/>
        <w:jc w:val="left"/>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784"/>
        <w:gridCol w:w="1044"/>
        <w:gridCol w:w="1914"/>
        <w:gridCol w:w="1807"/>
        <w:gridCol w:w="2021"/>
      </w:tblGrid>
      <w:tr>
        <w:trPr>
          <w:trHeight w:val="1026" w:hRule="exact"/>
        </w:trPr>
        <w:tc>
          <w:tcPr>
            <w:tcW w:w="2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center"/>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pacing w:val="-15"/>
                <w:sz w:val="18"/>
                <w:szCs w:val="18"/>
              </w:rPr>
              <w:t>（单位：万</w:t>
            </w:r>
          </w:p>
          <w:p>
            <w:pPr>
              <w:pStyle w:val="TableParagraph"/>
              <w:spacing w:line="240" w:lineRule="auto" w:before="76"/>
              <w:ind w:left="56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张德生、陆珍玉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张德生、陆珍玉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张德生、陆珍玉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张德生、陆珍玉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5）关联方资产转让、债务重组情况" w:id="382"/>
      <w:bookmarkEnd w:id="382"/>
      <w:r>
        <w:rPr>
          <w:b w:val="0"/>
          <w:bCs w:val="0"/>
        </w:rPr>
      </w: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12"/>
        <w:gridCol w:w="2041"/>
        <w:gridCol w:w="2275"/>
        <w:gridCol w:w="1940"/>
      </w:tblGrid>
      <w:tr>
        <w:trPr>
          <w:trHeight w:val="322"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受让运输设备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213,675.21</w:t>
            </w: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办公设备转让</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150,869.75</w:t>
            </w: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办公设备转让</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1,617.97</w:t>
            </w: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75"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7,644,393.16</w:t>
            </w:r>
          </w:p>
        </w:tc>
      </w:tr>
      <w:tr>
        <w:trPr>
          <w:trHeight w:val="322"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浙江万马海立斯新能源科技有限公司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充电桩转让</w:t>
            </w:r>
          </w:p>
        </w:tc>
        <w:tc>
          <w:tcPr>
            <w:tcW w:w="2275"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223,568.55</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6）关键管理人员报酬" w:id="383"/>
      <w:bookmarkEnd w:id="383"/>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3,529,800.00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4,652,270.00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6、关联方应收应付款项" w:id="384"/>
      <w:bookmarkEnd w:id="38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项目" w:id="385"/>
      <w:bookmarkEnd w:id="38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212"/>
        <w:gridCol w:w="2916"/>
        <w:gridCol w:w="1150"/>
        <w:gridCol w:w="1100"/>
        <w:gridCol w:w="1594"/>
        <w:gridCol w:w="1594"/>
      </w:tblGrid>
      <w:tr>
        <w:trPr>
          <w:trHeight w:val="32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2916" w:type="dxa"/>
            <w:vMerge/>
            <w:tcBorders>
              <w:left w:val="single" w:sz="4" w:space="0" w:color="000000"/>
              <w:bottom w:val="single" w:sz="4" w:space="0" w:color="000000"/>
              <w:right w:val="single" w:sz="4" w:space="0" w:color="000000"/>
            </w:tcBorders>
            <w:shd w:val="clear" w:color="auto" w:fill="D2D2D2"/>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浙江圣豪房地产开发有限公司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166,028.00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583,126.12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177,940.00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浙江天屹信息房地产开发有限公司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42,826.00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3,790.90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浙江万马房地产集团有限公司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10,495.20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29,834.00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无锡会通轻质材料股份有限公司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6" w:right="0"/>
              <w:jc w:val="left"/>
              <w:rPr>
                <w:rFonts w:ascii="Times New Roman" w:hAnsi="Times New Roman" w:cs="Times New Roman" w:eastAsia="Times New Roman" w:hint="default"/>
                <w:sz w:val="18"/>
                <w:szCs w:val="18"/>
              </w:rPr>
            </w:pPr>
            <w:r>
              <w:rPr>
                <w:rFonts w:ascii="Times New Roman"/>
                <w:sz w:val="18"/>
              </w:rPr>
              <w:t>146,853.29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412,183.23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442,518.12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应付项目" w:id="386"/>
      <w:bookmarkEnd w:id="38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2"/>
        <w:gridCol w:w="3522"/>
        <w:gridCol w:w="2392"/>
        <w:gridCol w:w="2392"/>
      </w:tblGrid>
      <w:tr>
        <w:trPr>
          <w:trHeight w:val="322"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584,467.52</w:t>
            </w: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60,027.20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1,131,082.89</w:t>
            </w: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8,400.00</w:t>
            </w: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501,120.00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3,426,596.70</w:t>
            </w: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临安万马雨顺农业科技开发有限公司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4,296.00</w:t>
            </w:r>
          </w:p>
        </w:tc>
      </w:tr>
    </w:tbl>
    <w:p>
      <w:pPr>
        <w:spacing w:line="240" w:lineRule="auto" w:before="13"/>
        <w:rPr>
          <w:rFonts w:ascii="宋体" w:hAnsi="宋体" w:cs="宋体" w:eastAsia="宋体" w:hint="default"/>
          <w:sz w:val="18"/>
          <w:szCs w:val="18"/>
        </w:rPr>
      </w:pPr>
    </w:p>
    <w:p>
      <w:pPr>
        <w:pStyle w:val="Heading2"/>
        <w:spacing w:line="240" w:lineRule="auto" w:before="26"/>
        <w:ind w:right="0"/>
        <w:jc w:val="left"/>
        <w:rPr>
          <w:b w:val="0"/>
          <w:bCs w:val="0"/>
        </w:rPr>
      </w:pPr>
      <w:bookmarkStart w:name="十三、股份支付" w:id="387"/>
      <w:bookmarkEnd w:id="387"/>
      <w:r>
        <w:rPr>
          <w:b w:val="0"/>
          <w:bCs w:val="0"/>
        </w:rPr>
      </w:r>
      <w:r>
        <w:rPr/>
        <w:t>十三、股份支付</w:t>
      </w:r>
      <w:r>
        <w:rPr>
          <w:b w:val="0"/>
          <w:bCs w:val="0"/>
        </w:rPr>
      </w:r>
    </w:p>
    <w:p>
      <w:pPr>
        <w:spacing w:line="240" w:lineRule="auto" w:before="7"/>
        <w:rPr>
          <w:rFonts w:ascii="宋体" w:hAnsi="宋体" w:cs="宋体" w:eastAsia="宋体" w:hint="default"/>
          <w:b/>
          <w:bCs/>
          <w:sz w:val="31"/>
          <w:szCs w:val="31"/>
        </w:rPr>
      </w:pPr>
    </w:p>
    <w:p>
      <w:pPr>
        <w:pStyle w:val="Heading6"/>
        <w:spacing w:line="240" w:lineRule="auto"/>
        <w:ind w:right="0"/>
        <w:jc w:val="left"/>
        <w:rPr>
          <w:b w:val="0"/>
          <w:bCs w:val="0"/>
        </w:rPr>
      </w:pPr>
      <w:bookmarkStart w:name="1、股份支付总体情况" w:id="388"/>
      <w:bookmarkEnd w:id="38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0"/>
        <w:jc w:val="left"/>
      </w:pPr>
      <w:r>
        <w:rPr/>
        <w:t>□ 适用 √ 不适用</w:t>
      </w:r>
    </w:p>
    <w:p>
      <w:pPr>
        <w:spacing w:line="240" w:lineRule="auto" w:before="11"/>
        <w:rPr>
          <w:rFonts w:ascii="宋体" w:hAnsi="宋体" w:cs="宋体" w:eastAsia="宋体" w:hint="default"/>
          <w:sz w:val="15"/>
          <w:szCs w:val="15"/>
        </w:rPr>
      </w:pPr>
    </w:p>
    <w:p>
      <w:pPr>
        <w:pStyle w:val="Heading6"/>
        <w:spacing w:line="240" w:lineRule="auto"/>
        <w:ind w:right="0"/>
        <w:jc w:val="left"/>
        <w:rPr>
          <w:b w:val="0"/>
          <w:bCs w:val="0"/>
        </w:rPr>
      </w:pPr>
      <w:bookmarkStart w:name="2、以权益结算的股份支付情况" w:id="389"/>
      <w:bookmarkEnd w:id="38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0"/>
        <w:jc w:val="left"/>
      </w:pPr>
      <w:r>
        <w:rPr/>
        <w:t>□ 适用 √ 不适用</w:t>
      </w:r>
    </w:p>
    <w:p>
      <w:pPr>
        <w:spacing w:line="240" w:lineRule="auto" w:before="11"/>
        <w:rPr>
          <w:rFonts w:ascii="宋体" w:hAnsi="宋体" w:cs="宋体" w:eastAsia="宋体" w:hint="default"/>
          <w:sz w:val="15"/>
          <w:szCs w:val="15"/>
        </w:rPr>
      </w:pPr>
    </w:p>
    <w:p>
      <w:pPr>
        <w:pStyle w:val="Heading6"/>
        <w:spacing w:line="240" w:lineRule="auto"/>
        <w:ind w:right="0"/>
        <w:jc w:val="left"/>
        <w:rPr>
          <w:b w:val="0"/>
          <w:bCs w:val="0"/>
        </w:rPr>
      </w:pPr>
      <w:bookmarkStart w:name="3、以现金结算的股份支付情况" w:id="390"/>
      <w:bookmarkEnd w:id="390"/>
      <w:r>
        <w:rPr>
          <w:b w:val="0"/>
          <w:bCs w:val="0"/>
        </w:rPr>
      </w:r>
      <w:r>
        <w:rPr>
          <w:rFonts w:ascii="Times New Roman" w:hAnsi="Times New Roman" w:cs="Times New Roman" w:eastAsia="Times New Roman" w:hint="default"/>
        </w:rPr>
        <w:t>3</w:t>
      </w:r>
      <w:r>
        <w:rPr/>
        <w:t>、以现金结算的股份支付情况</w:t>
      </w:r>
      <w:r>
        <w:rPr>
          <w:b w:val="0"/>
          <w:bCs w:val="0"/>
        </w:rPr>
      </w:r>
    </w:p>
    <w:p>
      <w:pPr>
        <w:pStyle w:val="BodyText"/>
        <w:spacing w:line="240" w:lineRule="auto" w:before="164"/>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承诺及或有事项" w:id="391"/>
      <w:bookmarkEnd w:id="391"/>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重要承诺事项" w:id="392"/>
      <w:bookmarkEnd w:id="39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90" w:footer="1012" w:top="1420" w:bottom="1200" w:left="1020" w:right="0"/>
        </w:sectPr>
      </w:pPr>
    </w:p>
    <w:p>
      <w:pPr>
        <w:pStyle w:val="BodyText"/>
        <w:spacing w:line="240" w:lineRule="auto" w:before="44"/>
        <w:ind w:right="-13"/>
        <w:jc w:val="left"/>
      </w:pPr>
      <w:r>
        <w:rPr/>
        <w:t>资产负债表日存在的重要承诺</w:t>
      </w:r>
    </w:p>
    <w:p>
      <w:pPr>
        <w:pStyle w:val="BodyText"/>
        <w:spacing w:line="240" w:lineRule="auto" w:before="76"/>
        <w:ind w:right="-13"/>
        <w:jc w:val="left"/>
      </w:pPr>
      <w:r>
        <w:rPr/>
        <w:t>截止</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日，本集团已承诺出资及尚待出资情况如下：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金额单位：万元</w:t>
      </w:r>
    </w:p>
    <w:p>
      <w:pPr>
        <w:spacing w:after="0" w:line="240" w:lineRule="auto"/>
        <w:jc w:val="left"/>
        <w:sectPr>
          <w:type w:val="continuous"/>
          <w:pgSz w:w="11910" w:h="16840"/>
          <w:pgMar w:top="660" w:bottom="700" w:left="1020" w:right="0"/>
          <w:cols w:num="2" w:equalWidth="0">
            <w:col w:w="5425" w:space="2954"/>
            <w:col w:w="2511"/>
          </w:cols>
        </w:sectPr>
      </w:pPr>
    </w:p>
    <w:tbl>
      <w:tblPr>
        <w:tblW w:w="0" w:type="auto"/>
        <w:jc w:val="left"/>
        <w:tblInd w:w="107" w:type="dxa"/>
        <w:tblLayout w:type="fixed"/>
        <w:tblCellMar>
          <w:top w:w="0" w:type="dxa"/>
          <w:left w:w="0" w:type="dxa"/>
          <w:bottom w:w="0" w:type="dxa"/>
          <w:right w:w="0" w:type="dxa"/>
        </w:tblCellMar>
        <w:tblLook w:val="01E0"/>
      </w:tblPr>
      <w:tblGrid>
        <w:gridCol w:w="3660"/>
        <w:gridCol w:w="1233"/>
        <w:gridCol w:w="924"/>
        <w:gridCol w:w="1222"/>
        <w:gridCol w:w="1222"/>
        <w:gridCol w:w="1376"/>
      </w:tblGrid>
      <w:tr>
        <w:trPr>
          <w:trHeight w:val="671" w:hRule="exact"/>
        </w:trPr>
        <w:tc>
          <w:tcPr>
            <w:tcW w:w="366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1"/>
              <w:ind w:left="25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924"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21"/>
              <w:ind w:left="276" w:right="275"/>
              <w:jc w:val="left"/>
              <w:rPr>
                <w:rFonts w:ascii="宋体" w:hAnsi="宋体" w:cs="宋体" w:eastAsia="宋体" w:hint="default"/>
                <w:sz w:val="18"/>
                <w:szCs w:val="18"/>
              </w:rPr>
            </w:pPr>
            <w:r>
              <w:rPr>
                <w:rFonts w:ascii="宋体" w:hAnsi="宋体" w:cs="宋体" w:eastAsia="宋体" w:hint="default"/>
                <w:b/>
                <w:bCs/>
                <w:sz w:val="18"/>
                <w:szCs w:val="18"/>
              </w:rPr>
              <w:t>认缴</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22"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21"/>
              <w:ind w:left="425" w:right="242" w:hanging="180"/>
              <w:jc w:val="left"/>
              <w:rPr>
                <w:rFonts w:ascii="宋体" w:hAnsi="宋体" w:cs="宋体" w:eastAsia="宋体" w:hint="default"/>
                <w:sz w:val="18"/>
                <w:szCs w:val="18"/>
              </w:rPr>
            </w:pPr>
            <w:r>
              <w:rPr>
                <w:rFonts w:ascii="宋体" w:hAnsi="宋体" w:cs="宋体" w:eastAsia="宋体" w:hint="default"/>
                <w:b/>
                <w:bCs/>
                <w:sz w:val="18"/>
                <w:szCs w:val="18"/>
              </w:rPr>
              <w:t>承诺出资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b/>
                <w:bCs/>
                <w:sz w:val="18"/>
                <w:szCs w:val="18"/>
              </w:rPr>
              <w:t>已缴金额</w:t>
            </w:r>
            <w:r>
              <w:rPr>
                <w:rFonts w:ascii="宋体" w:hAnsi="宋体" w:cs="宋体" w:eastAsia="宋体" w:hint="default"/>
                <w:sz w:val="18"/>
                <w:szCs w:val="18"/>
              </w:rPr>
            </w:r>
          </w:p>
        </w:tc>
        <w:tc>
          <w:tcPr>
            <w:tcW w:w="1376" w:type="dxa"/>
            <w:tcBorders>
              <w:top w:val="single" w:sz="6" w:space="0" w:color="000000"/>
              <w:left w:val="single" w:sz="4" w:space="0" w:color="000000"/>
              <w:bottom w:val="single" w:sz="4" w:space="0" w:color="000000"/>
              <w:right w:val="single" w:sz="6" w:space="0" w:color="000000"/>
            </w:tcBorders>
          </w:tcPr>
          <w:p>
            <w:pPr>
              <w:pStyle w:val="TableParagraph"/>
              <w:spacing w:line="316" w:lineRule="auto" w:before="21"/>
              <w:ind w:left="503" w:right="315" w:hanging="180"/>
              <w:jc w:val="left"/>
              <w:rPr>
                <w:rFonts w:ascii="宋体" w:hAnsi="宋体" w:cs="宋体" w:eastAsia="宋体" w:hint="default"/>
                <w:sz w:val="18"/>
                <w:szCs w:val="18"/>
              </w:rPr>
            </w:pPr>
            <w:r>
              <w:rPr>
                <w:rFonts w:ascii="宋体" w:hAnsi="宋体" w:cs="宋体" w:eastAsia="宋体" w:hint="default"/>
                <w:b/>
                <w:bCs/>
                <w:sz w:val="18"/>
                <w:szCs w:val="18"/>
              </w:rPr>
              <w:t>尚待出资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清远万马新材料有限公司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2,000.00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2,000.00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88"/>
              <w:jc w:val="right"/>
              <w:rPr>
                <w:rFonts w:ascii="宋体" w:hAnsi="宋体" w:cs="宋体" w:eastAsia="宋体" w:hint="default"/>
                <w:sz w:val="18"/>
                <w:szCs w:val="18"/>
              </w:rPr>
            </w:pPr>
            <w:r>
              <w:rPr>
                <w:rFonts w:ascii="宋体"/>
                <w:spacing w:val="-1"/>
                <w:sz w:val="18"/>
              </w:rPr>
              <w:t>2,000.00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宋体" w:hAnsi="宋体" w:cs="宋体" w:eastAsia="宋体" w:hint="default"/>
                <w:sz w:val="18"/>
                <w:szCs w:val="18"/>
              </w:rPr>
            </w:pPr>
            <w:r>
              <w:rPr>
                <w:rFonts w:ascii="宋体"/>
                <w:spacing w:val="-1"/>
                <w:sz w:val="18"/>
              </w:rPr>
              <w:t>30,000.00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3,000.00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91"/>
              <w:jc w:val="right"/>
              <w:rPr>
                <w:rFonts w:ascii="宋体" w:hAnsi="宋体" w:cs="宋体" w:eastAsia="宋体" w:hint="default"/>
                <w:sz w:val="18"/>
                <w:szCs w:val="18"/>
              </w:rPr>
            </w:pPr>
            <w:r>
              <w:rPr>
                <w:rFonts w:ascii="宋体"/>
                <w:spacing w:val="-1"/>
                <w:sz w:val="18"/>
              </w:rPr>
              <w:t>27,000.00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宋体" w:hAnsi="宋体" w:cs="宋体" w:eastAsia="宋体" w:hint="default"/>
                <w:sz w:val="18"/>
                <w:szCs w:val="18"/>
              </w:rPr>
            </w:pPr>
            <w:r>
              <w:rPr>
                <w:rFonts w:ascii="宋体"/>
                <w:spacing w:val="-1"/>
                <w:sz w:val="18"/>
              </w:rPr>
              <w:t>21,000.00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21,000.00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16,000.00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5,000.00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浙江万马家装有限公司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3,000.00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3,000.00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2,000.00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1,000.00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浙江万马奔腾产业新能源有限公司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宋体" w:hAnsi="宋体" w:cs="宋体" w:eastAsia="宋体" w:hint="default"/>
                <w:sz w:val="18"/>
                <w:szCs w:val="18"/>
              </w:rPr>
            </w:pPr>
            <w:r>
              <w:rPr>
                <w:rFonts w:ascii="宋体"/>
                <w:spacing w:val="-1"/>
                <w:sz w:val="18"/>
              </w:rPr>
              <w:t>50,000.00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50,000.00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18,650.96</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pacing w:val="-1"/>
                <w:sz w:val="18"/>
              </w:rPr>
              <w:t>31,349.04</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宋体" w:hAnsi="宋体" w:cs="宋体" w:eastAsia="宋体" w:hint="default"/>
                <w:sz w:val="18"/>
                <w:szCs w:val="18"/>
              </w:rPr>
            </w:pPr>
            <w:r>
              <w:rPr>
                <w:rFonts w:ascii="宋体"/>
                <w:spacing w:val="-1"/>
                <w:sz w:val="18"/>
              </w:rPr>
              <w:t>10,000.00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10,000.00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200.96</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9,799.04</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5,500.00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宋体" w:hAnsi="宋体" w:cs="宋体" w:eastAsia="宋体" w:hint="default"/>
                <w:sz w:val="18"/>
                <w:szCs w:val="18"/>
              </w:rPr>
            </w:pPr>
            <w:r>
              <w:rPr>
                <w:rFonts w:ascii="宋体"/>
                <w:spacing w:val="-1"/>
                <w:sz w:val="18"/>
              </w:rPr>
              <w:t>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1,705.00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1,334.72</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370.28</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4,000.00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4"/>
              <w:jc w:val="right"/>
              <w:rPr>
                <w:rFonts w:ascii="宋体" w:hAnsi="宋体" w:cs="宋体" w:eastAsia="宋体" w:hint="default"/>
                <w:sz w:val="18"/>
                <w:szCs w:val="18"/>
              </w:rPr>
            </w:pPr>
            <w:r>
              <w:rPr>
                <w:rFonts w:ascii="宋体"/>
                <w:spacing w:val="-1"/>
                <w:sz w:val="18"/>
              </w:rPr>
              <w:t>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1,600.00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2"/>
              <w:ind w:right="88"/>
              <w:jc w:val="right"/>
              <w:rPr>
                <w:rFonts w:ascii="宋体" w:hAnsi="宋体" w:cs="宋体" w:eastAsia="宋体" w:hint="default"/>
                <w:sz w:val="18"/>
                <w:szCs w:val="18"/>
              </w:rPr>
            </w:pPr>
            <w:r>
              <w:rPr>
                <w:rFonts w:ascii="宋体"/>
                <w:spacing w:val="-1"/>
                <w:sz w:val="18"/>
              </w:rPr>
              <w:t>400.00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宁波万爱新能源科技有限公司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239.50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2"/>
              <w:ind w:right="88"/>
              <w:jc w:val="right"/>
              <w:rPr>
                <w:rFonts w:ascii="宋体" w:hAnsi="宋体" w:cs="宋体" w:eastAsia="宋体" w:hint="default"/>
                <w:sz w:val="18"/>
                <w:szCs w:val="18"/>
              </w:rPr>
            </w:pPr>
            <w:r>
              <w:rPr>
                <w:rFonts w:ascii="宋体"/>
                <w:spacing w:val="-1"/>
                <w:sz w:val="18"/>
              </w:rPr>
              <w:t>760.50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江苏万充新能源科技有限公司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4,000.00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5" w:right="0"/>
              <w:jc w:val="left"/>
              <w:rPr>
                <w:rFonts w:ascii="宋体" w:hAnsi="宋体" w:cs="宋体" w:eastAsia="宋体" w:hint="default"/>
                <w:sz w:val="18"/>
                <w:szCs w:val="18"/>
              </w:rPr>
            </w:pPr>
            <w:r>
              <w:rPr>
                <w:rFonts w:ascii="宋体"/>
                <w:sz w:val="18"/>
              </w:rPr>
              <w:t>4,000.00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5" w:right="0"/>
              <w:jc w:val="left"/>
              <w:rPr>
                <w:rFonts w:ascii="宋体" w:hAnsi="宋体" w:cs="宋体" w:eastAsia="宋体" w:hint="default"/>
                <w:sz w:val="18"/>
                <w:szCs w:val="18"/>
              </w:rPr>
            </w:pPr>
            <w:r>
              <w:rPr>
                <w:rFonts w:ascii="宋体"/>
                <w:sz w:val="18"/>
              </w:rPr>
              <w:t>3,133.98</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sz w:val="18"/>
              </w:rPr>
              <w:t>866.02</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上海万遥新能源科技有限公司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2,000.00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2,000.00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1,252.59</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88"/>
              <w:jc w:val="right"/>
              <w:rPr>
                <w:rFonts w:ascii="宋体" w:hAnsi="宋体" w:cs="宋体" w:eastAsia="宋体" w:hint="default"/>
                <w:sz w:val="18"/>
                <w:szCs w:val="18"/>
              </w:rPr>
            </w:pPr>
            <w:r>
              <w:rPr>
                <w:rFonts w:ascii="宋体"/>
                <w:spacing w:val="-1"/>
                <w:sz w:val="18"/>
              </w:rPr>
              <w:t>747.41</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杭州万充电力工程有限公司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302.00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88"/>
              <w:jc w:val="right"/>
              <w:rPr>
                <w:rFonts w:ascii="宋体" w:hAnsi="宋体" w:cs="宋体" w:eastAsia="宋体" w:hint="default"/>
                <w:sz w:val="18"/>
                <w:szCs w:val="18"/>
              </w:rPr>
            </w:pPr>
            <w:r>
              <w:rPr>
                <w:rFonts w:ascii="宋体"/>
                <w:spacing w:val="-1"/>
                <w:sz w:val="18"/>
              </w:rPr>
              <w:t>698.00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重庆万充新能源科技有限公司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5,000.00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5,000.00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3,588.74</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88"/>
              <w:jc w:val="right"/>
              <w:rPr>
                <w:rFonts w:ascii="宋体" w:hAnsi="宋体" w:cs="宋体" w:eastAsia="宋体" w:hint="default"/>
                <w:sz w:val="18"/>
                <w:szCs w:val="18"/>
              </w:rPr>
            </w:pPr>
            <w:r>
              <w:rPr>
                <w:rFonts w:ascii="宋体"/>
                <w:spacing w:val="-1"/>
                <w:sz w:val="18"/>
              </w:rPr>
              <w:t>1,411.26</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四川万充新能源科技有限公司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1,966.61</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88"/>
              <w:jc w:val="right"/>
              <w:rPr>
                <w:rFonts w:ascii="宋体" w:hAnsi="宋体" w:cs="宋体" w:eastAsia="宋体" w:hint="default"/>
                <w:sz w:val="18"/>
                <w:szCs w:val="18"/>
              </w:rPr>
            </w:pPr>
            <w:r>
              <w:rPr>
                <w:rFonts w:ascii="宋体"/>
                <w:spacing w:val="-1"/>
                <w:sz w:val="18"/>
              </w:rPr>
              <w:t>1,033.39</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广州万充新能源科技有限公司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8,000.00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8,000.00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4,657.63</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3,342.37</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海南万充新能源科技有限公司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1,207.94</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792.06</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佛山万爱新能源科技有限公司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500.00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500.00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499.00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山西万马新能源科技有限公司</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5,000.00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5,000.00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spacing w:val="-1"/>
                <w:sz w:val="18"/>
              </w:rPr>
              <w:t>5,000.00</w:t>
            </w:r>
          </w:p>
        </w:tc>
      </w:tr>
      <w:tr>
        <w:trPr>
          <w:trHeight w:val="391" w:hRule="exact"/>
        </w:trPr>
        <w:tc>
          <w:tcPr>
            <w:tcW w:w="36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b/>
                <w:w w:val="95"/>
                <w:sz w:val="18"/>
              </w:rPr>
              <w:t>--</w:t>
            </w:r>
            <w:r>
              <w:rPr>
                <w:rFonts w:ascii="宋体"/>
                <w:sz w:val="18"/>
              </w:rPr>
            </w:r>
          </w:p>
        </w:tc>
        <w:tc>
          <w:tcPr>
            <w:tcW w:w="9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2"/>
              <w:jc w:val="right"/>
              <w:rPr>
                <w:rFonts w:ascii="宋体" w:hAnsi="宋体" w:cs="宋体" w:eastAsia="宋体" w:hint="default"/>
                <w:sz w:val="18"/>
                <w:szCs w:val="18"/>
              </w:rPr>
            </w:pPr>
            <w:r>
              <w:rPr>
                <w:rFonts w:ascii="宋体"/>
                <w:b/>
                <w:sz w:val="18"/>
              </w:rPr>
              <w:t>151,205.00</w:t>
            </w:r>
            <w:r>
              <w:rPr>
                <w:rFonts w:ascii="宋体"/>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3"/>
              <w:jc w:val="right"/>
              <w:rPr>
                <w:rFonts w:ascii="宋体" w:hAnsi="宋体" w:cs="宋体" w:eastAsia="宋体" w:hint="default"/>
                <w:sz w:val="18"/>
                <w:szCs w:val="18"/>
              </w:rPr>
            </w:pPr>
            <w:r>
              <w:rPr>
                <w:rFonts w:ascii="宋体"/>
                <w:b/>
                <w:sz w:val="18"/>
              </w:rPr>
              <w:t>59,136.63</w:t>
            </w:r>
            <w:r>
              <w:rPr>
                <w:rFonts w:ascii="宋体"/>
                <w:sz w:val="18"/>
              </w:rPr>
            </w:r>
          </w:p>
        </w:tc>
        <w:tc>
          <w:tcPr>
            <w:tcW w:w="137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81"/>
              <w:jc w:val="right"/>
              <w:rPr>
                <w:rFonts w:ascii="宋体" w:hAnsi="宋体" w:cs="宋体" w:eastAsia="宋体" w:hint="default"/>
                <w:sz w:val="18"/>
                <w:szCs w:val="18"/>
              </w:rPr>
            </w:pPr>
            <w:r>
              <w:rPr>
                <w:rFonts w:ascii="宋体"/>
                <w:b/>
                <w:sz w:val="18"/>
              </w:rPr>
              <w:t>92,068.37</w:t>
            </w:r>
            <w:r>
              <w:rPr>
                <w:rFonts w:ascii="宋体"/>
                <w:sz w:val="18"/>
              </w:rPr>
            </w:r>
          </w:p>
        </w:tc>
      </w:tr>
      <w:tr>
        <w:trPr>
          <w:trHeight w:val="430" w:hRule="exact"/>
        </w:trPr>
        <w:tc>
          <w:tcPr>
            <w:tcW w:w="366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Optrum Technology</w:t>
            </w:r>
            <w:r>
              <w:rPr>
                <w:rFonts w:ascii="宋体" w:hAnsi="宋体" w:cs="宋体" w:eastAsia="宋体" w:hint="default"/>
                <w:spacing w:val="-9"/>
                <w:sz w:val="18"/>
                <w:szCs w:val="18"/>
              </w:rPr>
              <w:t> </w:t>
            </w:r>
            <w:r>
              <w:rPr>
                <w:rFonts w:ascii="宋体" w:hAnsi="宋体" w:cs="宋体" w:eastAsia="宋体" w:hint="default"/>
                <w:sz w:val="18"/>
                <w:szCs w:val="18"/>
              </w:rPr>
              <w:t>LLC(美元)</w:t>
            </w:r>
          </w:p>
        </w:tc>
        <w:tc>
          <w:tcPr>
            <w:tcW w:w="123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100.00</w:t>
            </w:r>
          </w:p>
        </w:tc>
        <w:tc>
          <w:tcPr>
            <w:tcW w:w="92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100%</w:t>
            </w:r>
          </w:p>
        </w:tc>
        <w:tc>
          <w:tcPr>
            <w:tcW w:w="122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100.00</w:t>
            </w:r>
          </w:p>
        </w:tc>
        <w:tc>
          <w:tcPr>
            <w:tcW w:w="122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89.9985</w:t>
            </w:r>
          </w:p>
        </w:tc>
        <w:tc>
          <w:tcPr>
            <w:tcW w:w="13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pacing w:val="-1"/>
                <w:sz w:val="18"/>
              </w:rPr>
              <w:t>10.0015</w:t>
            </w:r>
          </w:p>
        </w:tc>
      </w:tr>
    </w:tbl>
    <w:p>
      <w:pPr>
        <w:pStyle w:val="BodyText"/>
        <w:spacing w:line="240" w:lineRule="auto" w:before="52"/>
        <w:ind w:right="0"/>
        <w:jc w:val="left"/>
      </w:pPr>
      <w:r>
        <w:rPr/>
        <w:t>除上述事项外，本集团无应披露的重要承诺事项。</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或有事项" w:id="393"/>
      <w:bookmarkEnd w:id="39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资产负债表日存在的重要或有事项" w:id="394"/>
      <w:bookmarkEnd w:id="39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jc w:val="left"/>
      </w:pPr>
      <w:r>
        <w:rPr/>
        <w:t>截止</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日，除前述</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5</w:t>
      </w:r>
      <w:r>
        <w:rPr/>
        <w:t>、关联交易情况</w:t>
      </w:r>
      <w:r>
        <w:rPr>
          <w:rFonts w:ascii="Times New Roman" w:hAnsi="Times New Roman" w:cs="Times New Roman" w:eastAsia="Times New Roman" w:hint="default"/>
        </w:rPr>
        <w:t>”</w:t>
      </w:r>
      <w:r>
        <w:rPr/>
        <w:t>为子公司提供担保以及未到期已转让的银行承兑汇票外，无应披 露的重要或有事项</w:t>
      </w:r>
      <w:r>
        <w:rPr>
          <w:spacing w:val="1"/>
        </w:rPr>
        <w:t> </w:t>
      </w:r>
      <w:r>
        <w:rPr/>
        <w:t>。</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五、资产负债表日后事项" w:id="395"/>
      <w:bookmarkEnd w:id="395"/>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利润分配情况" w:id="396"/>
      <w:bookmarkEnd w:id="396"/>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20,709,781.96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20,709,781.96</w:t>
            </w:r>
          </w:p>
        </w:tc>
      </w:tr>
    </w:tbl>
    <w:p>
      <w:pPr>
        <w:spacing w:after="0" w:line="240" w:lineRule="auto"/>
        <w:jc w:val="right"/>
        <w:rPr>
          <w:rFonts w:ascii="Times New Roman" w:hAnsi="Times New Roman" w:cs="Times New Roman" w:eastAsia="Times New Roman" w:hint="default"/>
          <w:sz w:val="18"/>
          <w:szCs w:val="18"/>
        </w:rPr>
        <w:sectPr>
          <w:footerReference w:type="default" r:id="rId62"/>
          <w:pgSz w:w="11910" w:h="16840"/>
          <w:pgMar w:footer="1012" w:header="890" w:top="1500" w:bottom="1200" w:left="1020" w:right="0"/>
          <w:pgNumType w:start="160"/>
        </w:sectPr>
      </w:pPr>
    </w:p>
    <w:p>
      <w:pPr>
        <w:pStyle w:val="Heading6"/>
        <w:spacing w:line="240" w:lineRule="auto" w:before="120"/>
        <w:ind w:right="0"/>
        <w:jc w:val="left"/>
        <w:rPr>
          <w:b w:val="0"/>
          <w:bCs w:val="0"/>
        </w:rPr>
      </w:pPr>
      <w:bookmarkStart w:name="2、其他资产负债表日后事项说明" w:id="397"/>
      <w:bookmarkEnd w:id="397"/>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472" w:right="0"/>
        <w:jc w:val="left"/>
      </w:pPr>
      <w:r>
        <w:rPr/>
        <w:t>除存在上述资产负债表日后事项披露事项外，本集团无其他重大资产负债表日后事项。</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十六、其他重要事项" w:id="398"/>
      <w:bookmarkEnd w:id="398"/>
      <w:r>
        <w:rPr>
          <w:b w:val="0"/>
          <w:bCs w:val="0"/>
        </w:rPr>
      </w:r>
      <w:r>
        <w:rPr/>
        <w:t>十六、其他重要事项</w:t>
      </w:r>
      <w:r>
        <w:rPr>
          <w:b w:val="0"/>
          <w:bCs w:val="0"/>
        </w:rPr>
      </w:r>
    </w:p>
    <w:p>
      <w:pPr>
        <w:pStyle w:val="BodyText"/>
        <w:spacing w:line="240" w:lineRule="auto" w:before="123"/>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七、母公司财务报表主要项目注释" w:id="399"/>
      <w:bookmarkEnd w:id="399"/>
      <w:r>
        <w:rPr>
          <w:b w:val="0"/>
          <w:bCs w:val="0"/>
        </w:rPr>
      </w:r>
      <w:r>
        <w:rPr/>
        <w:t>十七、母公司财务报表主要项目注释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票据及应收账款" w:id="400"/>
      <w:bookmarkEnd w:id="400"/>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164,690,589.86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227,663,551.42</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1,879,068,867.10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1,660,707,300.39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2,043,759,456.96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1,888,370,851.81</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1）应收票据" w:id="401"/>
      <w:bookmarkEnd w:id="40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154,414,039.76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227,663,551.42</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10,276,550.10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164,690,589.86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227,663,551.42</w:t>
            </w:r>
          </w:p>
        </w:tc>
      </w:tr>
    </w:tbl>
    <w:p>
      <w:pPr>
        <w:pStyle w:val="BodyText"/>
        <w:spacing w:line="240" w:lineRule="auto" w:before="50"/>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66,613,058.31</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66,613,058.31</w:t>
            </w:r>
          </w:p>
        </w:tc>
      </w:tr>
    </w:tbl>
    <w:p>
      <w:pPr>
        <w:pStyle w:val="BodyText"/>
        <w:spacing w:line="240" w:lineRule="auto" w:before="50"/>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397,528,489.64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397,528,489.64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应收账款" w:id="402"/>
      <w:bookmarkEnd w:id="40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32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0" w:right="0"/>
              <w:jc w:val="left"/>
              <w:rPr>
                <w:rFonts w:ascii="宋体" w:hAnsi="宋体" w:cs="宋体" w:eastAsia="宋体" w:hint="default"/>
                <w:sz w:val="18"/>
                <w:szCs w:val="18"/>
              </w:rPr>
            </w:pPr>
            <w:r>
              <w:rPr>
                <w:rFonts w:ascii="宋体" w:hAnsi="宋体" w:cs="宋体" w:eastAsia="宋体" w:hint="default"/>
                <w:sz w:val="18"/>
                <w:szCs w:val="18"/>
              </w:rPr>
              <w:t>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25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1,989,8</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77,892.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9,025.1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5.57%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1,879,0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68,867.</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1,738</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1" w:right="0"/>
              <w:jc w:val="left"/>
              <w:rPr>
                <w:rFonts w:ascii="Times New Roman" w:hAnsi="Times New Roman" w:cs="Times New Roman" w:eastAsia="Times New Roman" w:hint="default"/>
                <w:sz w:val="18"/>
                <w:szCs w:val="18"/>
              </w:rPr>
            </w:pPr>
            <w:r>
              <w:rPr>
                <w:rFonts w:ascii="Times New Roman"/>
                <w:sz w:val="18"/>
              </w:rPr>
              <w:t>77,480,</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765.44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Times New Roman" w:hAnsi="Times New Roman" w:cs="Times New Roman" w:eastAsia="Times New Roman" w:hint="default"/>
                <w:sz w:val="18"/>
                <w:szCs w:val="18"/>
              </w:rPr>
            </w:pPr>
            <w:r>
              <w:rPr>
                <w:rFonts w:ascii="Times New Roman"/>
                <w:sz w:val="18"/>
              </w:rPr>
              <w:t>1,660,70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7,300.39</w:t>
            </w:r>
          </w:p>
        </w:tc>
      </w:tr>
      <w:tr>
        <w:trPr>
          <w:trHeight w:val="125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1,989,8</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77,892.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9,025.1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5.57%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1,879,0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68,867.</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6" w:right="0"/>
              <w:jc w:val="left"/>
              <w:rPr>
                <w:rFonts w:ascii="Times New Roman" w:hAnsi="Times New Roman" w:cs="Times New Roman" w:eastAsia="Times New Roman" w:hint="default"/>
                <w:sz w:val="18"/>
                <w:szCs w:val="18"/>
              </w:rPr>
            </w:pPr>
            <w:r>
              <w:rPr>
                <w:rFonts w:ascii="Times New Roman"/>
                <w:sz w:val="18"/>
              </w:rPr>
              <w:t>1,738</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1" w:right="0"/>
              <w:jc w:val="left"/>
              <w:rPr>
                <w:rFonts w:ascii="Times New Roman" w:hAnsi="Times New Roman" w:cs="Times New Roman" w:eastAsia="Times New Roman" w:hint="default"/>
                <w:sz w:val="18"/>
                <w:szCs w:val="18"/>
              </w:rPr>
            </w:pPr>
            <w:r>
              <w:rPr>
                <w:rFonts w:ascii="Times New Roman"/>
                <w:sz w:val="18"/>
              </w:rPr>
              <w:t>77,480,</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765.44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9" w:right="0"/>
              <w:jc w:val="left"/>
              <w:rPr>
                <w:rFonts w:ascii="Times New Roman" w:hAnsi="Times New Roman" w:cs="Times New Roman" w:eastAsia="Times New Roman" w:hint="default"/>
                <w:sz w:val="18"/>
                <w:szCs w:val="18"/>
              </w:rPr>
            </w:pPr>
            <w:r>
              <w:rPr>
                <w:rFonts w:ascii="Times New Roman"/>
                <w:sz w:val="18"/>
              </w:rPr>
              <w:t>1,660,70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7,300.39</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012" w:top="142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5"/>
        <w:ind w:right="160"/>
        <w:jc w:val="left"/>
      </w:pPr>
      <w:r>
        <w:rPr/>
        <w:t>□ 适用 √ 不适用 组合中，按账龄分析法计提坏账准备的应收账款：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4253" w:space="457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32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1,447,793,608.88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14,477,936.09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212,446,575.59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21,244,657.56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55,403,858.46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16,621,157.54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58,465,273.98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58,465,273.98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1,774,109,316.91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110,809,025.17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4454"/>
        <w:jc w:val="left"/>
      </w:pPr>
      <w:r>
        <w:rPr/>
        <w:t>确定该组合依据的说明：该组合系以应收款项的账龄为信用风险特征划分组合。 组合中，采用余额百分比法计提坏账准备的应收账款：</w:t>
      </w:r>
    </w:p>
    <w:p>
      <w:pPr>
        <w:pStyle w:val="BodyText"/>
        <w:spacing w:line="357" w:lineRule="auto" w:before="27"/>
        <w:ind w:right="6794"/>
        <w:jc w:val="left"/>
      </w:pPr>
      <w:r>
        <w:rPr/>
        <w:t>□ 适用 √ 不适用 组合中，采用其他方法计提坏账准备的应收账款：</w:t>
      </w:r>
    </w:p>
    <w:tbl>
      <w:tblPr>
        <w:tblW w:w="0" w:type="auto"/>
        <w:jc w:val="left"/>
        <w:tblInd w:w="106" w:type="dxa"/>
        <w:tblLayout w:type="fixed"/>
        <w:tblCellMar>
          <w:top w:w="0" w:type="dxa"/>
          <w:left w:w="0" w:type="dxa"/>
          <w:bottom w:w="0" w:type="dxa"/>
          <w:right w:w="0" w:type="dxa"/>
        </w:tblCellMar>
        <w:tblLook w:val="01E0"/>
      </w:tblPr>
      <w:tblGrid>
        <w:gridCol w:w="2615"/>
        <w:gridCol w:w="2496"/>
        <w:gridCol w:w="2400"/>
        <w:gridCol w:w="2089"/>
      </w:tblGrid>
      <w:tr>
        <w:trPr>
          <w:trHeight w:val="345" w:hRule="exact"/>
        </w:trPr>
        <w:tc>
          <w:tcPr>
            <w:tcW w:w="2615" w:type="dxa"/>
            <w:vMerge w:val="restart"/>
            <w:tcBorders>
              <w:top w:val="single" w:sz="6" w:space="0" w:color="000000"/>
              <w:left w:val="single" w:sz="6"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9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2" w:hRule="exact"/>
        </w:trPr>
        <w:tc>
          <w:tcPr>
            <w:tcW w:w="2615" w:type="dxa"/>
            <w:vMerge/>
            <w:tcBorders>
              <w:left w:val="single" w:sz="6"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8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left="54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2" w:hRule="exact"/>
        </w:trPr>
        <w:tc>
          <w:tcPr>
            <w:tcW w:w="261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3"/>
              <w:jc w:val="right"/>
              <w:rPr>
                <w:rFonts w:ascii="宋体" w:hAnsi="宋体" w:cs="宋体" w:eastAsia="宋体" w:hint="default"/>
                <w:sz w:val="18"/>
                <w:szCs w:val="18"/>
              </w:rPr>
            </w:pPr>
            <w:r>
              <w:rPr>
                <w:rFonts w:ascii="宋体"/>
                <w:spacing w:val="-1"/>
                <w:sz w:val="18"/>
              </w:rPr>
              <w:t>215,768,575.36</w:t>
            </w:r>
          </w:p>
        </w:tc>
        <w:tc>
          <w:tcPr>
            <w:tcW w:w="2400"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z w:val="18"/>
              </w:rPr>
              <w:t>0.00</w:t>
            </w:r>
          </w:p>
        </w:tc>
      </w:tr>
      <w:tr>
        <w:trPr>
          <w:trHeight w:val="344" w:hRule="exact"/>
        </w:trPr>
        <w:tc>
          <w:tcPr>
            <w:tcW w:w="2615"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81"/>
              <w:jc w:val="right"/>
              <w:rPr>
                <w:rFonts w:ascii="宋体" w:hAnsi="宋体" w:cs="宋体" w:eastAsia="宋体" w:hint="default"/>
                <w:sz w:val="18"/>
                <w:szCs w:val="18"/>
              </w:rPr>
            </w:pPr>
            <w:r>
              <w:rPr>
                <w:rFonts w:ascii="宋体"/>
                <w:b/>
                <w:sz w:val="18"/>
              </w:rPr>
              <w:t>215,768,575.36</w:t>
            </w:r>
            <w:r>
              <w:rPr>
                <w:rFonts w:ascii="宋体"/>
                <w:sz w:val="18"/>
              </w:rPr>
            </w:r>
          </w:p>
        </w:tc>
        <w:tc>
          <w:tcPr>
            <w:tcW w:w="2400" w:type="dxa"/>
            <w:tcBorders>
              <w:top w:val="single" w:sz="4" w:space="0" w:color="000000"/>
              <w:left w:val="single" w:sz="4" w:space="0" w:color="000000"/>
              <w:bottom w:val="single" w:sz="6" w:space="0" w:color="000000"/>
              <w:right w:val="single" w:sz="4" w:space="0" w:color="000000"/>
            </w:tcBorders>
          </w:tcPr>
          <w:p>
            <w:pPr/>
          </w:p>
        </w:tc>
        <w:tc>
          <w:tcPr>
            <w:tcW w:w="208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宋体"/>
                <w:b/>
                <w:w w:val="95"/>
                <w:sz w:val="18"/>
              </w:rPr>
              <w:t>--</w:t>
            </w:r>
            <w:r>
              <w:rPr>
                <w:rFonts w:ascii="宋体"/>
                <w:sz w:val="18"/>
              </w:rPr>
            </w:r>
          </w:p>
        </w:tc>
      </w:tr>
    </w:tbl>
    <w:p>
      <w:pPr>
        <w:spacing w:line="240" w:lineRule="auto" w:before="13"/>
        <w:rPr>
          <w:rFonts w:ascii="宋体" w:hAnsi="宋体" w:cs="宋体" w:eastAsia="宋体" w:hint="default"/>
          <w:sz w:val="7"/>
          <w:szCs w:val="7"/>
        </w:rPr>
      </w:pPr>
    </w:p>
    <w:p>
      <w:pPr>
        <w:pStyle w:val="BodyText"/>
        <w:spacing w:line="240" w:lineRule="auto" w:before="44"/>
        <w:ind w:right="0"/>
        <w:jc w:val="left"/>
      </w:pPr>
      <w:r>
        <w:rPr/>
        <w:t>注：关联方组合系以应收款项交易对象为信用风险特征划分组合。本公司应收关联方账款列入本组合。</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660" w:bottom="700" w:left="1020" w:right="0"/>
        </w:sectPr>
      </w:pPr>
    </w:p>
    <w:p>
      <w:pPr>
        <w:pStyle w:val="BodyText"/>
        <w:spacing w:line="240" w:lineRule="auto" w:before="44"/>
        <w:ind w:right="-8"/>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8"/>
        <w:jc w:val="left"/>
      </w:pPr>
      <w:r>
        <w:rPr/>
        <w:t>本期计提坏账准备金额</w:t>
      </w:r>
      <w:r>
        <w:rPr>
          <w:spacing w:val="-47"/>
        </w:rPr>
        <w:t> </w:t>
      </w:r>
      <w:r>
        <w:rPr>
          <w:rFonts w:ascii="Times New Roman" w:hAnsi="Times New Roman" w:cs="Times New Roman" w:eastAsia="Times New Roman" w:hint="default"/>
        </w:rPr>
        <w:t>35,897,144.97</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pStyle w:val="BodyText"/>
        <w:spacing w:line="240" w:lineRule="auto" w:before="39"/>
        <w:ind w:right="-8"/>
        <w:jc w:val="left"/>
      </w:pPr>
      <w:r>
        <w:rPr/>
        <w:t>无</w:t>
      </w:r>
    </w:p>
    <w:p>
      <w:pPr>
        <w:pStyle w:val="BodyText"/>
        <w:spacing w:line="240" w:lineRule="auto" w:before="117"/>
        <w:ind w:right="-8"/>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6505" w:space="232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2,568,885.24</w:t>
            </w:r>
          </w:p>
        </w:tc>
      </w:tr>
    </w:tbl>
    <w:p>
      <w:pPr>
        <w:pStyle w:val="BodyText"/>
        <w:spacing w:line="240" w:lineRule="auto" w:before="50"/>
        <w:ind w:right="0"/>
        <w:jc w:val="left"/>
      </w:pPr>
      <w:r>
        <w:rPr/>
        <w:t>其中重要的应收账款核销情况：</w:t>
      </w:r>
    </w:p>
    <w:p>
      <w:pPr>
        <w:spacing w:after="0" w:line="240" w:lineRule="auto"/>
        <w:jc w:val="left"/>
        <w:sectPr>
          <w:type w:val="continuous"/>
          <w:pgSz w:w="11910" w:h="16840"/>
          <w:pgMar w:top="660" w:bottom="700" w:left="1020" w:right="0"/>
        </w:sectPr>
      </w:pPr>
    </w:p>
    <w:p>
      <w:pPr>
        <w:pStyle w:val="BodyText"/>
        <w:spacing w:line="240" w:lineRule="auto" w:before="66"/>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3"/>
        <w:gridCol w:w="1300"/>
        <w:gridCol w:w="1400"/>
        <w:gridCol w:w="2366"/>
        <w:gridCol w:w="1615"/>
        <w:gridCol w:w="1615"/>
      </w:tblGrid>
      <w:tr>
        <w:trPr>
          <w:trHeight w:val="634" w:hRule="exact"/>
        </w:trPr>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322"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1" w:right="0"/>
              <w:jc w:val="left"/>
              <w:rPr>
                <w:rFonts w:ascii="Times New Roman" w:hAnsi="Times New Roman" w:cs="Times New Roman" w:eastAsia="Times New Roman" w:hint="default"/>
                <w:sz w:val="18"/>
                <w:szCs w:val="18"/>
              </w:rPr>
            </w:pPr>
            <w:r>
              <w:rPr>
                <w:rFonts w:ascii="Times New Roman"/>
                <w:sz w:val="18"/>
              </w:rPr>
              <w:t>1,212,542.76</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对方资金困难，年份已久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1400" w:type="dxa"/>
            <w:tcBorders>
              <w:top w:val="single" w:sz="4" w:space="0" w:color="000000"/>
              <w:left w:val="single" w:sz="4" w:space="0" w:color="000000"/>
              <w:bottom w:val="single" w:sz="4" w:space="0" w:color="000000"/>
              <w:right w:val="single" w:sz="4" w:space="0" w:color="000000"/>
            </w:tcBorders>
          </w:tcPr>
          <w:p>
            <w:pP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652"/>
        <w:gridCol w:w="2180"/>
        <w:gridCol w:w="1788"/>
        <w:gridCol w:w="2162"/>
        <w:gridCol w:w="1678"/>
      </w:tblGrid>
      <w:tr>
        <w:trPr>
          <w:trHeight w:val="668" w:hRule="exact"/>
        </w:trPr>
        <w:tc>
          <w:tcPr>
            <w:tcW w:w="165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62"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25"/>
              <w:ind w:left="491" w:right="166" w:hanging="315"/>
              <w:jc w:val="left"/>
              <w:rPr>
                <w:rFonts w:ascii="宋体" w:hAnsi="宋体" w:cs="宋体" w:eastAsia="宋体" w:hint="default"/>
                <w:sz w:val="18"/>
                <w:szCs w:val="18"/>
              </w:rPr>
            </w:pPr>
            <w:r>
              <w:rPr>
                <w:rFonts w:ascii="宋体" w:hAnsi="宋体" w:cs="宋体" w:eastAsia="宋体" w:hint="default"/>
                <w:b/>
                <w:bCs/>
                <w:sz w:val="18"/>
                <w:szCs w:val="18"/>
              </w:rPr>
              <w:t>占应收账款年末余额合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sz w:val="18"/>
                <w:szCs w:val="18"/>
              </w:rPr>
            </w:r>
          </w:p>
        </w:tc>
        <w:tc>
          <w:tcPr>
            <w:tcW w:w="167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b/>
                <w:bCs/>
                <w:w w:val="95"/>
                <w:sz w:val="18"/>
                <w:szCs w:val="18"/>
              </w:rPr>
              <w:t>坏账准备年末余额</w:t>
            </w:r>
            <w:r>
              <w:rPr>
                <w:rFonts w:ascii="宋体" w:hAnsi="宋体" w:cs="宋体" w:eastAsia="宋体" w:hint="default"/>
                <w:sz w:val="18"/>
                <w:szCs w:val="18"/>
              </w:rPr>
            </w:r>
          </w:p>
        </w:tc>
      </w:tr>
      <w:tr>
        <w:trPr>
          <w:trHeight w:val="342" w:hRule="exact"/>
        </w:trPr>
        <w:tc>
          <w:tcPr>
            <w:tcW w:w="16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A公司</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3"/>
              <w:jc w:val="right"/>
              <w:rPr>
                <w:rFonts w:ascii="宋体" w:hAnsi="宋体" w:cs="宋体" w:eastAsia="宋体" w:hint="default"/>
                <w:sz w:val="18"/>
                <w:szCs w:val="18"/>
              </w:rPr>
            </w:pPr>
            <w:r>
              <w:rPr>
                <w:rFonts w:ascii="宋体"/>
                <w:spacing w:val="-1"/>
                <w:sz w:val="18"/>
              </w:rPr>
              <w:t>207,729,935.59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10.44</w:t>
            </w:r>
          </w:p>
        </w:tc>
        <w:tc>
          <w:tcPr>
            <w:tcW w:w="1678" w:type="dxa"/>
            <w:tcBorders>
              <w:top w:val="single" w:sz="4" w:space="0" w:color="000000"/>
              <w:left w:val="single" w:sz="4" w:space="0" w:color="000000"/>
              <w:bottom w:val="single" w:sz="4" w:space="0" w:color="000000"/>
              <w:right w:val="single" w:sz="6" w:space="0" w:color="000000"/>
            </w:tcBorders>
          </w:tcPr>
          <w:p>
            <w:pPr/>
          </w:p>
        </w:tc>
      </w:tr>
      <w:tr>
        <w:trPr>
          <w:trHeight w:val="342" w:hRule="exact"/>
        </w:trPr>
        <w:tc>
          <w:tcPr>
            <w:tcW w:w="16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B公司</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spacing w:val="-1"/>
                <w:sz w:val="18"/>
              </w:rPr>
              <w:t>66,427,841.95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3.34</w:t>
            </w:r>
          </w:p>
        </w:tc>
        <w:tc>
          <w:tcPr>
            <w:tcW w:w="16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pacing w:val="-1"/>
                <w:sz w:val="18"/>
              </w:rPr>
              <w:t>664,278.42</w:t>
            </w:r>
          </w:p>
        </w:tc>
      </w:tr>
      <w:tr>
        <w:trPr>
          <w:trHeight w:val="342" w:hRule="exact"/>
        </w:trPr>
        <w:tc>
          <w:tcPr>
            <w:tcW w:w="16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C公司</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3"/>
              <w:jc w:val="right"/>
              <w:rPr>
                <w:rFonts w:ascii="宋体" w:hAnsi="宋体" w:cs="宋体" w:eastAsia="宋体" w:hint="default"/>
                <w:sz w:val="18"/>
                <w:szCs w:val="18"/>
              </w:rPr>
            </w:pPr>
            <w:r>
              <w:rPr>
                <w:rFonts w:ascii="宋体"/>
                <w:spacing w:val="-1"/>
                <w:sz w:val="18"/>
              </w:rPr>
              <w:t>39,983,475.38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1年以内、1-2年</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2.01</w:t>
            </w:r>
          </w:p>
        </w:tc>
        <w:tc>
          <w:tcPr>
            <w:tcW w:w="16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2,026,277.77</w:t>
            </w:r>
          </w:p>
        </w:tc>
      </w:tr>
      <w:tr>
        <w:trPr>
          <w:trHeight w:val="342" w:hRule="exact"/>
        </w:trPr>
        <w:tc>
          <w:tcPr>
            <w:tcW w:w="16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D公司</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宋体" w:hAnsi="宋体" w:cs="宋体" w:eastAsia="宋体" w:hint="default"/>
                <w:sz w:val="18"/>
                <w:szCs w:val="18"/>
              </w:rPr>
            </w:pPr>
            <w:r>
              <w:rPr>
                <w:rFonts w:ascii="宋体"/>
                <w:spacing w:val="-1"/>
                <w:sz w:val="18"/>
              </w:rPr>
              <w:t>33,094,835.79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18"/>
                <w:szCs w:val="18"/>
              </w:rPr>
            </w:pPr>
            <w:r>
              <w:rPr>
                <w:rFonts w:ascii="宋体" w:hAnsi="宋体" w:cs="宋体" w:eastAsia="宋体" w:hint="default"/>
                <w:sz w:val="18"/>
                <w:szCs w:val="18"/>
              </w:rPr>
              <w:t>1年以内、1-2年</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1.66</w:t>
            </w:r>
          </w:p>
        </w:tc>
        <w:tc>
          <w:tcPr>
            <w:tcW w:w="16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right="90"/>
              <w:jc w:val="right"/>
              <w:rPr>
                <w:rFonts w:ascii="宋体" w:hAnsi="宋体" w:cs="宋体" w:eastAsia="宋体" w:hint="default"/>
                <w:sz w:val="18"/>
                <w:szCs w:val="18"/>
              </w:rPr>
            </w:pPr>
            <w:r>
              <w:rPr>
                <w:rFonts w:ascii="宋体"/>
                <w:spacing w:val="-1"/>
                <w:sz w:val="18"/>
              </w:rPr>
              <w:t>2,278,014.07</w:t>
            </w:r>
          </w:p>
        </w:tc>
      </w:tr>
      <w:tr>
        <w:trPr>
          <w:trHeight w:val="342" w:hRule="exact"/>
        </w:trPr>
        <w:tc>
          <w:tcPr>
            <w:tcW w:w="16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E公司</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3"/>
              <w:jc w:val="right"/>
              <w:rPr>
                <w:rFonts w:ascii="宋体" w:hAnsi="宋体" w:cs="宋体" w:eastAsia="宋体" w:hint="default"/>
                <w:sz w:val="18"/>
                <w:szCs w:val="18"/>
              </w:rPr>
            </w:pPr>
            <w:r>
              <w:rPr>
                <w:rFonts w:ascii="宋体"/>
                <w:spacing w:val="-1"/>
                <w:sz w:val="18"/>
              </w:rPr>
              <w:t>23,788,866.68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1.20</w:t>
            </w:r>
          </w:p>
        </w:tc>
        <w:tc>
          <w:tcPr>
            <w:tcW w:w="16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237,888.67</w:t>
            </w:r>
          </w:p>
        </w:tc>
      </w:tr>
      <w:tr>
        <w:trPr>
          <w:trHeight w:val="366" w:hRule="exact"/>
        </w:trPr>
        <w:tc>
          <w:tcPr>
            <w:tcW w:w="165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8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81"/>
              <w:jc w:val="right"/>
              <w:rPr>
                <w:rFonts w:ascii="宋体" w:hAnsi="宋体" w:cs="宋体" w:eastAsia="宋体" w:hint="default"/>
                <w:sz w:val="18"/>
                <w:szCs w:val="18"/>
              </w:rPr>
            </w:pPr>
            <w:r>
              <w:rPr>
                <w:rFonts w:ascii="宋体"/>
                <w:b/>
                <w:sz w:val="18"/>
              </w:rPr>
              <w:t>371,024,955.39</w:t>
            </w:r>
            <w:r>
              <w:rPr>
                <w:rFonts w:ascii="宋体"/>
                <w:sz w:val="18"/>
              </w:rPr>
            </w:r>
          </w:p>
        </w:tc>
        <w:tc>
          <w:tcPr>
            <w:tcW w:w="178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b/>
                <w:sz w:val="18"/>
              </w:rPr>
              <w:t>--</w:t>
            </w:r>
            <w:r>
              <w:rPr>
                <w:rFonts w:ascii="宋体"/>
                <w:sz w:val="18"/>
              </w:rPr>
            </w:r>
          </w:p>
        </w:tc>
        <w:tc>
          <w:tcPr>
            <w:tcW w:w="216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1"/>
              <w:ind w:right="88"/>
              <w:jc w:val="right"/>
              <w:rPr>
                <w:rFonts w:ascii="宋体" w:hAnsi="宋体" w:cs="宋体" w:eastAsia="宋体" w:hint="default"/>
                <w:sz w:val="18"/>
                <w:szCs w:val="18"/>
              </w:rPr>
            </w:pPr>
            <w:r>
              <w:rPr>
                <w:rFonts w:ascii="宋体"/>
                <w:b/>
                <w:sz w:val="18"/>
              </w:rPr>
              <w:t>18.65</w:t>
            </w:r>
            <w:r>
              <w:rPr>
                <w:rFonts w:ascii="宋体"/>
                <w:sz w:val="18"/>
              </w:rPr>
            </w:r>
          </w:p>
        </w:tc>
        <w:tc>
          <w:tcPr>
            <w:tcW w:w="167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right="81"/>
              <w:jc w:val="right"/>
              <w:rPr>
                <w:rFonts w:ascii="宋体" w:hAnsi="宋体" w:cs="宋体" w:eastAsia="宋体" w:hint="default"/>
                <w:sz w:val="18"/>
                <w:szCs w:val="18"/>
              </w:rPr>
            </w:pPr>
            <w:r>
              <w:rPr>
                <w:rFonts w:ascii="宋体"/>
                <w:b/>
                <w:w w:val="95"/>
                <w:sz w:val="18"/>
              </w:rPr>
              <w:t>5,206,458.93</w:t>
            </w:r>
            <w:r>
              <w:rPr>
                <w:rFonts w:ascii="宋体"/>
                <w:sz w:val="18"/>
              </w:rPr>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其他应收款" w:id="403"/>
      <w:bookmarkEnd w:id="40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581,641.79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373,313,716.13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809,161,217.66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373,895,357.92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809,161,217.66</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应收利息" w:id="404"/>
      <w:bookmarkEnd w:id="40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保证金存款利息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581,641.79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581,641.79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其他应收款" w:id="405"/>
      <w:bookmarkEnd w:id="405"/>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63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63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01" w:right="260"/>
              <w:jc w:val="left"/>
              <w:rPr>
                <w:rFonts w:ascii="宋体" w:hAnsi="宋体" w:cs="宋体" w:eastAsia="宋体" w:hint="default"/>
                <w:sz w:val="18"/>
                <w:szCs w:val="18"/>
              </w:rPr>
            </w:pPr>
            <w:r>
              <w:rPr>
                <w:rFonts w:ascii="宋体" w:hAnsi="宋体" w:cs="宋体" w:eastAsia="宋体" w:hint="default"/>
                <w:sz w:val="18"/>
                <w:szCs w:val="18"/>
              </w:rPr>
              <w:t>按信用风险特征 组合计提坏账准</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 w:right="0"/>
              <w:jc w:val="left"/>
              <w:rPr>
                <w:rFonts w:ascii="Times New Roman" w:hAnsi="Times New Roman" w:cs="Times New Roman" w:eastAsia="Times New Roman" w:hint="default"/>
                <w:sz w:val="18"/>
                <w:szCs w:val="18"/>
              </w:rPr>
            </w:pPr>
            <w:r>
              <w:rPr>
                <w:rFonts w:ascii="Times New Roman"/>
                <w:sz w:val="18"/>
              </w:rPr>
              <w:t>381,03</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6,785.5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7,723,0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69.44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2.03%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Times New Roman" w:hAnsi="Times New Roman" w:cs="Times New Roman" w:eastAsia="Times New Roman" w:hint="default"/>
                <w:sz w:val="18"/>
                <w:szCs w:val="18"/>
              </w:rPr>
            </w:pPr>
            <w:r>
              <w:rPr>
                <w:rFonts w:ascii="Times New Roman"/>
                <w:sz w:val="18"/>
              </w:rPr>
              <w:t>373,31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3,716.1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6" w:right="0"/>
              <w:jc w:val="left"/>
              <w:rPr>
                <w:rFonts w:ascii="Times New Roman" w:hAnsi="Times New Roman" w:cs="Times New Roman" w:eastAsia="Times New Roman" w:hint="default"/>
                <w:sz w:val="18"/>
                <w:szCs w:val="18"/>
              </w:rPr>
            </w:pPr>
            <w:r>
              <w:rPr>
                <w:rFonts w:ascii="Times New Roman"/>
                <w:sz w:val="18"/>
              </w:rPr>
              <w:t>816,6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 w:right="0"/>
              <w:jc w:val="center"/>
              <w:rPr>
                <w:rFonts w:ascii="Times New Roman" w:hAnsi="Times New Roman" w:cs="Times New Roman" w:eastAsia="Times New Roman" w:hint="default"/>
                <w:sz w:val="18"/>
                <w:szCs w:val="18"/>
              </w:rPr>
            </w:pPr>
            <w:r>
              <w:rPr>
                <w:rFonts w:ascii="Times New Roman"/>
                <w:sz w:val="18"/>
              </w:rPr>
              <w:t>7,459,9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89.40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Times New Roman" w:hAnsi="Times New Roman" w:cs="Times New Roman" w:eastAsia="Times New Roman" w:hint="default"/>
                <w:sz w:val="18"/>
                <w:szCs w:val="18"/>
              </w:rPr>
            </w:pPr>
            <w:r>
              <w:rPr>
                <w:rFonts w:ascii="Times New Roman"/>
                <w:sz w:val="18"/>
              </w:rPr>
              <w:t>809,161,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217.66</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Times New Roman" w:hAnsi="Times New Roman" w:cs="Times New Roman" w:eastAsia="Times New Roman" w:hint="default"/>
                <w:sz w:val="18"/>
                <w:szCs w:val="18"/>
              </w:rPr>
            </w:pPr>
            <w:r>
              <w:rPr>
                <w:rFonts w:ascii="Times New Roman"/>
                <w:sz w:val="18"/>
              </w:rPr>
              <w:t>7.06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381,03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6,785.5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7,723,0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69.44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6" w:right="0"/>
              <w:jc w:val="left"/>
              <w:rPr>
                <w:rFonts w:ascii="Times New Roman" w:hAnsi="Times New Roman" w:cs="Times New Roman" w:eastAsia="Times New Roman" w:hint="default"/>
                <w:sz w:val="18"/>
                <w:szCs w:val="18"/>
              </w:rPr>
            </w:pPr>
            <w:r>
              <w:rPr>
                <w:rFonts w:ascii="Times New Roman"/>
                <w:sz w:val="18"/>
              </w:rPr>
              <w:t>2.03%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373,31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3,716.1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816,6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7,459,9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89.40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5" w:right="0"/>
              <w:jc w:val="left"/>
              <w:rPr>
                <w:rFonts w:ascii="Times New Roman" w:hAnsi="Times New Roman" w:cs="Times New Roman" w:eastAsia="Times New Roman" w:hint="default"/>
                <w:sz w:val="18"/>
                <w:szCs w:val="18"/>
              </w:rPr>
            </w:pPr>
            <w:r>
              <w:rPr>
                <w:rFonts w:ascii="Times New Roman"/>
                <w:sz w:val="18"/>
              </w:rPr>
              <w:t>0.91%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809,161,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217.66</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012" w:top="1420" w:bottom="1200" w:left="1020" w:right="0"/>
        </w:sectPr>
      </w:pPr>
    </w:p>
    <w:p>
      <w:pPr>
        <w:pStyle w:val="BodyText"/>
        <w:spacing w:line="240" w:lineRule="auto" w:before="52"/>
        <w:ind w:right="-20"/>
        <w:jc w:val="left"/>
      </w:pPr>
      <w:r>
        <w:rPr/>
        <w:t>期末单项金额重大并单项计提坏账准备的其他应收款：</w:t>
      </w:r>
    </w:p>
    <w:p>
      <w:pPr>
        <w:pStyle w:val="BodyText"/>
        <w:spacing w:line="360" w:lineRule="auto" w:before="115"/>
        <w:ind w:right="160"/>
        <w:jc w:val="left"/>
      </w:pPr>
      <w:r>
        <w:rPr/>
        <w:t>□ 适用 √ 不适用 组合中，按账龄分析法计提坏账准备的其他应收款：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4433" w:space="43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32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71,804,217.11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718,042.17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16,819,508.07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1,681,950.81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6,860,437.03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2,058,131.11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3,264,945.35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3,264,945.35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98,749,107.56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7,723,069.44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4454"/>
        <w:jc w:val="left"/>
      </w:pPr>
      <w:r>
        <w:rPr/>
        <w:t>确定该组合依据的说明：该组合系以应收款项的账龄为信用风险特征划分组合。 组合中，采用余额百分比法计提坏账准备的其他应收款：</w:t>
      </w:r>
    </w:p>
    <w:p>
      <w:pPr>
        <w:pStyle w:val="BodyText"/>
        <w:spacing w:line="360" w:lineRule="auto" w:before="25"/>
        <w:ind w:right="6614"/>
        <w:jc w:val="left"/>
      </w:pPr>
      <w:r>
        <w:rPr/>
        <w:t>□ 适用 √ 不适用 组合中，采用其他方法计提坏账准备的其他应收款：</w:t>
      </w:r>
    </w:p>
    <w:p>
      <w:pPr>
        <w:pStyle w:val="BodyText"/>
        <w:spacing w:line="240" w:lineRule="auto" w:before="27"/>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64"/>
        <w:gridCol w:w="2347"/>
        <w:gridCol w:w="2157"/>
        <w:gridCol w:w="1812"/>
      </w:tblGrid>
      <w:tr>
        <w:trPr>
          <w:trHeight w:val="355" w:hRule="exact"/>
        </w:trPr>
        <w:tc>
          <w:tcPr>
            <w:tcW w:w="3164" w:type="dxa"/>
            <w:vMerge w:val="restart"/>
            <w:tcBorders>
              <w:top w:val="single" w:sz="4" w:space="0" w:color="000000"/>
              <w:left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3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60" w:hRule="exact"/>
        </w:trPr>
        <w:tc>
          <w:tcPr>
            <w:tcW w:w="3164" w:type="dxa"/>
            <w:vMerge/>
            <w:tcBorders>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60"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pacing w:val="-1"/>
                <w:sz w:val="18"/>
              </w:rPr>
              <w:t>282,287,678.01</w:t>
            </w:r>
          </w:p>
        </w:tc>
        <w:tc>
          <w:tcPr>
            <w:tcW w:w="215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0.00</w:t>
            </w:r>
          </w:p>
        </w:tc>
      </w:tr>
      <w:tr>
        <w:trPr>
          <w:trHeight w:val="379"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0"/>
              <w:jc w:val="right"/>
              <w:rPr>
                <w:rFonts w:ascii="宋体" w:hAnsi="宋体" w:cs="宋体" w:eastAsia="宋体" w:hint="default"/>
                <w:sz w:val="18"/>
                <w:szCs w:val="18"/>
              </w:rPr>
            </w:pPr>
            <w:r>
              <w:rPr>
                <w:rFonts w:ascii="宋体"/>
                <w:b/>
                <w:sz w:val="18"/>
              </w:rPr>
              <w:t>282,287,678.01</w:t>
            </w:r>
            <w:r>
              <w:rPr>
                <w:rFonts w:ascii="宋体"/>
                <w:sz w:val="18"/>
              </w:rPr>
            </w:r>
          </w:p>
        </w:tc>
        <w:tc>
          <w:tcPr>
            <w:tcW w:w="215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b/>
                <w:w w:val="95"/>
                <w:sz w:val="18"/>
              </w:rPr>
              <w:t>--</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注：关联方组合系以应收款项交易对象为信用风险特征划分组合。本公司应收关联方账款列入本组合。</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660" w:bottom="700" w:left="1020" w:right="0"/>
        </w:sectPr>
      </w:pPr>
    </w:p>
    <w:p>
      <w:pPr>
        <w:pStyle w:val="BodyText"/>
        <w:spacing w:line="240" w:lineRule="auto" w:before="44"/>
        <w:ind w:right="-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9"/>
        <w:jc w:val="left"/>
      </w:pPr>
      <w:r>
        <w:rPr/>
        <w:t>本期计提坏账准备金额</w:t>
      </w:r>
      <w:r>
        <w:rPr>
          <w:spacing w:val="-47"/>
        </w:rPr>
        <w:t> </w:t>
      </w:r>
      <w:r>
        <w:rPr>
          <w:rFonts w:ascii="Times New Roman" w:hAnsi="Times New Roman" w:cs="Times New Roman" w:eastAsia="Times New Roman" w:hint="default"/>
        </w:rPr>
        <w:t>263,080.04</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348" w:lineRule="auto" w:before="103"/>
        <w:ind w:right="333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本期实际核销的其他应收款情况 无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right="0"/>
        <w:jc w:val="left"/>
      </w:pPr>
      <w:r>
        <w:rPr/>
        <w:t>单位：</w:t>
      </w:r>
      <w:r>
        <w:rPr>
          <w:spacing w:val="-2"/>
        </w:rPr>
        <w:t> </w:t>
      </w:r>
      <w:r>
        <w:rPr/>
        <w:t>元</w:t>
      </w:r>
    </w:p>
    <w:p>
      <w:pPr>
        <w:spacing w:after="0" w:line="240" w:lineRule="auto"/>
        <w:jc w:val="left"/>
        <w:sectPr>
          <w:type w:val="continuous"/>
          <w:pgSz w:w="11910" w:h="16840"/>
          <w:pgMar w:top="660" w:bottom="700" w:left="1020" w:right="0"/>
          <w:cols w:num="2" w:equalWidth="0">
            <w:col w:w="6279" w:space="2551"/>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32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合并范围内子公司往来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282,287,678.01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705,080,734.29</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13,980,368.11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15,230,356.11</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47,417,694.66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61,531,287.11</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37,351,044.79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34,737,124.57</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41,704.98</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381,036,785.57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816,621,207.06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700" w:left="1020" w:right="0"/>
        </w:sectPr>
      </w:pPr>
    </w:p>
    <w:p>
      <w:pPr>
        <w:pStyle w:val="BodyText"/>
        <w:spacing w:line="240" w:lineRule="auto" w:before="66"/>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23"/>
        <w:gridCol w:w="1270"/>
        <w:gridCol w:w="1780"/>
        <w:gridCol w:w="2166"/>
        <w:gridCol w:w="1615"/>
        <w:gridCol w:w="1615"/>
      </w:tblGrid>
      <w:tr>
        <w:trPr>
          <w:trHeight w:val="946"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2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246,985,289.85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64.72%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11,101,295.70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个人</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4,561,639.00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294,483.83</w:t>
            </w:r>
          </w:p>
        </w:tc>
      </w:tr>
      <w:tr>
        <w:trPr>
          <w:trHeight w:val="32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4,268,319.85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42,683.20</w:t>
            </w:r>
          </w:p>
        </w:tc>
      </w:tr>
      <w:tr>
        <w:trPr>
          <w:trHeight w:val="32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286,916,544.40</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75.19%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337,167.03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6"/>
        <w:spacing w:line="240" w:lineRule="auto" w:before="34"/>
        <w:ind w:right="0"/>
        <w:jc w:val="left"/>
        <w:rPr>
          <w:b w:val="0"/>
          <w:bCs w:val="0"/>
        </w:rPr>
      </w:pPr>
      <w:bookmarkStart w:name="3、长期股权投资" w:id="406"/>
      <w:bookmarkEnd w:id="40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635"/>
        <w:gridCol w:w="967"/>
        <w:gridCol w:w="1500"/>
        <w:gridCol w:w="1600"/>
        <w:gridCol w:w="983"/>
        <w:gridCol w:w="15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1,816,279,440.67</w:t>
            </w:r>
          </w:p>
        </w:tc>
        <w:tc>
          <w:tcPr>
            <w:tcW w:w="96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1,816,279,440.67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1,175,514,456.67</w:t>
            </w:r>
          </w:p>
        </w:tc>
        <w:tc>
          <w:tcPr>
            <w:tcW w:w="983"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1,175,514,456.67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9,467,772.10</w:t>
            </w:r>
          </w:p>
        </w:tc>
        <w:tc>
          <w:tcPr>
            <w:tcW w:w="96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9,467,772.10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21,869,181.24</w:t>
            </w:r>
          </w:p>
        </w:tc>
        <w:tc>
          <w:tcPr>
            <w:tcW w:w="983"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21,869,181.24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1,825,747,212.77</w:t>
            </w:r>
          </w:p>
        </w:tc>
        <w:tc>
          <w:tcPr>
            <w:tcW w:w="96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1,825,747,212.77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1,197,383,637.91</w:t>
            </w:r>
          </w:p>
        </w:tc>
        <w:tc>
          <w:tcPr>
            <w:tcW w:w="983"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1,197,383,637.91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对子公司投资" w:id="407"/>
      <w:bookmarkEnd w:id="40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79"/>
        <w:gridCol w:w="1570"/>
        <w:gridCol w:w="1360"/>
        <w:gridCol w:w="500"/>
        <w:gridCol w:w="1510"/>
        <w:gridCol w:w="600"/>
        <w:gridCol w:w="847"/>
      </w:tblGrid>
      <w:tr>
        <w:trPr>
          <w:trHeight w:val="1258"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56" w:right="152"/>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4" w:right="114"/>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7" w:right="14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284,455,307.04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384,455,307.04</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107,483,914.43</w:t>
            </w:r>
          </w:p>
        </w:tc>
        <w:tc>
          <w:tcPr>
            <w:tcW w:w="1360"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107,483,914.43</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400,400,000.00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400,400,000.00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39,688,210.20</w:t>
            </w:r>
          </w:p>
        </w:tc>
        <w:tc>
          <w:tcPr>
            <w:tcW w:w="1360"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39,688,210.20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33,588,165.00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74,250.00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33,662,415.00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205,000,000.00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400,000,000.00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605,000,000.00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浙江万马家装有限公司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Optrum Technology</w:t>
            </w:r>
            <w:r>
              <w:rPr>
                <w:rFonts w:ascii="Times New Roman"/>
                <w:spacing w:val="-25"/>
                <w:sz w:val="18"/>
              </w:rPr>
              <w:t> </w:t>
            </w:r>
            <w:r>
              <w:rPr>
                <w:rFonts w:ascii="Times New Roman"/>
                <w:sz w:val="18"/>
              </w:rPr>
              <w:t>LLC</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3,398,860.00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2,681,135.00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6,079,995.00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浙江万马奔腾新能源产业有限公司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61,500,000.00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125,009,599.00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186,509,599.00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杭州以田科技有限公司</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79"/>
        <w:gridCol w:w="1570"/>
        <w:gridCol w:w="1360"/>
        <w:gridCol w:w="500"/>
        <w:gridCol w:w="1510"/>
        <w:gridCol w:w="600"/>
        <w:gridCol w:w="847"/>
      </w:tblGrid>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Times New Roman" w:hAnsi="Times New Roman" w:cs="Times New Roman" w:eastAsia="Times New Roman" w:hint="default"/>
                <w:sz w:val="18"/>
                <w:szCs w:val="18"/>
              </w:rPr>
            </w:pPr>
            <w:r>
              <w:rPr>
                <w:rFonts w:ascii="Times New Roman"/>
                <w:sz w:val="18"/>
              </w:rPr>
              <w:t>1,175,514,456.67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Times New Roman" w:hAnsi="Times New Roman" w:cs="Times New Roman" w:eastAsia="Times New Roman" w:hint="default"/>
                <w:sz w:val="18"/>
                <w:szCs w:val="18"/>
              </w:rPr>
            </w:pPr>
            <w:r>
              <w:rPr>
                <w:rFonts w:ascii="Times New Roman"/>
                <w:sz w:val="18"/>
              </w:rPr>
              <w:t>640,764,984.00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1,816,279,440.67</w:t>
            </w:r>
          </w:p>
        </w:tc>
        <w:tc>
          <w:tcPr>
            <w:tcW w:w="60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对联营、合营企业投资" w:id="408"/>
      <w:bookmarkEnd w:id="40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89"/>
        <w:gridCol w:w="807"/>
        <w:gridCol w:w="798"/>
        <w:gridCol w:w="798"/>
      </w:tblGrid>
      <w:tr>
        <w:trPr>
          <w:trHeight w:val="32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25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17" w:right="11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57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42"/>
              <w:jc w:val="both"/>
              <w:rPr>
                <w:rFonts w:ascii="宋体" w:hAnsi="宋体" w:cs="宋体" w:eastAsia="宋体" w:hint="default"/>
                <w:sz w:val="18"/>
                <w:szCs w:val="18"/>
              </w:rPr>
            </w:pPr>
            <w:r>
              <w:rPr>
                <w:rFonts w:ascii="宋体" w:hAnsi="宋体" w:cs="宋体" w:eastAsia="宋体" w:hint="default"/>
                <w:sz w:val="18"/>
                <w:szCs w:val="18"/>
              </w:rPr>
              <w:t>浙江电 腾云光 伏科技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9,464,3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76.19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9,467,7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72.10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42"/>
              <w:jc w:val="both"/>
              <w:rPr>
                <w:rFonts w:ascii="宋体" w:hAnsi="宋体" w:cs="宋体" w:eastAsia="宋体" w:hint="default"/>
                <w:sz w:val="18"/>
                <w:szCs w:val="18"/>
              </w:rPr>
            </w:pPr>
            <w:r>
              <w:rPr>
                <w:rFonts w:ascii="宋体" w:hAnsi="宋体" w:cs="宋体" w:eastAsia="宋体" w:hint="default"/>
                <w:sz w:val="18"/>
                <w:szCs w:val="18"/>
              </w:rPr>
              <w:t>山东万 恩新能 源科技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12,404,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805.05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13,347,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172.00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942,366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Times New Roman"/>
                <w:sz w:val="18"/>
              </w:rPr>
              <w:t>21,869,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181.24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5" w:right="0"/>
              <w:jc w:val="left"/>
              <w:rPr>
                <w:rFonts w:ascii="Times New Roman" w:hAnsi="Times New Roman" w:cs="Times New Roman" w:eastAsia="Times New Roman" w:hint="default"/>
                <w:sz w:val="18"/>
                <w:szCs w:val="18"/>
              </w:rPr>
            </w:pPr>
            <w:r>
              <w:rPr>
                <w:rFonts w:ascii="Times New Roman"/>
                <w:sz w:val="18"/>
              </w:rPr>
              <w:t>13,347,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172.00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3,395.9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8" w:right="0"/>
              <w:jc w:val="left"/>
              <w:rPr>
                <w:rFonts w:ascii="Times New Roman" w:hAnsi="Times New Roman" w:cs="Times New Roman" w:eastAsia="Times New Roman" w:hint="default"/>
                <w:sz w:val="18"/>
                <w:szCs w:val="18"/>
              </w:rPr>
            </w:pPr>
            <w:r>
              <w:rPr>
                <w:rFonts w:ascii="Times New Roman"/>
                <w:sz w:val="18"/>
              </w:rPr>
              <w:t>942,366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 w:right="0"/>
              <w:jc w:val="center"/>
              <w:rPr>
                <w:rFonts w:ascii="Times New Roman" w:hAnsi="Times New Roman" w:cs="Times New Roman" w:eastAsia="Times New Roman" w:hint="default"/>
                <w:sz w:val="18"/>
                <w:szCs w:val="18"/>
              </w:rPr>
            </w:pPr>
            <w:r>
              <w:rPr>
                <w:rFonts w:ascii="Times New Roman"/>
                <w:sz w:val="18"/>
              </w:rPr>
              <w:t>9,467,7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72.10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Times New Roman"/>
                <w:sz w:val="18"/>
              </w:rPr>
              <w:t>21,869,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181.24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5" w:right="0"/>
              <w:jc w:val="left"/>
              <w:rPr>
                <w:rFonts w:ascii="Times New Roman" w:hAnsi="Times New Roman" w:cs="Times New Roman" w:eastAsia="Times New Roman" w:hint="default"/>
                <w:sz w:val="18"/>
                <w:szCs w:val="18"/>
              </w:rPr>
            </w:pPr>
            <w:r>
              <w:rPr>
                <w:rFonts w:ascii="Times New Roman"/>
                <w:sz w:val="18"/>
              </w:rPr>
              <w:t>13,347,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172.00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3,395.9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8" w:right="0"/>
              <w:jc w:val="left"/>
              <w:rPr>
                <w:rFonts w:ascii="Times New Roman" w:hAnsi="Times New Roman" w:cs="Times New Roman" w:eastAsia="Times New Roman" w:hint="default"/>
                <w:sz w:val="18"/>
                <w:szCs w:val="18"/>
              </w:rPr>
            </w:pPr>
            <w:r>
              <w:rPr>
                <w:rFonts w:ascii="Times New Roman"/>
                <w:sz w:val="18"/>
              </w:rPr>
              <w:t>942,366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 w:right="0"/>
              <w:jc w:val="center"/>
              <w:rPr>
                <w:rFonts w:ascii="Times New Roman" w:hAnsi="Times New Roman" w:cs="Times New Roman" w:eastAsia="Times New Roman" w:hint="default"/>
                <w:sz w:val="18"/>
                <w:szCs w:val="18"/>
              </w:rPr>
            </w:pPr>
            <w:r>
              <w:rPr>
                <w:rFonts w:ascii="Times New Roman"/>
                <w:sz w:val="18"/>
              </w:rPr>
              <w:t>9,467,7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72.10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营业收入和营业成本" w:id="409"/>
      <w:bookmarkEnd w:id="4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5,184,345,736.25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4,496,090,565.97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4,194,189,755.35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3,656,744,057.93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80,263,636.61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80,901,896.25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48,920,871.03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48,724,962.57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5,264,609,372.86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4,576,992,462.22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4,243,110,626.38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3,705,469,020.50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投资收益" w:id="410"/>
      <w:bookmarkEnd w:id="4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3,395.91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8" w:right="0"/>
              <w:jc w:val="left"/>
              <w:rPr>
                <w:rFonts w:ascii="Times New Roman" w:hAnsi="Times New Roman" w:cs="Times New Roman" w:eastAsia="Times New Roman" w:hint="default"/>
                <w:sz w:val="18"/>
                <w:szCs w:val="18"/>
              </w:rPr>
            </w:pPr>
            <w:r>
              <w:rPr>
                <w:rFonts w:ascii="Times New Roman"/>
                <w:sz w:val="18"/>
              </w:rPr>
              <w:t>-3,406,502.68</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012" w:top="1420" w:bottom="1200" w:left="1020" w:right="0"/>
        </w:sectPr>
      </w:pP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942,366.95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8,196,247.81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2,857,142.35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2,989,523.81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套期投资收益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-11,843,364.02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-3,215,436.23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远期外汇交割收益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1,030,640.46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-7,009,818.35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4,563,832.71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11"/>
      <w:bookmarkEnd w:id="411"/>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412"/>
      <w:bookmarkEnd w:id="41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95"/>
        <w:gridCol w:w="1867"/>
        <w:gridCol w:w="3007"/>
      </w:tblGrid>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-1,042,270.13</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系处置固定资产损失</w:t>
            </w:r>
          </w:p>
        </w:tc>
      </w:tr>
      <w:tr>
        <w:trPr>
          <w:trHeight w:val="634"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1" w:right="10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20,788,389.25</w:t>
            </w:r>
          </w:p>
        </w:tc>
        <w:tc>
          <w:tcPr>
            <w:tcW w:w="30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13,766,720.37</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系银行理财收益</w:t>
            </w:r>
          </w:p>
        </w:tc>
      </w:tr>
      <w:tr>
        <w:trPr>
          <w:trHeight w:val="1258"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01" w:right="100"/>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交易性金融资产、交易性金融负债产生的公允价值变动损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益，以及处置交易性金融资产、交易性金融负债和可供出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售金融资产取得的投资收益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-19,597,662.95</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3" w:right="100"/>
              <w:jc w:val="left"/>
              <w:rPr>
                <w:rFonts w:ascii="宋体" w:hAnsi="宋体" w:cs="宋体" w:eastAsia="宋体" w:hint="default"/>
                <w:sz w:val="18"/>
                <w:szCs w:val="18"/>
              </w:rPr>
            </w:pPr>
            <w:r>
              <w:rPr>
                <w:rFonts w:ascii="宋体" w:hAnsi="宋体" w:cs="宋体" w:eastAsia="宋体" w:hint="default"/>
                <w:spacing w:val="-6"/>
                <w:sz w:val="18"/>
                <w:szCs w:val="18"/>
              </w:rPr>
              <w:t>公司开展套期保值业务，期货价格波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动超出现货价格波动部分列入套保 无效部分及开展远期结购汇公允价 值变动和交割收益</w:t>
            </w:r>
          </w:p>
        </w:tc>
      </w:tr>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-1,774,147.06</w:t>
            </w:r>
          </w:p>
        </w:tc>
        <w:tc>
          <w:tcPr>
            <w:tcW w:w="30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479,587.11</w:t>
            </w:r>
          </w:p>
        </w:tc>
        <w:tc>
          <w:tcPr>
            <w:tcW w:w="30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608,239.60</w:t>
            </w:r>
          </w:p>
        </w:tc>
        <w:tc>
          <w:tcPr>
            <w:tcW w:w="30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11,053,202.77</w:t>
            </w:r>
          </w:p>
        </w:tc>
        <w:tc>
          <w:tcPr>
            <w:tcW w:w="3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净资产收益率及每股收益" w:id="413"/>
      <w:bookmarkEnd w:id="41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559"/>
        <w:gridCol w:w="1709"/>
        <w:gridCol w:w="1387"/>
        <w:gridCol w:w="1913"/>
      </w:tblGrid>
      <w:tr>
        <w:trPr>
          <w:trHeight w:val="322" w:hRule="exact"/>
        </w:trPr>
        <w:tc>
          <w:tcPr>
            <w:tcW w:w="4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669" w:right="128" w:hanging="540"/>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3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34" w:hRule="exact"/>
        </w:trPr>
        <w:tc>
          <w:tcPr>
            <w:tcW w:w="4559" w:type="dxa"/>
            <w:vMerge/>
            <w:tcBorders>
              <w:left w:val="single" w:sz="4" w:space="0" w:color="000000"/>
              <w:bottom w:val="single" w:sz="4" w:space="0" w:color="000000"/>
              <w:right w:val="single" w:sz="4" w:space="0" w:color="000000"/>
            </w:tcBorders>
            <w:shd w:val="clear" w:color="auto" w:fill="D2D2D2"/>
          </w:tcPr>
          <w:p>
            <w:pPr/>
          </w:p>
        </w:tc>
        <w:tc>
          <w:tcPr>
            <w:tcW w:w="1709" w:type="dxa"/>
            <w:vMerge/>
            <w:tcBorders>
              <w:left w:val="single" w:sz="4" w:space="0" w:color="000000"/>
              <w:bottom w:val="single" w:sz="4" w:space="0" w:color="000000"/>
              <w:right w:val="single" w:sz="4" w:space="0" w:color="000000"/>
            </w:tcBorders>
            <w:shd w:val="clear" w:color="auto" w:fill="D2D2D2"/>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322" w:hRule="exact"/>
        </w:trPr>
        <w:tc>
          <w:tcPr>
            <w:tcW w:w="4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2"/>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0.11</w:t>
            </w:r>
          </w:p>
        </w:tc>
      </w:tr>
      <w:tr>
        <w:trPr>
          <w:trHeight w:val="322" w:hRule="exact"/>
        </w:trPr>
        <w:tc>
          <w:tcPr>
            <w:tcW w:w="4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0.10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012" w:top="1420" w:bottom="1200" w:left="1020" w:right="0"/>
        </w:sectPr>
      </w:pPr>
    </w:p>
    <w:p>
      <w:pPr>
        <w:pStyle w:val="Heading6"/>
        <w:spacing w:line="240" w:lineRule="auto" w:before="43"/>
        <w:ind w:right="0"/>
        <w:jc w:val="left"/>
        <w:rPr>
          <w:b w:val="0"/>
          <w:bCs w:val="0"/>
        </w:rPr>
      </w:pPr>
      <w:bookmarkStart w:name="3、境内外会计准则下会计数据差异" w:id="414"/>
      <w:bookmarkEnd w:id="41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中国会计准则披露的财务报告中净利润和净资产差异情况" w:id="415"/>
      <w:bookmarkEnd w:id="41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同时按照境外会计准则与按中国会计准则披露的财务报告中净利润和净资产差异情况" w:id="416"/>
      <w:bookmarkEnd w:id="41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90" w:footer="1012" w:top="1420" w:bottom="1200" w:left="1020" w:right="0"/>
        </w:sectPr>
      </w:pPr>
    </w:p>
    <w:p>
      <w:pPr>
        <w:spacing w:line="240" w:lineRule="auto" w:before="5"/>
        <w:rPr>
          <w:rFonts w:ascii="宋体" w:hAnsi="宋体" w:cs="宋体" w:eastAsia="宋体" w:hint="default"/>
          <w:sz w:val="16"/>
          <w:szCs w:val="16"/>
        </w:rPr>
      </w:pPr>
    </w:p>
    <w:p>
      <w:pPr>
        <w:pStyle w:val="Heading1"/>
        <w:spacing w:line="240" w:lineRule="auto"/>
        <w:ind w:left="3247" w:right="0"/>
        <w:jc w:val="left"/>
        <w:rPr>
          <w:b w:val="0"/>
          <w:bCs w:val="0"/>
        </w:rPr>
      </w:pPr>
      <w:bookmarkStart w:name="第十二节 备查文件目录" w:id="417"/>
      <w:bookmarkEnd w:id="417"/>
      <w:r>
        <w:rPr>
          <w:b w:val="0"/>
          <w:bCs w:val="0"/>
        </w:rPr>
      </w:r>
      <w:bookmarkStart w:name="_bookmark11" w:id="418"/>
      <w:bookmarkEnd w:id="418"/>
      <w:r>
        <w:rPr>
          <w:b w:val="0"/>
          <w:bCs w:val="0"/>
        </w:rPr>
      </w:r>
      <w:r>
        <w:rPr/>
        <w:t>第十二节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7"/>
        <w:spacing w:line="307" w:lineRule="auto"/>
        <w:ind w:right="2114"/>
        <w:jc w:val="left"/>
      </w:pPr>
      <w:r>
        <w:rPr/>
        <w:t>一、载有法定代表人、财务负责人、会计机构负责人签名并盖章的会计报表。</w:t>
      </w:r>
      <w:r>
        <w:rPr>
          <w:w w:val="99"/>
        </w:rPr>
        <w:t> </w:t>
      </w:r>
      <w:r>
        <w:rPr/>
        <w:t>二、载有会计师事务所盖章、注册会计师签名并盖章的审计报告原件。</w:t>
      </w:r>
      <w:r>
        <w:rPr>
          <w:w w:val="99"/>
        </w:rPr>
        <w:t> </w:t>
      </w:r>
      <w:r>
        <w:rPr>
          <w:w w:val="95"/>
        </w:rPr>
        <w:t>三、报告期内在中国证监会指定网站上公开披露过的所有文件正本及公告原稿。</w:t>
      </w:r>
      <w:r>
        <w:rPr>
          <w:spacing w:val="50"/>
          <w:w w:val="95"/>
        </w:rPr>
        <w:t> </w:t>
      </w:r>
      <w:r>
        <w:rPr>
          <w:spacing w:val="50"/>
          <w:w w:val="95"/>
        </w:rPr>
      </w:r>
      <w:r>
        <w:rPr/>
        <w:t>四、载有法定代表人签名的2018年年度报告文本原件。</w:t>
      </w:r>
      <w:r>
        <w:rPr>
          <w:w w:val="99"/>
        </w:rPr>
        <w:t> </w:t>
      </w:r>
      <w:r>
        <w:rPr/>
        <w:t>五、以上备查文件的备置地点：公司董秘办。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444" w:lineRule="auto" w:before="34"/>
        <w:ind w:left="7862" w:right="1132" w:hanging="212"/>
        <w:jc w:val="right"/>
      </w:pPr>
      <w:r>
        <w:rPr>
          <w:w w:val="95"/>
        </w:rPr>
        <w:t>浙江万马股份有限公司</w:t>
      </w:r>
      <w:r>
        <w:rPr>
          <w:spacing w:val="-17"/>
          <w:w w:val="95"/>
        </w:rPr>
        <w:t> </w:t>
      </w:r>
      <w:r>
        <w:rPr>
          <w:spacing w:val="-17"/>
          <w:w w:val="95"/>
        </w:rPr>
      </w:r>
      <w:r>
        <w:rPr>
          <w:w w:val="95"/>
        </w:rPr>
        <w:t>法定代表人：何若虚</w:t>
      </w:r>
      <w:r>
        <w:rPr>
          <w:w w:val="99"/>
        </w:rPr>
        <w:t> </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29</w:t>
      </w:r>
      <w:r>
        <w:rPr>
          <w:w w:val="95"/>
        </w:rPr>
        <w:t>日</w:t>
      </w:r>
      <w:r>
        <w:rPr/>
      </w:r>
    </w:p>
    <w:sectPr>
      <w:pgSz w:w="11910" w:h="16840"/>
      <w:pgMar w:header="890" w:footer="1012" w:top="142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2">
    <w:altName w:val="Wingdings 2"/>
    <w:charset w:val="2"/>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609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112" type="#_x0000_t75" stroked="false">
          <v:imagedata r:id="rId1" o:title=""/>
        </v:shape>
      </w:pict>
    </w:r>
    <w:r>
      <w:rPr/>
      <w:pict>
        <v:shape style="position:absolute;margin-left:256.040009pt;margin-top:780.315674pt;width:83.25pt;height:11.5pt;mso-position-horizontal-relative:page;mso-position-vertical-relative:page;z-index:-1065088"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80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064" type="#_x0000_t75" stroked="false">
          <v:imagedata r:id="rId1" o:title=""/>
        </v:shape>
      </w:pict>
    </w:r>
    <w:r>
      <w:rPr/>
      <w:pict>
        <v:shape style="position:absolute;margin-left:256.040009pt;margin-top:780.315674pt;width:83.25pt;height:11.5pt;mso-position-horizontal-relative:page;mso-position-vertical-relative:page;z-index:-1065040"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90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776" type="#_x0000_t75" stroked="false">
          <v:imagedata r:id="rId1" o:title=""/>
        </v:shape>
      </w:pict>
    </w:r>
    <w:r>
      <w:rPr/>
      <w:pict>
        <v:shape style="position:absolute;margin-left:253.759003pt;margin-top:780.315674pt;width:87.7pt;height:11.5pt;mso-position-horizontal-relative:page;mso-position-vertical-relative:page;z-index:-1064752"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100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488" type="#_x0000_t75" stroked="false">
          <v:imagedata r:id="rId1" o:title=""/>
        </v:shape>
      </w:pict>
    </w:r>
    <w:r>
      <w:rPr/>
      <w:pict>
        <v:shape style="position:absolute;margin-left:254pt;margin-top:780.315674pt;width:87.35pt;height:11.5pt;mso-position-horizontal-relative:page;mso-position-vertical-relative:page;z-index:-1064464"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110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8"/>
                  </w:rPr>
                  <w:t> </w:t>
                </w:r>
                <w:r>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440" type="#_x0000_t75" stroked="false">
          <v:imagedata r:id="rId1" o:title=""/>
        </v:shape>
      </w:pict>
    </w:r>
    <w:r>
      <w:rPr/>
      <w:pict>
        <v:shape style="position:absolute;margin-left:253.759003pt;margin-top:780.315674pt;width:87.7pt;height:11.5pt;mso-position-horizontal-relative:page;mso-position-vertical-relative:page;z-index:-1064416"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120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392" type="#_x0000_t75" stroked="false">
          <v:imagedata r:id="rId1" o:title=""/>
        </v:shape>
      </w:pict>
    </w:r>
    <w:r>
      <w:rPr/>
      <w:pict>
        <v:shape style="position:absolute;margin-left:253.759003pt;margin-top:780.315674pt;width:87.7pt;height:11.5pt;mso-position-horizontal-relative:page;mso-position-vertical-relative:page;z-index:-1064368"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130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296" type="#_x0000_t75" stroked="false">
          <v:imagedata r:id="rId1" o:title=""/>
        </v:shape>
      </w:pict>
    </w:r>
    <w:r>
      <w:rPr/>
      <w:pict>
        <v:shape style="position:absolute;margin-left:253.759003pt;margin-top:780.315674pt;width:87.7pt;height:11.5pt;mso-position-horizontal-relative:page;mso-position-vertical-relative:page;z-index:-1064272"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140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248" type="#_x0000_t75" stroked="false">
          <v:imagedata r:id="rId1" o:title=""/>
        </v:shape>
      </w:pict>
    </w:r>
    <w:r>
      <w:rPr/>
      <w:pict>
        <v:shape style="position:absolute;margin-left:253.759003pt;margin-top:780.315674pt;width:87.7pt;height:11.5pt;mso-position-horizontal-relative:page;mso-position-vertical-relative:page;z-index:-1064224"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150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4104" type="#_x0000_t75" stroked="false">
          <v:imagedata r:id="rId1" o:title=""/>
        </v:shape>
      </w:pict>
    </w:r>
    <w:r>
      <w:rPr/>
      <w:pict>
        <v:shape style="position:absolute;margin-left:253.759003pt;margin-top:780.315674pt;width:87.7pt;height:11.5pt;mso-position-horizontal-relative:page;mso-position-vertical-relative:page;z-index:-1064080"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160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6024" type="#_x0000_t75" stroked="false">
          <v:imagedata r:id="rId1" o:title=""/>
        </v:shape>
      </w:pict>
    </w:r>
    <w:r>
      <w:rPr/>
      <w:pict>
        <v:shape style="position:absolute;margin-left:256.040009pt;margin-top:780.315674pt;width:83.25pt;height:11.5pt;mso-position-horizontal-relative:page;mso-position-vertical-relative:page;z-index:-1066000"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10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976" type="#_x0000_t75" stroked="false">
          <v:imagedata r:id="rId1" o:title=""/>
        </v:shape>
      </w:pict>
    </w:r>
    <w:r>
      <w:rPr/>
      <w:pict>
        <v:shape style="position:absolute;margin-left:265.399994pt;margin-top:780.315674pt;width:78.7pt;height:11.5pt;mso-position-horizontal-relative:page;mso-position-vertical-relative:page;z-index:-1065952"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4</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736" type="#_x0000_t75" stroked="false">
          <v:imagedata r:id="rId1" o:title=""/>
        </v:shape>
      </w:pict>
    </w:r>
    <w:r>
      <w:rPr/>
      <w:pict>
        <v:shape style="position:absolute;margin-left:256.040009pt;margin-top:780.315674pt;width:83.25pt;height:11.5pt;mso-position-horizontal-relative:page;mso-position-vertical-relative:page;z-index:-1065712"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20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688" type="#_x0000_t75" stroked="false">
          <v:imagedata r:id="rId1" o:title=""/>
        </v:shape>
      </w:pict>
    </w:r>
    <w:r>
      <w:rPr/>
      <w:pict>
        <v:shape style="position:absolute;margin-left:256.040009pt;margin-top:780.315674pt;width:83.25pt;height:11.5pt;mso-position-horizontal-relative:page;mso-position-vertical-relative:page;z-index:-1065664"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30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544" type="#_x0000_t75" stroked="false">
          <v:imagedata r:id="rId1" o:title=""/>
        </v:shape>
      </w:pict>
    </w:r>
    <w:r>
      <w:rPr/>
      <w:pict>
        <v:shape style="position:absolute;margin-left:256.040009pt;margin-top:780.315674pt;width:83.25pt;height:11.5pt;mso-position-horizontal-relative:page;mso-position-vertical-relative:page;z-index:-1065520"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40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448" type="#_x0000_t75" stroked="false">
          <v:imagedata r:id="rId1" o:title=""/>
        </v:shape>
      </w:pict>
    </w:r>
    <w:r>
      <w:rPr/>
      <w:pict>
        <v:shape style="position:absolute;margin-left:256.040009pt;margin-top:780.315674pt;width:83.25pt;height:11.5pt;mso-position-horizontal-relative:page;mso-position-vertical-relative:page;z-index:-1065424"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50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352" type="#_x0000_t75" stroked="false">
          <v:imagedata r:id="rId1" o:title=""/>
        </v:shape>
      </w:pict>
    </w:r>
    <w:r>
      <w:rPr/>
      <w:pict>
        <v:shape style="position:absolute;margin-left:256.040009pt;margin-top:780.315674pt;width:83.25pt;height:11.5pt;mso-position-horizontal-relative:page;mso-position-vertical-relative:page;z-index:-1065328"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60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65160" type="#_x0000_t75" stroked="false">
          <v:imagedata r:id="rId1" o:title=""/>
        </v:shape>
      </w:pict>
    </w:r>
    <w:r>
      <w:rPr/>
      <w:pict>
        <v:shape style="position:absolute;margin-left:256.040009pt;margin-top:780.315674pt;width:83.25pt;height:11.5pt;mso-position-horizontal-relative:page;mso-position-vertical-relative:page;z-index:-1065136" type="#_x0000_t202" filled="false" stroked="false">
          <v:textbox inset="0,0,0,0">
            <w:txbxContent>
              <w:p>
                <w:pPr>
                  <w:pStyle w:val="BodyText"/>
                  <w:spacing w:line="214" w:lineRule="exact"/>
                  <w:ind w:left="20" w:right="0"/>
                  <w:jc w:val="left"/>
                </w:pPr>
                <w:r>
                  <w:rPr/>
                  <w:t>第 </w:t>
                </w:r>
                <w:r>
                  <w:rPr>
                    <w:rFonts w:ascii="Times New Roman" w:hAnsi="Times New Roman" w:cs="Times New Roman" w:eastAsia="Times New Roman" w:hint="default"/>
                  </w:rPr>
                </w:r>
                <w:r>
                  <w:rPr/>
                  <w:fldChar w:fldCharType="begin"/>
                </w:r>
                <w:r>
                  <w:rPr>
                    <w:rFonts w:ascii="Times New Roman" w:hAnsi="Times New Roman" w:cs="Times New Roman" w:eastAsia="Times New Roman" w:hint="default"/>
                  </w:rPr>
                  <w:instrText> PAGE </w:instrText>
                </w:r>
                <w:r>
                  <w:rPr/>
                  <w:fldChar w:fldCharType="separate"/>
                </w:r>
                <w:r>
                  <w:rPr/>
                  <w:t>70</w:t>
                </w:r>
                <w:r>
                  <w:rPr/>
                  <w:fldChar w:fldCharType="end"/>
                </w:r>
                <w:r>
                  <w:rPr>
                    <w:rFonts w:ascii="Times New Roman" w:hAnsi="Times New Roman" w:cs="Times New Roman" w:eastAsia="Times New Roman" w:hint="default"/>
                  </w:rPr>
                  <w:t>  </w:t>
                </w:r>
                <w:r>
                  <w:rPr/>
                  <w:t>页</w:t>
                </w:r>
                <w:r>
                  <w:rPr>
                    <w:rFonts w:ascii="Times New Roman" w:hAnsi="Times New Roman" w:cs="Times New Roman" w:eastAsia="Times New Roman" w:hint="default"/>
                  </w:rPr>
                  <w:t>/  </w:t>
                </w:r>
                <w:r>
                  <w:rPr/>
                  <w:t>共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6072" type="#_x0000_t75" stroked="false">
          <v:imagedata r:id="rId1" o:title=""/>
        </v:shape>
      </w:pict>
    </w:r>
    <w:r>
      <w:rPr/>
      <w:pict>
        <v:shapetype id="_x0000_t202" o:spt="202" coordsize="21600,21600" path="m,l,21600r21600,l21600,xe">
          <v:stroke joinstyle="miter"/>
          <v:path gradientshapeok="t" o:connecttype="rect"/>
        </v:shapetype>
        <v:shape style="position:absolute;margin-left:55.599998pt;margin-top:61.155651pt;width:480.25pt;height:11.5pt;mso-position-horizontal-relative:page;mso-position-vertical-relative:page;z-index:-1066048"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400" type="#_x0000_t75" stroked="false">
          <v:imagedata r:id="rId1" o:title=""/>
        </v:shape>
      </w:pict>
    </w:r>
    <w:r>
      <w:rPr/>
      <w:pict>
        <v:shape style="position:absolute;margin-left:55.599998pt;margin-top:61.155651pt;width:480.25pt;height:11.5pt;mso-position-horizontal-relative:page;mso-position-vertical-relative:page;z-index:-1065376"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304" type="#_x0000_t75" stroked="false">
          <v:imagedata r:id="rId1" o:title=""/>
        </v:shape>
      </w:pict>
    </w:r>
    <w:r>
      <w:rPr/>
      <w:pict>
        <v:shape style="position:absolute;margin-left:55.599998pt;margin-top:61.155651pt;width:480.25pt;height:28pt;mso-position-horizontal-relative:page;mso-position-vertical-relative:page;z-index:-1065280"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p>
                <w:pPr>
                  <w:spacing w:before="39"/>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256" type="#_x0000_t75" stroked="false">
          <v:imagedata r:id="rId1" o:title=""/>
        </v:shape>
      </w:pict>
    </w:r>
    <w:r>
      <w:rPr/>
      <w:pict>
        <v:shape style="position:absolute;margin-left:55.599998pt;margin-top:61.155651pt;width:480.25pt;height:28.25pt;mso-position-horizontal-relative:page;mso-position-vertical-relative:page;z-index:-1065232"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p>
                <w:pPr>
                  <w:spacing w:before="16"/>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208" type="#_x0000_t75" stroked="false">
          <v:imagedata r:id="rId1" o:title=""/>
        </v:shape>
      </w:pict>
    </w:r>
    <w:r>
      <w:rPr/>
      <w:pict>
        <v:shape style="position:absolute;margin-left:55.599998pt;margin-top:61.155651pt;width:480.25pt;height:11.5pt;mso-position-horizontal-relative:page;mso-position-vertical-relative:page;z-index:-1065184"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016" type="#_x0000_t75" stroked="false">
          <v:imagedata r:id="rId1" o:title=""/>
        </v:shape>
      </w:pict>
    </w:r>
    <w:r>
      <w:rPr/>
      <w:pict>
        <v:shape style="position:absolute;margin-left:55.599998pt;margin-top:61.155651pt;width:480.25pt;height:11.5pt;mso-position-horizontal-relative:page;mso-position-vertical-relative:page;z-index:-1064992"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968" type="#_x0000_t75" stroked="false">
          <v:imagedata r:id="rId1" o:title=""/>
        </v:shape>
      </w:pict>
    </w:r>
    <w:r>
      <w:rPr/>
      <w:pict>
        <v:shape style="position:absolute;margin-left:55.599998pt;margin-top:61.155651pt;width:480.25pt;height:11.5pt;mso-position-horizontal-relative:page;mso-position-vertical-relative:page;z-index:-1064944"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920" type="#_x0000_t75" stroked="false">
          <v:imagedata r:id="rId1" o:title=""/>
        </v:shape>
      </w:pict>
    </w:r>
    <w:r>
      <w:rPr/>
      <w:pict>
        <v:shape style="position:absolute;margin-left:55.599998pt;margin-top:61.155651pt;width:480.25pt;height:11.5pt;mso-position-horizontal-relative:page;mso-position-vertical-relative:page;z-index:-1064896"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872" type="#_x0000_t75" stroked="false">
          <v:imagedata r:id="rId1" o:title=""/>
        </v:shape>
      </w:pict>
    </w:r>
    <w:r>
      <w:rPr/>
      <w:pict>
        <v:shape style="position:absolute;margin-left:55.599998pt;margin-top:61.155651pt;width:480.25pt;height:11.5pt;mso-position-horizontal-relative:page;mso-position-vertical-relative:page;z-index:-1064848"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824" type="#_x0000_t75" stroked="false">
          <v:imagedata r:id="rId1" o:title=""/>
        </v:shape>
      </w:pict>
    </w:r>
    <w:r>
      <w:rPr/>
      <w:pict>
        <v:shape style="position:absolute;margin-left:55.599998pt;margin-top:61.155651pt;width:480.25pt;height:11.5pt;mso-position-horizontal-relative:page;mso-position-vertical-relative:page;z-index:-1064800"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728" type="#_x0000_t75" stroked="false">
          <v:imagedata r:id="rId1" o:title=""/>
        </v:shape>
      </w:pict>
    </w:r>
    <w:r>
      <w:rPr/>
      <w:pict>
        <v:shape style="position:absolute;margin-left:55.599998pt;margin-top:61.155651pt;width:480.25pt;height:11.5pt;mso-position-horizontal-relative:page;mso-position-vertical-relative:page;z-index:-1064704"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680" type="#_x0000_t75" stroked="false">
          <v:imagedata r:id="rId1" o:title=""/>
        </v:shape>
      </w:pict>
    </w:r>
    <w:r>
      <w:rPr/>
      <w:pict>
        <v:shape style="position:absolute;margin-left:55.599998pt;margin-top:61.155651pt;width:480.25pt;height:11.5pt;mso-position-horizontal-relative:page;mso-position-vertical-relative:page;z-index:-1064656"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632" type="#_x0000_t75" stroked="false">
          <v:imagedata r:id="rId1" o:title=""/>
        </v:shape>
      </w:pict>
    </w:r>
    <w:r>
      <w:rPr/>
      <w:pict>
        <v:shape style="position:absolute;margin-left:55.599998pt;margin-top:61.155651pt;width:480.25pt;height:11.5pt;mso-position-horizontal-relative:page;mso-position-vertical-relative:page;z-index:-1064608"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584" type="#_x0000_t75" stroked="false">
          <v:imagedata r:id="rId1" o:title=""/>
        </v:shape>
      </w:pict>
    </w:r>
    <w:r>
      <w:rPr/>
      <w:pict>
        <v:shape style="position:absolute;margin-left:55.599998pt;margin-top:61.155651pt;width:480.25pt;height:28pt;mso-position-horizontal-relative:page;mso-position-vertical-relative:page;z-index:-1064560"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p>
                <w:pPr>
                  <w:spacing w:before="39"/>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536" type="#_x0000_t75" stroked="false">
          <v:imagedata r:id="rId1" o:title=""/>
        </v:shape>
      </w:pict>
    </w:r>
    <w:r>
      <w:rPr/>
      <w:pict>
        <v:shape style="position:absolute;margin-left:55.599998pt;margin-top:61.155651pt;width:480.25pt;height:11.5pt;mso-position-horizontal-relative:page;mso-position-vertical-relative:page;z-index:-1064512"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344" type="#_x0000_t75" stroked="false">
          <v:imagedata r:id="rId1" o:title=""/>
        </v:shape>
      </w:pict>
    </w:r>
    <w:r>
      <w:rPr/>
      <w:pict>
        <v:shape style="position:absolute;margin-left:55.599998pt;margin-top:61.155651pt;width:480.25pt;height:11.5pt;mso-position-horizontal-relative:page;mso-position-vertical-relative:page;z-index:-1064320"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200" type="#_x0000_t75" stroked="false">
          <v:imagedata r:id="rId1" o:title=""/>
        </v:shape>
      </w:pict>
    </w:r>
    <w:r>
      <w:rPr/>
      <w:pict>
        <v:shape style="position:absolute;margin-left:55.599998pt;margin-top:61.155651pt;width:480.25pt;height:28pt;mso-position-horizontal-relative:page;mso-position-vertical-relative:page;z-index:-1064176"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p>
                <w:pPr>
                  <w:spacing w:before="39"/>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4152" type="#_x0000_t75" stroked="false">
          <v:imagedata r:id="rId1" o:title=""/>
        </v:shape>
      </w:pict>
    </w:r>
    <w:r>
      <w:rPr/>
      <w:pict>
        <v:shape style="position:absolute;margin-left:55.599998pt;margin-top:61.155651pt;width:480.25pt;height:11.5pt;mso-position-horizontal-relative:page;mso-position-vertical-relative:page;z-index:-1064128"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928" type="#_x0000_t75" stroked="false">
          <v:imagedata r:id="rId1" o:title=""/>
        </v:shape>
      </w:pict>
    </w:r>
    <w:r>
      <w:rPr/>
      <w:pict>
        <v:shape style="position:absolute;margin-left:55.599998pt;margin-top:61.155651pt;width:480.25pt;height:11.5pt;mso-position-horizontal-relative:page;mso-position-vertical-relative:page;z-index:-1065904"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880" type="#_x0000_t75" stroked="false">
          <v:imagedata r:id="rId1" o:title=""/>
        </v:shape>
      </w:pict>
    </w:r>
    <w:r>
      <w:rPr/>
      <w:pict>
        <v:shape style="position:absolute;margin-left:55.599998pt;margin-top:61.155651pt;width:480.25pt;height:28pt;mso-position-horizontal-relative:page;mso-position-vertical-relative:page;z-index:-1065856"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p>
                <w:pPr>
                  <w:spacing w:before="39"/>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832" type="#_x0000_t75" stroked="false">
          <v:imagedata r:id="rId1" o:title=""/>
        </v:shape>
      </w:pict>
    </w:r>
    <w:r>
      <w:rPr/>
      <w:pict>
        <v:shape style="position:absolute;margin-left:55.599998pt;margin-top:61.155651pt;width:480.25pt;height:11.5pt;mso-position-horizontal-relative:page;mso-position-vertical-relative:page;z-index:-1065808"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784" type="#_x0000_t75" stroked="false">
          <v:imagedata r:id="rId1" o:title=""/>
        </v:shape>
      </w:pict>
    </w:r>
    <w:r>
      <w:rPr/>
      <w:pict>
        <v:shape style="position:absolute;margin-left:55.599998pt;margin-top:61.155651pt;width:480.25pt;height:11.5pt;mso-position-horizontal-relative:page;mso-position-vertical-relative:page;z-index:-1065760"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640" type="#_x0000_t75" stroked="false">
          <v:imagedata r:id="rId1" o:title=""/>
        </v:shape>
      </w:pict>
    </w:r>
    <w:r>
      <w:rPr/>
      <w:pict>
        <v:shape style="position:absolute;margin-left:55.599998pt;margin-top:61.155651pt;width:480.25pt;height:11.5pt;mso-position-horizontal-relative:page;mso-position-vertical-relative:page;z-index:-1065616"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592" type="#_x0000_t75" stroked="false">
          <v:imagedata r:id="rId1" o:title=""/>
        </v:shape>
      </w:pict>
    </w:r>
    <w:r>
      <w:rPr/>
      <w:pict>
        <v:shape style="position:absolute;margin-left:55.599998pt;margin-top:61.155651pt;width:480.25pt;height:11.5pt;mso-position-horizontal-relative:page;mso-position-vertical-relative:page;z-index:-1065568"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4.520023pt;width:136.080pt;height:25.32pt;mso-position-horizontal-relative:page;mso-position-vertical-relative:page;z-index:-1065496" type="#_x0000_t75" stroked="false">
          <v:imagedata r:id="rId1" o:title=""/>
        </v:shape>
      </w:pict>
    </w:r>
    <w:r>
      <w:rPr/>
      <w:pict>
        <v:shape style="position:absolute;margin-left:55.599998pt;margin-top:61.155651pt;width:480.25pt;height:11.5pt;mso-position-horizontal-relative:page;mso-position-vertical-relative:page;z-index:-1065472" type="#_x0000_t202" filled="false" stroked="false">
          <v:textbox inset="0,0,0,0">
            <w:txbxContent>
              <w:p>
                <w:pPr>
                  <w:pStyle w:val="BodyText"/>
                  <w:tabs>
                    <w:tab w:pos="6073" w:val="left" w:leader="none"/>
                  </w:tabs>
                  <w:spacing w:line="214" w:lineRule="exact"/>
                  <w:ind w:left="20"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538DD3"/>
                  </w:rPr>
                  <w:t> </w:t>
                  <w:tab/>
                </w:r>
                <w:r>
                  <w:rPr>
                    <w:u w:val="single" w:color="538DD3"/>
                  </w:rPr>
                  <w:t>浙江万马股份有限公司</w:t>
                </w:r>
                <w:r>
                  <w:rPr>
                    <w:spacing w:val="-45"/>
                    <w:u w:val="single" w:color="538DD3"/>
                  </w:rPr>
                  <w:t> </w:t>
                </w:r>
                <w:r>
                  <w:rPr>
                    <w:rFonts w:ascii="Times New Roman" w:hAnsi="Times New Roman" w:cs="Times New Roman" w:eastAsia="Times New Roman" w:hint="default"/>
                    <w:u w:val="single" w:color="538DD3"/>
                  </w:rPr>
                  <w:t>2018</w:t>
                </w:r>
                <w:r>
                  <w:rPr>
                    <w:rFonts w:ascii="Times New Roman" w:hAnsi="Times New Roman" w:cs="Times New Roman" w:eastAsia="Times New Roman" w:hint="default"/>
                    <w:spacing w:val="-1"/>
                    <w:u w:val="single" w:color="538DD3"/>
                  </w:rPr>
                  <w:t> </w:t>
                </w:r>
                <w:r>
                  <w:rPr>
                    <w:u w:val="single" w:color="538DD3"/>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12"/>
    </w:pPr>
    <w:rPr>
      <w:rFonts w:ascii="宋体" w:hAnsi="宋体" w:eastAsia="宋体"/>
      <w:sz w:val="18"/>
      <w:szCs w:val="18"/>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spacing w:before="36"/>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2"/>
      <w:szCs w:val="22"/>
    </w:rPr>
  </w:style>
  <w:style w:styleId="Heading5" w:type="paragraph">
    <w:name w:val="Heading 5"/>
    <w:basedOn w:val="Normal"/>
    <w:uiPriority w:val="1"/>
    <w:qFormat/>
    <w:pPr>
      <w:ind w:left="112" w:firstLine="441"/>
      <w:outlineLvl w:val="5"/>
    </w:pPr>
    <w:rPr>
      <w:rFonts w:ascii="宋体" w:hAnsi="宋体" w:eastAsia="宋体"/>
      <w:sz w:val="22"/>
      <w:szCs w:val="22"/>
    </w:rPr>
  </w:style>
  <w:style w:styleId="Heading6" w:type="paragraph">
    <w:name w:val="Heading 6"/>
    <w:basedOn w:val="Normal"/>
    <w:uiPriority w:val="1"/>
    <w:qFormat/>
    <w:pPr>
      <w:ind w:left="112"/>
      <w:outlineLvl w:val="6"/>
    </w:pPr>
    <w:rPr>
      <w:rFonts w:ascii="宋体" w:hAnsi="宋体" w:eastAsia="宋体"/>
      <w:b/>
      <w:bCs/>
      <w:sz w:val="21"/>
      <w:szCs w:val="21"/>
    </w:rPr>
  </w:style>
  <w:style w:styleId="Heading7" w:type="paragraph">
    <w:name w:val="Heading 7"/>
    <w:basedOn w:val="Normal"/>
    <w:uiPriority w:val="1"/>
    <w:qFormat/>
    <w:pPr>
      <w:ind w:left="112"/>
      <w:outlineLvl w:val="7"/>
    </w:pPr>
    <w:rPr>
      <w:rFonts w:ascii="宋体" w:hAnsi="宋体" w:eastAsia="宋体"/>
      <w:sz w:val="21"/>
      <w:szCs w:val="21"/>
    </w:rPr>
  </w:style>
  <w:style w:styleId="Heading8" w:type="paragraph">
    <w:name w:val="Heading 8"/>
    <w:basedOn w:val="Normal"/>
    <w:uiPriority w:val="1"/>
    <w:qFormat/>
    <w:pPr>
      <w:ind w:left="232"/>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hyperlink" Target="http://www.wanma-cable.cn/" TargetMode="External"/><Relationship Id="rId14" Type="http://schemas.openxmlformats.org/officeDocument/2006/relationships/hyperlink" Target="mailto:investor@wanmagroup.com" TargetMode="External"/><Relationship Id="rId15" Type="http://schemas.openxmlformats.org/officeDocument/2006/relationships/hyperlink" Target="http://www.cninfo.com.cn/"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footer" Target="footer4.xml"/><Relationship Id="rId23" Type="http://schemas.openxmlformats.org/officeDocument/2006/relationships/hyperlink" Target="http://www/" TargetMode="External"/><Relationship Id="rId24" Type="http://schemas.openxmlformats.org/officeDocument/2006/relationships/footer" Target="footer5.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yperlink" Target="http://www.cninfo.com.cn/new/disclosure/stock?orgId=9" TargetMode="External"/><Relationship Id="rId28" Type="http://schemas.openxmlformats.org/officeDocument/2006/relationships/footer" Target="footer6.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image" Target="media/image7.jpeg"/><Relationship Id="rId32" Type="http://schemas.openxmlformats.org/officeDocument/2006/relationships/header" Target="header10.xml"/><Relationship Id="rId33" Type="http://schemas.openxmlformats.org/officeDocument/2006/relationships/footer" Target="footer8.xml"/><Relationship Id="rId34" Type="http://schemas.openxmlformats.org/officeDocument/2006/relationships/hyperlink" Target="http://www.cninfo.com.cn/new/" TargetMode="Externa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yperlink" Target="http://www.cninfo.com.cn/new/disclosure/stock?orgId" TargetMode="External"/><Relationship Id="rId39" Type="http://schemas.openxmlformats.org/officeDocument/2006/relationships/hyperlink" Target="http://www.cninfo.com.cn/new/disclosure/stock?orgId=9900007107&amp;amp;stockCode=002276" TargetMode="External"/><Relationship Id="rId40" Type="http://schemas.openxmlformats.org/officeDocument/2006/relationships/footer" Target="footer9.xml"/><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oter" Target="footer12.xml"/><Relationship Id="rId49" Type="http://schemas.openxmlformats.org/officeDocument/2006/relationships/header" Target="header19.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footer" Target="footer13.xml"/><Relationship Id="rId55" Type="http://schemas.openxmlformats.org/officeDocument/2006/relationships/footer" Target="footer14.xml"/><Relationship Id="rId56" Type="http://schemas.openxmlformats.org/officeDocument/2006/relationships/footer" Target="footer15.xml"/><Relationship Id="rId57" Type="http://schemas.openxmlformats.org/officeDocument/2006/relationships/header" Target="header24.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1" Type="http://schemas.openxmlformats.org/officeDocument/2006/relationships/image" Target="media/image2.jpeg"/></Relationships>

</file>

<file path=word/_rels/header25.xml.rels><?xml version="1.0" encoding="UTF-8" standalone="yes"?>
<Relationships xmlns="http://schemas.openxmlformats.org/package/2006/relationships"><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2020-05-05T03:55:14Z</dcterms:created>
  <dcterms:modified xsi:type="dcterms:W3CDTF">2020-05-05T03:55:14Z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WPS 文字</vt:lpwstr>
  </property>
  <property fmtid="{D5CDD505-2E9C-101B-9397-08002B2CF9AE}" pid="4" name="LastSaved">
    <vt:filetime>2020-05-04T00:00:00Z</vt:filetime>
  </property>
</Properties>
</file>